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9501F" w14:textId="04BFD48F" w:rsidR="003E44A0" w:rsidRPr="001F1589" w:rsidRDefault="002B1EA5" w:rsidP="00B7739B">
      <w:pPr>
        <w:spacing w:line="480" w:lineRule="auto"/>
        <w:rPr>
          <w:b/>
          <w:color w:val="000000" w:themeColor="text1"/>
          <w:sz w:val="26"/>
          <w:szCs w:val="26"/>
        </w:rPr>
      </w:pPr>
      <w:r w:rsidRPr="001F1589">
        <w:rPr>
          <w:b/>
          <w:color w:val="000000" w:themeColor="text1"/>
          <w:sz w:val="26"/>
          <w:szCs w:val="26"/>
        </w:rPr>
        <w:t>Circulating</w:t>
      </w:r>
      <w:r w:rsidR="0025252E" w:rsidRPr="001F1589">
        <w:rPr>
          <w:b/>
          <w:color w:val="000000" w:themeColor="text1"/>
          <w:sz w:val="26"/>
          <w:szCs w:val="26"/>
        </w:rPr>
        <w:t xml:space="preserve"> </w:t>
      </w:r>
      <w:r w:rsidR="003772DD" w:rsidRPr="001F1589">
        <w:rPr>
          <w:b/>
          <w:color w:val="000000" w:themeColor="text1"/>
          <w:sz w:val="26"/>
          <w:szCs w:val="26"/>
        </w:rPr>
        <w:t>vitamin D</w:t>
      </w:r>
      <w:r w:rsidRPr="001F1589">
        <w:rPr>
          <w:b/>
          <w:color w:val="000000" w:themeColor="text1"/>
          <w:sz w:val="26"/>
          <w:szCs w:val="26"/>
        </w:rPr>
        <w:t xml:space="preserve"> and</w:t>
      </w:r>
      <w:r w:rsidR="0025252E" w:rsidRPr="001F1589">
        <w:rPr>
          <w:b/>
          <w:color w:val="000000" w:themeColor="text1"/>
          <w:sz w:val="26"/>
          <w:szCs w:val="26"/>
        </w:rPr>
        <w:t xml:space="preserve"> risk of breas</w:t>
      </w:r>
      <w:r w:rsidR="00E572B4" w:rsidRPr="001F1589">
        <w:rPr>
          <w:b/>
          <w:color w:val="000000" w:themeColor="text1"/>
          <w:sz w:val="26"/>
          <w:szCs w:val="26"/>
        </w:rPr>
        <w:t>t and</w:t>
      </w:r>
      <w:r w:rsidR="00D5433F" w:rsidRPr="001F1589">
        <w:rPr>
          <w:b/>
          <w:color w:val="000000" w:themeColor="text1"/>
          <w:sz w:val="26"/>
          <w:szCs w:val="26"/>
        </w:rPr>
        <w:t xml:space="preserve"> prostate cancer</w:t>
      </w:r>
      <w:r w:rsidR="0025252E" w:rsidRPr="001F1589">
        <w:rPr>
          <w:b/>
          <w:color w:val="000000" w:themeColor="text1"/>
          <w:sz w:val="26"/>
          <w:szCs w:val="26"/>
        </w:rPr>
        <w:t xml:space="preserve">: </w:t>
      </w:r>
      <w:r w:rsidR="000048FC" w:rsidRPr="001F1589">
        <w:rPr>
          <w:b/>
          <w:color w:val="000000" w:themeColor="text1"/>
          <w:sz w:val="26"/>
          <w:szCs w:val="26"/>
        </w:rPr>
        <w:t xml:space="preserve">a </w:t>
      </w:r>
      <w:r w:rsidR="0025252E" w:rsidRPr="001F1589">
        <w:rPr>
          <w:b/>
          <w:color w:val="000000" w:themeColor="text1"/>
          <w:sz w:val="26"/>
          <w:szCs w:val="26"/>
        </w:rPr>
        <w:t>Mendelian randomization study</w:t>
      </w:r>
    </w:p>
    <w:p w14:paraId="5A33AE1F" w14:textId="719562E3" w:rsidR="00A034AB" w:rsidRPr="001F1589" w:rsidRDefault="00473CD6" w:rsidP="00AE3CBC">
      <w:pPr>
        <w:widowControl w:val="0"/>
        <w:autoSpaceDE w:val="0"/>
        <w:autoSpaceDN w:val="0"/>
        <w:adjustRightInd w:val="0"/>
        <w:spacing w:line="480" w:lineRule="auto"/>
        <w:jc w:val="both"/>
        <w:rPr>
          <w:color w:val="000000" w:themeColor="text1"/>
        </w:rPr>
      </w:pPr>
      <w:r w:rsidRPr="001F1589">
        <w:rPr>
          <w:color w:val="000000" w:themeColor="text1"/>
        </w:rPr>
        <w:t>Xia Jiang,</w:t>
      </w:r>
      <w:r w:rsidRPr="001F1589">
        <w:rPr>
          <w:color w:val="000000" w:themeColor="text1"/>
          <w:vertAlign w:val="superscript"/>
        </w:rPr>
        <w:t>1</w:t>
      </w:r>
      <w:r w:rsidR="00B818EF" w:rsidRPr="001F1589">
        <w:rPr>
          <w:color w:val="000000" w:themeColor="text1"/>
          <w:vertAlign w:val="superscript"/>
        </w:rPr>
        <w:t>,2</w:t>
      </w:r>
      <w:r w:rsidR="004A09CB" w:rsidRPr="001F1589">
        <w:rPr>
          <w:color w:val="000000" w:themeColor="text1"/>
          <w:vertAlign w:val="superscript"/>
        </w:rPr>
        <w:t>#</w:t>
      </w:r>
      <w:r w:rsidR="001B0C28" w:rsidRPr="001F1589">
        <w:rPr>
          <w:color w:val="000000" w:themeColor="text1"/>
          <w:vertAlign w:val="superscript"/>
        </w:rPr>
        <w:t xml:space="preserve"> </w:t>
      </w:r>
      <w:r w:rsidR="00AB5C74" w:rsidRPr="001F1589">
        <w:rPr>
          <w:color w:val="000000" w:themeColor="text1"/>
        </w:rPr>
        <w:t>Niki L Dimou</w:t>
      </w:r>
      <w:r w:rsidR="005525A2" w:rsidRPr="001F1589">
        <w:rPr>
          <w:color w:val="000000" w:themeColor="text1"/>
        </w:rPr>
        <w:t>,</w:t>
      </w:r>
      <w:r w:rsidR="00262422" w:rsidRPr="001F1589">
        <w:rPr>
          <w:color w:val="000000" w:themeColor="text1"/>
          <w:vertAlign w:val="superscript"/>
        </w:rPr>
        <w:t>3</w:t>
      </w:r>
      <w:r w:rsidR="004A09CB" w:rsidRPr="001F1589">
        <w:rPr>
          <w:color w:val="000000" w:themeColor="text1"/>
          <w:vertAlign w:val="superscript"/>
        </w:rPr>
        <w:t>#</w:t>
      </w:r>
      <w:r w:rsidR="00AB5C74" w:rsidRPr="001F1589">
        <w:rPr>
          <w:color w:val="000000" w:themeColor="text1"/>
        </w:rPr>
        <w:t xml:space="preserve"> Kawthar Al-Dabhani,</w:t>
      </w:r>
      <w:r w:rsidR="00262422" w:rsidRPr="001F1589">
        <w:rPr>
          <w:color w:val="000000" w:themeColor="text1"/>
          <w:vertAlign w:val="superscript"/>
        </w:rPr>
        <w:t>4</w:t>
      </w:r>
      <w:r w:rsidR="00AB5C74" w:rsidRPr="001F1589">
        <w:rPr>
          <w:color w:val="000000" w:themeColor="text1"/>
        </w:rPr>
        <w:t xml:space="preserve"> Sarah J Lewis,</w:t>
      </w:r>
      <w:r w:rsidR="00262422" w:rsidRPr="001F1589">
        <w:rPr>
          <w:color w:val="000000" w:themeColor="text1"/>
          <w:vertAlign w:val="superscript"/>
        </w:rPr>
        <w:t>5</w:t>
      </w:r>
      <w:r w:rsidR="00AB5C74" w:rsidRPr="001F1589">
        <w:rPr>
          <w:color w:val="000000" w:themeColor="text1"/>
          <w:vertAlign w:val="superscript"/>
        </w:rPr>
        <w:t>,</w:t>
      </w:r>
      <w:r w:rsidR="00262422" w:rsidRPr="001F1589">
        <w:rPr>
          <w:color w:val="000000" w:themeColor="text1"/>
          <w:vertAlign w:val="superscript"/>
        </w:rPr>
        <w:t>6</w:t>
      </w:r>
      <w:r w:rsidR="00AB5C74" w:rsidRPr="001F1589">
        <w:rPr>
          <w:color w:val="000000" w:themeColor="text1"/>
        </w:rPr>
        <w:t xml:space="preserve"> Richard M Martin,</w:t>
      </w:r>
      <w:r w:rsidR="00262422" w:rsidRPr="001F1589">
        <w:rPr>
          <w:color w:val="000000" w:themeColor="text1"/>
          <w:vertAlign w:val="superscript"/>
        </w:rPr>
        <w:t>5</w:t>
      </w:r>
      <w:r w:rsidR="00AB5C74" w:rsidRPr="001F1589">
        <w:rPr>
          <w:color w:val="000000" w:themeColor="text1"/>
          <w:vertAlign w:val="superscript"/>
        </w:rPr>
        <w:t>-</w:t>
      </w:r>
      <w:r w:rsidR="00262422" w:rsidRPr="001F1589">
        <w:rPr>
          <w:color w:val="000000" w:themeColor="text1"/>
          <w:vertAlign w:val="superscript"/>
        </w:rPr>
        <w:t>7</w:t>
      </w:r>
      <w:r w:rsidR="00AB5C74" w:rsidRPr="001F1589">
        <w:rPr>
          <w:color w:val="000000" w:themeColor="text1"/>
        </w:rPr>
        <w:t xml:space="preserve"> Philip C Haycock,</w:t>
      </w:r>
      <w:r w:rsidR="00262422" w:rsidRPr="001F1589">
        <w:rPr>
          <w:color w:val="000000" w:themeColor="text1"/>
          <w:vertAlign w:val="superscript"/>
        </w:rPr>
        <w:t>5</w:t>
      </w:r>
      <w:r w:rsidR="00AB5C74" w:rsidRPr="001F1589">
        <w:rPr>
          <w:color w:val="000000" w:themeColor="text1"/>
          <w:vertAlign w:val="superscript"/>
        </w:rPr>
        <w:t>,</w:t>
      </w:r>
      <w:r w:rsidR="00262422" w:rsidRPr="001F1589">
        <w:rPr>
          <w:color w:val="000000" w:themeColor="text1"/>
          <w:vertAlign w:val="superscript"/>
        </w:rPr>
        <w:t>6</w:t>
      </w:r>
      <w:r w:rsidR="001B0C28" w:rsidRPr="001F1589">
        <w:rPr>
          <w:color w:val="000000" w:themeColor="text1"/>
          <w:vertAlign w:val="superscript"/>
        </w:rPr>
        <w:t xml:space="preserve"> </w:t>
      </w:r>
      <w:r w:rsidR="00AB5C74" w:rsidRPr="001F1589">
        <w:rPr>
          <w:color w:val="000000" w:themeColor="text1"/>
        </w:rPr>
        <w:t>Marc J Gunter,</w:t>
      </w:r>
      <w:r w:rsidR="00262422" w:rsidRPr="001F1589">
        <w:rPr>
          <w:color w:val="000000" w:themeColor="text1"/>
          <w:vertAlign w:val="superscript"/>
        </w:rPr>
        <w:t>8</w:t>
      </w:r>
      <w:r w:rsidR="001B0C28" w:rsidRPr="001F1589">
        <w:rPr>
          <w:color w:val="000000" w:themeColor="text1"/>
          <w:vertAlign w:val="superscript"/>
        </w:rPr>
        <w:t xml:space="preserve"> </w:t>
      </w:r>
      <w:r w:rsidRPr="001F1589">
        <w:rPr>
          <w:color w:val="000000" w:themeColor="text1"/>
        </w:rPr>
        <w:t>Timothy J Key,</w:t>
      </w:r>
      <w:r w:rsidR="00505E07" w:rsidRPr="001F1589">
        <w:rPr>
          <w:color w:val="000000" w:themeColor="text1"/>
          <w:vertAlign w:val="superscript"/>
        </w:rPr>
        <w:t>9</w:t>
      </w:r>
      <w:r w:rsidR="001B0C28" w:rsidRPr="001F1589">
        <w:rPr>
          <w:color w:val="000000" w:themeColor="text1"/>
          <w:vertAlign w:val="superscript"/>
        </w:rPr>
        <w:t xml:space="preserve"> </w:t>
      </w:r>
      <w:r w:rsidRPr="001F1589">
        <w:rPr>
          <w:color w:val="000000" w:themeColor="text1"/>
          <w:lang w:val="en-GB"/>
        </w:rPr>
        <w:t xml:space="preserve">Rosalind </w:t>
      </w:r>
      <w:r w:rsidR="001B0C28" w:rsidRPr="001F1589">
        <w:rPr>
          <w:color w:val="000000" w:themeColor="text1"/>
          <w:lang w:val="en-GB"/>
        </w:rPr>
        <w:t xml:space="preserve">A </w:t>
      </w:r>
      <w:r w:rsidRPr="001F1589">
        <w:rPr>
          <w:color w:val="000000" w:themeColor="text1"/>
          <w:lang w:val="en-GB"/>
        </w:rPr>
        <w:t>Eeles,</w:t>
      </w:r>
      <w:r w:rsidR="00505E07" w:rsidRPr="001F1589">
        <w:rPr>
          <w:color w:val="000000" w:themeColor="text1"/>
          <w:vertAlign w:val="superscript"/>
          <w:lang w:val="en-GB"/>
        </w:rPr>
        <w:t>10</w:t>
      </w:r>
      <w:r w:rsidR="00AB5C74" w:rsidRPr="001F1589">
        <w:rPr>
          <w:color w:val="000000" w:themeColor="text1"/>
          <w:vertAlign w:val="superscript"/>
          <w:lang w:val="en-GB"/>
        </w:rPr>
        <w:t>,</w:t>
      </w:r>
      <w:r w:rsidR="00D91639" w:rsidRPr="001F1589">
        <w:rPr>
          <w:color w:val="000000" w:themeColor="text1"/>
          <w:vertAlign w:val="superscript"/>
          <w:lang w:val="en-GB"/>
        </w:rPr>
        <w:t>1</w:t>
      </w:r>
      <w:r w:rsidR="00505E07" w:rsidRPr="001F1589">
        <w:rPr>
          <w:color w:val="000000" w:themeColor="text1"/>
          <w:vertAlign w:val="superscript"/>
          <w:lang w:val="en-GB"/>
        </w:rPr>
        <w:t>1</w:t>
      </w:r>
      <w:r w:rsidRPr="001F1589">
        <w:rPr>
          <w:color w:val="000000" w:themeColor="text1"/>
          <w:lang w:val="en-GB"/>
        </w:rPr>
        <w:t xml:space="preserve"> Kenneth Muir,</w:t>
      </w:r>
      <w:r w:rsidR="00AB5C74" w:rsidRPr="001F1589">
        <w:rPr>
          <w:color w:val="000000" w:themeColor="text1"/>
          <w:vertAlign w:val="superscript"/>
          <w:lang w:val="en-GB"/>
        </w:rPr>
        <w:t>1</w:t>
      </w:r>
      <w:r w:rsidR="00505E07" w:rsidRPr="001F1589">
        <w:rPr>
          <w:color w:val="000000" w:themeColor="text1"/>
          <w:vertAlign w:val="superscript"/>
          <w:lang w:val="en-GB"/>
        </w:rPr>
        <w:t>2</w:t>
      </w:r>
      <w:r w:rsidRPr="001F1589">
        <w:rPr>
          <w:color w:val="000000" w:themeColor="text1"/>
          <w:lang w:val="en-GB"/>
        </w:rPr>
        <w:t xml:space="preserve"> David Neal,</w:t>
      </w:r>
      <w:r w:rsidR="00AB5C74" w:rsidRPr="001F1589">
        <w:rPr>
          <w:color w:val="000000" w:themeColor="text1"/>
          <w:vertAlign w:val="superscript"/>
          <w:lang w:val="en-GB"/>
        </w:rPr>
        <w:t>1</w:t>
      </w:r>
      <w:r w:rsidR="00505E07" w:rsidRPr="001F1589">
        <w:rPr>
          <w:color w:val="000000" w:themeColor="text1"/>
          <w:vertAlign w:val="superscript"/>
          <w:lang w:val="en-GB"/>
        </w:rPr>
        <w:t>3</w:t>
      </w:r>
      <w:r w:rsidR="001B0C28" w:rsidRPr="001F1589">
        <w:rPr>
          <w:color w:val="000000" w:themeColor="text1"/>
          <w:vertAlign w:val="superscript"/>
          <w:lang w:val="en-GB"/>
        </w:rPr>
        <w:t xml:space="preserve"> </w:t>
      </w:r>
      <w:r w:rsidRPr="001F1589">
        <w:rPr>
          <w:color w:val="000000" w:themeColor="text1"/>
        </w:rPr>
        <w:t>Graham G Giles,</w:t>
      </w:r>
      <w:r w:rsidR="00505E07" w:rsidRPr="001F1589">
        <w:rPr>
          <w:color w:val="000000" w:themeColor="text1"/>
          <w:vertAlign w:val="superscript"/>
        </w:rPr>
        <w:t>14-16</w:t>
      </w:r>
      <w:r w:rsidR="00AB5C74" w:rsidRPr="001F1589">
        <w:rPr>
          <w:color w:val="000000" w:themeColor="text1"/>
        </w:rPr>
        <w:t xml:space="preserve"> Edward L </w:t>
      </w:r>
      <w:r w:rsidRPr="001F1589">
        <w:rPr>
          <w:color w:val="000000" w:themeColor="text1"/>
        </w:rPr>
        <w:t>Giovannucci,</w:t>
      </w:r>
      <w:r w:rsidR="00505E07" w:rsidRPr="001F1589">
        <w:rPr>
          <w:color w:val="000000" w:themeColor="text1"/>
          <w:vertAlign w:val="superscript"/>
        </w:rPr>
        <w:t>17</w:t>
      </w:r>
      <w:r w:rsidR="00AB5C74" w:rsidRPr="001F1589">
        <w:rPr>
          <w:color w:val="000000" w:themeColor="text1"/>
          <w:vertAlign w:val="superscript"/>
        </w:rPr>
        <w:t>-1</w:t>
      </w:r>
      <w:r w:rsidR="00505E07" w:rsidRPr="001F1589">
        <w:rPr>
          <w:color w:val="000000" w:themeColor="text1"/>
          <w:vertAlign w:val="superscript"/>
        </w:rPr>
        <w:t>9</w:t>
      </w:r>
      <w:r w:rsidR="001B0C28" w:rsidRPr="001F1589">
        <w:rPr>
          <w:color w:val="000000" w:themeColor="text1"/>
          <w:vertAlign w:val="superscript"/>
        </w:rPr>
        <w:t xml:space="preserve"> </w:t>
      </w:r>
      <w:r w:rsidRPr="001F1589">
        <w:rPr>
          <w:color w:val="000000" w:themeColor="text1"/>
        </w:rPr>
        <w:t>Meir Stampfer,</w:t>
      </w:r>
      <w:r w:rsidR="00505E07" w:rsidRPr="001F1589">
        <w:rPr>
          <w:color w:val="000000" w:themeColor="text1"/>
          <w:vertAlign w:val="superscript"/>
        </w:rPr>
        <w:t>17</w:t>
      </w:r>
      <w:r w:rsidR="00AB5C74" w:rsidRPr="001F1589">
        <w:rPr>
          <w:color w:val="000000" w:themeColor="text1"/>
          <w:vertAlign w:val="superscript"/>
        </w:rPr>
        <w:t>-1</w:t>
      </w:r>
      <w:r w:rsidR="00505E07" w:rsidRPr="001F1589">
        <w:rPr>
          <w:color w:val="000000" w:themeColor="text1"/>
          <w:vertAlign w:val="superscript"/>
        </w:rPr>
        <w:t>9</w:t>
      </w:r>
      <w:r w:rsidR="001B0C28" w:rsidRPr="001F1589">
        <w:rPr>
          <w:color w:val="000000" w:themeColor="text1"/>
          <w:vertAlign w:val="superscript"/>
        </w:rPr>
        <w:t xml:space="preserve"> </w:t>
      </w:r>
      <w:r w:rsidR="004A09CB" w:rsidRPr="001F1589">
        <w:rPr>
          <w:color w:val="000000" w:themeColor="text1"/>
        </w:rPr>
        <w:t>Brandon L Pierce,</w:t>
      </w:r>
      <w:r w:rsidR="00505E07" w:rsidRPr="001F1589">
        <w:rPr>
          <w:color w:val="000000" w:themeColor="text1"/>
          <w:vertAlign w:val="superscript"/>
        </w:rPr>
        <w:t>20-22</w:t>
      </w:r>
      <w:r w:rsidR="001B0C28" w:rsidRPr="001F1589">
        <w:rPr>
          <w:color w:val="000000" w:themeColor="text1"/>
          <w:vertAlign w:val="superscript"/>
        </w:rPr>
        <w:t xml:space="preserve"> </w:t>
      </w:r>
      <w:r w:rsidR="004A09CB" w:rsidRPr="001F1589">
        <w:rPr>
          <w:color w:val="000000" w:themeColor="text1"/>
        </w:rPr>
        <w:t>Joellen M Schildkraut,</w:t>
      </w:r>
      <w:r w:rsidR="00505E07" w:rsidRPr="001F1589">
        <w:rPr>
          <w:color w:val="000000" w:themeColor="text1"/>
          <w:vertAlign w:val="superscript"/>
        </w:rPr>
        <w:t>23</w:t>
      </w:r>
      <w:r w:rsidR="001B0C28" w:rsidRPr="001F1589">
        <w:rPr>
          <w:color w:val="000000" w:themeColor="text1"/>
          <w:vertAlign w:val="superscript"/>
        </w:rPr>
        <w:t xml:space="preserve"> </w:t>
      </w:r>
      <w:r w:rsidR="008A2013" w:rsidRPr="001F1589">
        <w:rPr>
          <w:color w:val="000000" w:themeColor="text1"/>
        </w:rPr>
        <w:t>Shaneda</w:t>
      </w:r>
      <w:r w:rsidR="00D8178D" w:rsidRPr="001F1589">
        <w:rPr>
          <w:color w:val="000000" w:themeColor="text1"/>
        </w:rPr>
        <w:t xml:space="preserve"> </w:t>
      </w:r>
      <w:r w:rsidR="007525EF" w:rsidRPr="001F1589">
        <w:rPr>
          <w:color w:val="000000" w:themeColor="text1"/>
        </w:rPr>
        <w:t>Warren Andersen</w:t>
      </w:r>
      <w:r w:rsidR="003A0BEE" w:rsidRPr="001F1589">
        <w:rPr>
          <w:color w:val="000000" w:themeColor="text1"/>
        </w:rPr>
        <w:t>,</w:t>
      </w:r>
      <w:r w:rsidR="00505E07" w:rsidRPr="001F1589">
        <w:rPr>
          <w:color w:val="000000" w:themeColor="text1"/>
          <w:vertAlign w:val="superscript"/>
        </w:rPr>
        <w:t>24</w:t>
      </w:r>
      <w:r w:rsidR="001B0C28" w:rsidRPr="001F1589">
        <w:rPr>
          <w:color w:val="000000" w:themeColor="text1"/>
          <w:vertAlign w:val="superscript"/>
        </w:rPr>
        <w:t xml:space="preserve"> </w:t>
      </w:r>
      <w:r w:rsidR="007525EF" w:rsidRPr="001F1589">
        <w:rPr>
          <w:color w:val="000000" w:themeColor="text1"/>
        </w:rPr>
        <w:t>Deborah Thompson</w:t>
      </w:r>
      <w:r w:rsidR="003A0BEE" w:rsidRPr="001F1589">
        <w:rPr>
          <w:color w:val="000000" w:themeColor="text1"/>
        </w:rPr>
        <w:t>,</w:t>
      </w:r>
      <w:r w:rsidR="00505E07" w:rsidRPr="001F1589">
        <w:rPr>
          <w:color w:val="000000" w:themeColor="text1"/>
          <w:vertAlign w:val="superscript"/>
        </w:rPr>
        <w:t>25</w:t>
      </w:r>
      <w:r w:rsidR="001B0C28" w:rsidRPr="001F1589">
        <w:rPr>
          <w:color w:val="000000" w:themeColor="text1"/>
          <w:vertAlign w:val="superscript"/>
        </w:rPr>
        <w:t xml:space="preserve"> </w:t>
      </w:r>
      <w:r w:rsidR="007525EF" w:rsidRPr="001F1589">
        <w:rPr>
          <w:color w:val="000000" w:themeColor="text1"/>
        </w:rPr>
        <w:t>Wei Zheng</w:t>
      </w:r>
      <w:r w:rsidR="003A0BEE" w:rsidRPr="001F1589">
        <w:rPr>
          <w:color w:val="000000" w:themeColor="text1"/>
        </w:rPr>
        <w:t>,</w:t>
      </w:r>
      <w:r w:rsidR="00505E07" w:rsidRPr="001F1589">
        <w:rPr>
          <w:color w:val="000000" w:themeColor="text1"/>
          <w:vertAlign w:val="superscript"/>
        </w:rPr>
        <w:t>26</w:t>
      </w:r>
      <w:r w:rsidR="001B0C28" w:rsidRPr="001F1589">
        <w:rPr>
          <w:color w:val="000000" w:themeColor="text1"/>
          <w:vertAlign w:val="superscript"/>
        </w:rPr>
        <w:t xml:space="preserve"> </w:t>
      </w:r>
      <w:r w:rsidR="004A09CB" w:rsidRPr="001F1589">
        <w:rPr>
          <w:color w:val="000000" w:themeColor="text1"/>
        </w:rPr>
        <w:t>Peter Kraft</w:t>
      </w:r>
      <w:r w:rsidR="004A09CB" w:rsidRPr="001F1589">
        <w:rPr>
          <w:color w:val="000000" w:themeColor="text1"/>
          <w:vertAlign w:val="superscript"/>
        </w:rPr>
        <w:t>1</w:t>
      </w:r>
      <w:r w:rsidR="0064655E" w:rsidRPr="001F1589">
        <w:rPr>
          <w:color w:val="000000" w:themeColor="text1"/>
        </w:rPr>
        <w:t>, Konstantinos K Tsilidis</w:t>
      </w:r>
      <w:r w:rsidR="0064655E" w:rsidRPr="001F1589">
        <w:rPr>
          <w:color w:val="000000" w:themeColor="text1"/>
          <w:vertAlign w:val="superscript"/>
        </w:rPr>
        <w:t>3,4</w:t>
      </w:r>
      <w:r w:rsidR="008013D5">
        <w:rPr>
          <w:color w:val="000000" w:themeColor="text1"/>
          <w:vertAlign w:val="superscript"/>
        </w:rPr>
        <w:t>*</w:t>
      </w:r>
      <w:r w:rsidR="0064655E" w:rsidRPr="001F1589">
        <w:rPr>
          <w:color w:val="000000" w:themeColor="text1"/>
          <w:vertAlign w:val="superscript"/>
        </w:rPr>
        <w:t xml:space="preserve"> </w:t>
      </w:r>
      <w:r w:rsidR="00B7091A" w:rsidRPr="001F1589">
        <w:rPr>
          <w:color w:val="000000" w:themeColor="text1"/>
        </w:rPr>
        <w:t>on behalf of</w:t>
      </w:r>
      <w:r w:rsidR="00CC0D3F" w:rsidRPr="001F1589">
        <w:rPr>
          <w:color w:val="000000" w:themeColor="text1"/>
        </w:rPr>
        <w:t xml:space="preserve"> the PRACTICAL, CRUK, BPC3, CAPS and PEGASUS </w:t>
      </w:r>
      <w:r w:rsidR="00A05C8F" w:rsidRPr="001F1589">
        <w:rPr>
          <w:color w:val="000000" w:themeColor="text1"/>
        </w:rPr>
        <w:t>consorti</w:t>
      </w:r>
      <w:r w:rsidR="00282E59" w:rsidRPr="001F1589">
        <w:rPr>
          <w:color w:val="000000" w:themeColor="text1"/>
        </w:rPr>
        <w:t>a</w:t>
      </w:r>
    </w:p>
    <w:p w14:paraId="0BABB494" w14:textId="77777777" w:rsidR="002D5E2B" w:rsidRPr="001F1589" w:rsidRDefault="00662714" w:rsidP="00AE3CBC">
      <w:pPr>
        <w:widowControl w:val="0"/>
        <w:autoSpaceDE w:val="0"/>
        <w:autoSpaceDN w:val="0"/>
        <w:adjustRightInd w:val="0"/>
        <w:spacing w:line="480" w:lineRule="auto"/>
        <w:jc w:val="both"/>
        <w:rPr>
          <w:color w:val="000000" w:themeColor="text1"/>
        </w:rPr>
      </w:pPr>
      <w:r w:rsidRPr="001F1589">
        <w:rPr>
          <w:color w:val="000000" w:themeColor="text1"/>
        </w:rPr>
        <w:t xml:space="preserve"># </w:t>
      </w:r>
      <w:r w:rsidR="00D0112C" w:rsidRPr="001F1589">
        <w:rPr>
          <w:color w:val="000000" w:themeColor="text1"/>
        </w:rPr>
        <w:t>Xia Jiang and Niki L Dimou share the first authorship.</w:t>
      </w:r>
    </w:p>
    <w:p w14:paraId="76D1B927" w14:textId="1C904B84" w:rsidR="005F3CE0" w:rsidRPr="00ED58BF" w:rsidRDefault="00C21961" w:rsidP="00AE3CBC">
      <w:pPr>
        <w:widowControl w:val="0"/>
        <w:autoSpaceDE w:val="0"/>
        <w:autoSpaceDN w:val="0"/>
        <w:adjustRightInd w:val="0"/>
        <w:spacing w:line="480" w:lineRule="auto"/>
        <w:jc w:val="both"/>
        <w:rPr>
          <w:b/>
          <w:color w:val="0432FF"/>
        </w:rPr>
      </w:pPr>
      <w:r w:rsidRPr="00ED58BF">
        <w:rPr>
          <w:b/>
          <w:color w:val="0432FF"/>
        </w:rPr>
        <w:t>Correspondence</w:t>
      </w:r>
      <w:r w:rsidR="008D480F" w:rsidRPr="00ED58BF">
        <w:rPr>
          <w:b/>
          <w:color w:val="0432FF"/>
        </w:rPr>
        <w:t xml:space="preserve"> to: </w:t>
      </w:r>
      <w:r w:rsidR="008D480F" w:rsidRPr="00ED58BF">
        <w:rPr>
          <w:color w:val="0432FF"/>
        </w:rPr>
        <w:t>Konstantinos K Tsilidis</w:t>
      </w:r>
      <w:r w:rsidR="005F3CE0" w:rsidRPr="00ED58BF">
        <w:rPr>
          <w:color w:val="0432FF"/>
        </w:rPr>
        <w:t xml:space="preserve">, </w:t>
      </w:r>
      <w:r w:rsidR="00364BF4" w:rsidRPr="00ED58BF">
        <w:rPr>
          <w:color w:val="0432FF"/>
        </w:rPr>
        <w:t>Senior lecturer</w:t>
      </w:r>
      <w:r w:rsidR="005F3CE0" w:rsidRPr="00ED58BF">
        <w:rPr>
          <w:color w:val="0432FF"/>
        </w:rPr>
        <w:t>.</w:t>
      </w:r>
      <w:r w:rsidR="00364BF4" w:rsidRPr="00ED58BF">
        <w:rPr>
          <w:color w:val="0432FF"/>
        </w:rPr>
        <w:t xml:space="preserve"> </w:t>
      </w:r>
      <w:r w:rsidR="006A2BEC" w:rsidRPr="00ED58BF">
        <w:rPr>
          <w:color w:val="0432FF"/>
        </w:rPr>
        <w:t xml:space="preserve">Faculty of Medicine, School of Public Health, Praed Street, St Mary’s Campus, </w:t>
      </w:r>
      <w:r w:rsidR="00364BF4" w:rsidRPr="00ED58BF">
        <w:rPr>
          <w:color w:val="0432FF"/>
        </w:rPr>
        <w:t xml:space="preserve">Imperial College London, </w:t>
      </w:r>
      <w:r w:rsidR="006A2BEC" w:rsidRPr="00ED58BF">
        <w:rPr>
          <w:color w:val="0432FF"/>
        </w:rPr>
        <w:t>UK.</w:t>
      </w:r>
      <w:r w:rsidR="00EC7EF3" w:rsidRPr="00ED58BF">
        <w:rPr>
          <w:color w:val="0432FF"/>
        </w:rPr>
        <w:t xml:space="preserve"> </w:t>
      </w:r>
    </w:p>
    <w:p w14:paraId="643F1790" w14:textId="5B59BC0E" w:rsidR="002234CA" w:rsidRPr="00ED58BF" w:rsidRDefault="005F3CE0" w:rsidP="00AE3CBC">
      <w:pPr>
        <w:widowControl w:val="0"/>
        <w:autoSpaceDE w:val="0"/>
        <w:autoSpaceDN w:val="0"/>
        <w:adjustRightInd w:val="0"/>
        <w:spacing w:line="480" w:lineRule="auto"/>
        <w:jc w:val="both"/>
        <w:rPr>
          <w:color w:val="0432FF"/>
          <w:u w:val="single"/>
        </w:rPr>
      </w:pPr>
      <w:r w:rsidRPr="00ED58BF">
        <w:rPr>
          <w:color w:val="0432FF"/>
        </w:rPr>
        <w:t xml:space="preserve">Phone: +30 2651007734; Fax: +30 2651007853; Email: </w:t>
      </w:r>
      <w:hyperlink r:id="rId8" w:tgtFrame="_blank" w:history="1">
        <w:r w:rsidRPr="00ED58BF">
          <w:rPr>
            <w:rStyle w:val="Hyperlink"/>
            <w:color w:val="0432FF"/>
          </w:rPr>
          <w:t>k.tsilidis@imperial.ac.uk</w:t>
        </w:r>
      </w:hyperlink>
    </w:p>
    <w:p w14:paraId="65B44B33" w14:textId="67FFF576" w:rsidR="003509C1" w:rsidRDefault="003509C1" w:rsidP="00AE3CBC">
      <w:pPr>
        <w:widowControl w:val="0"/>
        <w:autoSpaceDE w:val="0"/>
        <w:autoSpaceDN w:val="0"/>
        <w:adjustRightInd w:val="0"/>
        <w:spacing w:line="480" w:lineRule="auto"/>
        <w:jc w:val="both"/>
        <w:rPr>
          <w:color w:val="0432FF"/>
        </w:rPr>
      </w:pPr>
      <w:r w:rsidRPr="005F3CE0">
        <w:rPr>
          <w:b/>
          <w:color w:val="0432FF"/>
        </w:rPr>
        <w:t>Word count</w:t>
      </w:r>
      <w:r w:rsidRPr="003509C1">
        <w:rPr>
          <w:color w:val="0432FF"/>
        </w:rPr>
        <w:t xml:space="preserve">: </w:t>
      </w:r>
      <w:r w:rsidR="0037259E">
        <w:rPr>
          <w:color w:val="0432FF"/>
        </w:rPr>
        <w:t>3310</w:t>
      </w:r>
    </w:p>
    <w:p w14:paraId="78440BA3" w14:textId="2A9673D2" w:rsidR="00F114C7" w:rsidRDefault="00F114C7" w:rsidP="00AE3CBC">
      <w:pPr>
        <w:widowControl w:val="0"/>
        <w:autoSpaceDE w:val="0"/>
        <w:autoSpaceDN w:val="0"/>
        <w:adjustRightInd w:val="0"/>
        <w:spacing w:line="480" w:lineRule="auto"/>
        <w:jc w:val="both"/>
        <w:rPr>
          <w:color w:val="0432FF"/>
        </w:rPr>
      </w:pPr>
      <w:r w:rsidRPr="005F3CE0">
        <w:rPr>
          <w:b/>
          <w:color w:val="0432FF"/>
        </w:rPr>
        <w:t>Supply Medical Subject Headings</w:t>
      </w:r>
      <w:r>
        <w:rPr>
          <w:color w:val="0432FF"/>
        </w:rPr>
        <w:t>:</w:t>
      </w:r>
      <w:r w:rsidR="005F3CE0">
        <w:rPr>
          <w:color w:val="0432FF"/>
        </w:rPr>
        <w:t xml:space="preserve"> </w:t>
      </w:r>
      <w:r>
        <w:rPr>
          <w:color w:val="0432FF"/>
        </w:rPr>
        <w:t xml:space="preserve">Vitamin D, circulating levels, </w:t>
      </w:r>
      <w:r w:rsidR="00BD7FAB">
        <w:rPr>
          <w:color w:val="0432FF"/>
        </w:rPr>
        <w:t xml:space="preserve">malignancy, </w:t>
      </w:r>
      <w:r>
        <w:rPr>
          <w:color w:val="0432FF"/>
        </w:rPr>
        <w:t>breast cancer, prostate cancer, Mendelian randomization.</w:t>
      </w:r>
    </w:p>
    <w:p w14:paraId="21FC9FAA" w14:textId="71E5B98F" w:rsidR="00076023" w:rsidRPr="00D10CD8" w:rsidRDefault="00076023" w:rsidP="00AE3CBC">
      <w:pPr>
        <w:widowControl w:val="0"/>
        <w:autoSpaceDE w:val="0"/>
        <w:autoSpaceDN w:val="0"/>
        <w:adjustRightInd w:val="0"/>
        <w:spacing w:line="480" w:lineRule="auto"/>
        <w:jc w:val="both"/>
        <w:rPr>
          <w:b/>
          <w:color w:val="0432FF"/>
        </w:rPr>
      </w:pPr>
      <w:r w:rsidRPr="00076023">
        <w:rPr>
          <w:b/>
          <w:color w:val="0432FF"/>
        </w:rPr>
        <w:t>Statements:</w:t>
      </w:r>
      <w:r w:rsidR="00D10CD8">
        <w:rPr>
          <w:b/>
          <w:color w:val="0432FF"/>
        </w:rPr>
        <w:t xml:space="preserve"> </w:t>
      </w:r>
      <w:r>
        <w:rPr>
          <w:color w:val="0432FF"/>
        </w:rPr>
        <w:t>The references have been checked for accuracy and completeness.</w:t>
      </w:r>
      <w:r w:rsidR="00196F6C">
        <w:rPr>
          <w:color w:val="0432FF"/>
        </w:rPr>
        <w:t xml:space="preserve"> </w:t>
      </w:r>
      <w:r>
        <w:rPr>
          <w:color w:val="0432FF"/>
        </w:rPr>
        <w:t>Dr. Xia Jiang will act as guarantor for the paper.</w:t>
      </w:r>
      <w:r w:rsidR="00196F6C">
        <w:rPr>
          <w:color w:val="0432FF"/>
        </w:rPr>
        <w:t xml:space="preserve"> We did not cite personal communications in the manuscript. This material has not been published previously in a substantively similar form. The manuscript has been carefully edited by someone with an excellent mastery of the English language.</w:t>
      </w:r>
    </w:p>
    <w:p w14:paraId="60D30B0D" w14:textId="77777777" w:rsidR="00E61D00" w:rsidRPr="001F1589" w:rsidRDefault="00E61D00" w:rsidP="00AE3CBC">
      <w:pPr>
        <w:pStyle w:val="ListParagraph"/>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Program in Genetic Epidemiology and Statistical Genetics, Harvard T.H. Chan School of Public Health. Boston, USA.</w:t>
      </w:r>
    </w:p>
    <w:p w14:paraId="1B5BE3B1" w14:textId="77777777" w:rsidR="00B818EF" w:rsidRPr="001F1589" w:rsidRDefault="00B818EF"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Cardiovascular epidemiology unit, Institute of Environmental Medicine, Karolinska Institutet, Stockholm, Sweden.</w:t>
      </w:r>
    </w:p>
    <w:p w14:paraId="2F3ABB58"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lastRenderedPageBreak/>
        <w:t>Department of Hygiene and Epidemiology, School of Medicine, University</w:t>
      </w:r>
      <w:r w:rsidR="00E61D00" w:rsidRPr="001F1589">
        <w:rPr>
          <w:color w:val="000000" w:themeColor="text1"/>
          <w:lang w:val="en-GB"/>
        </w:rPr>
        <w:t xml:space="preserve"> of Ioannina, Ioannina, Greece.</w:t>
      </w:r>
    </w:p>
    <w:p w14:paraId="7B31E1BA"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Department of Epidemiology and Biostatistics, The School of Public Health, Imperial College</w:t>
      </w:r>
      <w:r w:rsidR="00E61D00" w:rsidRPr="001F1589">
        <w:rPr>
          <w:color w:val="000000" w:themeColor="text1"/>
          <w:lang w:val="en-GB"/>
        </w:rPr>
        <w:t xml:space="preserve"> London, London, </w:t>
      </w:r>
      <w:r w:rsidR="00C323CE" w:rsidRPr="001F1589">
        <w:rPr>
          <w:color w:val="000000" w:themeColor="text1"/>
          <w:lang w:val="en-GB"/>
        </w:rPr>
        <w:t>UK</w:t>
      </w:r>
      <w:r w:rsidR="00E61D00" w:rsidRPr="001F1589">
        <w:rPr>
          <w:color w:val="000000" w:themeColor="text1"/>
          <w:lang w:val="en-GB"/>
        </w:rPr>
        <w:t>.</w:t>
      </w:r>
    </w:p>
    <w:p w14:paraId="43AD96B4"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rFonts w:eastAsia="Times New Roman"/>
          <w:color w:val="000000" w:themeColor="text1"/>
          <w:lang w:val="en-GB" w:eastAsia="el-GR"/>
        </w:rPr>
        <w:t>Bristol Medical School, Department of Population Health Sciences, University of Br</w:t>
      </w:r>
      <w:r w:rsidR="00E61D00" w:rsidRPr="001F1589">
        <w:rPr>
          <w:rFonts w:eastAsia="Times New Roman"/>
          <w:color w:val="000000" w:themeColor="text1"/>
          <w:lang w:val="en-GB" w:eastAsia="el-GR"/>
        </w:rPr>
        <w:t xml:space="preserve">istol, Bristol, </w:t>
      </w:r>
      <w:r w:rsidR="00C323CE" w:rsidRPr="001F1589">
        <w:rPr>
          <w:rFonts w:eastAsia="Times New Roman"/>
          <w:color w:val="000000" w:themeColor="text1"/>
          <w:lang w:val="en-GB" w:eastAsia="el-GR"/>
        </w:rPr>
        <w:t>UK</w:t>
      </w:r>
      <w:r w:rsidR="00E61D00" w:rsidRPr="001F1589">
        <w:rPr>
          <w:rFonts w:eastAsia="Times New Roman"/>
          <w:color w:val="000000" w:themeColor="text1"/>
          <w:lang w:val="en-GB" w:eastAsia="el-GR"/>
        </w:rPr>
        <w:t>.</w:t>
      </w:r>
    </w:p>
    <w:p w14:paraId="757B5439"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rFonts w:eastAsia="Times New Roman"/>
          <w:color w:val="000000" w:themeColor="text1"/>
          <w:lang w:val="en-GB" w:eastAsia="el-GR"/>
        </w:rPr>
        <w:t>MRC Integrative Epidemiology Unit, University of B</w:t>
      </w:r>
      <w:r w:rsidR="00E61D00" w:rsidRPr="001F1589">
        <w:rPr>
          <w:rFonts w:eastAsia="Times New Roman"/>
          <w:color w:val="000000" w:themeColor="text1"/>
          <w:lang w:val="en-GB" w:eastAsia="el-GR"/>
        </w:rPr>
        <w:t xml:space="preserve">ristol, Bristol, </w:t>
      </w:r>
      <w:r w:rsidR="00C323CE" w:rsidRPr="001F1589">
        <w:rPr>
          <w:rFonts w:eastAsia="Times New Roman"/>
          <w:color w:val="000000" w:themeColor="text1"/>
          <w:lang w:val="en-GB" w:eastAsia="el-GR"/>
        </w:rPr>
        <w:t>UK</w:t>
      </w:r>
      <w:r w:rsidR="00E61D00" w:rsidRPr="001F1589">
        <w:rPr>
          <w:rFonts w:eastAsia="Times New Roman"/>
          <w:color w:val="000000" w:themeColor="text1"/>
          <w:lang w:val="en-GB" w:eastAsia="el-GR"/>
        </w:rPr>
        <w:t>.</w:t>
      </w:r>
    </w:p>
    <w:p w14:paraId="175B10EF"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 xml:space="preserve">National Institute for Health Research (NIHR) Bristol Biomedical Research Centre, </w:t>
      </w:r>
      <w:r w:rsidRPr="001F1589">
        <w:rPr>
          <w:rFonts w:eastAsia="Times New Roman"/>
          <w:color w:val="000000" w:themeColor="text1"/>
          <w:lang w:val="en-GB" w:eastAsia="el-GR"/>
        </w:rPr>
        <w:t xml:space="preserve">University Hospitals Bristol NHS Foundation Trust and the University of Bristol, Bristol, </w:t>
      </w:r>
      <w:r w:rsidR="00C323CE" w:rsidRPr="001F1589">
        <w:rPr>
          <w:rFonts w:eastAsia="Times New Roman"/>
          <w:color w:val="000000" w:themeColor="text1"/>
          <w:lang w:val="en-GB" w:eastAsia="el-GR"/>
        </w:rPr>
        <w:t>UK</w:t>
      </w:r>
      <w:r w:rsidR="00E61D00" w:rsidRPr="001F1589">
        <w:rPr>
          <w:rFonts w:eastAsia="Times New Roman"/>
          <w:color w:val="000000" w:themeColor="text1"/>
          <w:lang w:val="en-GB" w:eastAsia="el-GR"/>
        </w:rPr>
        <w:t>.</w:t>
      </w:r>
    </w:p>
    <w:p w14:paraId="1BA56EFA"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International Agency for Research on Cancer, Lyon, France</w:t>
      </w:r>
      <w:r w:rsidR="00E61D00" w:rsidRPr="001F1589">
        <w:rPr>
          <w:color w:val="000000" w:themeColor="text1"/>
          <w:lang w:val="en-GB"/>
        </w:rPr>
        <w:t>.</w:t>
      </w:r>
    </w:p>
    <w:p w14:paraId="349F319B"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Cancer Epidemiology Unit, Nuffield Department of Population Health, University of</w:t>
      </w:r>
      <w:r w:rsidR="00E61D00" w:rsidRPr="001F1589">
        <w:rPr>
          <w:color w:val="000000" w:themeColor="text1"/>
          <w:lang w:val="en-GB"/>
        </w:rPr>
        <w:t xml:space="preserve"> Oxford, Oxford, </w:t>
      </w:r>
      <w:r w:rsidR="00C323CE" w:rsidRPr="001F1589">
        <w:rPr>
          <w:color w:val="000000" w:themeColor="text1"/>
          <w:lang w:val="en-GB"/>
        </w:rPr>
        <w:t>UK</w:t>
      </w:r>
      <w:r w:rsidR="00E61D00" w:rsidRPr="001F1589">
        <w:rPr>
          <w:color w:val="000000" w:themeColor="text1"/>
          <w:lang w:val="en-GB"/>
        </w:rPr>
        <w:t>.</w:t>
      </w:r>
    </w:p>
    <w:p w14:paraId="5A3ED768" w14:textId="77777777" w:rsidR="00E61D00"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The Institute of Cancer</w:t>
      </w:r>
      <w:r w:rsidR="00E61D00" w:rsidRPr="001F1589">
        <w:rPr>
          <w:color w:val="000000" w:themeColor="text1"/>
          <w:lang w:val="en-GB"/>
        </w:rPr>
        <w:t xml:space="preserve"> Research, London, SM2 5NG, UK.</w:t>
      </w:r>
    </w:p>
    <w:p w14:paraId="37DA914A"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Royal Marsden NHS Foundat</w:t>
      </w:r>
      <w:r w:rsidR="00E37739" w:rsidRPr="001F1589">
        <w:rPr>
          <w:color w:val="000000" w:themeColor="text1"/>
          <w:lang w:val="en-GB"/>
        </w:rPr>
        <w:t>ion Trust, London, SW3 6JJ, UK.</w:t>
      </w:r>
    </w:p>
    <w:p w14:paraId="57049BEC"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rFonts w:eastAsia="Times New Roman"/>
          <w:color w:val="000000" w:themeColor="text1"/>
        </w:rPr>
        <w:t>Institute of Population Health, University of Manchester, Oxford Road, Manchester, M13 9PL, UK</w:t>
      </w:r>
      <w:r w:rsidR="00E37739" w:rsidRPr="001F1589">
        <w:rPr>
          <w:rFonts w:eastAsia="Times New Roman"/>
          <w:color w:val="000000" w:themeColor="text1"/>
        </w:rPr>
        <w:t>.</w:t>
      </w:r>
    </w:p>
    <w:p w14:paraId="66DE96FB"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Nuffield Department of Surgery, University of Oxford, Room 6603, Level 6, John Radcliffe Hospital, Headley Way, Headington, Oxford, OX3 9DU, UK and University of Cambridge, Department of Oncology, Box 279, Addenbrooke's Hospital, Hi</w:t>
      </w:r>
      <w:r w:rsidR="00E37739" w:rsidRPr="001F1589">
        <w:rPr>
          <w:color w:val="000000" w:themeColor="text1"/>
          <w:lang w:val="en-GB"/>
        </w:rPr>
        <w:t>lls Road Cambridge CB2 0QQ, UK</w:t>
      </w:r>
      <w:r w:rsidR="00C323CE" w:rsidRPr="001F1589">
        <w:rPr>
          <w:color w:val="000000" w:themeColor="text1"/>
          <w:lang w:val="en-GB"/>
        </w:rPr>
        <w:t>.</w:t>
      </w:r>
    </w:p>
    <w:p w14:paraId="04530AC1"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rPr>
        <w:t xml:space="preserve">Cancer Epidemiology &amp; Intelligence Division, Cancer Council </w:t>
      </w:r>
      <w:r w:rsidR="00E37739" w:rsidRPr="001F1589">
        <w:rPr>
          <w:color w:val="000000" w:themeColor="text1"/>
        </w:rPr>
        <w:t>Victoria, Melbourne, Australia.</w:t>
      </w:r>
    </w:p>
    <w:p w14:paraId="00D0535A"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rPr>
        <w:lastRenderedPageBreak/>
        <w:t>Centre for Epidemiology and Biostatistics, Melbourne School of Population and Global Health, The University of Melbourne, Victo</w:t>
      </w:r>
      <w:r w:rsidR="00E37739" w:rsidRPr="001F1589">
        <w:rPr>
          <w:color w:val="000000" w:themeColor="text1"/>
        </w:rPr>
        <w:t>ria, Australia.</w:t>
      </w:r>
    </w:p>
    <w:p w14:paraId="531A50E0"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rPr>
        <w:t>Department of Epidemiology and Preventive Medicine, Monash University,</w:t>
      </w:r>
      <w:r w:rsidR="00E37739" w:rsidRPr="001F1589">
        <w:rPr>
          <w:color w:val="000000" w:themeColor="text1"/>
        </w:rPr>
        <w:t xml:space="preserve"> Melbourne, Victoria, Australia.</w:t>
      </w:r>
    </w:p>
    <w:p w14:paraId="339D8F86"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rFonts w:eastAsia="Times New Roman"/>
          <w:color w:val="000000" w:themeColor="text1"/>
        </w:rPr>
        <w:t>Department of Nutrition, Harvard T.H</w:t>
      </w:r>
      <w:r w:rsidR="00E37739" w:rsidRPr="001F1589">
        <w:rPr>
          <w:rFonts w:eastAsia="Times New Roman"/>
          <w:color w:val="000000" w:themeColor="text1"/>
        </w:rPr>
        <w:t>.</w:t>
      </w:r>
      <w:r w:rsidRPr="001F1589">
        <w:rPr>
          <w:rFonts w:eastAsia="Times New Roman"/>
          <w:color w:val="000000" w:themeColor="text1"/>
        </w:rPr>
        <w:t xml:space="preserve"> Chan School of Public Health, Boston, MA</w:t>
      </w:r>
      <w:r w:rsidR="00E37739" w:rsidRPr="001F1589">
        <w:rPr>
          <w:rFonts w:eastAsia="Times New Roman"/>
          <w:color w:val="000000" w:themeColor="text1"/>
        </w:rPr>
        <w:t>, USA.</w:t>
      </w:r>
    </w:p>
    <w:p w14:paraId="3E97C712"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rFonts w:eastAsia="Times New Roman"/>
          <w:color w:val="000000" w:themeColor="text1"/>
        </w:rPr>
        <w:t>Department of Epidemiology, Harvard T.H</w:t>
      </w:r>
      <w:r w:rsidR="00E37739" w:rsidRPr="001F1589">
        <w:rPr>
          <w:rFonts w:eastAsia="Times New Roman"/>
          <w:color w:val="000000" w:themeColor="text1"/>
        </w:rPr>
        <w:t>.</w:t>
      </w:r>
      <w:r w:rsidRPr="001F1589">
        <w:rPr>
          <w:rFonts w:eastAsia="Times New Roman"/>
          <w:color w:val="000000" w:themeColor="text1"/>
        </w:rPr>
        <w:t xml:space="preserve"> Chan School of </w:t>
      </w:r>
      <w:r w:rsidR="00E37739" w:rsidRPr="001F1589">
        <w:rPr>
          <w:rFonts w:eastAsia="Times New Roman"/>
          <w:color w:val="000000" w:themeColor="text1"/>
        </w:rPr>
        <w:t>Public Health, Boston, MA, USA.</w:t>
      </w:r>
    </w:p>
    <w:p w14:paraId="5FBCCAA3"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rFonts w:eastAsia="Times New Roman"/>
          <w:color w:val="000000" w:themeColor="text1"/>
        </w:rPr>
        <w:t>Channing Division of Network Medicine, Department of Medicine, Brigham and Women's Hospital, Harvard Medical School, Boston, MA, USA</w:t>
      </w:r>
      <w:r w:rsidR="00E37739" w:rsidRPr="001F1589">
        <w:rPr>
          <w:rFonts w:eastAsia="Times New Roman"/>
          <w:color w:val="000000" w:themeColor="text1"/>
        </w:rPr>
        <w:t>.</w:t>
      </w:r>
    </w:p>
    <w:p w14:paraId="68B6CBE5"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Department of Public Health Sciences, The Universit</w:t>
      </w:r>
      <w:r w:rsidR="00E37739" w:rsidRPr="001F1589">
        <w:rPr>
          <w:color w:val="000000" w:themeColor="text1"/>
          <w:lang w:val="en-GB"/>
        </w:rPr>
        <w:t>y of Chicago, Chicago, IL, USA.</w:t>
      </w:r>
    </w:p>
    <w:p w14:paraId="47B8F39F"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Comprehensive Cancer Center, The Universit</w:t>
      </w:r>
      <w:r w:rsidR="00E37739" w:rsidRPr="001F1589">
        <w:rPr>
          <w:color w:val="000000" w:themeColor="text1"/>
          <w:lang w:val="en-GB"/>
        </w:rPr>
        <w:t>y of Chicago, Chicago, IL, USA.</w:t>
      </w:r>
    </w:p>
    <w:p w14:paraId="1D66F607" w14:textId="77777777" w:rsidR="00E37739"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Department of Human Genetics, The University of Chic</w:t>
      </w:r>
      <w:r w:rsidR="00E37739" w:rsidRPr="001F1589">
        <w:rPr>
          <w:color w:val="000000" w:themeColor="text1"/>
          <w:lang w:val="en-GB"/>
        </w:rPr>
        <w:t>ago, Chicago, IL, USA.</w:t>
      </w:r>
    </w:p>
    <w:p w14:paraId="11F9272A" w14:textId="77777777" w:rsidR="00AB5C74" w:rsidRPr="001F1589" w:rsidRDefault="00AB5C74" w:rsidP="00AE3CBC">
      <w:pPr>
        <w:pStyle w:val="ColorfulList-Accent11"/>
        <w:widowControl w:val="0"/>
        <w:numPr>
          <w:ilvl w:val="0"/>
          <w:numId w:val="1"/>
        </w:numPr>
        <w:autoSpaceDE w:val="0"/>
        <w:autoSpaceDN w:val="0"/>
        <w:adjustRightInd w:val="0"/>
        <w:spacing w:line="480" w:lineRule="auto"/>
        <w:jc w:val="both"/>
        <w:rPr>
          <w:color w:val="000000" w:themeColor="text1"/>
          <w:lang w:val="en-GB"/>
        </w:rPr>
      </w:pPr>
      <w:r w:rsidRPr="001F1589">
        <w:rPr>
          <w:color w:val="000000" w:themeColor="text1"/>
          <w:lang w:val="en-GB"/>
        </w:rPr>
        <w:t>Department of Public Health Sciences, University of Virginia, Charlottesville, VA, USA.</w:t>
      </w:r>
    </w:p>
    <w:p w14:paraId="1E6027B6" w14:textId="0A679A0C" w:rsidR="00B6179C" w:rsidRPr="001F1589" w:rsidRDefault="00B6179C" w:rsidP="00AE3CBC">
      <w:pPr>
        <w:pStyle w:val="ColorfulList-Accent11"/>
        <w:numPr>
          <w:ilvl w:val="0"/>
          <w:numId w:val="1"/>
        </w:numPr>
        <w:spacing w:line="480" w:lineRule="auto"/>
        <w:jc w:val="both"/>
        <w:rPr>
          <w:color w:val="000000" w:themeColor="text1"/>
        </w:rPr>
      </w:pPr>
      <w:r w:rsidRPr="001F1589">
        <w:rPr>
          <w:color w:val="000000" w:themeColor="text1"/>
        </w:rPr>
        <w:t xml:space="preserve">Division of Epidemiology, Department of Medicine, Vanderbilt </w:t>
      </w:r>
      <w:r w:rsidR="00C323CE" w:rsidRPr="001F1589">
        <w:rPr>
          <w:color w:val="000000" w:themeColor="text1"/>
        </w:rPr>
        <w:t>Universi</w:t>
      </w:r>
      <w:r w:rsidR="00811E02">
        <w:rPr>
          <w:color w:val="000000" w:themeColor="text1"/>
        </w:rPr>
        <w:t>ty Medical Center, 2525 West End Avenue, Nashville 37203</w:t>
      </w:r>
      <w:r w:rsidRPr="001F1589">
        <w:rPr>
          <w:color w:val="000000" w:themeColor="text1"/>
        </w:rPr>
        <w:t>, TN, USA.</w:t>
      </w:r>
    </w:p>
    <w:p w14:paraId="5BFBF26F" w14:textId="09DF06F4" w:rsidR="00B6179C" w:rsidRPr="001F1589" w:rsidRDefault="00B6179C" w:rsidP="00107E8A">
      <w:pPr>
        <w:pStyle w:val="ColorfulList-Accent11"/>
        <w:numPr>
          <w:ilvl w:val="0"/>
          <w:numId w:val="1"/>
        </w:numPr>
        <w:spacing w:line="480" w:lineRule="auto"/>
        <w:jc w:val="both"/>
        <w:rPr>
          <w:color w:val="000000" w:themeColor="text1"/>
        </w:rPr>
      </w:pPr>
      <w:r w:rsidRPr="001F1589">
        <w:rPr>
          <w:color w:val="000000" w:themeColor="text1"/>
        </w:rPr>
        <w:t>Department of Public Health and Primary Care, Centre for Cancer Genetic Epidemiology, University of Cambridge, Strangeways Research Laboratory, Worts Causeway, Cambridge, CB1 8RN, UK.</w:t>
      </w:r>
    </w:p>
    <w:p w14:paraId="4DDE8A2C" w14:textId="77777777" w:rsidR="00090A30" w:rsidRDefault="00090A30" w:rsidP="00AE3CBC">
      <w:pPr>
        <w:spacing w:line="480" w:lineRule="auto"/>
        <w:rPr>
          <w:color w:val="000000" w:themeColor="text1"/>
        </w:rPr>
      </w:pPr>
    </w:p>
    <w:p w14:paraId="6B9076CC" w14:textId="681D7A02" w:rsidR="00DE712B" w:rsidRPr="001F1589" w:rsidRDefault="00220240" w:rsidP="00AE3CBC">
      <w:pPr>
        <w:spacing w:line="480" w:lineRule="auto"/>
        <w:rPr>
          <w:color w:val="000000" w:themeColor="text1"/>
        </w:rPr>
      </w:pPr>
      <w:r w:rsidRPr="001F1589">
        <w:rPr>
          <w:color w:val="000000" w:themeColor="text1"/>
        </w:rPr>
        <w:t xml:space="preserve">Members from the </w:t>
      </w:r>
      <w:r w:rsidR="00EE5BF5" w:rsidRPr="001F1589">
        <w:rPr>
          <w:color w:val="000000" w:themeColor="text1"/>
        </w:rPr>
        <w:t xml:space="preserve">PRACTICAL, CRUK, BPC3, CAPS and PEGASUS </w:t>
      </w:r>
      <w:r w:rsidR="005C72D7" w:rsidRPr="001F1589">
        <w:rPr>
          <w:color w:val="000000" w:themeColor="text1"/>
        </w:rPr>
        <w:t>consortia</w:t>
      </w:r>
      <w:r w:rsidRPr="001F1589">
        <w:rPr>
          <w:color w:val="000000" w:themeColor="text1"/>
        </w:rPr>
        <w:t xml:space="preserve"> are</w:t>
      </w:r>
      <w:r w:rsidR="00EE5BF5" w:rsidRPr="001F1589">
        <w:rPr>
          <w:color w:val="000000" w:themeColor="text1"/>
        </w:rPr>
        <w:t xml:space="preserve"> provided in the Supplement</w:t>
      </w:r>
      <w:r w:rsidRPr="001F1589">
        <w:rPr>
          <w:color w:val="000000" w:themeColor="text1"/>
        </w:rPr>
        <w:t xml:space="preserve"> notes. Information of the</w:t>
      </w:r>
      <w:r w:rsidR="004C7723" w:rsidRPr="001F1589">
        <w:rPr>
          <w:color w:val="000000" w:themeColor="text1"/>
        </w:rPr>
        <w:t xml:space="preserve"> PRACTICAL</w:t>
      </w:r>
      <w:r w:rsidRPr="001F1589">
        <w:rPr>
          <w:color w:val="000000" w:themeColor="text1"/>
        </w:rPr>
        <w:t xml:space="preserve"> consortium can be found at </w:t>
      </w:r>
      <w:hyperlink r:id="rId9" w:history="1">
        <w:r w:rsidRPr="001F1589">
          <w:rPr>
            <w:rStyle w:val="Hyperlink"/>
            <w:color w:val="000000" w:themeColor="text1"/>
          </w:rPr>
          <w:t>http://practical.icr.ac.uk/</w:t>
        </w:r>
      </w:hyperlink>
      <w:r w:rsidRPr="001F1589">
        <w:rPr>
          <w:color w:val="000000" w:themeColor="text1"/>
        </w:rPr>
        <w:t>.</w:t>
      </w:r>
    </w:p>
    <w:p w14:paraId="61E7C4AD" w14:textId="77777777" w:rsidR="002B3012" w:rsidRDefault="002B3012" w:rsidP="00917FAB">
      <w:pPr>
        <w:spacing w:after="120" w:line="480" w:lineRule="auto"/>
        <w:rPr>
          <w:b/>
          <w:color w:val="000000" w:themeColor="text1"/>
          <w:sz w:val="28"/>
          <w:lang w:val="en-GB"/>
        </w:rPr>
      </w:pPr>
    </w:p>
    <w:p w14:paraId="202A4E39" w14:textId="77777777" w:rsidR="005210C5" w:rsidRPr="001F1589" w:rsidRDefault="005210C5" w:rsidP="00917FAB">
      <w:pPr>
        <w:spacing w:after="120" w:line="480" w:lineRule="auto"/>
        <w:rPr>
          <w:color w:val="000000" w:themeColor="text1"/>
        </w:rPr>
      </w:pPr>
      <w:r w:rsidRPr="001F1589">
        <w:rPr>
          <w:b/>
          <w:color w:val="000000" w:themeColor="text1"/>
          <w:sz w:val="28"/>
          <w:lang w:val="en-GB"/>
        </w:rPr>
        <w:lastRenderedPageBreak/>
        <w:t>Abstract</w:t>
      </w:r>
    </w:p>
    <w:p w14:paraId="7BD82661" w14:textId="3945F4B0" w:rsidR="00B83159" w:rsidRPr="001F1589" w:rsidRDefault="00B83159" w:rsidP="00917FAB">
      <w:pPr>
        <w:spacing w:after="120" w:line="480" w:lineRule="auto"/>
        <w:jc w:val="both"/>
        <w:rPr>
          <w:color w:val="000000" w:themeColor="text1"/>
          <w:lang w:val="en-GB"/>
        </w:rPr>
      </w:pPr>
      <w:r w:rsidRPr="001F1589">
        <w:rPr>
          <w:b/>
          <w:color w:val="000000" w:themeColor="text1"/>
          <w:lang w:val="en-GB"/>
        </w:rPr>
        <w:t>Background:</w:t>
      </w:r>
      <w:r w:rsidRPr="001F1589">
        <w:rPr>
          <w:color w:val="000000" w:themeColor="text1"/>
          <w:lang w:val="en-GB"/>
        </w:rPr>
        <w:t xml:space="preserve"> </w:t>
      </w:r>
      <w:r w:rsidR="00477DC8" w:rsidRPr="001F1589">
        <w:rPr>
          <w:color w:val="000000" w:themeColor="text1"/>
          <w:lang w:val="en-GB"/>
        </w:rPr>
        <w:t xml:space="preserve">Observational </w:t>
      </w:r>
      <w:r w:rsidR="00E33410" w:rsidRPr="001F1589">
        <w:rPr>
          <w:color w:val="000000" w:themeColor="text1"/>
          <w:lang w:val="en-GB"/>
        </w:rPr>
        <w:t xml:space="preserve">studies </w:t>
      </w:r>
      <w:r w:rsidR="00A0249B" w:rsidRPr="001F1589">
        <w:rPr>
          <w:color w:val="000000" w:themeColor="text1"/>
          <w:lang w:val="en-GB"/>
        </w:rPr>
        <w:t>have</w:t>
      </w:r>
      <w:r w:rsidR="009B0814" w:rsidRPr="001F1589">
        <w:rPr>
          <w:color w:val="000000" w:themeColor="text1"/>
          <w:lang w:val="en-GB"/>
        </w:rPr>
        <w:t xml:space="preserve"> </w:t>
      </w:r>
      <w:r w:rsidR="00BB0E76" w:rsidRPr="001F1589">
        <w:rPr>
          <w:color w:val="000000" w:themeColor="text1"/>
          <w:lang w:val="en-GB"/>
        </w:rPr>
        <w:t>suggested</w:t>
      </w:r>
      <w:r w:rsidR="00A0249B" w:rsidRPr="001F1589">
        <w:rPr>
          <w:color w:val="000000" w:themeColor="text1"/>
          <w:lang w:val="en-GB"/>
        </w:rPr>
        <w:t xml:space="preserve"> an</w:t>
      </w:r>
      <w:r w:rsidR="009B0814" w:rsidRPr="001F1589">
        <w:rPr>
          <w:color w:val="000000" w:themeColor="text1"/>
          <w:lang w:val="en-GB"/>
        </w:rPr>
        <w:t xml:space="preserve"> </w:t>
      </w:r>
      <w:r w:rsidR="00A0249B" w:rsidRPr="001F1589">
        <w:rPr>
          <w:color w:val="000000" w:themeColor="text1"/>
          <w:lang w:val="en-GB"/>
        </w:rPr>
        <w:t>association between circulating vitamin D levels</w:t>
      </w:r>
      <w:r w:rsidR="005F4CE7" w:rsidRPr="001F1589">
        <w:rPr>
          <w:color w:val="000000" w:themeColor="text1"/>
          <w:lang w:val="en-GB"/>
        </w:rPr>
        <w:t xml:space="preserve"> [</w:t>
      </w:r>
      <w:r w:rsidR="00374C4E" w:rsidRPr="001F1589">
        <w:rPr>
          <w:color w:val="000000" w:themeColor="text1"/>
          <w:lang w:val="en-GB"/>
        </w:rPr>
        <w:t>25(OH)D</w:t>
      </w:r>
      <w:r w:rsidR="005F4CE7" w:rsidRPr="001F1589">
        <w:rPr>
          <w:color w:val="000000" w:themeColor="text1"/>
          <w:lang w:val="en-GB"/>
        </w:rPr>
        <w:t>]</w:t>
      </w:r>
      <w:r w:rsidR="00A0249B" w:rsidRPr="001F1589">
        <w:rPr>
          <w:color w:val="000000" w:themeColor="text1"/>
          <w:lang w:val="en-GB"/>
        </w:rPr>
        <w:t xml:space="preserve"> and risk</w:t>
      </w:r>
      <w:r w:rsidR="005531B3" w:rsidRPr="001F1589">
        <w:rPr>
          <w:color w:val="000000" w:themeColor="text1"/>
          <w:lang w:val="en-GB"/>
        </w:rPr>
        <w:t xml:space="preserve"> of breast and prostate cancer, which was not supported by a </w:t>
      </w:r>
      <w:r w:rsidR="00874932" w:rsidRPr="001F1589">
        <w:rPr>
          <w:color w:val="000000" w:themeColor="text1"/>
          <w:lang w:val="en-GB"/>
        </w:rPr>
        <w:t>recent Mendelian randomization analysis</w:t>
      </w:r>
      <w:r w:rsidR="005531B3" w:rsidRPr="001F1589">
        <w:rPr>
          <w:color w:val="000000" w:themeColor="text1"/>
          <w:lang w:val="en-GB"/>
        </w:rPr>
        <w:t xml:space="preserve"> comprising </w:t>
      </w:r>
      <w:r w:rsidR="00534092" w:rsidRPr="001F1589">
        <w:rPr>
          <w:color w:val="000000" w:themeColor="text1"/>
          <w:lang w:val="en-GB"/>
        </w:rPr>
        <w:t>15,748 breast</w:t>
      </w:r>
      <w:r w:rsidR="00966335" w:rsidRPr="001F1589">
        <w:rPr>
          <w:color w:val="000000" w:themeColor="text1"/>
          <w:lang w:val="en-GB"/>
        </w:rPr>
        <w:t xml:space="preserve"> and</w:t>
      </w:r>
      <w:r w:rsidR="009B0814" w:rsidRPr="001F1589">
        <w:rPr>
          <w:color w:val="000000" w:themeColor="text1"/>
          <w:lang w:val="en-GB"/>
        </w:rPr>
        <w:t xml:space="preserve"> </w:t>
      </w:r>
      <w:r w:rsidR="00742780" w:rsidRPr="001F1589">
        <w:rPr>
          <w:color w:val="000000" w:themeColor="text1"/>
          <w:lang w:val="en-GB"/>
        </w:rPr>
        <w:t>22,898 prostate cancer cases</w:t>
      </w:r>
      <w:r w:rsidR="005531B3" w:rsidRPr="001F1589">
        <w:rPr>
          <w:color w:val="000000" w:themeColor="text1"/>
          <w:lang w:val="en-GB"/>
        </w:rPr>
        <w:t>.</w:t>
      </w:r>
      <w:r w:rsidR="009B0814" w:rsidRPr="001F1589">
        <w:rPr>
          <w:color w:val="000000" w:themeColor="text1"/>
          <w:lang w:val="en-GB"/>
        </w:rPr>
        <w:t xml:space="preserve"> </w:t>
      </w:r>
      <w:r w:rsidR="00B424CE" w:rsidRPr="001F1589">
        <w:rPr>
          <w:color w:val="000000" w:themeColor="text1"/>
          <w:lang w:val="en-GB"/>
        </w:rPr>
        <w:t>D</w:t>
      </w:r>
      <w:r w:rsidR="00971495" w:rsidRPr="001F1589">
        <w:rPr>
          <w:color w:val="000000" w:themeColor="text1"/>
          <w:lang w:val="en-GB"/>
        </w:rPr>
        <w:t>emonstrating causality has proven challenging,</w:t>
      </w:r>
      <w:r w:rsidR="005F4CE7" w:rsidRPr="001F1589">
        <w:rPr>
          <w:color w:val="000000" w:themeColor="text1"/>
          <w:lang w:val="en-GB"/>
        </w:rPr>
        <w:t xml:space="preserve"> and one common limitation </w:t>
      </w:r>
      <w:r w:rsidR="00971495" w:rsidRPr="001F1589">
        <w:rPr>
          <w:color w:val="000000" w:themeColor="text1"/>
          <w:lang w:val="en-GB"/>
        </w:rPr>
        <w:t xml:space="preserve">of MR studies is insufficient power. </w:t>
      </w:r>
    </w:p>
    <w:p w14:paraId="489B976F" w14:textId="7D029400" w:rsidR="007717DE" w:rsidRPr="001F1589" w:rsidRDefault="00B83159" w:rsidP="00917FAB">
      <w:pPr>
        <w:spacing w:after="120" w:line="480" w:lineRule="auto"/>
        <w:jc w:val="both"/>
        <w:rPr>
          <w:color w:val="000000" w:themeColor="text1"/>
          <w:lang w:val="en-GB"/>
        </w:rPr>
      </w:pPr>
      <w:r w:rsidRPr="001F1589">
        <w:rPr>
          <w:b/>
          <w:color w:val="000000" w:themeColor="text1"/>
          <w:lang w:val="en-GB"/>
        </w:rPr>
        <w:t>Methods:</w:t>
      </w:r>
      <w:r w:rsidRPr="001F1589">
        <w:rPr>
          <w:color w:val="000000" w:themeColor="text1"/>
          <w:lang w:val="en-GB"/>
        </w:rPr>
        <w:t xml:space="preserve"> </w:t>
      </w:r>
      <w:r w:rsidR="00874932" w:rsidRPr="001F1589">
        <w:rPr>
          <w:color w:val="000000" w:themeColor="text1"/>
          <w:lang w:val="en-GB"/>
        </w:rPr>
        <w:t xml:space="preserve">We aim to determine if circulating concentrations of vitamin D are causally associated with the risk of breast </w:t>
      </w:r>
      <w:r w:rsidR="00C928EA" w:rsidRPr="001F1589">
        <w:rPr>
          <w:color w:val="000000" w:themeColor="text1"/>
          <w:lang w:val="en-GB"/>
        </w:rPr>
        <w:t>and</w:t>
      </w:r>
      <w:r w:rsidR="00874932" w:rsidRPr="001F1589">
        <w:rPr>
          <w:color w:val="000000" w:themeColor="text1"/>
          <w:lang w:val="en-GB"/>
        </w:rPr>
        <w:t xml:space="preserve"> prostate </w:t>
      </w:r>
      <w:r w:rsidR="006E52B7" w:rsidRPr="001F1589">
        <w:rPr>
          <w:color w:val="000000" w:themeColor="text1"/>
          <w:lang w:val="en-GB"/>
        </w:rPr>
        <w:t>cancer</w:t>
      </w:r>
      <w:r w:rsidR="005B4570" w:rsidRPr="001F1589">
        <w:rPr>
          <w:color w:val="000000" w:themeColor="text1"/>
          <w:lang w:val="en-GB"/>
        </w:rPr>
        <w:t>,</w:t>
      </w:r>
      <w:r w:rsidR="006E52B7" w:rsidRPr="001F1589">
        <w:rPr>
          <w:color w:val="000000" w:themeColor="text1"/>
          <w:lang w:val="en-GB"/>
        </w:rPr>
        <w:t xml:space="preserve"> by using </w:t>
      </w:r>
      <w:r w:rsidR="00874932" w:rsidRPr="001F1589">
        <w:rPr>
          <w:color w:val="000000" w:themeColor="text1"/>
          <w:lang w:val="en-GB"/>
        </w:rPr>
        <w:t>summ</w:t>
      </w:r>
      <w:r w:rsidR="00335EF8" w:rsidRPr="001F1589">
        <w:rPr>
          <w:color w:val="000000" w:themeColor="text1"/>
          <w:lang w:val="en-GB"/>
        </w:rPr>
        <w:t>ary level data from the largest-</w:t>
      </w:r>
      <w:r w:rsidR="00874932" w:rsidRPr="001F1589">
        <w:rPr>
          <w:color w:val="000000" w:themeColor="text1"/>
          <w:lang w:val="en-GB"/>
        </w:rPr>
        <w:t>ever genome-wide association studies conducted on vitamin D (N=73,699), breast cancer (N</w:t>
      </w:r>
      <w:r w:rsidR="00874932" w:rsidRPr="001F1589">
        <w:rPr>
          <w:color w:val="000000" w:themeColor="text1"/>
          <w:vertAlign w:val="subscript"/>
          <w:lang w:val="en-GB"/>
        </w:rPr>
        <w:t>case</w:t>
      </w:r>
      <w:r w:rsidR="00874932" w:rsidRPr="001F1589">
        <w:rPr>
          <w:color w:val="000000" w:themeColor="text1"/>
          <w:lang w:val="en-GB"/>
        </w:rPr>
        <w:t>=122,977) and prostate cancer (N</w:t>
      </w:r>
      <w:r w:rsidR="00874932" w:rsidRPr="001F1589">
        <w:rPr>
          <w:color w:val="000000" w:themeColor="text1"/>
          <w:vertAlign w:val="subscript"/>
          <w:lang w:val="en-GB"/>
        </w:rPr>
        <w:t>case</w:t>
      </w:r>
      <w:r w:rsidR="00874932" w:rsidRPr="001F1589">
        <w:rPr>
          <w:color w:val="000000" w:themeColor="text1"/>
          <w:lang w:val="en-GB"/>
        </w:rPr>
        <w:t>=</w:t>
      </w:r>
      <w:r w:rsidR="00E67B5B" w:rsidRPr="001F1589">
        <w:rPr>
          <w:color w:val="000000" w:themeColor="text1"/>
          <w:lang w:val="en-GB"/>
        </w:rPr>
        <w:t>79,148</w:t>
      </w:r>
      <w:r w:rsidR="00874932" w:rsidRPr="001F1589">
        <w:rPr>
          <w:color w:val="000000" w:themeColor="text1"/>
          <w:lang w:val="en-GB"/>
        </w:rPr>
        <w:t xml:space="preserve">). </w:t>
      </w:r>
      <w:r w:rsidR="003C3541" w:rsidRPr="001F1589">
        <w:rPr>
          <w:color w:val="000000" w:themeColor="text1"/>
          <w:lang w:val="en-GB"/>
        </w:rPr>
        <w:t xml:space="preserve">We </w:t>
      </w:r>
      <w:r w:rsidR="007717DE" w:rsidRPr="001F1589">
        <w:rPr>
          <w:color w:val="000000" w:themeColor="text1"/>
          <w:lang w:val="en-GB"/>
        </w:rPr>
        <w:t xml:space="preserve">constructed a stronger instrument </w:t>
      </w:r>
      <w:r w:rsidR="003C3541" w:rsidRPr="001F1589">
        <w:rPr>
          <w:color w:val="000000" w:themeColor="text1"/>
          <w:lang w:val="en-GB"/>
        </w:rPr>
        <w:t>us</w:t>
      </w:r>
      <w:r w:rsidR="00C928EA" w:rsidRPr="001F1589">
        <w:rPr>
          <w:color w:val="000000" w:themeColor="text1"/>
          <w:lang w:val="en-GB"/>
        </w:rPr>
        <w:t>ing</w:t>
      </w:r>
      <w:r w:rsidR="003C3541" w:rsidRPr="001F1589">
        <w:rPr>
          <w:color w:val="000000" w:themeColor="text1"/>
          <w:lang w:val="en-GB"/>
        </w:rPr>
        <w:t xml:space="preserve"> six common genetic vari</w:t>
      </w:r>
      <w:r w:rsidR="007717DE" w:rsidRPr="001F1589">
        <w:rPr>
          <w:color w:val="000000" w:themeColor="text1"/>
          <w:lang w:val="en-GB"/>
        </w:rPr>
        <w:t xml:space="preserve">ants </w:t>
      </w:r>
      <w:r w:rsidR="003C3541" w:rsidRPr="001F1589">
        <w:rPr>
          <w:color w:val="000000" w:themeColor="text1"/>
          <w:lang w:val="en-GB"/>
        </w:rPr>
        <w:t xml:space="preserve">(as compared </w:t>
      </w:r>
      <w:r w:rsidR="00237160">
        <w:rPr>
          <w:color w:val="000000" w:themeColor="text1"/>
          <w:lang w:val="en-GB"/>
        </w:rPr>
        <w:t xml:space="preserve">to the previous four variants), </w:t>
      </w:r>
      <w:r w:rsidR="003C0E70" w:rsidRPr="001F1589">
        <w:rPr>
          <w:color w:val="000000" w:themeColor="text1"/>
          <w:lang w:val="en-GB"/>
        </w:rPr>
        <w:t xml:space="preserve">and </w:t>
      </w:r>
      <w:r w:rsidR="00666760" w:rsidRPr="001F1589">
        <w:rPr>
          <w:color w:val="000000" w:themeColor="text1"/>
        </w:rPr>
        <w:t>applied several</w:t>
      </w:r>
      <w:r w:rsidR="009B0814" w:rsidRPr="001F1589">
        <w:rPr>
          <w:color w:val="000000" w:themeColor="text1"/>
        </w:rPr>
        <w:t xml:space="preserve"> </w:t>
      </w:r>
      <w:r w:rsidR="00C928EA" w:rsidRPr="001F1589">
        <w:rPr>
          <w:color w:val="000000" w:themeColor="text1"/>
        </w:rPr>
        <w:t xml:space="preserve">two-sample </w:t>
      </w:r>
      <w:r w:rsidR="00633E5E" w:rsidRPr="001F1589">
        <w:rPr>
          <w:color w:val="000000" w:themeColor="text1"/>
        </w:rPr>
        <w:t>MR methods.</w:t>
      </w:r>
    </w:p>
    <w:p w14:paraId="140D60E8" w14:textId="47B2FCE5" w:rsidR="00874932" w:rsidRPr="001F1589" w:rsidRDefault="00B83159" w:rsidP="00917FAB">
      <w:pPr>
        <w:spacing w:after="120" w:line="480" w:lineRule="auto"/>
        <w:jc w:val="both"/>
        <w:rPr>
          <w:color w:val="000000" w:themeColor="text1"/>
        </w:rPr>
      </w:pPr>
      <w:r w:rsidRPr="001F1589">
        <w:rPr>
          <w:b/>
          <w:color w:val="000000" w:themeColor="text1"/>
          <w:lang w:val="en-GB"/>
        </w:rPr>
        <w:t>Results:</w:t>
      </w:r>
      <w:r w:rsidRPr="001F1589">
        <w:rPr>
          <w:color w:val="000000" w:themeColor="text1"/>
          <w:lang w:val="en-GB"/>
        </w:rPr>
        <w:t xml:space="preserve"> </w:t>
      </w:r>
      <w:r w:rsidR="00424C19" w:rsidRPr="00592B16">
        <w:rPr>
          <w:color w:val="0432FF"/>
          <w:lang w:val="en-GB"/>
        </w:rPr>
        <w:t xml:space="preserve">We found </w:t>
      </w:r>
      <w:r w:rsidR="00CD5FB2" w:rsidRPr="00592B16">
        <w:rPr>
          <w:color w:val="0432FF"/>
          <w:lang w:val="en-GB"/>
        </w:rPr>
        <w:t>no</w:t>
      </w:r>
      <w:r w:rsidR="00B82F7F" w:rsidRPr="00592B16">
        <w:rPr>
          <w:color w:val="0432FF"/>
          <w:lang w:val="en-GB"/>
        </w:rPr>
        <w:t xml:space="preserve"> evidence to support a causal </w:t>
      </w:r>
      <w:r w:rsidR="00343C4D" w:rsidRPr="00592B16">
        <w:rPr>
          <w:color w:val="0432FF"/>
          <w:lang w:val="en-GB"/>
        </w:rPr>
        <w:t>association</w:t>
      </w:r>
      <w:r w:rsidR="00B82F7F" w:rsidRPr="001F1589">
        <w:rPr>
          <w:color w:val="000000" w:themeColor="text1"/>
          <w:lang w:val="en-GB"/>
        </w:rPr>
        <w:t xml:space="preserve"> between 25(OH)D and risk of</w:t>
      </w:r>
      <w:r w:rsidR="00C459F0" w:rsidRPr="001F1589">
        <w:rPr>
          <w:color w:val="000000" w:themeColor="text1"/>
          <w:lang w:val="en-GB"/>
        </w:rPr>
        <w:t xml:space="preserve"> </w:t>
      </w:r>
      <w:r w:rsidR="00B82F7F" w:rsidRPr="001F1589">
        <w:rPr>
          <w:color w:val="000000" w:themeColor="text1"/>
          <w:lang w:val="en-GB"/>
        </w:rPr>
        <w:t>breast</w:t>
      </w:r>
      <w:r w:rsidR="002E3B6C" w:rsidRPr="001F1589">
        <w:rPr>
          <w:color w:val="000000" w:themeColor="text1"/>
          <w:lang w:val="en-GB"/>
        </w:rPr>
        <w:t xml:space="preserve"> cancer</w:t>
      </w:r>
      <w:r w:rsidR="005356A4" w:rsidRPr="001F1589">
        <w:rPr>
          <w:color w:val="000000" w:themeColor="text1"/>
          <w:lang w:val="en-GB"/>
        </w:rPr>
        <w:t xml:space="preserve"> [</w:t>
      </w:r>
      <w:r w:rsidR="008955CC" w:rsidRPr="001F1589">
        <w:rPr>
          <w:color w:val="000000" w:themeColor="text1"/>
          <w:lang w:val="en-GB"/>
        </w:rPr>
        <w:t>OR per 25nmol/L</w:t>
      </w:r>
      <w:r w:rsidR="00BD5330" w:rsidRPr="001F1589">
        <w:rPr>
          <w:color w:val="000000" w:themeColor="text1"/>
          <w:lang w:val="en-GB"/>
        </w:rPr>
        <w:t xml:space="preserve"> increase, </w:t>
      </w:r>
      <w:r w:rsidR="00460B13" w:rsidRPr="001F1589">
        <w:rPr>
          <w:color w:val="000000" w:themeColor="text1"/>
        </w:rPr>
        <w:t>1.02</w:t>
      </w:r>
      <w:r w:rsidR="005356A4" w:rsidRPr="001F1589">
        <w:rPr>
          <w:color w:val="000000" w:themeColor="text1"/>
        </w:rPr>
        <w:t xml:space="preserve"> (95%</w:t>
      </w:r>
      <w:r w:rsidR="00460B13" w:rsidRPr="001F1589">
        <w:rPr>
          <w:color w:val="000000" w:themeColor="text1"/>
        </w:rPr>
        <w:t>CI: 0.97-1.08</w:t>
      </w:r>
      <w:r w:rsidR="005356A4" w:rsidRPr="001F1589">
        <w:rPr>
          <w:color w:val="000000" w:themeColor="text1"/>
        </w:rPr>
        <w:t>), P=</w:t>
      </w:r>
      <w:r w:rsidR="008C5CB8" w:rsidRPr="001F1589">
        <w:rPr>
          <w:color w:val="000000" w:themeColor="text1"/>
        </w:rPr>
        <w:t>0.4</w:t>
      </w:r>
      <w:r w:rsidR="00AB05B4" w:rsidRPr="001F1589">
        <w:rPr>
          <w:color w:val="000000" w:themeColor="text1"/>
        </w:rPr>
        <w:t>7</w:t>
      </w:r>
      <w:r w:rsidR="005356A4" w:rsidRPr="001F1589">
        <w:rPr>
          <w:color w:val="000000" w:themeColor="text1"/>
          <w:lang w:val="en-GB"/>
        </w:rPr>
        <w:t>]</w:t>
      </w:r>
      <w:r w:rsidR="002E3B6C" w:rsidRPr="001F1589">
        <w:rPr>
          <w:color w:val="000000" w:themeColor="text1"/>
          <w:lang w:val="en-GB"/>
        </w:rPr>
        <w:t xml:space="preserve">, </w:t>
      </w:r>
      <w:r w:rsidR="008653BD" w:rsidRPr="001F1589">
        <w:rPr>
          <w:color w:val="000000" w:themeColor="text1"/>
          <w:lang w:val="en-GB"/>
        </w:rPr>
        <w:t>estrogen receptor (</w:t>
      </w:r>
      <w:r w:rsidR="002E3B6C" w:rsidRPr="001F1589">
        <w:rPr>
          <w:color w:val="000000" w:themeColor="text1"/>
          <w:lang w:val="en-GB"/>
        </w:rPr>
        <w:t>ER</w:t>
      </w:r>
      <w:r w:rsidR="008653BD" w:rsidRPr="001F1589">
        <w:rPr>
          <w:color w:val="000000" w:themeColor="text1"/>
          <w:lang w:val="en-GB"/>
        </w:rPr>
        <w:t>)</w:t>
      </w:r>
      <w:r w:rsidR="002E3B6C" w:rsidRPr="001F1589">
        <w:rPr>
          <w:color w:val="000000" w:themeColor="text1"/>
          <w:lang w:val="en-GB"/>
        </w:rPr>
        <w:t xml:space="preserve">+ </w:t>
      </w:r>
      <w:r w:rsidR="000F1137" w:rsidRPr="001F1589">
        <w:rPr>
          <w:color w:val="000000" w:themeColor="text1"/>
          <w:lang w:val="en-GB"/>
        </w:rPr>
        <w:t>[</w:t>
      </w:r>
      <w:r w:rsidR="000F1137" w:rsidRPr="001F1589">
        <w:rPr>
          <w:color w:val="000000" w:themeColor="text1"/>
        </w:rPr>
        <w:t>1.00 (</w:t>
      </w:r>
      <w:r w:rsidR="00460B13" w:rsidRPr="001F1589">
        <w:rPr>
          <w:color w:val="000000" w:themeColor="text1"/>
        </w:rPr>
        <w:t>0.94-1.07</w:t>
      </w:r>
      <w:r w:rsidR="000F1137" w:rsidRPr="001F1589">
        <w:rPr>
          <w:color w:val="000000" w:themeColor="text1"/>
        </w:rPr>
        <w:t>), P=</w:t>
      </w:r>
      <w:r w:rsidR="00460B13" w:rsidRPr="001F1589">
        <w:rPr>
          <w:color w:val="000000" w:themeColor="text1"/>
        </w:rPr>
        <w:t>0.99</w:t>
      </w:r>
      <w:r w:rsidR="000F1137" w:rsidRPr="001F1589">
        <w:rPr>
          <w:color w:val="000000" w:themeColor="text1"/>
        </w:rPr>
        <w:t xml:space="preserve">] </w:t>
      </w:r>
      <w:r w:rsidR="002E3B6C" w:rsidRPr="001F1589">
        <w:rPr>
          <w:color w:val="000000" w:themeColor="text1"/>
          <w:lang w:val="en-GB"/>
        </w:rPr>
        <w:t>or ER</w:t>
      </w:r>
      <w:r w:rsidR="000F1137" w:rsidRPr="001F1589">
        <w:rPr>
          <w:color w:val="000000" w:themeColor="text1"/>
          <w:lang w:val="en-GB"/>
        </w:rPr>
        <w:sym w:font="Symbol" w:char="F02D"/>
      </w:r>
      <w:r w:rsidR="002E3B6C" w:rsidRPr="001F1589">
        <w:rPr>
          <w:color w:val="000000" w:themeColor="text1"/>
          <w:lang w:val="en-GB"/>
        </w:rPr>
        <w:t xml:space="preserve"> </w:t>
      </w:r>
      <w:r w:rsidR="000F1137" w:rsidRPr="001F1589">
        <w:rPr>
          <w:color w:val="000000" w:themeColor="text1"/>
          <w:lang w:val="en-GB"/>
        </w:rPr>
        <w:t>[</w:t>
      </w:r>
      <w:r w:rsidR="00921959" w:rsidRPr="001F1589">
        <w:rPr>
          <w:color w:val="000000" w:themeColor="text1"/>
        </w:rPr>
        <w:t>1.02</w:t>
      </w:r>
      <w:r w:rsidR="000F1137" w:rsidRPr="001F1589">
        <w:rPr>
          <w:color w:val="000000" w:themeColor="text1"/>
        </w:rPr>
        <w:t xml:space="preserve"> (</w:t>
      </w:r>
      <w:r w:rsidR="00921959" w:rsidRPr="001F1589">
        <w:rPr>
          <w:color w:val="000000" w:themeColor="text1"/>
        </w:rPr>
        <w:t>0.90-1.16</w:t>
      </w:r>
      <w:r w:rsidR="000F1137" w:rsidRPr="001F1589">
        <w:rPr>
          <w:color w:val="000000" w:themeColor="text1"/>
        </w:rPr>
        <w:t>), P=</w:t>
      </w:r>
      <w:r w:rsidR="00921959" w:rsidRPr="001F1589">
        <w:rPr>
          <w:color w:val="000000" w:themeColor="text1"/>
        </w:rPr>
        <w:t>0.75</w:t>
      </w:r>
      <w:r w:rsidR="000F1137" w:rsidRPr="001F1589">
        <w:rPr>
          <w:color w:val="000000" w:themeColor="text1"/>
        </w:rPr>
        <w:t xml:space="preserve">] </w:t>
      </w:r>
      <w:r w:rsidR="002E3B6C" w:rsidRPr="001F1589">
        <w:rPr>
          <w:color w:val="000000" w:themeColor="text1"/>
          <w:lang w:val="en-GB"/>
        </w:rPr>
        <w:t>subset</w:t>
      </w:r>
      <w:r w:rsidR="00C459F0" w:rsidRPr="001F1589">
        <w:rPr>
          <w:color w:val="000000" w:themeColor="text1"/>
          <w:lang w:val="en-GB"/>
        </w:rPr>
        <w:t xml:space="preserve">s; </w:t>
      </w:r>
      <w:r w:rsidR="005356A4" w:rsidRPr="001F1589">
        <w:rPr>
          <w:color w:val="000000" w:themeColor="text1"/>
          <w:lang w:val="en-GB"/>
        </w:rPr>
        <w:t>prostate cancer [</w:t>
      </w:r>
      <w:r w:rsidR="00AB05B4" w:rsidRPr="001F1589">
        <w:rPr>
          <w:color w:val="000000" w:themeColor="text1"/>
          <w:lang w:val="en-GB"/>
        </w:rPr>
        <w:t>1.00</w:t>
      </w:r>
      <w:r w:rsidR="005356A4" w:rsidRPr="001F1589">
        <w:rPr>
          <w:color w:val="000000" w:themeColor="text1"/>
        </w:rPr>
        <w:t xml:space="preserve"> (</w:t>
      </w:r>
      <w:r w:rsidR="00921959" w:rsidRPr="001F1589">
        <w:rPr>
          <w:color w:val="000000" w:themeColor="text1"/>
        </w:rPr>
        <w:t>0.93-1.07</w:t>
      </w:r>
      <w:r w:rsidR="005356A4" w:rsidRPr="001F1589">
        <w:rPr>
          <w:color w:val="000000" w:themeColor="text1"/>
        </w:rPr>
        <w:t>)</w:t>
      </w:r>
      <w:r w:rsidR="008C5CB8" w:rsidRPr="001F1589">
        <w:rPr>
          <w:color w:val="000000" w:themeColor="text1"/>
        </w:rPr>
        <w:t>, P=0.</w:t>
      </w:r>
      <w:r w:rsidR="00AB05B4" w:rsidRPr="001F1589">
        <w:rPr>
          <w:color w:val="000000" w:themeColor="text1"/>
        </w:rPr>
        <w:t>99</w:t>
      </w:r>
      <w:r w:rsidR="005356A4" w:rsidRPr="001F1589">
        <w:rPr>
          <w:color w:val="000000" w:themeColor="text1"/>
        </w:rPr>
        <w:t>]</w:t>
      </w:r>
      <w:r w:rsidR="002E3B6C" w:rsidRPr="001F1589">
        <w:rPr>
          <w:color w:val="000000" w:themeColor="text1"/>
        </w:rPr>
        <w:t xml:space="preserve"> </w:t>
      </w:r>
      <w:r w:rsidR="005F1A7C" w:rsidRPr="001F1589">
        <w:rPr>
          <w:color w:val="000000" w:themeColor="text1"/>
        </w:rPr>
        <w:t xml:space="preserve">or </w:t>
      </w:r>
      <w:r w:rsidR="002902CA">
        <w:rPr>
          <w:color w:val="000000" w:themeColor="text1"/>
        </w:rPr>
        <w:t xml:space="preserve">the </w:t>
      </w:r>
      <w:r w:rsidR="002E3B6C" w:rsidRPr="001F1589">
        <w:rPr>
          <w:color w:val="000000" w:themeColor="text1"/>
        </w:rPr>
        <w:t xml:space="preserve">advanced </w:t>
      </w:r>
      <w:r w:rsidR="002902CA">
        <w:rPr>
          <w:color w:val="000000" w:themeColor="text1"/>
        </w:rPr>
        <w:t>subtype</w:t>
      </w:r>
      <w:r w:rsidR="000F1137" w:rsidRPr="001F1589">
        <w:rPr>
          <w:color w:val="000000" w:themeColor="text1"/>
        </w:rPr>
        <w:t xml:space="preserve"> </w:t>
      </w:r>
      <w:r w:rsidR="000F1137" w:rsidRPr="001F1589">
        <w:rPr>
          <w:color w:val="000000" w:themeColor="text1"/>
          <w:lang w:val="en-GB"/>
        </w:rPr>
        <w:t>[</w:t>
      </w:r>
      <w:r w:rsidR="00921959" w:rsidRPr="001F1589">
        <w:rPr>
          <w:color w:val="000000" w:themeColor="text1"/>
        </w:rPr>
        <w:t>1.02</w:t>
      </w:r>
      <w:r w:rsidR="000F1137" w:rsidRPr="001F1589">
        <w:rPr>
          <w:color w:val="000000" w:themeColor="text1"/>
        </w:rPr>
        <w:t xml:space="preserve"> (</w:t>
      </w:r>
      <w:r w:rsidR="00921959" w:rsidRPr="001F1589">
        <w:rPr>
          <w:color w:val="000000" w:themeColor="text1"/>
        </w:rPr>
        <w:t>0.90-1.16</w:t>
      </w:r>
      <w:r w:rsidR="000F1137" w:rsidRPr="001F1589">
        <w:rPr>
          <w:color w:val="000000" w:themeColor="text1"/>
        </w:rPr>
        <w:t>), P=</w:t>
      </w:r>
      <w:r w:rsidR="006D5260" w:rsidRPr="001F1589">
        <w:rPr>
          <w:color w:val="000000" w:themeColor="text1"/>
        </w:rPr>
        <w:t>0.</w:t>
      </w:r>
      <w:r w:rsidR="000F1137" w:rsidRPr="001F1589">
        <w:rPr>
          <w:color w:val="000000" w:themeColor="text1"/>
        </w:rPr>
        <w:t>7</w:t>
      </w:r>
      <w:r w:rsidR="00921959" w:rsidRPr="001F1589">
        <w:rPr>
          <w:color w:val="000000" w:themeColor="text1"/>
        </w:rPr>
        <w:t>2</w:t>
      </w:r>
      <w:r w:rsidR="000F1137" w:rsidRPr="001F1589">
        <w:rPr>
          <w:color w:val="000000" w:themeColor="text1"/>
        </w:rPr>
        <w:t>]</w:t>
      </w:r>
      <w:r w:rsidR="006D5260" w:rsidRPr="001F1589">
        <w:rPr>
          <w:color w:val="000000" w:themeColor="text1"/>
        </w:rPr>
        <w:t xml:space="preserve"> </w:t>
      </w:r>
      <w:r w:rsidR="00C459F0" w:rsidRPr="001F1589">
        <w:rPr>
          <w:color w:val="000000" w:themeColor="text1"/>
        </w:rPr>
        <w:t xml:space="preserve">using inverse variance weighted </w:t>
      </w:r>
      <w:r w:rsidR="00F3668C" w:rsidRPr="001F1589">
        <w:rPr>
          <w:color w:val="000000" w:themeColor="text1"/>
        </w:rPr>
        <w:t>method</w:t>
      </w:r>
      <w:r w:rsidR="005356A4" w:rsidRPr="001F1589">
        <w:rPr>
          <w:color w:val="000000" w:themeColor="text1"/>
        </w:rPr>
        <w:t>.</w:t>
      </w:r>
      <w:r w:rsidR="00362B3E" w:rsidRPr="001F1589">
        <w:rPr>
          <w:color w:val="000000" w:themeColor="text1"/>
        </w:rPr>
        <w:t xml:space="preserve"> </w:t>
      </w:r>
      <w:r w:rsidR="00FF430B" w:rsidRPr="001F1589">
        <w:rPr>
          <w:color w:val="000000" w:themeColor="text1"/>
        </w:rPr>
        <w:t>Sensitivity anal</w:t>
      </w:r>
      <w:r w:rsidR="001355B8" w:rsidRPr="001F1589">
        <w:rPr>
          <w:color w:val="000000" w:themeColor="text1"/>
        </w:rPr>
        <w:t>yses did not reveal any sign</w:t>
      </w:r>
      <w:r w:rsidR="00FF430B" w:rsidRPr="001F1589">
        <w:rPr>
          <w:color w:val="000000" w:themeColor="text1"/>
        </w:rPr>
        <w:t xml:space="preserve"> of </w:t>
      </w:r>
      <w:r w:rsidR="00386BC9" w:rsidRPr="00386BC9">
        <w:rPr>
          <w:color w:val="0432FF"/>
        </w:rPr>
        <w:t>directional</w:t>
      </w:r>
      <w:r w:rsidR="00971495" w:rsidRPr="001F1589">
        <w:rPr>
          <w:color w:val="000000" w:themeColor="text1"/>
        </w:rPr>
        <w:t xml:space="preserve"> pleiotropy.</w:t>
      </w:r>
    </w:p>
    <w:p w14:paraId="604B671E" w14:textId="5BDBD06A" w:rsidR="002521A9" w:rsidRDefault="00B83159" w:rsidP="00917FAB">
      <w:pPr>
        <w:spacing w:after="120" w:line="480" w:lineRule="auto"/>
        <w:jc w:val="both"/>
        <w:rPr>
          <w:color w:val="000000" w:themeColor="text1"/>
        </w:rPr>
      </w:pPr>
      <w:r w:rsidRPr="001F1589">
        <w:rPr>
          <w:b/>
          <w:color w:val="000000" w:themeColor="text1"/>
        </w:rPr>
        <w:t>Conclusion:</w:t>
      </w:r>
      <w:r w:rsidRPr="001F1589">
        <w:rPr>
          <w:color w:val="000000" w:themeColor="text1"/>
        </w:rPr>
        <w:t xml:space="preserve"> </w:t>
      </w:r>
      <w:r w:rsidR="003C3541" w:rsidRPr="001F1589">
        <w:rPr>
          <w:color w:val="000000" w:themeColor="text1"/>
        </w:rPr>
        <w:t xml:space="preserve">Despite </w:t>
      </w:r>
      <w:r w:rsidR="007717DE" w:rsidRPr="001F1589">
        <w:rPr>
          <w:color w:val="000000" w:themeColor="text1"/>
        </w:rPr>
        <w:t xml:space="preserve">its </w:t>
      </w:r>
      <w:r w:rsidR="002E3C8C">
        <w:rPr>
          <w:color w:val="000000" w:themeColor="text1"/>
        </w:rPr>
        <w:t>almost five</w:t>
      </w:r>
      <w:r w:rsidR="00BE0EA6" w:rsidRPr="001F1589">
        <w:rPr>
          <w:color w:val="000000" w:themeColor="text1"/>
        </w:rPr>
        <w:t>-</w:t>
      </w:r>
      <w:r w:rsidR="00BF0702" w:rsidRPr="001F1589">
        <w:rPr>
          <w:color w:val="000000" w:themeColor="text1"/>
        </w:rPr>
        <w:t>fold</w:t>
      </w:r>
      <w:r w:rsidR="003C3541" w:rsidRPr="001F1589">
        <w:rPr>
          <w:color w:val="000000" w:themeColor="text1"/>
        </w:rPr>
        <w:t xml:space="preserve"> augmented sample size and substantia</w:t>
      </w:r>
      <w:r w:rsidR="007717DE" w:rsidRPr="001F1589">
        <w:rPr>
          <w:color w:val="000000" w:themeColor="text1"/>
        </w:rPr>
        <w:t>l</w:t>
      </w:r>
      <w:r w:rsidR="003C3541" w:rsidRPr="001F1589">
        <w:rPr>
          <w:color w:val="000000" w:themeColor="text1"/>
        </w:rPr>
        <w:t>l</w:t>
      </w:r>
      <w:r w:rsidR="007717DE" w:rsidRPr="001F1589">
        <w:rPr>
          <w:color w:val="000000" w:themeColor="text1"/>
        </w:rPr>
        <w:t>y</w:t>
      </w:r>
      <w:r w:rsidR="00195886" w:rsidRPr="001F1589">
        <w:rPr>
          <w:color w:val="000000" w:themeColor="text1"/>
        </w:rPr>
        <w:t xml:space="preserve"> improved</w:t>
      </w:r>
      <w:r w:rsidR="003C3541" w:rsidRPr="001F1589">
        <w:rPr>
          <w:color w:val="000000" w:themeColor="text1"/>
        </w:rPr>
        <w:t xml:space="preserve"> statistical power</w:t>
      </w:r>
      <w:r w:rsidR="007961A4" w:rsidRPr="001F1589">
        <w:rPr>
          <w:color w:val="000000" w:themeColor="text1"/>
        </w:rPr>
        <w:t>, our MR</w:t>
      </w:r>
      <w:r w:rsidR="00BE0EA6" w:rsidRPr="001F1589">
        <w:rPr>
          <w:color w:val="000000" w:themeColor="text1"/>
        </w:rPr>
        <w:t xml:space="preserve"> </w:t>
      </w:r>
      <w:r w:rsidR="00424C19" w:rsidRPr="001F1589">
        <w:rPr>
          <w:color w:val="000000" w:themeColor="text1"/>
        </w:rPr>
        <w:t>does not convincingly</w:t>
      </w:r>
      <w:r w:rsidR="009B0814" w:rsidRPr="001F1589">
        <w:rPr>
          <w:color w:val="000000" w:themeColor="text1"/>
        </w:rPr>
        <w:t xml:space="preserve"> </w:t>
      </w:r>
      <w:r w:rsidR="00BE0EA6" w:rsidRPr="001F1589">
        <w:rPr>
          <w:color w:val="000000" w:themeColor="text1"/>
        </w:rPr>
        <w:t xml:space="preserve">support a causal effect of circulating </w:t>
      </w:r>
      <w:r w:rsidR="007717DE" w:rsidRPr="001F1589">
        <w:rPr>
          <w:color w:val="000000" w:themeColor="text1"/>
        </w:rPr>
        <w:t>25(OH)D on breast</w:t>
      </w:r>
      <w:r w:rsidR="00BE0EA6" w:rsidRPr="001F1589">
        <w:rPr>
          <w:color w:val="000000" w:themeColor="text1"/>
        </w:rPr>
        <w:t xml:space="preserve"> or prostate cancer risk. </w:t>
      </w:r>
      <w:r w:rsidR="00BF0702" w:rsidRPr="001F1589">
        <w:rPr>
          <w:color w:val="000000" w:themeColor="text1"/>
        </w:rPr>
        <w:t>However, we can still not ex</w:t>
      </w:r>
      <w:r w:rsidR="00393DA6">
        <w:rPr>
          <w:color w:val="000000" w:themeColor="text1"/>
        </w:rPr>
        <w:t xml:space="preserve">clude a </w:t>
      </w:r>
      <w:r w:rsidR="001C7D58" w:rsidRPr="001F1589">
        <w:rPr>
          <w:color w:val="000000" w:themeColor="text1"/>
        </w:rPr>
        <w:t>modest or</w:t>
      </w:r>
      <w:r w:rsidR="007961A4" w:rsidRPr="001F1589">
        <w:rPr>
          <w:color w:val="000000" w:themeColor="text1"/>
        </w:rPr>
        <w:t xml:space="preserve"> non-linear effect</w:t>
      </w:r>
      <w:r w:rsidR="00BF0702" w:rsidRPr="001F1589">
        <w:rPr>
          <w:color w:val="000000" w:themeColor="text1"/>
        </w:rPr>
        <w:t xml:space="preserve"> of vitamin D. </w:t>
      </w:r>
      <w:r w:rsidR="00F62338" w:rsidRPr="001F1589">
        <w:rPr>
          <w:color w:val="000000" w:themeColor="text1"/>
        </w:rPr>
        <w:t xml:space="preserve">Future </w:t>
      </w:r>
      <w:r w:rsidR="0019228D" w:rsidRPr="001F1589">
        <w:rPr>
          <w:color w:val="000000" w:themeColor="text1"/>
        </w:rPr>
        <w:t xml:space="preserve">studies may be designed to </w:t>
      </w:r>
      <w:r w:rsidR="00043545" w:rsidRPr="001F1589">
        <w:rPr>
          <w:color w:val="000000" w:themeColor="text1"/>
        </w:rPr>
        <w:t>understand the effect of vitamin D in subpopulation</w:t>
      </w:r>
      <w:r w:rsidR="00B93E81" w:rsidRPr="001F1589">
        <w:rPr>
          <w:color w:val="000000" w:themeColor="text1"/>
        </w:rPr>
        <w:t>s</w:t>
      </w:r>
      <w:r w:rsidR="00043545" w:rsidRPr="001F1589">
        <w:rPr>
          <w:color w:val="000000" w:themeColor="text1"/>
        </w:rPr>
        <w:t xml:space="preserve"> with </w:t>
      </w:r>
      <w:r w:rsidR="00343C4D" w:rsidRPr="001F1589">
        <w:rPr>
          <w:color w:val="000000" w:themeColor="text1"/>
        </w:rPr>
        <w:t>a</w:t>
      </w:r>
      <w:r w:rsidR="00043545" w:rsidRPr="001F1589">
        <w:rPr>
          <w:color w:val="000000" w:themeColor="text1"/>
        </w:rPr>
        <w:t xml:space="preserve"> p</w:t>
      </w:r>
      <w:r w:rsidR="00B64734" w:rsidRPr="001F1589">
        <w:rPr>
          <w:color w:val="000000" w:themeColor="text1"/>
        </w:rPr>
        <w:t>rofound</w:t>
      </w:r>
      <w:r w:rsidR="00E94A90" w:rsidRPr="001F1589">
        <w:rPr>
          <w:color w:val="000000" w:themeColor="text1"/>
        </w:rPr>
        <w:t xml:space="preserve"> deficiency</w:t>
      </w:r>
      <w:r w:rsidR="00043545" w:rsidRPr="001F1589">
        <w:rPr>
          <w:color w:val="000000" w:themeColor="text1"/>
        </w:rPr>
        <w:t>.</w:t>
      </w:r>
    </w:p>
    <w:p w14:paraId="1A4412A4" w14:textId="50A9349D" w:rsidR="009946BE" w:rsidRPr="001F1589" w:rsidRDefault="00E643EB" w:rsidP="00917FAB">
      <w:pPr>
        <w:spacing w:after="120" w:line="480" w:lineRule="auto"/>
        <w:jc w:val="both"/>
        <w:rPr>
          <w:color w:val="000000" w:themeColor="text1"/>
        </w:rPr>
      </w:pPr>
      <w:r w:rsidRPr="00F05279">
        <w:rPr>
          <w:b/>
          <w:color w:val="000000" w:themeColor="text1"/>
        </w:rPr>
        <w:lastRenderedPageBreak/>
        <w:t>Key words:</w:t>
      </w:r>
      <w:r>
        <w:rPr>
          <w:color w:val="000000" w:themeColor="text1"/>
        </w:rPr>
        <w:t xml:space="preserve"> </w:t>
      </w:r>
      <w:r w:rsidR="006572BF">
        <w:rPr>
          <w:color w:val="000000" w:themeColor="text1"/>
        </w:rPr>
        <w:t xml:space="preserve">serum </w:t>
      </w:r>
      <w:r>
        <w:rPr>
          <w:color w:val="000000" w:themeColor="text1"/>
        </w:rPr>
        <w:t>vitamin D concentrations, malignancy, breast, prostate, Mendelian randomization</w:t>
      </w:r>
    </w:p>
    <w:p w14:paraId="47BFC4A3" w14:textId="3B234AD6" w:rsidR="00AD5201" w:rsidRPr="009E0B93" w:rsidRDefault="0031661A" w:rsidP="00B725B0">
      <w:pPr>
        <w:spacing w:line="480" w:lineRule="auto"/>
        <w:jc w:val="both"/>
        <w:rPr>
          <w:b/>
          <w:color w:val="000000" w:themeColor="text1"/>
        </w:rPr>
      </w:pPr>
      <w:r w:rsidRPr="009E0B93">
        <w:rPr>
          <w:b/>
          <w:color w:val="000000" w:themeColor="text1"/>
        </w:rPr>
        <w:t>Key message</w:t>
      </w:r>
    </w:p>
    <w:p w14:paraId="5607FC37" w14:textId="09CFA4A4" w:rsidR="00B725B0" w:rsidRDefault="00B725B0" w:rsidP="00B725B0">
      <w:pPr>
        <w:spacing w:line="480" w:lineRule="auto"/>
        <w:jc w:val="both"/>
        <w:rPr>
          <w:color w:val="000000" w:themeColor="text1"/>
        </w:rPr>
      </w:pPr>
      <w:r>
        <w:rPr>
          <w:color w:val="000000" w:themeColor="text1"/>
        </w:rPr>
        <w:t>We did not find a putative causal role of circulating vitamin D in the risk of breast or prostate cancer.</w:t>
      </w:r>
    </w:p>
    <w:p w14:paraId="614768B8" w14:textId="24C78373" w:rsidR="00B725B0" w:rsidRDefault="00B725B0" w:rsidP="00B725B0">
      <w:pPr>
        <w:spacing w:line="480" w:lineRule="auto"/>
        <w:jc w:val="both"/>
        <w:rPr>
          <w:color w:val="000000" w:themeColor="text1"/>
        </w:rPr>
      </w:pPr>
      <w:r>
        <w:rPr>
          <w:color w:val="000000" w:themeColor="text1"/>
        </w:rPr>
        <w:t xml:space="preserve">We </w:t>
      </w:r>
      <w:r w:rsidR="00057F80">
        <w:rPr>
          <w:color w:val="000000" w:themeColor="text1"/>
        </w:rPr>
        <w:t xml:space="preserve">still </w:t>
      </w:r>
      <w:r>
        <w:rPr>
          <w:color w:val="000000" w:themeColor="text1"/>
        </w:rPr>
        <w:t>can</w:t>
      </w:r>
      <w:r w:rsidRPr="001F1589">
        <w:rPr>
          <w:color w:val="000000" w:themeColor="text1"/>
        </w:rPr>
        <w:t>not ex</w:t>
      </w:r>
      <w:r>
        <w:rPr>
          <w:color w:val="000000" w:themeColor="text1"/>
        </w:rPr>
        <w:t xml:space="preserve">clude a </w:t>
      </w:r>
      <w:r w:rsidRPr="001F1589">
        <w:rPr>
          <w:color w:val="000000" w:themeColor="text1"/>
        </w:rPr>
        <w:t>modest or non-linear effect of vitamin D</w:t>
      </w:r>
      <w:r>
        <w:rPr>
          <w:color w:val="000000" w:themeColor="text1"/>
        </w:rPr>
        <w:t xml:space="preserve"> in malignant disease.</w:t>
      </w:r>
    </w:p>
    <w:p w14:paraId="16C920FD" w14:textId="664CC7EE" w:rsidR="00B25A4D" w:rsidRPr="00213921" w:rsidRDefault="00B725B0" w:rsidP="00213921">
      <w:pPr>
        <w:spacing w:line="480" w:lineRule="auto"/>
        <w:jc w:val="both"/>
        <w:rPr>
          <w:color w:val="000000" w:themeColor="text1"/>
        </w:rPr>
      </w:pPr>
      <w:r>
        <w:rPr>
          <w:color w:val="000000" w:themeColor="text1"/>
        </w:rPr>
        <w:t>Future work may be focused on vitamin D and cancer mortality or in subpopulations with a profound deficiency.</w:t>
      </w:r>
    </w:p>
    <w:p w14:paraId="38891E72" w14:textId="77777777" w:rsidR="00DF3DD4" w:rsidRDefault="00DF3DD4" w:rsidP="005F7BB1">
      <w:pPr>
        <w:spacing w:after="120" w:line="480" w:lineRule="auto"/>
        <w:jc w:val="both"/>
        <w:rPr>
          <w:b/>
          <w:color w:val="000000" w:themeColor="text1"/>
          <w:sz w:val="28"/>
        </w:rPr>
      </w:pPr>
    </w:p>
    <w:p w14:paraId="7F61BCD3" w14:textId="77777777" w:rsidR="00DF3DD4" w:rsidRDefault="00DF3DD4" w:rsidP="005F7BB1">
      <w:pPr>
        <w:spacing w:after="120" w:line="480" w:lineRule="auto"/>
        <w:jc w:val="both"/>
        <w:rPr>
          <w:b/>
          <w:color w:val="000000" w:themeColor="text1"/>
          <w:sz w:val="28"/>
        </w:rPr>
      </w:pPr>
    </w:p>
    <w:p w14:paraId="6395DA72" w14:textId="77777777" w:rsidR="00DF3DD4" w:rsidRDefault="00DF3DD4" w:rsidP="005F7BB1">
      <w:pPr>
        <w:spacing w:after="120" w:line="480" w:lineRule="auto"/>
        <w:jc w:val="both"/>
        <w:rPr>
          <w:b/>
          <w:color w:val="000000" w:themeColor="text1"/>
          <w:sz w:val="28"/>
        </w:rPr>
      </w:pPr>
    </w:p>
    <w:p w14:paraId="06EA218E" w14:textId="77777777" w:rsidR="00DF3DD4" w:rsidRDefault="00DF3DD4" w:rsidP="005F7BB1">
      <w:pPr>
        <w:spacing w:after="120" w:line="480" w:lineRule="auto"/>
        <w:jc w:val="both"/>
        <w:rPr>
          <w:b/>
          <w:color w:val="000000" w:themeColor="text1"/>
          <w:sz w:val="28"/>
        </w:rPr>
      </w:pPr>
    </w:p>
    <w:p w14:paraId="5F160BC4" w14:textId="77777777" w:rsidR="00DF3DD4" w:rsidRDefault="00DF3DD4" w:rsidP="005F7BB1">
      <w:pPr>
        <w:spacing w:after="120" w:line="480" w:lineRule="auto"/>
        <w:jc w:val="both"/>
        <w:rPr>
          <w:b/>
          <w:color w:val="000000" w:themeColor="text1"/>
          <w:sz w:val="28"/>
        </w:rPr>
      </w:pPr>
    </w:p>
    <w:p w14:paraId="6BCE4D78" w14:textId="77777777" w:rsidR="00DF3DD4" w:rsidRDefault="00DF3DD4" w:rsidP="005F7BB1">
      <w:pPr>
        <w:spacing w:after="120" w:line="480" w:lineRule="auto"/>
        <w:jc w:val="both"/>
        <w:rPr>
          <w:b/>
          <w:color w:val="000000" w:themeColor="text1"/>
          <w:sz w:val="28"/>
        </w:rPr>
      </w:pPr>
    </w:p>
    <w:p w14:paraId="647EEAAE" w14:textId="77777777" w:rsidR="00DF3DD4" w:rsidRDefault="00DF3DD4" w:rsidP="005F7BB1">
      <w:pPr>
        <w:spacing w:after="120" w:line="480" w:lineRule="auto"/>
        <w:jc w:val="both"/>
        <w:rPr>
          <w:b/>
          <w:color w:val="000000" w:themeColor="text1"/>
          <w:sz w:val="28"/>
        </w:rPr>
      </w:pPr>
    </w:p>
    <w:p w14:paraId="73FDF93D" w14:textId="77777777" w:rsidR="00DF3DD4" w:rsidRDefault="00DF3DD4" w:rsidP="005F7BB1">
      <w:pPr>
        <w:spacing w:after="120" w:line="480" w:lineRule="auto"/>
        <w:jc w:val="both"/>
        <w:rPr>
          <w:b/>
          <w:color w:val="000000" w:themeColor="text1"/>
          <w:sz w:val="28"/>
        </w:rPr>
      </w:pPr>
    </w:p>
    <w:p w14:paraId="714F85CE" w14:textId="77777777" w:rsidR="00DF3DD4" w:rsidRDefault="00DF3DD4" w:rsidP="005F7BB1">
      <w:pPr>
        <w:spacing w:after="120" w:line="480" w:lineRule="auto"/>
        <w:jc w:val="both"/>
        <w:rPr>
          <w:b/>
          <w:color w:val="000000" w:themeColor="text1"/>
          <w:sz w:val="28"/>
        </w:rPr>
      </w:pPr>
    </w:p>
    <w:p w14:paraId="12CD185D" w14:textId="77777777" w:rsidR="00DF3DD4" w:rsidRDefault="00DF3DD4" w:rsidP="005F7BB1">
      <w:pPr>
        <w:spacing w:after="120" w:line="480" w:lineRule="auto"/>
        <w:jc w:val="both"/>
        <w:rPr>
          <w:b/>
          <w:color w:val="000000" w:themeColor="text1"/>
          <w:sz w:val="28"/>
        </w:rPr>
      </w:pPr>
    </w:p>
    <w:p w14:paraId="51319E16" w14:textId="77777777" w:rsidR="00C7676B" w:rsidRDefault="00C7676B" w:rsidP="005F7BB1">
      <w:pPr>
        <w:spacing w:after="120" w:line="480" w:lineRule="auto"/>
        <w:jc w:val="both"/>
        <w:rPr>
          <w:b/>
          <w:color w:val="000000" w:themeColor="text1"/>
          <w:sz w:val="28"/>
        </w:rPr>
      </w:pPr>
    </w:p>
    <w:p w14:paraId="7A1709C7" w14:textId="77777777" w:rsidR="00551A4A" w:rsidRPr="001F1589" w:rsidRDefault="00757F14" w:rsidP="005F7BB1">
      <w:pPr>
        <w:spacing w:after="120" w:line="480" w:lineRule="auto"/>
        <w:jc w:val="both"/>
        <w:rPr>
          <w:b/>
          <w:color w:val="000000" w:themeColor="text1"/>
          <w:sz w:val="28"/>
        </w:rPr>
      </w:pPr>
      <w:r w:rsidRPr="001F1589">
        <w:rPr>
          <w:b/>
          <w:color w:val="000000" w:themeColor="text1"/>
          <w:sz w:val="28"/>
        </w:rPr>
        <w:lastRenderedPageBreak/>
        <w:t>Introduction</w:t>
      </w:r>
    </w:p>
    <w:p w14:paraId="60DF1638" w14:textId="46439A11" w:rsidR="00B162A6" w:rsidRPr="001F1589" w:rsidRDefault="008F5D0B" w:rsidP="005F7BB1">
      <w:pPr>
        <w:spacing w:after="120" w:line="480" w:lineRule="auto"/>
        <w:jc w:val="both"/>
        <w:rPr>
          <w:color w:val="000000" w:themeColor="text1"/>
        </w:rPr>
      </w:pPr>
      <w:r w:rsidRPr="001F1589">
        <w:rPr>
          <w:color w:val="000000" w:themeColor="text1"/>
        </w:rPr>
        <w:t xml:space="preserve">Vitamin </w:t>
      </w:r>
      <w:r w:rsidR="001453B6" w:rsidRPr="001F1589">
        <w:rPr>
          <w:color w:val="000000" w:themeColor="text1"/>
        </w:rPr>
        <w:t xml:space="preserve">D is a fat-soluble </w:t>
      </w:r>
      <w:r w:rsidR="00C51C65" w:rsidRPr="001F1589">
        <w:rPr>
          <w:color w:val="000000" w:themeColor="text1"/>
        </w:rPr>
        <w:t>vitamin and steroid pro-</w:t>
      </w:r>
      <w:r w:rsidR="0082649B" w:rsidRPr="001F1589">
        <w:rPr>
          <w:color w:val="000000" w:themeColor="text1"/>
        </w:rPr>
        <w:t>hormone that plays an essential role in bone</w:t>
      </w:r>
      <w:r w:rsidR="00660882" w:rsidRPr="001F1589">
        <w:rPr>
          <w:color w:val="000000" w:themeColor="text1"/>
        </w:rPr>
        <w:t xml:space="preserve"> health</w:t>
      </w:r>
      <w:r w:rsidR="0082649B"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{"citationID":"PfYzNtE4","properties":{"formattedCitation":"\\super 1\\nosupersub{}","plainCitation":"1","noteIndex":0},"citationItems":[{"id":2651,"uris":["http://zotero.org/users/local/6qce9xwG/items/7MGZPNRD"],"uri":["http://zotero.org/users/local/6qce9xwG/items/7MGZPNRD"],"itemData":{"id":2651,"type":"article-journal","title":"Vitamin D, rickets, and osteomalacia","container-title":"The Orthopedic Clinics of North America","page":"671-686","volume":"15","issue":"4","source":"PubMed","abstract":"Rickets and osteomalacia result from a variety of inherited and acquired conditions, but affected individuals present with striking stereotypical features. In most cases, the bone disease can be cured, or at least improved, with appropriate therapy for the specific metabolic abnormality. In this article, the author provides a discussion of vitamin D metabolism and a detailed description of the clinical presentation, diagnosis, evaluation, and treatment of rickets and osteomalacia. He stresses the importance of orthopedic surgeons' awareness of these metabolic problems so that they may play a more active role in the diagnosis of these disorders and the effective management of the skeletal complications.","ISSN":"0030-5898","note":"PMID: 6387576","journalAbbreviation":"Orthop. Clin. North Am.","language":"eng","author":[{"family":"Doppelt","given":"S. H."}],"issued":{"date-parts":[["1984",10]]}}}],"schema":"https://github.com/citation-style-language/schema/raw/master/csl-citation.json"}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w:t>
      </w:r>
      <w:r w:rsidR="00987F80" w:rsidRPr="001F1589">
        <w:rPr>
          <w:color w:val="000000" w:themeColor="text1"/>
        </w:rPr>
        <w:fldChar w:fldCharType="end"/>
      </w:r>
      <w:r w:rsidR="009B0814" w:rsidRPr="001F1589">
        <w:rPr>
          <w:color w:val="000000" w:themeColor="text1"/>
        </w:rPr>
        <w:t xml:space="preserve"> </w:t>
      </w:r>
      <w:r w:rsidR="005905C8" w:rsidRPr="001F1589">
        <w:rPr>
          <w:color w:val="000000" w:themeColor="text1"/>
        </w:rPr>
        <w:t>It</w:t>
      </w:r>
      <w:r w:rsidR="002A2B98" w:rsidRPr="001F1589">
        <w:rPr>
          <w:color w:val="000000" w:themeColor="text1"/>
        </w:rPr>
        <w:t xml:space="preserve">s biologically </w:t>
      </w:r>
      <w:r w:rsidR="00F54053" w:rsidRPr="001F1589">
        <w:rPr>
          <w:color w:val="000000" w:themeColor="text1"/>
        </w:rPr>
        <w:t>active form 1,25-hydroxyvitamin D</w:t>
      </w:r>
      <w:r w:rsidR="00C64C4C" w:rsidRPr="001F1589">
        <w:rPr>
          <w:color w:val="000000" w:themeColor="text1"/>
        </w:rPr>
        <w:t xml:space="preserve"> regulates</w:t>
      </w:r>
      <w:r w:rsidR="005905C8" w:rsidRPr="001F1589">
        <w:rPr>
          <w:color w:val="000000" w:themeColor="text1"/>
        </w:rPr>
        <w:t xml:space="preserve"> multiple signaling </w:t>
      </w:r>
      <w:r w:rsidR="00D67690" w:rsidRPr="001F1589">
        <w:rPr>
          <w:color w:val="000000" w:themeColor="text1"/>
        </w:rPr>
        <w:t xml:space="preserve">pathways involved in </w:t>
      </w:r>
      <w:r w:rsidR="00A12525" w:rsidRPr="001F1589">
        <w:rPr>
          <w:color w:val="000000" w:themeColor="text1"/>
        </w:rPr>
        <w:t xml:space="preserve">cell </w:t>
      </w:r>
      <w:r w:rsidR="005905C8" w:rsidRPr="001F1589">
        <w:rPr>
          <w:color w:val="000000" w:themeColor="text1"/>
        </w:rPr>
        <w:t>proliferat</w:t>
      </w:r>
      <w:r w:rsidR="00D11457">
        <w:rPr>
          <w:color w:val="000000" w:themeColor="text1"/>
        </w:rPr>
        <w:t>ion, apoptosis, differentiation</w:t>
      </w:r>
      <w:r w:rsidR="005905C8" w:rsidRPr="001F1589">
        <w:rPr>
          <w:color w:val="000000" w:themeColor="text1"/>
        </w:rPr>
        <w:t xml:space="preserve"> </w:t>
      </w:r>
      <w:r w:rsidR="00A44809" w:rsidRPr="001F1589">
        <w:rPr>
          <w:color w:val="000000" w:themeColor="text1"/>
        </w:rPr>
        <w:t>and inflammation</w:t>
      </w:r>
      <w:r w:rsidR="00C64C4C" w:rsidRPr="001F1589">
        <w:rPr>
          <w:color w:val="000000" w:themeColor="text1"/>
        </w:rPr>
        <w:t>, and i</w:t>
      </w:r>
      <w:r w:rsidR="00DD2DA7" w:rsidRPr="001F1589">
        <w:rPr>
          <w:color w:val="000000" w:themeColor="text1"/>
        </w:rPr>
        <w:t>s</w:t>
      </w:r>
      <w:r w:rsidR="009B0814" w:rsidRPr="001F1589">
        <w:rPr>
          <w:color w:val="000000" w:themeColor="text1"/>
        </w:rPr>
        <w:t xml:space="preserve"> </w:t>
      </w:r>
      <w:r w:rsidR="00F435A4" w:rsidRPr="001F1589">
        <w:rPr>
          <w:color w:val="000000" w:themeColor="text1"/>
        </w:rPr>
        <w:t xml:space="preserve">therefore </w:t>
      </w:r>
      <w:r w:rsidR="00C64C4C" w:rsidRPr="001F1589">
        <w:rPr>
          <w:color w:val="000000" w:themeColor="text1"/>
        </w:rPr>
        <w:t>believed to have</w:t>
      </w:r>
      <w:r w:rsidR="009B0814" w:rsidRPr="001F1589">
        <w:rPr>
          <w:color w:val="000000" w:themeColor="text1"/>
        </w:rPr>
        <w:t xml:space="preserve"> </w:t>
      </w:r>
      <w:r w:rsidR="006B31BC" w:rsidRPr="001F1589">
        <w:rPr>
          <w:color w:val="000000" w:themeColor="text1"/>
        </w:rPr>
        <w:t xml:space="preserve">an </w:t>
      </w:r>
      <w:r w:rsidR="009A45D4" w:rsidRPr="001F1589">
        <w:rPr>
          <w:color w:val="000000" w:themeColor="text1"/>
        </w:rPr>
        <w:t>anti-carcinogenic property</w:t>
      </w:r>
      <w:r w:rsidR="005A7665"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{"citationID":"eTQN6l5Z","properties":{"formattedCitation":"\\super 2\\nosupersub{}","plainCitation":"2","noteIndex":0},"citationItems":[{"id":2810,"uris":["http://zotero.org/users/local/6qce9xwG/items/X7K97GGE"],"uri":["http://zotero.org/users/local/6qce9xwG/items/X7K97GGE"],"itemData":{"id":2810,"type":"article-journal","title":"The role of vitamin D in reducing cancer risk and progression","container-title":"Nature Reviews. Cancer","page":"342-357","volume":"14","issue":"5","source":"PubMed","abstract":"Vitamin D is not really a vitamin but the precursor to the potent steroid hormone calcitriol, which has widespread actions throughout the body. Calcitriol regulates numerous cellular pathways that could have a role in determining cancer risk and prognosis. Although epidemiological and early clinical trials are inconsistent, and randomized control trials in humans do not yet exist to conclusively support a beneficial role for vitamin D, accumulating results from preclinical and some clinical studies strongly suggest that vitamin D deficiency increases the risk of developing cancer and that avoiding deficiency and adding vitamin D supplements might be an economical and safe way to reduce cancer incidence and improve cancer prognosis and outcome.","DOI":"10.1038/nrc3691","ISSN":"1474-1768","note":"PMID: 24705652","journalAbbreviation":"Nat. Rev. Cancer","language":"eng","author":[{"family":"Feldman","given":"David"},{"family":"Krishnan","given":"Aruna V."},{"family":"Swami","given":"Srilatha"},{"family":"Giovannucci","given":"Edward"},{"family":"Feldman","given":"Brian J."}],"issued":{"date-parts":[["2014",5]]}}}],"schema":"https://github.com/citation-style-language/schema/raw/master/csl-citation.json"}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2</w:t>
      </w:r>
      <w:r w:rsidR="00987F80" w:rsidRPr="001F1589">
        <w:rPr>
          <w:color w:val="000000" w:themeColor="text1"/>
        </w:rPr>
        <w:fldChar w:fldCharType="end"/>
      </w:r>
    </w:p>
    <w:p w14:paraId="69645728" w14:textId="7AF84F81" w:rsidR="00365C8F" w:rsidRPr="001F1589" w:rsidRDefault="00EC457A" w:rsidP="005F7BB1">
      <w:pPr>
        <w:spacing w:after="120" w:line="480" w:lineRule="auto"/>
        <w:jc w:val="both"/>
        <w:rPr>
          <w:color w:val="000000" w:themeColor="text1"/>
        </w:rPr>
      </w:pPr>
      <w:r w:rsidRPr="001F1589">
        <w:rPr>
          <w:color w:val="000000" w:themeColor="text1"/>
        </w:rPr>
        <w:t>Epidemiologic</w:t>
      </w:r>
      <w:r w:rsidR="006B2AE3" w:rsidRPr="001F1589">
        <w:rPr>
          <w:color w:val="000000" w:themeColor="text1"/>
        </w:rPr>
        <w:t xml:space="preserve"> evidence </w:t>
      </w:r>
      <w:r w:rsidR="0075192B" w:rsidRPr="001F1589">
        <w:rPr>
          <w:color w:val="000000" w:themeColor="text1"/>
        </w:rPr>
        <w:t xml:space="preserve">on the association </w:t>
      </w:r>
      <w:r w:rsidR="006B2AE3" w:rsidRPr="001F1589">
        <w:rPr>
          <w:color w:val="000000" w:themeColor="text1"/>
        </w:rPr>
        <w:t>of circ</w:t>
      </w:r>
      <w:r w:rsidR="00DE7696">
        <w:rPr>
          <w:color w:val="000000" w:themeColor="text1"/>
        </w:rPr>
        <w:t>ulating vitamin D</w:t>
      </w:r>
      <w:r w:rsidR="009B0814" w:rsidRPr="001F1589">
        <w:rPr>
          <w:color w:val="000000" w:themeColor="text1"/>
        </w:rPr>
        <w:t xml:space="preserve"> </w:t>
      </w:r>
      <w:r w:rsidR="007651A2" w:rsidRPr="001F1589">
        <w:rPr>
          <w:color w:val="000000" w:themeColor="text1"/>
        </w:rPr>
        <w:t>and</w:t>
      </w:r>
      <w:r w:rsidR="00E30EAA" w:rsidRPr="001F1589">
        <w:rPr>
          <w:color w:val="000000" w:themeColor="text1"/>
        </w:rPr>
        <w:t xml:space="preserve"> risk of breast and prostate</w:t>
      </w:r>
      <w:r w:rsidR="00333933" w:rsidRPr="001F1589">
        <w:rPr>
          <w:color w:val="000000" w:themeColor="text1"/>
        </w:rPr>
        <w:t xml:space="preserve"> cancer,</w:t>
      </w:r>
      <w:r w:rsidR="009B0814" w:rsidRPr="001F1589">
        <w:rPr>
          <w:color w:val="000000" w:themeColor="text1"/>
        </w:rPr>
        <w:t xml:space="preserve"> </w:t>
      </w:r>
      <w:r w:rsidR="0020274D" w:rsidRPr="001F1589">
        <w:rPr>
          <w:color w:val="000000" w:themeColor="text1"/>
        </w:rPr>
        <w:t xml:space="preserve">the </w:t>
      </w:r>
      <w:r w:rsidR="00B162A6" w:rsidRPr="001F1589">
        <w:rPr>
          <w:color w:val="000000" w:themeColor="text1"/>
        </w:rPr>
        <w:t xml:space="preserve">two </w:t>
      </w:r>
      <w:r w:rsidR="00A9065C" w:rsidRPr="001F1589">
        <w:rPr>
          <w:color w:val="000000" w:themeColor="text1"/>
        </w:rPr>
        <w:t xml:space="preserve">most </w:t>
      </w:r>
      <w:r w:rsidR="00B162A6" w:rsidRPr="001F1589">
        <w:rPr>
          <w:color w:val="000000" w:themeColor="text1"/>
        </w:rPr>
        <w:t xml:space="preserve">common </w:t>
      </w:r>
      <w:r w:rsidR="0035350B" w:rsidRPr="001F1589">
        <w:rPr>
          <w:color w:val="000000" w:themeColor="text1"/>
        </w:rPr>
        <w:t>malignancies in</w:t>
      </w:r>
      <w:r w:rsidR="00A9065C" w:rsidRPr="001F1589">
        <w:rPr>
          <w:color w:val="000000" w:themeColor="text1"/>
        </w:rPr>
        <w:t xml:space="preserve"> women </w:t>
      </w:r>
      <w:r w:rsidR="00C22333" w:rsidRPr="001F1589">
        <w:rPr>
          <w:color w:val="000000" w:themeColor="text1"/>
        </w:rPr>
        <w:t>and men</w:t>
      </w:r>
      <w:r w:rsidR="000F1A46" w:rsidRPr="001F1589">
        <w:rPr>
          <w:color w:val="000000" w:themeColor="text1"/>
        </w:rPr>
        <w:t>,</w:t>
      </w:r>
      <w:r w:rsidR="009B0814" w:rsidRPr="001F1589">
        <w:rPr>
          <w:color w:val="000000" w:themeColor="text1"/>
        </w:rPr>
        <w:t xml:space="preserve"> </w:t>
      </w:r>
      <w:r w:rsidR="00543D40" w:rsidRPr="001F1589">
        <w:rPr>
          <w:color w:val="000000" w:themeColor="text1"/>
        </w:rPr>
        <w:t xml:space="preserve">remains </w:t>
      </w:r>
      <w:r w:rsidR="00A43EDF" w:rsidRPr="001F1589">
        <w:rPr>
          <w:color w:val="000000" w:themeColor="text1"/>
        </w:rPr>
        <w:t xml:space="preserve">inconclusive. </w:t>
      </w:r>
      <w:r w:rsidR="0020274D" w:rsidRPr="001F1589">
        <w:rPr>
          <w:color w:val="000000" w:themeColor="text1"/>
        </w:rPr>
        <w:t>A</w:t>
      </w:r>
      <w:r w:rsidR="009B0814" w:rsidRPr="001F1589">
        <w:rPr>
          <w:color w:val="000000" w:themeColor="text1"/>
        </w:rPr>
        <w:t xml:space="preserve"> </w:t>
      </w:r>
      <w:r w:rsidR="00C07AFC" w:rsidRPr="001F1589">
        <w:rPr>
          <w:color w:val="000000" w:themeColor="text1"/>
        </w:rPr>
        <w:t>meta-a</w:t>
      </w:r>
      <w:r w:rsidR="00264A45">
        <w:rPr>
          <w:color w:val="000000" w:themeColor="text1"/>
        </w:rPr>
        <w:t xml:space="preserve">nalysis </w:t>
      </w:r>
      <w:r w:rsidR="005D2882" w:rsidRPr="001F1589">
        <w:rPr>
          <w:color w:val="000000" w:themeColor="text1"/>
        </w:rPr>
        <w:t>aggregat</w:t>
      </w:r>
      <w:r w:rsidR="00264A45">
        <w:rPr>
          <w:color w:val="000000" w:themeColor="text1"/>
        </w:rPr>
        <w:t>ing</w:t>
      </w:r>
      <w:r w:rsidR="005D2882" w:rsidRPr="001F1589">
        <w:rPr>
          <w:color w:val="000000" w:themeColor="text1"/>
        </w:rPr>
        <w:t xml:space="preserve"> data from 24</w:t>
      </w:r>
      <w:r w:rsidR="00C07AFC" w:rsidRPr="001F1589">
        <w:rPr>
          <w:color w:val="000000" w:themeColor="text1"/>
        </w:rPr>
        <w:t xml:space="preserve"> prospective studies </w:t>
      </w:r>
      <w:r w:rsidR="00274C27">
        <w:rPr>
          <w:color w:val="000000" w:themeColor="text1"/>
        </w:rPr>
        <w:t>(</w:t>
      </w:r>
      <w:r w:rsidR="003F79E3">
        <w:rPr>
          <w:color w:val="000000" w:themeColor="text1"/>
        </w:rPr>
        <w:t>N</w:t>
      </w:r>
      <w:r w:rsidR="003F79E3" w:rsidRPr="003F79E3">
        <w:rPr>
          <w:color w:val="000000" w:themeColor="text1"/>
          <w:vertAlign w:val="subscript"/>
        </w:rPr>
        <w:t>case</w:t>
      </w:r>
      <w:r w:rsidR="003F79E3">
        <w:rPr>
          <w:color w:val="000000" w:themeColor="text1"/>
        </w:rPr>
        <w:t>=</w:t>
      </w:r>
      <w:r w:rsidR="007E5357">
        <w:rPr>
          <w:color w:val="000000" w:themeColor="text1"/>
        </w:rPr>
        <w:t>31,867</w:t>
      </w:r>
      <w:r w:rsidR="00274C27">
        <w:rPr>
          <w:color w:val="000000" w:themeColor="text1"/>
        </w:rPr>
        <w:t>)</w:t>
      </w:r>
      <w:r w:rsidR="00615310" w:rsidRPr="001F1589">
        <w:rPr>
          <w:color w:val="000000" w:themeColor="text1"/>
        </w:rPr>
        <w:t xml:space="preserve"> identified a pooled </w:t>
      </w:r>
      <w:r w:rsidR="0061183B" w:rsidRPr="001F1589">
        <w:rPr>
          <w:color w:val="000000" w:themeColor="text1"/>
        </w:rPr>
        <w:t>relative risk</w:t>
      </w:r>
      <w:r w:rsidR="002867C4" w:rsidRPr="001F1589">
        <w:rPr>
          <w:color w:val="000000" w:themeColor="text1"/>
        </w:rPr>
        <w:t xml:space="preserve"> of breast cancer</w:t>
      </w:r>
      <w:r w:rsidR="00D52736" w:rsidRPr="001F1589">
        <w:rPr>
          <w:color w:val="000000" w:themeColor="text1"/>
        </w:rPr>
        <w:t xml:space="preserve"> </w:t>
      </w:r>
      <w:r w:rsidR="00510B08" w:rsidRPr="001F1589">
        <w:rPr>
          <w:color w:val="000000" w:themeColor="text1"/>
        </w:rPr>
        <w:t xml:space="preserve">for the </w:t>
      </w:r>
      <w:r w:rsidR="00510B08" w:rsidRPr="00A269FB">
        <w:rPr>
          <w:color w:val="0432FF"/>
        </w:rPr>
        <w:t xml:space="preserve">highest </w:t>
      </w:r>
      <w:r w:rsidR="000E2D1D" w:rsidRPr="00A269FB">
        <w:rPr>
          <w:color w:val="0432FF"/>
        </w:rPr>
        <w:t xml:space="preserve">(&gt;31ng/ml) </w:t>
      </w:r>
      <w:r w:rsidR="00510B08" w:rsidRPr="00A269FB">
        <w:rPr>
          <w:i/>
          <w:color w:val="0432FF"/>
        </w:rPr>
        <w:t>vs.</w:t>
      </w:r>
      <w:r w:rsidR="00510B08" w:rsidRPr="00A269FB">
        <w:rPr>
          <w:color w:val="0432FF"/>
        </w:rPr>
        <w:t xml:space="preserve"> lowest </w:t>
      </w:r>
      <w:r w:rsidR="00A269FB" w:rsidRPr="00A269FB">
        <w:rPr>
          <w:color w:val="0432FF"/>
        </w:rPr>
        <w:t>(&lt;18ng/ml)</w:t>
      </w:r>
      <w:r w:rsidR="00A269FB">
        <w:rPr>
          <w:color w:val="000000" w:themeColor="text1"/>
        </w:rPr>
        <w:t xml:space="preserve"> </w:t>
      </w:r>
      <w:r w:rsidR="0092655E" w:rsidRPr="001F1589">
        <w:rPr>
          <w:color w:val="000000" w:themeColor="text1"/>
        </w:rPr>
        <w:t xml:space="preserve">blood </w:t>
      </w:r>
      <w:r w:rsidR="000F0A0C" w:rsidRPr="001F1589">
        <w:rPr>
          <w:color w:val="000000" w:themeColor="text1"/>
        </w:rPr>
        <w:t>25-hydroxyvitamin D [</w:t>
      </w:r>
      <w:r w:rsidR="0092655E" w:rsidRPr="001F1589">
        <w:rPr>
          <w:color w:val="000000" w:themeColor="text1"/>
        </w:rPr>
        <w:t>25(OH)D</w:t>
      </w:r>
      <w:r w:rsidR="000F0A0C" w:rsidRPr="001F1589">
        <w:rPr>
          <w:color w:val="000000" w:themeColor="text1"/>
        </w:rPr>
        <w:t>]</w:t>
      </w:r>
      <w:r w:rsidR="00D52736" w:rsidRPr="001F1589">
        <w:rPr>
          <w:color w:val="000000" w:themeColor="text1"/>
        </w:rPr>
        <w:t xml:space="preserve"> </w:t>
      </w:r>
      <w:r w:rsidR="007651A2" w:rsidRPr="001F1589">
        <w:rPr>
          <w:color w:val="000000" w:themeColor="text1"/>
        </w:rPr>
        <w:t>of</w:t>
      </w:r>
      <w:r w:rsidR="00D52736" w:rsidRPr="001F1589">
        <w:rPr>
          <w:color w:val="000000" w:themeColor="text1"/>
        </w:rPr>
        <w:t xml:space="preserve"> </w:t>
      </w:r>
      <w:r w:rsidR="00510B08" w:rsidRPr="001F1589">
        <w:rPr>
          <w:color w:val="000000" w:themeColor="text1"/>
        </w:rPr>
        <w:t>0.92 (95%CI: 0.83-1.02).</w:t>
      </w:r>
      <w:r w:rsidR="00987F80" w:rsidRPr="001F1589">
        <w:rPr>
          <w:color w:val="000000" w:themeColor="text1"/>
        </w:rPr>
        <w:fldChar w:fldCharType="begin"/>
      </w:r>
      <w:r w:rsidR="00A344A4" w:rsidRPr="001F1589">
        <w:rPr>
          <w:color w:val="000000" w:themeColor="text1"/>
        </w:rPr>
        <w:instrText xml:space="preserve"> ADDIN ZOTERO_ITEM CSL_CITATION {"citationID":"9tbpiyRJ","properties":{"formattedCitation":"\\super 3\\nosupersub{}","plainCitation":"3","noteIndex":0},"citationItems":[{"id":2814,"uris":["http://zotero.org/users/local/6qce9xwG/items/TWSWCS8R"],"uri":["http://zotero.org/users/local/6qce9xwG/items/TWSWCS8R"],"itemData":{"id":2814,"type":"article-journal","title":"Vitamin D intake, blood 25(OH)D levels, and breast cancer risk or mortality: a meta-analysis","container-title":"British Journal of Cancer","page":"2772-2784","volume":"110","issue":"11","source":"PubMed","abstract":"BACKGROUND: Experimental studies suggest potential anti-carcinogenic properties of vitamin D against breast cancer risk, but the epidemiological evidence to date is inconsistent.\nMETHODS: We searched MEDLINE and EMBASE databases along with a hand search for eligible studies to examine the association between vitamin D status (based on diet and blood 25-hydroxyvitamin D (25(OH)D)) and breast cancer risk or mortality in a meta-analysis. A random-effect model was used to calculate a pooled adjusted relative risk (RR).\nRESULTS: A total of 30 prospective studies (nested case-control or cohort) were included for breast cancer incidence (n=24 studies; 31 867 cases) or mortality (n=6 studies; 870 deaths) among 6092 breast cancer patients. The pooled RRs of breast cancer incidence for the highest vs the lowest vitamin D intake and blood 25(OH)D levels were 0.95 (95% CI: 0.88-1.01) and 0.92 (95% CI: 0.83-1.02), respectively. Among breast cancer patients, high blood 25(OH)D levels were significantly associated with lower breast cancer mortality (pooled RR=0.58, 95% CI: 0.40-0.85) and overall mortality (pooled RR=0.61, 95% CI: 0.48-0.79). There was no evidence of heterogeneity and publication bias.\nCONCLUSIONS: Our findings suggest that high vitamin D status is weakly associated with low breast cancer risk but strongly associated with better breast cancer survival.","DOI":"10.1038/bjc.2014.175","ISSN":"1532-1827","note":"PMID: 24714744\nPMCID: PMC4037823","shortTitle":"Vitamin D intake, blood 25(OH)D levels, and breast cancer risk or mortality","journalAbbreviation":"Br. J. Cancer","language":"eng","author":[{"family":"Kim","given":"Y."},{"family":"Je","given":"Y."}],"issued":{"date-parts":[["2014",5,27]]}}}],"schema":"https://github.com/citation-style-language/schema/raw/master/csl-citation.json"}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3</w:t>
      </w:r>
      <w:r w:rsidR="00987F80" w:rsidRPr="001F1589">
        <w:rPr>
          <w:color w:val="000000" w:themeColor="text1"/>
        </w:rPr>
        <w:fldChar w:fldCharType="end"/>
      </w:r>
      <w:r w:rsidR="009B0814" w:rsidRPr="001F1589">
        <w:rPr>
          <w:color w:val="000000" w:themeColor="text1"/>
        </w:rPr>
        <w:t xml:space="preserve"> </w:t>
      </w:r>
      <w:r w:rsidR="007651A2" w:rsidRPr="0036635A">
        <w:rPr>
          <w:color w:val="0432FF"/>
        </w:rPr>
        <w:t>Another</w:t>
      </w:r>
      <w:r w:rsidR="009B0814" w:rsidRPr="0036635A">
        <w:rPr>
          <w:color w:val="0432FF"/>
        </w:rPr>
        <w:t xml:space="preserve"> </w:t>
      </w:r>
      <w:r w:rsidR="00543D40" w:rsidRPr="0036635A">
        <w:rPr>
          <w:color w:val="0432FF"/>
        </w:rPr>
        <w:t xml:space="preserve">meta-analysis </w:t>
      </w:r>
      <w:r w:rsidR="00DE7696" w:rsidRPr="0036635A">
        <w:rPr>
          <w:color w:val="0432FF"/>
        </w:rPr>
        <w:t>combining</w:t>
      </w:r>
      <w:r w:rsidR="0035350B" w:rsidRPr="0036635A">
        <w:rPr>
          <w:color w:val="0432FF"/>
        </w:rPr>
        <w:t xml:space="preserve"> data </w:t>
      </w:r>
      <w:r w:rsidR="00587878" w:rsidRPr="0036635A">
        <w:rPr>
          <w:color w:val="0432FF"/>
        </w:rPr>
        <w:t xml:space="preserve">across 19 prospective studies </w:t>
      </w:r>
      <w:r w:rsidR="00274C27" w:rsidRPr="0036635A">
        <w:rPr>
          <w:color w:val="0432FF"/>
        </w:rPr>
        <w:t>(</w:t>
      </w:r>
      <w:r w:rsidR="003F79E3" w:rsidRPr="0036635A">
        <w:rPr>
          <w:color w:val="0432FF"/>
        </w:rPr>
        <w:t>N</w:t>
      </w:r>
      <w:r w:rsidR="003F79E3" w:rsidRPr="0036635A">
        <w:rPr>
          <w:color w:val="0432FF"/>
          <w:vertAlign w:val="subscript"/>
        </w:rPr>
        <w:t>case</w:t>
      </w:r>
      <w:r w:rsidR="003F79E3" w:rsidRPr="0036635A">
        <w:rPr>
          <w:color w:val="0432FF"/>
        </w:rPr>
        <w:t>=</w:t>
      </w:r>
      <w:r w:rsidR="00096D50" w:rsidRPr="0036635A">
        <w:rPr>
          <w:color w:val="0432FF"/>
        </w:rPr>
        <w:t>12,824</w:t>
      </w:r>
      <w:r w:rsidR="00274C27" w:rsidRPr="0036635A">
        <w:rPr>
          <w:color w:val="0432FF"/>
        </w:rPr>
        <w:t>)</w:t>
      </w:r>
      <w:r w:rsidR="00587878" w:rsidRPr="0036635A">
        <w:rPr>
          <w:color w:val="0432FF"/>
        </w:rPr>
        <w:t xml:space="preserve"> found </w:t>
      </w:r>
      <w:r w:rsidR="00411B22">
        <w:rPr>
          <w:color w:val="0432FF"/>
        </w:rPr>
        <w:t>a summary relative r</w:t>
      </w:r>
      <w:r w:rsidR="0036635A">
        <w:rPr>
          <w:color w:val="0432FF"/>
        </w:rPr>
        <w:t>i</w:t>
      </w:r>
      <w:r w:rsidR="00411B22">
        <w:rPr>
          <w:color w:val="0432FF"/>
        </w:rPr>
        <w:t>s</w:t>
      </w:r>
      <w:r w:rsidR="0036635A">
        <w:rPr>
          <w:color w:val="0432FF"/>
        </w:rPr>
        <w:t>k</w:t>
      </w:r>
      <w:r w:rsidR="0036635A" w:rsidRPr="0036635A">
        <w:rPr>
          <w:color w:val="0432FF"/>
        </w:rPr>
        <w:t xml:space="preserve"> of 1.04 (95% CI: 1.02-1.06) per 10 ng/ml increment in ci</w:t>
      </w:r>
      <w:r w:rsidR="0036635A">
        <w:rPr>
          <w:color w:val="0432FF"/>
        </w:rPr>
        <w:t>rculating 25(OH)D concentration</w:t>
      </w:r>
      <w:r w:rsidR="0035350B"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{"citationID":"bP6FMCvm","properties":{"formattedCitation":"\\super 4\\nosupersub{}","plainCitation":"4","noteIndex":0},"citationItems":[{"id":2812,"uris":["http://zotero.org/users/local/6qce9xwG/items/5U3QPCDV"],"uri":["http://zotero.org/users/local/6qce9xwG/items/5U3QPCDV"],"itemData":{"id":2812,"type":"article-journal","title":"Circulating vitamin D concentration and risk of prostate cancer: a dose-response meta-analysis of prospective studies","container-title":"Therapeutics and Clinical Risk Management","page":"95-104","volume":"14","source":"PubMed","abstract":"Background: Though many studies have been performed to elucidate the association between circulating vitamin D and prostate cancer, no conclusive result is available. We carried out a dose-response meta-analysis to quantitatively examine the association of circulating 25-hydroxyvitamin D (25[OH]D) concentration with prostate cancer.\nMethods: Only prospective studies examining the associations of circulating 25[OH]D concentration with prostate cancer were eligible for the meta-analysis. A random-effect meta-analysis was done first, to calculate the summary relative risk (RR) and 95% confidence intervals (CIs) comparing the higher concentration with the lower concentration of 25[OH]D. A dose-response meta-analysis using random-effects model was then carried out to evaluate the nonlinearity and calculate the summary RR caused per 10 ng/mL increment.\nResults: Nineteen prospective cohort or nested case-control studies were included. Higher 25[OH]D concentration was significantly correlated with elevated risk of prostate cancer (RR =1.15, 95% CI 1.06-1.24). No nonlinear relationship was found between 25[OH]D concentration and risk of prostate cancer (P=0.654). Dose-response meta-analysis showed that the summary RR caused per 10 ng/mL increment in circulating 25[OH]D concentration was 1.04 (95% CI 1.02-1.06). Subgroup analysis also found a modest dose-response relationship. Funnel plot and Egger's test did not detect publication bias.\nConclusion: The findings suggest that highest 25[OH]D concentration is correlated with elevated risk of prostate cancer and a modest dose-response effect exists in this association; however, more studies are needed.","DOI":"10.2147/TCRM.S149325","ISSN":"1176-6336","note":"PMID: 29386901\nPMCID: PMC5767091","shortTitle":"Circulating vitamin D concentration and risk of prostate cancer","journalAbbreviation":"Ther Clin Risk Manag","language":"eng","author":[{"family":"Gao","given":"Jialin"},{"family":"Wei","given":"Wei"},{"family":"Wang","given":"Gang"},{"family":"Zhou","given":"Honglan"},{"family":"Fu","given":"Yaowen"},{"family":"Liu","given":"Nian"}],"issued":{"date-parts":[["2018"]]}}}],"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4</w:t>
      </w:r>
      <w:r w:rsidR="00987F80" w:rsidRPr="001F1589">
        <w:rPr>
          <w:color w:val="000000" w:themeColor="text1"/>
        </w:rPr>
        <w:fldChar w:fldCharType="end"/>
      </w:r>
      <w:r w:rsidR="0032258B" w:rsidRPr="001F1589">
        <w:rPr>
          <w:color w:val="000000" w:themeColor="text1"/>
        </w:rPr>
        <w:t xml:space="preserve"> </w:t>
      </w:r>
      <w:r w:rsidR="00E2066B" w:rsidRPr="001F1589">
        <w:rPr>
          <w:color w:val="000000" w:themeColor="text1"/>
          <w:lang w:val="en-GB"/>
        </w:rPr>
        <w:t xml:space="preserve">Inferring causality </w:t>
      </w:r>
      <w:r w:rsidR="00A42DE4" w:rsidRPr="001F1589">
        <w:rPr>
          <w:color w:val="000000" w:themeColor="text1"/>
        </w:rPr>
        <w:t xml:space="preserve">from </w:t>
      </w:r>
      <w:r w:rsidR="00406DAF">
        <w:rPr>
          <w:color w:val="000000" w:themeColor="text1"/>
        </w:rPr>
        <w:t xml:space="preserve">such </w:t>
      </w:r>
      <w:r w:rsidR="001F40EF" w:rsidRPr="001F1589">
        <w:rPr>
          <w:color w:val="000000" w:themeColor="text1"/>
        </w:rPr>
        <w:t xml:space="preserve">studies </w:t>
      </w:r>
      <w:r w:rsidR="00E2066B" w:rsidRPr="001F1589">
        <w:rPr>
          <w:color w:val="000000" w:themeColor="text1"/>
        </w:rPr>
        <w:t xml:space="preserve">is </w:t>
      </w:r>
      <w:r w:rsidR="007936C7" w:rsidRPr="001F1589">
        <w:rPr>
          <w:color w:val="000000" w:themeColor="text1"/>
        </w:rPr>
        <w:t>challenging</w:t>
      </w:r>
      <w:r w:rsidR="00E2066B" w:rsidRPr="001F1589">
        <w:rPr>
          <w:color w:val="000000" w:themeColor="text1"/>
        </w:rPr>
        <w:t xml:space="preserve"> because it is difficult to exclude </w:t>
      </w:r>
      <w:r w:rsidR="00690C51" w:rsidRPr="001F1589">
        <w:rPr>
          <w:color w:val="000000" w:themeColor="text1"/>
        </w:rPr>
        <w:t>reverse causality</w:t>
      </w:r>
      <w:r w:rsidR="000561D6">
        <w:rPr>
          <w:color w:val="000000" w:themeColor="text1"/>
        </w:rPr>
        <w:t>, confounding</w:t>
      </w:r>
      <w:r w:rsidR="00481E11" w:rsidRPr="001F1589">
        <w:rPr>
          <w:color w:val="000000" w:themeColor="text1"/>
        </w:rPr>
        <w:t xml:space="preserve"> </w:t>
      </w:r>
      <w:r w:rsidR="000E57A6" w:rsidRPr="001F1589">
        <w:rPr>
          <w:color w:val="000000" w:themeColor="text1"/>
        </w:rPr>
        <w:t xml:space="preserve">or </w:t>
      </w:r>
      <w:r w:rsidR="00587B9F" w:rsidRPr="001F1589">
        <w:rPr>
          <w:color w:val="000000" w:themeColor="text1"/>
        </w:rPr>
        <w:t>measurement error</w:t>
      </w:r>
      <w:r w:rsidR="00FA128F" w:rsidRPr="001F1589">
        <w:rPr>
          <w:color w:val="000000" w:themeColor="text1"/>
        </w:rPr>
        <w:t>.</w:t>
      </w:r>
    </w:p>
    <w:p w14:paraId="49707A30" w14:textId="7673D17C" w:rsidR="00F84527" w:rsidRPr="001F1589" w:rsidRDefault="00191A6B" w:rsidP="005F7BB1">
      <w:pPr>
        <w:spacing w:after="120" w:line="480" w:lineRule="auto"/>
        <w:jc w:val="both"/>
        <w:rPr>
          <w:color w:val="000000" w:themeColor="text1"/>
        </w:rPr>
      </w:pPr>
      <w:r w:rsidRPr="001F1589">
        <w:rPr>
          <w:color w:val="000000" w:themeColor="text1"/>
        </w:rPr>
        <w:t>Although</w:t>
      </w:r>
      <w:r w:rsidR="00090F49" w:rsidRPr="001F1589">
        <w:rPr>
          <w:color w:val="000000" w:themeColor="text1"/>
        </w:rPr>
        <w:t xml:space="preserve"> the </w:t>
      </w:r>
      <w:r w:rsidR="00E2066B" w:rsidRPr="001F1589">
        <w:rPr>
          <w:color w:val="000000" w:themeColor="text1"/>
        </w:rPr>
        <w:t>effect</w:t>
      </w:r>
      <w:r w:rsidR="006F6134" w:rsidRPr="001F1589">
        <w:rPr>
          <w:color w:val="000000" w:themeColor="text1"/>
        </w:rPr>
        <w:t xml:space="preserve"> </w:t>
      </w:r>
      <w:r w:rsidRPr="001F1589">
        <w:rPr>
          <w:color w:val="000000" w:themeColor="text1"/>
        </w:rPr>
        <w:t>o</w:t>
      </w:r>
      <w:r w:rsidR="004B1BC4" w:rsidRPr="001F1589">
        <w:rPr>
          <w:color w:val="000000" w:themeColor="text1"/>
        </w:rPr>
        <w:t xml:space="preserve">f </w:t>
      </w:r>
      <w:r w:rsidR="00E2066B" w:rsidRPr="001F1589">
        <w:rPr>
          <w:color w:val="000000" w:themeColor="text1"/>
        </w:rPr>
        <w:t xml:space="preserve">circulating </w:t>
      </w:r>
      <w:r w:rsidR="00090F49" w:rsidRPr="001F1589">
        <w:rPr>
          <w:color w:val="000000" w:themeColor="text1"/>
        </w:rPr>
        <w:t>25(OH)D</w:t>
      </w:r>
      <w:r w:rsidR="006F6134" w:rsidRPr="001F1589">
        <w:rPr>
          <w:color w:val="000000" w:themeColor="text1"/>
        </w:rPr>
        <w:t xml:space="preserve"> </w:t>
      </w:r>
      <w:r w:rsidR="00E2066B" w:rsidRPr="001F1589">
        <w:rPr>
          <w:color w:val="000000" w:themeColor="text1"/>
        </w:rPr>
        <w:t>o</w:t>
      </w:r>
      <w:r w:rsidRPr="001F1589">
        <w:rPr>
          <w:color w:val="000000" w:themeColor="text1"/>
        </w:rPr>
        <w:t>n</w:t>
      </w:r>
      <w:r w:rsidR="00972536" w:rsidRPr="001F1589">
        <w:rPr>
          <w:color w:val="000000" w:themeColor="text1"/>
        </w:rPr>
        <w:t xml:space="preserve"> can</w:t>
      </w:r>
      <w:r w:rsidR="00090F49" w:rsidRPr="001F1589">
        <w:rPr>
          <w:color w:val="000000" w:themeColor="text1"/>
        </w:rPr>
        <w:t>cer risk can</w:t>
      </w:r>
      <w:r w:rsidR="00972536" w:rsidRPr="001F1589">
        <w:rPr>
          <w:color w:val="000000" w:themeColor="text1"/>
        </w:rPr>
        <w:t xml:space="preserve"> be demonstrated</w:t>
      </w:r>
      <w:r w:rsidRPr="001F1589">
        <w:rPr>
          <w:color w:val="000000" w:themeColor="text1"/>
        </w:rPr>
        <w:t xml:space="preserve"> by traditional randomized controlled t</w:t>
      </w:r>
      <w:r w:rsidR="0082740F" w:rsidRPr="001F1589">
        <w:rPr>
          <w:color w:val="000000" w:themeColor="text1"/>
        </w:rPr>
        <w:t xml:space="preserve">rials (RCT), </w:t>
      </w:r>
      <w:r w:rsidR="00972536" w:rsidRPr="001F1589">
        <w:rPr>
          <w:color w:val="000000" w:themeColor="text1"/>
        </w:rPr>
        <w:t>large-scale RCT</w:t>
      </w:r>
      <w:r w:rsidR="0082740F" w:rsidRPr="001F1589">
        <w:rPr>
          <w:color w:val="000000" w:themeColor="text1"/>
        </w:rPr>
        <w:t>s</w:t>
      </w:r>
      <w:r w:rsidR="00972536" w:rsidRPr="001F1589">
        <w:rPr>
          <w:color w:val="000000" w:themeColor="text1"/>
        </w:rPr>
        <w:t xml:space="preserve"> are not currently </w:t>
      </w:r>
      <w:r w:rsidR="00DC37CA" w:rsidRPr="001F1589">
        <w:rPr>
          <w:color w:val="000000" w:themeColor="text1"/>
        </w:rPr>
        <w:t>wide</w:t>
      </w:r>
      <w:r w:rsidR="003F787D" w:rsidRPr="001F1589">
        <w:rPr>
          <w:color w:val="000000" w:themeColor="text1"/>
        </w:rPr>
        <w:t xml:space="preserve">ly available </w:t>
      </w:r>
      <w:r w:rsidR="0094674B">
        <w:rPr>
          <w:color w:val="000000" w:themeColor="text1"/>
        </w:rPr>
        <w:t xml:space="preserve">due to </w:t>
      </w:r>
      <w:r w:rsidR="0082740F" w:rsidRPr="001F1589">
        <w:rPr>
          <w:color w:val="000000" w:themeColor="text1"/>
        </w:rPr>
        <w:t>high cost and long duration</w:t>
      </w:r>
      <w:r w:rsidR="00986B23" w:rsidRPr="001F1589">
        <w:rPr>
          <w:color w:val="000000" w:themeColor="text1"/>
        </w:rPr>
        <w:t xml:space="preserve">. </w:t>
      </w:r>
      <w:r w:rsidR="00F84527" w:rsidRPr="001F1589">
        <w:rPr>
          <w:color w:val="000000" w:themeColor="text1"/>
        </w:rPr>
        <w:t>In the</w:t>
      </w:r>
      <w:r w:rsidR="00E1391D">
        <w:rPr>
          <w:color w:val="000000" w:themeColor="text1"/>
        </w:rPr>
        <w:t xml:space="preserve"> Women’s Health Initiative</w:t>
      </w:r>
      <w:r w:rsidR="00F84527" w:rsidRPr="001F1589">
        <w:rPr>
          <w:color w:val="000000" w:themeColor="text1"/>
        </w:rPr>
        <w:t xml:space="preserve"> trial, 36,282 postmenopausal women were randomized to 400 IU vitamin D</w:t>
      </w:r>
      <w:r w:rsidR="00F91D13" w:rsidRPr="001F1589">
        <w:rPr>
          <w:color w:val="000000" w:themeColor="text1"/>
        </w:rPr>
        <w:t xml:space="preserve"> </w:t>
      </w:r>
      <w:r w:rsidR="00F84527" w:rsidRPr="001F1589">
        <w:rPr>
          <w:color w:val="000000" w:themeColor="text1"/>
        </w:rPr>
        <w:t>or placebo</w:t>
      </w:r>
      <w:r w:rsidR="00E91216" w:rsidRPr="001F1589">
        <w:rPr>
          <w:color w:val="000000" w:themeColor="text1"/>
        </w:rPr>
        <w:t xml:space="preserve">, </w:t>
      </w:r>
      <w:r w:rsidR="00587B9F" w:rsidRPr="001F1589">
        <w:rPr>
          <w:color w:val="000000" w:themeColor="text1"/>
        </w:rPr>
        <w:t>and a</w:t>
      </w:r>
      <w:r w:rsidR="009B0814" w:rsidRPr="001F1589">
        <w:rPr>
          <w:color w:val="000000" w:themeColor="text1"/>
        </w:rPr>
        <w:t xml:space="preserve"> </w:t>
      </w:r>
      <w:r w:rsidR="00E91216" w:rsidRPr="001F1589">
        <w:rPr>
          <w:color w:val="000000" w:themeColor="text1"/>
        </w:rPr>
        <w:t>hazard ratio of 0.96 (</w:t>
      </w:r>
      <w:r w:rsidR="003F787D" w:rsidRPr="001F1589">
        <w:rPr>
          <w:color w:val="000000" w:themeColor="text1"/>
        </w:rPr>
        <w:t xml:space="preserve">95%CI: </w:t>
      </w:r>
      <w:r w:rsidR="00E91216" w:rsidRPr="001F1589">
        <w:rPr>
          <w:color w:val="000000" w:themeColor="text1"/>
        </w:rPr>
        <w:t>0.85-1.09</w:t>
      </w:r>
      <w:r w:rsidR="001F5D4C" w:rsidRPr="001F1589">
        <w:rPr>
          <w:color w:val="000000" w:themeColor="text1"/>
        </w:rPr>
        <w:t>, P=0.55</w:t>
      </w:r>
      <w:r w:rsidR="00E91216" w:rsidRPr="001F1589">
        <w:rPr>
          <w:color w:val="000000" w:themeColor="text1"/>
        </w:rPr>
        <w:t xml:space="preserve">) for breast cancer was </w:t>
      </w:r>
      <w:r w:rsidR="004B1BC4" w:rsidRPr="001F1589">
        <w:rPr>
          <w:color w:val="000000" w:themeColor="text1"/>
        </w:rPr>
        <w:t>observe</w:t>
      </w:r>
      <w:r w:rsidR="006D348E" w:rsidRPr="001F1589">
        <w:rPr>
          <w:color w:val="000000" w:themeColor="text1"/>
        </w:rPr>
        <w:t>d</w:t>
      </w:r>
      <w:r w:rsidR="009B0814" w:rsidRPr="001F1589">
        <w:rPr>
          <w:color w:val="000000" w:themeColor="text1"/>
        </w:rPr>
        <w:t xml:space="preserve"> </w:t>
      </w:r>
      <w:r w:rsidR="003C69A7" w:rsidRPr="001F1589">
        <w:rPr>
          <w:color w:val="000000" w:themeColor="text1"/>
        </w:rPr>
        <w:t xml:space="preserve">after 7 </w:t>
      </w:r>
      <w:r w:rsidR="00587B9F" w:rsidRPr="001F1589">
        <w:rPr>
          <w:color w:val="000000" w:themeColor="text1"/>
        </w:rPr>
        <w:t>years’ follow up</w:t>
      </w:r>
      <w:r w:rsidR="00E91216"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{"citationID":"KGHBS8kt","properties":{"formattedCitation":"\\super 5\\nosupersub{}","plainCitation":"5","noteIndex":0},"citationItems":[{"id":2816,"uris":["http://zotero.org/users/local/6qce9xwG/items/QW5Q6A5J"],"uri":["http://zotero.org/users/local/6qce9xwG/items/QW5Q6A5J"],"itemData":{"id":2816,"type":"article-journal","title":"The Effect of Calcium plus Vitamin D on Risk for Invasive Cancer: Results of the Women's Health Initiative (WHI) Calcium Plus Vitamin D Randomized Clinical Trial","container-title":"Nutrition and Cancer","page":"827-841","volume":"63","issue":"6","source":"Taylor and Francis+NEJM","abstract":"In the Women's Health Initiative (WHI) trial of calcium plus vitamin D (CaD), we examined the treatment effect on incidence and mortality for all invasive cancers. Postmenopausal women (N = 36,282) were randomized to 1,000 mg of elemental calcium with 400 IU vitamin D3 or placebo. Cox models estimated risk of cancer incidence and mortality. After 7.0 yr, 1,306 invasive cancers were diagnosed in the supplement and 1,333 in the placebo group [hazard ratio (HR) = 0.98; CI = 0.90, 1.05, unweighted P = 0.54]. Mortality did not differ between supplement (315, annualized% = .26) and placebo [(347, 0.28%; P = 0.17; HR = 0.90 (0.77, 1.05)]. Significant treatment interactions on incident cancer were found for family history of cancer, personal total intake of vitamin D, smoking, and WHI dietary trial randomized group. Calcium/vitamin D supplementation did not reduce invasive cancer incidence or mortality. Supplementation lowered cancer risk in the WHI healthy diet trial arm and in women without a first-degree relative with cancer. The interactions are only suggestive given multiple testing considerations. The low vitamin D dose provided, limited adherence, and lack of serum 25(OH)D values should be considered when interpreting these findings.","DOI":"10.1080/01635581.2011.594208","ISSN":"0163-5581","note":"PMID: 21774589","shortTitle":"The Effect of Calcium plus Vitamin D on Risk for Invasive Cancer","author":[{"family":"Brunner","given":"Robert L."},{"family":"Wactawski-Wende","given":"Jean"},{"family":"Caan","given":"Bette J."},{"family":"Cochrane","given":"Barbara B."},{"family":"Chlebowski","given":"Rowan T."},{"family":"Gass","given":"Margery L. S."},{"family":"Jacobs","given":"Elizabeth T."},{"family":"LaCroix","given":"Andrea Z."},{"family":"Lane","given":"Dorothy"},{"family":"Larson","given":"Joseph"},{"family":"Margolis","given":"Karen L."},{"family":"Millen","given":"Amy E."},{"family":"Sarto","given":"Gloria E."},{"family":"Vitolins","given":"Mara Z."},{"family":"Wallace","given":"Robert B."}],"issued":{"date-parts":[["2011",8,1]]}}}],"schema":"https://github.com/citation-style-language/schema/raw/master/csl-citation.json"}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5</w:t>
      </w:r>
      <w:r w:rsidR="00987F80" w:rsidRPr="001F1589">
        <w:rPr>
          <w:color w:val="000000" w:themeColor="text1"/>
        </w:rPr>
        <w:fldChar w:fldCharType="end"/>
      </w:r>
      <w:r w:rsidR="009B0814" w:rsidRPr="001F1589">
        <w:rPr>
          <w:color w:val="000000" w:themeColor="text1"/>
        </w:rPr>
        <w:t xml:space="preserve"> </w:t>
      </w:r>
      <w:r w:rsidR="00D600DE" w:rsidRPr="001F1589">
        <w:rPr>
          <w:color w:val="000000" w:themeColor="text1"/>
        </w:rPr>
        <w:t>For prostate cancer,</w:t>
      </w:r>
      <w:r w:rsidR="00A02ABF" w:rsidRPr="001F1589">
        <w:rPr>
          <w:color w:val="000000" w:themeColor="text1"/>
        </w:rPr>
        <w:t xml:space="preserve"> only </w:t>
      </w:r>
      <w:r w:rsidR="00D600DE" w:rsidRPr="001F1589">
        <w:rPr>
          <w:color w:val="000000" w:themeColor="text1"/>
        </w:rPr>
        <w:t xml:space="preserve">two </w:t>
      </w:r>
      <w:r w:rsidR="00B41490" w:rsidRPr="001F1589">
        <w:rPr>
          <w:color w:val="000000" w:themeColor="text1"/>
        </w:rPr>
        <w:t>comprehensiv</w:t>
      </w:r>
      <w:r w:rsidR="0095261B" w:rsidRPr="001F1589">
        <w:rPr>
          <w:color w:val="000000" w:themeColor="text1"/>
        </w:rPr>
        <w:t xml:space="preserve">e ongoing </w:t>
      </w:r>
      <w:r w:rsidR="00A02ABF" w:rsidRPr="001F1589">
        <w:rPr>
          <w:color w:val="000000" w:themeColor="text1"/>
        </w:rPr>
        <w:t>trial</w:t>
      </w:r>
      <w:r w:rsidR="00D600DE" w:rsidRPr="001F1589">
        <w:rPr>
          <w:color w:val="000000" w:themeColor="text1"/>
        </w:rPr>
        <w:t>s</w:t>
      </w:r>
      <w:r w:rsidR="006F6134" w:rsidRPr="001F1589">
        <w:rPr>
          <w:color w:val="000000" w:themeColor="text1"/>
        </w:rPr>
        <w:t xml:space="preserve"> </w:t>
      </w:r>
      <w:r w:rsidR="00ED3965" w:rsidRPr="001F1589">
        <w:rPr>
          <w:color w:val="000000" w:themeColor="text1"/>
        </w:rPr>
        <w:t>involving both men and women</w:t>
      </w:r>
      <w:r w:rsidR="00781B09" w:rsidRPr="001F1589">
        <w:rPr>
          <w:color w:val="000000" w:themeColor="text1"/>
        </w:rPr>
        <w:t>,</w:t>
      </w:r>
      <w:r w:rsidR="00D52736" w:rsidRPr="001F1589">
        <w:rPr>
          <w:color w:val="000000" w:themeColor="text1"/>
        </w:rPr>
        <w:t xml:space="preserve"> </w:t>
      </w:r>
      <w:r w:rsidR="00A02ABF" w:rsidRPr="001F1589">
        <w:rPr>
          <w:color w:val="000000" w:themeColor="text1"/>
        </w:rPr>
        <w:t>th</w:t>
      </w:r>
      <w:r w:rsidR="004B1BC4" w:rsidRPr="001F1589">
        <w:rPr>
          <w:color w:val="000000" w:themeColor="text1"/>
        </w:rPr>
        <w:t xml:space="preserve">e “VITAL” launched in 2010 </w:t>
      </w:r>
      <w:r w:rsidR="00E1391D">
        <w:rPr>
          <w:color w:val="000000" w:themeColor="text1"/>
        </w:rPr>
        <w:t>(</w:t>
      </w:r>
      <w:r w:rsidR="00F95F37">
        <w:rPr>
          <w:color w:val="000000" w:themeColor="text1"/>
        </w:rPr>
        <w:t>N=</w:t>
      </w:r>
      <w:r w:rsidR="00A02ABF" w:rsidRPr="001F1589">
        <w:rPr>
          <w:color w:val="000000" w:themeColor="text1"/>
        </w:rPr>
        <w:t>25,871</w:t>
      </w:r>
      <w:r w:rsidR="00E1391D">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{"citationID":"eOxn0ki2","properties":{"formattedCitation":"\\super 6\\nosupersub{}","plainCitation":"6","noteIndex":0},"citationItems":[{"id":2821,"uris":["http://zotero.org/users/local/6qce9xwG/items/VWQC2XYX"],"uri":["http://zotero.org/users/local/6qce9xwG/items/VWQC2XYX"],"itemData":{"id":2821,"type":"article-journal","title":"The VITamin D and OmegA-3 TriaL (VITAL): rationale and design of a large randomized controlled trial of vitamin D and marine omega-3 fatty acid supplements for the primary prevention of cancer and cardiovascular disease","container-title":"Contemporary Clinical Trials","page":"159-171","volume":"33","issue":"1","source":"PubMed","abstract":"Data from laboratory studies, observational research, and/or secondary prevention trials suggest that vitamin D and marine omega-3 fatty acids may reduce risk for cancer or cardiovascular disease (CVD), but primary prevention trials with adequate dosing in general populations (i.e., unselected for disease risk) are lacking. The ongoing VITamin D and OmegA-3 TriaL (VITAL) is a large randomized, double-blind, placebo-controlled, 2 x 2 factorial trial of vitamin D (in the form of vitamin D(3) [cholecalciferol], 2000 IU/day) and marine omega-3 fatty acid (Omacor fi</w:instrText>
      </w:r>
      <w:r w:rsidR="00A344A4" w:rsidRPr="001F1589">
        <w:rPr>
          <w:rFonts w:hint="eastAsia"/>
          <w:color w:val="000000" w:themeColor="text1"/>
        </w:rPr>
        <w:instrText xml:space="preserve">sh oil, eicosapentaenoic acid [EPA]+docosahexaenoic acid [DHA], 1g/day) supplements in the primary prevention of cancer and CVD among a multi-ethnic population of 20,000 U.S. men aged </w:instrText>
      </w:r>
      <w:r w:rsidR="00A344A4" w:rsidRPr="001F1589">
        <w:rPr>
          <w:rFonts w:hint="eastAsia"/>
          <w:color w:val="000000" w:themeColor="text1"/>
        </w:rPr>
        <w:instrText>≥</w:instrText>
      </w:r>
      <w:r w:rsidR="00A344A4" w:rsidRPr="001F1589">
        <w:rPr>
          <w:rFonts w:hint="eastAsia"/>
          <w:color w:val="000000" w:themeColor="text1"/>
        </w:rPr>
        <w:instrText xml:space="preserve"> 50 and women aged </w:instrText>
      </w:r>
      <w:r w:rsidR="00A344A4" w:rsidRPr="001F1589">
        <w:rPr>
          <w:rFonts w:hint="eastAsia"/>
          <w:color w:val="000000" w:themeColor="text1"/>
        </w:rPr>
        <w:instrText>≥</w:instrText>
      </w:r>
      <w:r w:rsidR="00A344A4" w:rsidRPr="001F1589">
        <w:rPr>
          <w:rFonts w:hint="eastAsia"/>
          <w:color w:val="000000" w:themeColor="text1"/>
        </w:rPr>
        <w:instrText xml:space="preserve"> 55. The mean treatment period will be 5 years. Ba</w:instrText>
      </w:r>
      <w:r w:rsidR="00A344A4" w:rsidRPr="001F1589">
        <w:rPr>
          <w:color w:val="000000" w:themeColor="text1"/>
        </w:rPr>
        <w:instrText xml:space="preserve">seline blood samples will be collected in at least 16,000 participants, with follow-up blood collection in about 6000 participants. Yearly follow-up questionnaires will assess treatment compliance (plasma biomarker measures will also assess compliance in a random sample of participants), use of non-study drugs or supplements, occurrence of endpoints, and cancer and vascular risk factors. Self-reported endpoints will be confirmed by medical record review by physicians blinded to treatment assignment, and deaths will be ascertained through national registries and other sources. Ancillary studies will investigate whether these agents affect risk for diabetes and glucose intolerance; hypertension; cognitive decline; depression; osteoporosis and fracture; physical disability and falls; asthma and other respiratory diseases; infections; and rheumatoid arthritis, systemic lupus erythematosus, thyroid diseases, and other autoimmune disorders.","DOI":"10.1016/j.cct.2011.09.009","ISSN":"1559-2030","note":"PMID: 21986389\nPMCID: PMC3253961","shortTitle":"The VITamin D and OmegA-3 TriaL (VITAL)","journalAbbreviation":"Contemp Clin Trials","language":"eng","author":[{"family":"Manson","given":"Joann E."},{"family":"Bassuk","given":"Shari S."},{"family":"Lee","given":"I.-Min"},{"family":"Cook","given":"Nancy R."},{"family":"Albert","given":"Michelle A."},{"family":"Gordon","given":"David"},{"family":"Zaharris","given":"Elaine"},{"family":"Macfadyen","given":"Jean G."},{"family":"Danielson","given":"Eleanor"},{"family":"Lin","given":"Jennifer"},{"family":"Zhang","given":"Shumin M."},{"family":"Buring","given":"Julie E."}],"issued":{"date-parts":[["2012",1]]}}}],"schema":"https://github.com/citation-style-language/schema/raw/master/csl-citation.json"}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6</w:t>
      </w:r>
      <w:r w:rsidR="00987F80" w:rsidRPr="001F1589">
        <w:rPr>
          <w:color w:val="000000" w:themeColor="text1"/>
        </w:rPr>
        <w:fldChar w:fldCharType="end"/>
      </w:r>
      <w:r w:rsidR="00D600DE" w:rsidRPr="001F1589">
        <w:rPr>
          <w:color w:val="000000" w:themeColor="text1"/>
        </w:rPr>
        <w:t xml:space="preserve"> and the “D-Health”</w:t>
      </w:r>
      <w:r w:rsidR="006F6134" w:rsidRPr="001F1589">
        <w:rPr>
          <w:color w:val="000000" w:themeColor="text1"/>
        </w:rPr>
        <w:t xml:space="preserve"> </w:t>
      </w:r>
      <w:r w:rsidR="004B1BC4" w:rsidRPr="001F1589">
        <w:rPr>
          <w:color w:val="000000" w:themeColor="text1"/>
        </w:rPr>
        <w:t xml:space="preserve">launched in 2014 </w:t>
      </w:r>
      <w:r w:rsidR="00E1391D">
        <w:rPr>
          <w:color w:val="000000" w:themeColor="text1"/>
        </w:rPr>
        <w:t>(</w:t>
      </w:r>
      <w:r w:rsidR="00804250">
        <w:rPr>
          <w:color w:val="000000" w:themeColor="text1"/>
        </w:rPr>
        <w:t>N=21,315</w:t>
      </w:r>
      <w:r w:rsidR="00E1391D">
        <w:rPr>
          <w:color w:val="000000" w:themeColor="text1"/>
        </w:rPr>
        <w:t>)</w:t>
      </w:r>
      <w:r w:rsidR="004E42EB"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{"citationID":"RcTzWX32","properties":{"formattedCitation":"\\super 7\\nosupersub{}","plainCitation":"7","noteIndex":0},"citationItems":[{"id":2819,"uris":["http://zotero.org/users/local/6qce9xwG/items/HM2L3AWA"],"uri":["http://zotero.org/users/local/6qce9xwG/items/HM2L3AWA"],"itemData":{"id":2819,"type":"article-journal","title":"The D-Health Trial: A randomized trial of vitamin D for prevention of mortality and cancer","container-title":"Contemporary Clinical Trials","page":"83-90","volume":"48","source":"PubMed","abstract":"BACKGROUND: Vitamin D, specifically serum 25(OH)D has been associated with mortality, cancer and multiple other health endpoints in observational studies, but there is a paucity of clinical trial evidence sufficient to determine the safety and effectiveness of population-wide supplementation. We have therefore launched the D-Health Trial, a randomized trial of vitamin D supplementation for prevention of mortality and cancer. Here we report the methods and describe the trial cohort.\nMETHODS: The D-Health Trial is a randomized placebo-controlled trial, with planned intervention for 5years and a further 5years of passive follow-up through linkage with health and death registers. Participants aged 65-84years were recruited from the general population of Australia. The intervention is monthly oral doses of 60,000IU of cholecalciferol or matching placebo. The primary outcome is all-cause mortality. Secondary outcomes are total cancer incidence and colorectal cancer incidence.\nRESULTS: We recruited 21,315 participants to the trial between February 2014 and May 2015. The participants in the two arms of the trial were well-balanced at baseline. Comparison with Australian population statistics shows that the trial participants were less likely to report being in fair or poor health, to be current smokers or to have diabetes than the Australian population. However, the proportion overweight or with health conditions such as arthritis and angina was similar.\nCONCLUSIONS: Observational data cannot be considered sufficient to support interventions delivered at a population level. Large-scale randomized trials such as the D-Health Trial are needed to inform public health policy and practice.","DOI":"10.1016/j.cct.2016.04.005","ISSN":"1559-2030","note":"PMID: 27086041","shortTitle":"The D-Health Trial","journalAbbreviation":"Contemp Clin Trials","language":"eng","author":[{"family":"Neale","given":"R. E."},{"family":"Armstrong","given":"B. K."},{"family":"Baxter","given":"C."},{"family":"Duarte Romero","given":"B."},{"family":"Ebeling","given":"P."},{"family":"English","given":"D. R."},{"family":"Kimlin","given":"M. G."},{"family":"McLeod","given":"D. S. A."},{"family":"O Connell","given":"R. L."},{"family":"Pols","given":"J. C.","non-dropping-particle":"van der"},{"family":"Venn","given":"A. J."},{"family":"Webb","given":"P. M."},{"family":"Whiteman","given":"D. C."},{"family":"Wockner","given":"L."}],"issued":{"date-parts":[["2016"]]}}}],"schema":"https://github.com/citation-style-language/schema/raw/master/csl-citation.json"}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7</w:t>
      </w:r>
      <w:r w:rsidR="00987F80" w:rsidRPr="001F1589">
        <w:rPr>
          <w:color w:val="000000" w:themeColor="text1"/>
        </w:rPr>
        <w:fldChar w:fldCharType="end"/>
      </w:r>
      <w:r w:rsidR="009B0814" w:rsidRPr="001F1589">
        <w:rPr>
          <w:color w:val="000000" w:themeColor="text1"/>
        </w:rPr>
        <w:t xml:space="preserve"> </w:t>
      </w:r>
      <w:r w:rsidR="00E2066B" w:rsidRPr="001F1589">
        <w:rPr>
          <w:color w:val="000000" w:themeColor="text1"/>
        </w:rPr>
        <w:t xml:space="preserve">will </w:t>
      </w:r>
      <w:r w:rsidR="00B929B7" w:rsidRPr="001F1589">
        <w:rPr>
          <w:color w:val="000000" w:themeColor="text1"/>
        </w:rPr>
        <w:t xml:space="preserve">provide an opportunity to </w:t>
      </w:r>
      <w:r w:rsidR="00DC37CA" w:rsidRPr="001F1589">
        <w:rPr>
          <w:color w:val="000000" w:themeColor="text1"/>
        </w:rPr>
        <w:t xml:space="preserve">clarify the role of vitamin D </w:t>
      </w:r>
      <w:r w:rsidR="00943A77" w:rsidRPr="001F1589">
        <w:rPr>
          <w:color w:val="000000" w:themeColor="text1"/>
        </w:rPr>
        <w:t>o</w:t>
      </w:r>
      <w:r w:rsidR="00DC37CA" w:rsidRPr="001F1589">
        <w:rPr>
          <w:color w:val="000000" w:themeColor="text1"/>
        </w:rPr>
        <w:t xml:space="preserve">n </w:t>
      </w:r>
      <w:r w:rsidR="00C119DE" w:rsidRPr="001F1589">
        <w:rPr>
          <w:color w:val="000000" w:themeColor="text1"/>
        </w:rPr>
        <w:t xml:space="preserve">male </w:t>
      </w:r>
      <w:r w:rsidR="00DB538E" w:rsidRPr="001F1589">
        <w:rPr>
          <w:color w:val="000000" w:themeColor="text1"/>
        </w:rPr>
        <w:t>health outcomes upon</w:t>
      </w:r>
      <w:r w:rsidR="00DC37CA" w:rsidRPr="001F1589">
        <w:rPr>
          <w:color w:val="000000" w:themeColor="text1"/>
        </w:rPr>
        <w:t xml:space="preserve"> completion</w:t>
      </w:r>
      <w:r w:rsidR="00BD6144" w:rsidRPr="001F1589">
        <w:rPr>
          <w:color w:val="000000" w:themeColor="text1"/>
        </w:rPr>
        <w:t xml:space="preserve">. </w:t>
      </w:r>
      <w:r w:rsidR="00A91052" w:rsidRPr="001F1589">
        <w:rPr>
          <w:color w:val="000000" w:themeColor="text1"/>
        </w:rPr>
        <w:t xml:space="preserve">Yet, both </w:t>
      </w:r>
      <w:r w:rsidR="005F3426" w:rsidRPr="001F1589">
        <w:rPr>
          <w:color w:val="000000" w:themeColor="text1"/>
        </w:rPr>
        <w:t xml:space="preserve">RCTs </w:t>
      </w:r>
      <w:r w:rsidR="00A91052" w:rsidRPr="001F1589">
        <w:rPr>
          <w:color w:val="000000" w:themeColor="text1"/>
        </w:rPr>
        <w:t>are like</w:t>
      </w:r>
      <w:r w:rsidR="00C119DE" w:rsidRPr="001F1589">
        <w:rPr>
          <w:color w:val="000000" w:themeColor="text1"/>
        </w:rPr>
        <w:t xml:space="preserve">ly to be underpowered </w:t>
      </w:r>
      <w:r w:rsidR="00A91052" w:rsidRPr="001F1589">
        <w:rPr>
          <w:color w:val="000000" w:themeColor="text1"/>
        </w:rPr>
        <w:t xml:space="preserve">given the </w:t>
      </w:r>
      <w:r w:rsidR="004C3C3B" w:rsidRPr="001F1589">
        <w:rPr>
          <w:color w:val="000000" w:themeColor="text1"/>
        </w:rPr>
        <w:t xml:space="preserve">relatively </w:t>
      </w:r>
      <w:r w:rsidR="00A91052" w:rsidRPr="001F1589">
        <w:rPr>
          <w:color w:val="000000" w:themeColor="text1"/>
        </w:rPr>
        <w:t>low prostate cancer incidence.</w:t>
      </w:r>
    </w:p>
    <w:p w14:paraId="7B0C6969" w14:textId="6FD79A1A" w:rsidR="00C07F3D" w:rsidRPr="001F1589" w:rsidRDefault="00BF220D" w:rsidP="005F7BB1">
      <w:pPr>
        <w:spacing w:after="120" w:line="480" w:lineRule="auto"/>
        <w:jc w:val="both"/>
        <w:rPr>
          <w:color w:val="000000" w:themeColor="text1"/>
        </w:rPr>
      </w:pPr>
      <w:r w:rsidRPr="001F1589">
        <w:rPr>
          <w:color w:val="000000" w:themeColor="text1"/>
        </w:rPr>
        <w:lastRenderedPageBreak/>
        <w:t xml:space="preserve">Mendelian randomization </w:t>
      </w:r>
      <w:r w:rsidR="009D28C0" w:rsidRPr="001F1589">
        <w:rPr>
          <w:color w:val="000000" w:themeColor="text1"/>
        </w:rPr>
        <w:t xml:space="preserve">(MR) </w:t>
      </w:r>
      <w:r w:rsidRPr="001F1589">
        <w:rPr>
          <w:color w:val="000000" w:themeColor="text1"/>
        </w:rPr>
        <w:t>analysis overcomes the</w:t>
      </w:r>
      <w:r w:rsidR="006F6134" w:rsidRPr="001F1589">
        <w:rPr>
          <w:color w:val="000000" w:themeColor="text1"/>
        </w:rPr>
        <w:t xml:space="preserve"> </w:t>
      </w:r>
      <w:r w:rsidR="002F4B6A" w:rsidRPr="001F1589">
        <w:rPr>
          <w:color w:val="000000" w:themeColor="text1"/>
        </w:rPr>
        <w:t>limitations</w:t>
      </w:r>
      <w:r w:rsidR="006F6134" w:rsidRPr="001F1589">
        <w:rPr>
          <w:color w:val="000000" w:themeColor="text1"/>
        </w:rPr>
        <w:t xml:space="preserve"> </w:t>
      </w:r>
      <w:r w:rsidR="00943A77" w:rsidRPr="001F1589">
        <w:rPr>
          <w:color w:val="000000" w:themeColor="text1"/>
        </w:rPr>
        <w:t>of conventional approaches b</w:t>
      </w:r>
      <w:r w:rsidR="00F25761" w:rsidRPr="001F1589">
        <w:rPr>
          <w:color w:val="000000" w:themeColor="text1"/>
        </w:rPr>
        <w:t>y using genetic variants (single nucleotide polymorphisms, SNPs) as instrumental variables (IVs) fo</w:t>
      </w:r>
      <w:r w:rsidR="000866FA" w:rsidRPr="001F1589">
        <w:rPr>
          <w:color w:val="000000" w:themeColor="text1"/>
        </w:rPr>
        <w:t>r assessing the causal effect</w:t>
      </w:r>
      <w:r w:rsidR="00F25761" w:rsidRPr="001F1589">
        <w:rPr>
          <w:color w:val="000000" w:themeColor="text1"/>
        </w:rPr>
        <w:t xml:space="preserve"> of a risk factor</w:t>
      </w:r>
      <w:r w:rsidR="00901665" w:rsidRPr="001F1589">
        <w:rPr>
          <w:color w:val="000000" w:themeColor="text1"/>
        </w:rPr>
        <w:t xml:space="preserve"> (exposure)</w:t>
      </w:r>
      <w:r w:rsidR="00F25761" w:rsidRPr="001F1589">
        <w:rPr>
          <w:color w:val="000000" w:themeColor="text1"/>
        </w:rPr>
        <w:t xml:space="preserve"> on an outcome from observational data.</w:t>
      </w:r>
      <w:r w:rsidR="00987F80" w:rsidRPr="001F1589">
        <w:rPr>
          <w:color w:val="000000" w:themeColor="text1"/>
        </w:rPr>
        <w:fldChar w:fldCharType="begin"/>
      </w:r>
      <w:r w:rsidR="00A344A4" w:rsidRPr="001F1589">
        <w:rPr>
          <w:color w:val="000000" w:themeColor="text1"/>
        </w:rPr>
        <w:instrText xml:space="preserve"> ADDIN ZOTERO_ITEM CSL_CITATION {"citationID":"jbsL7T0E","properties":{"formattedCitation":"\\super 8\\nosupersub{}","plainCitation":"8","noteIndex":0},"citationItems":[{"id":1518,"uris":["http://zotero.org/users/local/6qce9xwG/items/M82VZM76"],"uri":["http://zotero.org/users/local/6qce9xwG/items/M82VZM76"],"itemData":{"id":1518,"type":"article-journal","title":"‘Mendelian randomization’: can genetic epidemiology contribute to understanding environmental determinants of disease?","container-title":"International Journal of Epidemiology","page":"1-22","volume":"32","issue":"1","source":"academic.oup.com","abstract":"Associations between modifiable exposures and disease seen in observational epidemiology are sometimes confounded and thus misleading, despite our best efforts to improve the design and analysis of studies. Mendelian randomization—the random assortment of genes from parents to offspring that occurs during gamete formation and conception—provides one method for assessing the causal nature of some environmental exposures. The association between a disease and a polymorphism that mimics the biological link between a proposed exposure and disease is not generally susceptible to the reverse causation or confounding that may distort interpretations of conventional observational studies. Several examples where the phenotypic effects of polymorphisms are well documented provide encouraging evidence of the explanatory power of Mendelian randomization and are described. The limitations of the approach include confounding by polymorphisms in linkage disequilibrium with the polymorphism under study, that polymorphisms may have several phenotypic effects associated with disease, the lack of suitable polymorphisms for studying modifiable exposures of interest, and canalization—the buffering of the effects of genetic variation during development. Nevertheless, Mendelian randomization provides new opportunities to test causality and demonstrates how investment in the human genome project may contribute to understanding and preventing the adverse effects on human health of modifiable exposures.Genetic epidemiology—the theme of this issue of the International Journal of Epidemiology—is seen by many to be the only future for epidemiology, perhaps reflecting a growing awareness of the limitations of observational epidemiology1 (Box 1). Genetic epidemiology is concerned with understanding heritable aspects of disease risk, individual susceptibility to disease, and ultimately with contributing to a comprehensive molecular understanding of pathogenesis. The massive investment and expansion of human genetics, if it is to return value for the common good, must be integrated into public health functions. The human genome epidemiology network (HuGE Net—http://www.cdc.gov/genetics/huge.htm) has been established to promote the use of genetic knowledge—in terms of genetic tests and services—for disease prevention and health promotion.2,3 A broad taxonomy of human genome studies of public health relevance has been developed4 (Box 2). In this issue of the IJE, we publish a paper by Miguel Porta,5 who highlights the need for a more rational approach to genetic testing, given the likely low penetrance of many genes associated with cancers,6 likening the role of the genome to a jazz score that is interpreted and developed through experience and context—and is seldom predictable. Such insights may well temper enthusiasm for genetic testing in populations. However, in parallel to the approaches advocated by HuGE, genetic epidemiology can lead to a more robust understanding of environmental determinants of disease (e.g. dietary factors, occupational exposures, and health-related behaviours) relevant to whole populations (and not simply to genetically susceptible sub-populations).7–10 This approach has recently been referred to as ‘Mendelian randomization’.11–15 Here we begin by briefly reviewing reasons for current concerns about aetiological findings generated by conventional observational epidemiology and then we outline the potential contribution (and limitations) of Mendelian randomization.Box 1 Nature announces a genetic epidemiology initiative alongside a cartoon illustrating the demise of classical epidemiology.‘Epidemiology set to get fast-track treatment’‘A consortium of leading European research centres and pharmaceutical companies will this week announce a plan to transform epidemiology by combining it with the new techniques of high-throughput biology. They plan to create a new field of study—genomic epidemiology—by using screening technologies derived from the human genome project … We think it is important to expand classical epidemiology and genetic epidemiology to take it to this high-throughput mode, says Esper Boel, vice-president of biotechnology research at Novo Nordisk. We want to use post-genomic technologies to create a new clinical science, to turn functional genomics into real clinical chemistry.’From: Butler D. Epidemiology set to get fast-track treatment. Nature 2001;414:139. Reprinted with permission.View largeDownload slideView largeDownload slideBox 2 A taxonomy of genetic studies of public health relevanceSurveillancePopulation frequency of gene variants predisposing to specific diseasesPopulation frequency of morbidity and mortality from such diseasesPopulation frequency and effects of environmental factors known to interact with gene variantsEconomic costs of genetic components of diseasesCoverage, access, and uptake of genetic tests and servicesAetiologyMagnitude of disease risk associated with gene variants in different populationsContribution of gene variants to the overall level of disease in different populationsMagnitude of disease risk associated with gene–gene and gene–environment interactions in different populationsHealth services researchClinical validity and utility of genetic tests in different populationsDeterminants and impact of using genetic tests and services in different populationsAdapted from Khoury MJ, Burke W, Thomson EJ (eds). Genetics and Public Health in the 21st Century. Oxford: Oxford University Press, 2000.","DOI":"10.1093/ije/dyg070","ISSN":"0300-5771","shortTitle":"‘Mendelian randomization’","journalAbbreviation":"Int J Epidemiol","language":"en","author":[{"family":"Davey Smith","given":"George"},{"family":"Ebrahim","given":"Shah"}],"issued":{"date-parts":[["2003",2,1]]}}}],"schema":"https://github.com/citation-style-language/schema/raw/master/csl-citation.json"}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8</w:t>
      </w:r>
      <w:r w:rsidR="00987F80" w:rsidRPr="001F1589">
        <w:rPr>
          <w:color w:val="000000" w:themeColor="text1"/>
        </w:rPr>
        <w:fldChar w:fldCharType="end"/>
      </w:r>
      <w:r w:rsidR="009B0814" w:rsidRPr="001F1589">
        <w:rPr>
          <w:color w:val="000000" w:themeColor="text1"/>
        </w:rPr>
        <w:t xml:space="preserve"> </w:t>
      </w:r>
      <w:r w:rsidR="00E57566" w:rsidRPr="001F1589">
        <w:rPr>
          <w:color w:val="000000" w:themeColor="text1"/>
          <w:lang w:val="en-GB"/>
        </w:rPr>
        <w:t xml:space="preserve">A two-sample MR </w:t>
      </w:r>
      <w:r w:rsidR="00305A39">
        <w:rPr>
          <w:color w:val="000000" w:themeColor="text1"/>
          <w:lang w:val="en-GB"/>
        </w:rPr>
        <w:t>obtain</w:t>
      </w:r>
      <w:r w:rsidR="00E57566" w:rsidRPr="001F1589">
        <w:rPr>
          <w:color w:val="000000" w:themeColor="text1"/>
          <w:lang w:val="en-GB"/>
        </w:rPr>
        <w:t xml:space="preserve"> IV-exposure and IV-outcome associations from two different sets of participants. </w:t>
      </w:r>
      <w:r w:rsidR="0095233D" w:rsidRPr="001F1589">
        <w:rPr>
          <w:color w:val="000000" w:themeColor="text1"/>
        </w:rPr>
        <w:t xml:space="preserve">A </w:t>
      </w:r>
      <w:r w:rsidR="00F40192" w:rsidRPr="001F1589">
        <w:rPr>
          <w:color w:val="000000" w:themeColor="text1"/>
        </w:rPr>
        <w:t xml:space="preserve">recent </w:t>
      </w:r>
      <w:r w:rsidR="00BF24D5" w:rsidRPr="001F1589">
        <w:rPr>
          <w:color w:val="000000" w:themeColor="text1"/>
        </w:rPr>
        <w:t>two-sample</w:t>
      </w:r>
      <w:r w:rsidR="009B0814" w:rsidRPr="001F1589">
        <w:rPr>
          <w:color w:val="000000" w:themeColor="text1"/>
        </w:rPr>
        <w:t xml:space="preserve"> </w:t>
      </w:r>
      <w:r w:rsidR="00445FC3" w:rsidRPr="001F1589">
        <w:rPr>
          <w:color w:val="000000" w:themeColor="text1"/>
        </w:rPr>
        <w:t>MR</w:t>
      </w:r>
      <w:r w:rsidR="00090FA8" w:rsidRPr="001F1589">
        <w:rPr>
          <w:color w:val="000000" w:themeColor="text1"/>
        </w:rPr>
        <w:t xml:space="preserve"> conducted by Dimitrakopoulou</w:t>
      </w:r>
      <w:r w:rsidR="009B0814" w:rsidRPr="001F1589">
        <w:rPr>
          <w:color w:val="000000" w:themeColor="text1"/>
        </w:rPr>
        <w:t xml:space="preserve"> </w:t>
      </w:r>
      <w:r w:rsidR="00090FA8" w:rsidRPr="001F1589">
        <w:rPr>
          <w:i/>
          <w:color w:val="000000" w:themeColor="text1"/>
        </w:rPr>
        <w:t>et al.</w:t>
      </w:r>
      <w:r w:rsidR="0095233D" w:rsidRPr="001F1589">
        <w:rPr>
          <w:color w:val="000000" w:themeColor="text1"/>
        </w:rPr>
        <w:t xml:space="preserve"> leveraged summary </w:t>
      </w:r>
      <w:r w:rsidR="00943A77" w:rsidRPr="001F1589">
        <w:rPr>
          <w:color w:val="000000" w:themeColor="text1"/>
        </w:rPr>
        <w:t xml:space="preserve">results </w:t>
      </w:r>
      <w:r w:rsidR="0095233D" w:rsidRPr="001F1589">
        <w:rPr>
          <w:color w:val="000000" w:themeColor="text1"/>
        </w:rPr>
        <w:t xml:space="preserve">from large </w:t>
      </w:r>
      <w:r w:rsidR="00FE78F1" w:rsidRPr="001F1589">
        <w:rPr>
          <w:color w:val="000000" w:themeColor="text1"/>
        </w:rPr>
        <w:t>collaborativ</w:t>
      </w:r>
      <w:r w:rsidR="00A97286" w:rsidRPr="001F1589">
        <w:rPr>
          <w:color w:val="000000" w:themeColor="text1"/>
        </w:rPr>
        <w:t>e networks (</w:t>
      </w:r>
      <w:r w:rsidR="0042189F">
        <w:rPr>
          <w:color w:val="000000" w:themeColor="text1"/>
        </w:rPr>
        <w:t>N</w:t>
      </w:r>
      <w:r w:rsidR="0042189F" w:rsidRPr="0042189F">
        <w:rPr>
          <w:color w:val="000000" w:themeColor="text1"/>
          <w:vertAlign w:val="subscript"/>
        </w:rPr>
        <w:t>case</w:t>
      </w:r>
      <w:r w:rsidR="0042189F">
        <w:rPr>
          <w:color w:val="000000" w:themeColor="text1"/>
        </w:rPr>
        <w:t>=</w:t>
      </w:r>
      <w:r w:rsidR="00654010" w:rsidRPr="001F1589">
        <w:rPr>
          <w:color w:val="000000" w:themeColor="text1"/>
        </w:rPr>
        <w:t>70,563</w:t>
      </w:r>
      <w:r w:rsidR="00A97286" w:rsidRPr="001F1589">
        <w:rPr>
          <w:color w:val="000000" w:themeColor="text1"/>
        </w:rPr>
        <w:t>)</w:t>
      </w:r>
      <w:r w:rsidR="00943A77" w:rsidRPr="001F1589">
        <w:rPr>
          <w:color w:val="000000" w:themeColor="text1"/>
        </w:rPr>
        <w:t xml:space="preserve"> to </w:t>
      </w:r>
      <w:r w:rsidR="00654010" w:rsidRPr="001F1589">
        <w:rPr>
          <w:color w:val="000000" w:themeColor="text1"/>
        </w:rPr>
        <w:t xml:space="preserve">examine the causal role of vitamin D </w:t>
      </w:r>
      <w:r w:rsidR="00943A77" w:rsidRPr="001F1589">
        <w:rPr>
          <w:color w:val="000000" w:themeColor="text1"/>
        </w:rPr>
        <w:t xml:space="preserve">on </w:t>
      </w:r>
      <w:r w:rsidR="00654010" w:rsidRPr="001F1589">
        <w:rPr>
          <w:color w:val="000000" w:themeColor="text1"/>
        </w:rPr>
        <w:t>seven cancers (</w:t>
      </w:r>
      <w:r w:rsidR="00A06463" w:rsidRPr="00A06463">
        <w:rPr>
          <w:color w:val="0432FF"/>
        </w:rPr>
        <w:t>breast [N</w:t>
      </w:r>
      <w:r w:rsidR="00A06463" w:rsidRPr="00A06463">
        <w:rPr>
          <w:color w:val="0432FF"/>
          <w:vertAlign w:val="subscript"/>
        </w:rPr>
        <w:t>case</w:t>
      </w:r>
      <w:r w:rsidR="00A06463" w:rsidRPr="00A06463">
        <w:rPr>
          <w:color w:val="0432FF"/>
        </w:rPr>
        <w:t>=15,748], prostate [</w:t>
      </w:r>
      <w:r w:rsidR="00A06463" w:rsidRPr="00A06463">
        <w:rPr>
          <w:color w:val="0432FF"/>
          <w:vertAlign w:val="subscript"/>
        </w:rPr>
        <w:t>Ncase=</w:t>
      </w:r>
      <w:r w:rsidR="00A06463" w:rsidRPr="00A06463">
        <w:rPr>
          <w:color w:val="0432FF"/>
        </w:rPr>
        <w:t>22,898], lung [N</w:t>
      </w:r>
      <w:r w:rsidR="00A06463" w:rsidRPr="00A06463">
        <w:rPr>
          <w:color w:val="0432FF"/>
          <w:vertAlign w:val="subscript"/>
        </w:rPr>
        <w:t>case</w:t>
      </w:r>
      <w:r w:rsidR="00A06463" w:rsidRPr="00A06463">
        <w:rPr>
          <w:color w:val="0432FF"/>
        </w:rPr>
        <w:t>=12,537], colorectal [N</w:t>
      </w:r>
      <w:r w:rsidR="00A06463" w:rsidRPr="00A06463">
        <w:rPr>
          <w:color w:val="0432FF"/>
          <w:vertAlign w:val="subscript"/>
        </w:rPr>
        <w:t>case</w:t>
      </w:r>
      <w:r w:rsidR="00A06463" w:rsidRPr="00A06463">
        <w:rPr>
          <w:color w:val="0432FF"/>
        </w:rPr>
        <w:t>=11,488], ovarian [N</w:t>
      </w:r>
      <w:r w:rsidR="00A06463" w:rsidRPr="00A06463">
        <w:rPr>
          <w:color w:val="0432FF"/>
          <w:vertAlign w:val="subscript"/>
        </w:rPr>
        <w:t>case</w:t>
      </w:r>
      <w:r w:rsidR="00A06463" w:rsidRPr="00A06463">
        <w:rPr>
          <w:color w:val="0432FF"/>
        </w:rPr>
        <w:t>=4,369], pancreatic [N</w:t>
      </w:r>
      <w:r w:rsidR="00A06463" w:rsidRPr="00A06463">
        <w:rPr>
          <w:color w:val="0432FF"/>
          <w:vertAlign w:val="subscript"/>
        </w:rPr>
        <w:t>case</w:t>
      </w:r>
      <w:r w:rsidR="00A06463" w:rsidRPr="00A06463">
        <w:rPr>
          <w:color w:val="0432FF"/>
        </w:rPr>
        <w:t>=1,896] and neuroblastoma [N</w:t>
      </w:r>
      <w:r w:rsidR="00A06463" w:rsidRPr="00A06463">
        <w:rPr>
          <w:color w:val="0432FF"/>
          <w:vertAlign w:val="subscript"/>
        </w:rPr>
        <w:t>case</w:t>
      </w:r>
      <w:r w:rsidR="00A06463" w:rsidRPr="00A06463">
        <w:rPr>
          <w:color w:val="0432FF"/>
        </w:rPr>
        <w:t>=1,627]</w:t>
      </w:r>
      <w:r w:rsidR="00654010" w:rsidRPr="001F1589">
        <w:rPr>
          <w:color w:val="000000" w:themeColor="text1"/>
        </w:rPr>
        <w:t>)</w:t>
      </w:r>
      <w:r w:rsidR="00943A77" w:rsidRPr="001F1589">
        <w:rPr>
          <w:color w:val="000000" w:themeColor="text1"/>
        </w:rPr>
        <w:t xml:space="preserve">. This study </w:t>
      </w:r>
      <w:r w:rsidR="00654010" w:rsidRPr="001F1589">
        <w:rPr>
          <w:color w:val="000000" w:themeColor="text1"/>
        </w:rPr>
        <w:t>observe</w:t>
      </w:r>
      <w:r w:rsidR="00380E0E" w:rsidRPr="001F1589">
        <w:rPr>
          <w:color w:val="000000" w:themeColor="text1"/>
        </w:rPr>
        <w:t>d little</w:t>
      </w:r>
      <w:r w:rsidR="00654010" w:rsidRPr="001F1589">
        <w:rPr>
          <w:color w:val="000000" w:themeColor="text1"/>
        </w:rPr>
        <w:t xml:space="preserve"> evidence that </w:t>
      </w:r>
      <w:r w:rsidR="00B34FEB" w:rsidRPr="001F1589">
        <w:rPr>
          <w:color w:val="000000" w:themeColor="text1"/>
        </w:rPr>
        <w:t>genetically predicted</w:t>
      </w:r>
      <w:r w:rsidR="00E7413D" w:rsidRPr="001F1589">
        <w:rPr>
          <w:color w:val="000000" w:themeColor="text1"/>
        </w:rPr>
        <w:t xml:space="preserve"> 25(OH)D was associat</w:t>
      </w:r>
      <w:r w:rsidR="00D1426D" w:rsidRPr="001F1589">
        <w:rPr>
          <w:color w:val="000000" w:themeColor="text1"/>
        </w:rPr>
        <w:t>ed with the risk of any cancer [</w:t>
      </w:r>
      <w:r w:rsidR="00C846C9" w:rsidRPr="001F1589">
        <w:rPr>
          <w:color w:val="000000" w:themeColor="text1"/>
        </w:rPr>
        <w:t xml:space="preserve">OR </w:t>
      </w:r>
      <w:r w:rsidR="006B449F">
        <w:rPr>
          <w:color w:val="000000" w:themeColor="text1"/>
        </w:rPr>
        <w:t>per 25</w:t>
      </w:r>
      <w:r w:rsidR="00CF452C" w:rsidRPr="001F1589">
        <w:rPr>
          <w:color w:val="000000" w:themeColor="text1"/>
        </w:rPr>
        <w:t>nmol/L</w:t>
      </w:r>
      <w:r w:rsidR="00064CBB" w:rsidRPr="001F1589">
        <w:rPr>
          <w:color w:val="000000" w:themeColor="text1"/>
        </w:rPr>
        <w:t xml:space="preserve"> increase </w:t>
      </w:r>
      <w:r w:rsidR="00636CBB" w:rsidRPr="001F1589">
        <w:rPr>
          <w:color w:val="000000" w:themeColor="text1"/>
        </w:rPr>
        <w:t xml:space="preserve">for </w:t>
      </w:r>
      <w:r w:rsidR="00E7413D" w:rsidRPr="001F1589">
        <w:rPr>
          <w:color w:val="000000" w:themeColor="text1"/>
        </w:rPr>
        <w:t>breast: 1.05 (</w:t>
      </w:r>
      <w:r w:rsidR="006254FA" w:rsidRPr="001F1589">
        <w:rPr>
          <w:color w:val="000000" w:themeColor="text1"/>
        </w:rPr>
        <w:t xml:space="preserve">95%CI: </w:t>
      </w:r>
      <w:r w:rsidR="00763158">
        <w:rPr>
          <w:color w:val="000000" w:themeColor="text1"/>
        </w:rPr>
        <w:t xml:space="preserve">0.89-1.24); </w:t>
      </w:r>
      <w:r w:rsidR="00E7413D" w:rsidRPr="001F1589">
        <w:rPr>
          <w:color w:val="000000" w:themeColor="text1"/>
        </w:rPr>
        <w:t>prostate: 0.89 (</w:t>
      </w:r>
      <w:r w:rsidR="006254FA" w:rsidRPr="001F1589">
        <w:rPr>
          <w:color w:val="000000" w:themeColor="text1"/>
        </w:rPr>
        <w:t xml:space="preserve">95%CI: </w:t>
      </w:r>
      <w:r w:rsidR="00D1426D" w:rsidRPr="001F1589">
        <w:rPr>
          <w:color w:val="000000" w:themeColor="text1"/>
        </w:rPr>
        <w:t>0.77-1.02)]</w:t>
      </w:r>
      <w:r w:rsidR="00E7413D"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{"citationID":"9WMASEr8","properties":{"formattedCitation":"\\super 9\\nosupersub{}","plainCitation":"9","noteIndex":0},"citationItems":[{"id":1372,"uris":["http://zotero.org/users/local/6qce9xwG/items/IP3S3BUH"],"uri":["http://zotero.org/users/local/6qce9xwG/items/IP3S3BUH"],"itemData":{"id":1372,"type":"article-journal","title":"Circulating vitamin D concentration and risk of seven cancers: Mendelian randomisation study","container-title":"BMJ (Clinical research ed.)","page":"j4761","volume":"359","source":"PubMed","abstract":"Objective To determine if circulating concentrations of vitamin D are causally associated with risk of cancer.Design Mendelian randomisation study.Setting Large genetic epidemiology networks (the Genetic Associations and Mechanisms in Oncology (GAME-ON), the Genetic and Epidemiology of Colorectal Cancer Consortium (GECCO), and the Prostate Cancer Association Group to Investigate Cancer Associated Alterations in the Genome (PRACTICAL) consortiums, and the MR-Base platform).Participants 70 563 cases of cancer (22 898 prostate cancer, 15 748 breast cancer, 12 537 lung cancer, 11 488 colorectal cancer, 4369 ovarian cancer, 1896 pancreatic cancer, and 1627 neuroblastoma) and 84 418 controls.Exposures Four single nucleotide polymorphisms (rs2282679, rs10741657, rs12785878 and rs6013897) associated with vitamin D were used to define a multi-polymorphism score for circulating 25-hydroxyvitamin D (25(OH)D) concentrations.Main outcomes measures The primary outcomes were the risk of incident colorectal, breast, prostate, ovarian, lung, and pancreatic cancer and neuroblastoma, which was evaluated with an inverse variance weighted average of the associations with specific polymorphisms and a likelihood based approach. Secondary outcomes based on cancer subtypes by sex, anatomic location, stage, and histology were also examined.Results There was little evidence that the multi-polymorphism score of 25(OH)D was associated with risk of any of the seven cancers or their subtypes. Specifically, the odds ratios per 25 nmol/L increase in genetically determined 25(OH)D concentrations were 0.92 (95% confidence interval 0.76 to 1.10) for colorectal cancer, 1.05 (0.89 to 1.24) for breast cancer, 0.89 (0.77 to 1.02) for prostate cancer, and 1.03 (0.87 to 1.23) for lung cancer. The results were consistent with the two different analytical approaches, and the study was powered to detect relative effect sizes of moderate magnitude (for example, 1.20-1.50 per 25 nmol/L decrease in 25(OH)D for most primary cancer outcomes. The Mendelian randomisation assumptions did not seem to be violated.Conclusions There is little evidence for a linear causal association between circulating vitamin D concentration and risk of various types of cancer, though the existence of causal clinically relevant effects of low magnitude cannot be ruled out. These results, in combination with previous literature, provide evidence that population-wide screening for vitamin D deficiency and subsequent widespread vitamin D supplementation should not currently be recommended as a strategy for primary cancer prevention.","ISSN":"1756-1833","note":"PMID: 29089348","shortTitle":"Circulating vitamin D concentration and risk of seven cancers","journalAbbreviation":"BMJ","language":"eng","author":[{"family":"Dimitrakopoulou","given":"Vasiliki I."},{"family":"Tsilidis","given":"Konstantinos K."},{"family":"Haycock","given":"Philip C."},{"family":"Dimou","given":"Niki L."},{"family":"Al-Dabhani","given":"Kawthar"},{"family":"Martin","given":"Richard M."},{"family":"Lewis","given":"Sarah J."},{"family":"Gunter","given":"Marc J."},{"family":"Mondul","given":"Alison"},{"family":"Shui","given":"Irene M."},{"family":"Theodoratou","given":"Evropi"},{"family":"Nimptsch","given":"Katharina"},{"family":"Lindström","given":"Sara"},{"family":"Albanes","given":"Demetrius"},{"family":"Kühn","given":"Tilman"},{"family":"Key","given":"Timothy J."},{"family":"Travis","given":"Ruth C."},{"family":"Vimaleswaran","given":"Karani Santhanakrishnan"},{"literal":"GECCO Consortium"},{"literal":"PRACTICAL Consortium"},{"literal":"GAME-ON Network (CORECT, DRIVE, ELLIPSE, FOCI-OCAC, TRICL-ILCCO)"},{"family":"Kraft","given":"Peter"},{"family":"Pierce","given":"Brandon L."},{"family":"Schildkraut","given":"Joellen M."}],"issued":{"date-parts":[["2017"]],"season":"31"}}}],"schema":"https://github.com/citation-style-language/schema/raw/master/csl-citation.json"}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9</w:t>
      </w:r>
      <w:r w:rsidR="00987F80" w:rsidRPr="001F1589">
        <w:rPr>
          <w:color w:val="000000" w:themeColor="text1"/>
        </w:rPr>
        <w:fldChar w:fldCharType="end"/>
      </w:r>
      <w:r w:rsidR="00F50498" w:rsidRPr="001F1589">
        <w:rPr>
          <w:color w:val="000000" w:themeColor="text1"/>
        </w:rPr>
        <w:t xml:space="preserve"> However,</w:t>
      </w:r>
      <w:r w:rsidR="009B0814" w:rsidRPr="001F1589">
        <w:rPr>
          <w:color w:val="000000" w:themeColor="text1"/>
        </w:rPr>
        <w:t xml:space="preserve"> </w:t>
      </w:r>
      <w:r w:rsidR="00AA543B" w:rsidRPr="001F1589">
        <w:rPr>
          <w:color w:val="000000" w:themeColor="text1"/>
        </w:rPr>
        <w:t xml:space="preserve">the </w:t>
      </w:r>
      <w:r w:rsidR="00090FA8" w:rsidRPr="001F1589">
        <w:rPr>
          <w:color w:val="000000" w:themeColor="text1"/>
        </w:rPr>
        <w:t>Dimitrakopoulou</w:t>
      </w:r>
      <w:r w:rsidR="0027483A" w:rsidRPr="001F1589">
        <w:rPr>
          <w:color w:val="000000" w:themeColor="text1"/>
        </w:rPr>
        <w:t xml:space="preserve"> </w:t>
      </w:r>
      <w:r w:rsidR="00090FA8" w:rsidRPr="001F1589">
        <w:rPr>
          <w:i/>
          <w:color w:val="000000" w:themeColor="text1"/>
        </w:rPr>
        <w:t xml:space="preserve">et al. </w:t>
      </w:r>
      <w:r w:rsidR="00F50498" w:rsidRPr="001F1589">
        <w:rPr>
          <w:color w:val="000000" w:themeColor="text1"/>
        </w:rPr>
        <w:t xml:space="preserve">study </w:t>
      </w:r>
      <w:r w:rsidR="00AA543B" w:rsidRPr="001F1589">
        <w:rPr>
          <w:color w:val="000000" w:themeColor="text1"/>
        </w:rPr>
        <w:t>used</w:t>
      </w:r>
      <w:r w:rsidR="00F50498" w:rsidRPr="001F1589">
        <w:rPr>
          <w:color w:val="000000" w:themeColor="text1"/>
        </w:rPr>
        <w:t xml:space="preserve"> four genetic variants</w:t>
      </w:r>
      <w:r w:rsidR="00574568" w:rsidRPr="001F1589">
        <w:rPr>
          <w:color w:val="000000" w:themeColor="text1"/>
        </w:rPr>
        <w:t xml:space="preserve"> identified from </w:t>
      </w:r>
      <w:r w:rsidR="00F40192" w:rsidRPr="001F1589">
        <w:rPr>
          <w:color w:val="000000" w:themeColor="text1"/>
        </w:rPr>
        <w:t xml:space="preserve">an earlier </w:t>
      </w:r>
      <w:r w:rsidR="00322488" w:rsidRPr="001F1589">
        <w:rPr>
          <w:color w:val="000000" w:themeColor="text1"/>
        </w:rPr>
        <w:t>SUNLIGHT consortium genome-wide association study (GWAS)</w:t>
      </w:r>
      <w:r w:rsidR="00247F50"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{"citationID":"CgcYSnUz","properties":{"formattedCitation":"\\super 10\\nosupersub{}","plainCitation":"10","noteIndex":0},"citationItems":[{"id":223,"uris":["http://zotero.org/users/local/6qce9xwG/items/VM226DBE"],"uri":["http://zotero.org/users/local/6qce9xwG/items/VM226DBE"],"itemData":{"id":223,"type":"article-journal","title":"Common genetic determinants of vitamin D insufficiency: a genome-wide association study","container-title":"Lancet (London, England)","page":"180-188","volume":"376","issue":"9736","source":"PubMed","abstract":"BACKGROUND: Vitamin D is crucial for maintenance of musculoskeletal health, and might also have a role in extraskeletal tissues. Determinants of circulating 25-hydroxyvitamin D concentrations include sun exposure and diet, but high heritability suggests that genetic factors could also play a part. We aimed to identify common genetic variants affecting vitamin D concentrations and risk of insufficiency.\nMETHODS: We undertook a genome-wide association study of 25-hydroxyvitamin D concentrations in 33 996 individuals of European descent from 15 cohorts. Five epidemiological cohorts were designated as discovery cohorts (n=16 125), five as in-silico replication cohorts (n=9367), and five as de-novo replication cohorts (n=8504). 25-hydroxyvitamin D concentrations were measured by radioimmunoassay, chemiluminescent assay, ELISA, or mass spectrometry. Vitamin D insufficiency was defined as concentrations lower than 75 nmol/L or 50 nmol/L. We combined results of genome-wide analyses across cohorts using Z-score-weighted meta-analysis. Genotype scores were constructed for confirmed variants.\nFINDINGS: Variants at three loci reached genome-wide significance in discovery cohorts for association with 25-hydroxyvitamin D concentrations, and were confirmed in replication cohorts: 4p12 (overall p=1.9x10(-109) for rs2282679, in GC); 11q12 (p=2.1x10(-27) for rs12785878, near DHCR7); and 11p15 (p=3.3x10(-20) for rs10741657, near CYP2R1). Variants at an additional locus (20q13, CYP24A1) were genome-wide significant in the pooled sample (p=6.0x10(-10) for rs6013897). Participants with a genotype score (combining the three confirmed variants) in the highest quartile were at increased risk of having 25-hydroxyvitamin D concentrations lower than 75 nmol/L (OR 2.47, 95% CI 2.20-2.78, p=2.3x10(-48)) or lower than 50 nmol/L (1.92, 1.70-2.16, p=1.0x10(-26)) compared with those in the lowest quartile.\nINTERPRETATION: Variants near genes involved in cholesterol synthesis, hydroxylation, and vitamin D transport affect vitamin D status. Genetic variation at these loci identifies individuals who have substantially raised risk of vitamin D insufficiency.\nFUNDING: Full funding sources listed at end of paper (see Acknowledgments).","DOI":"10.1016/S0140-6736(10)60588-0","ISSN":"1474-547X","note":"PMID: 20541252\nPMCID: PMC3086761","shortTitle":"Common genetic determinants of vitamin D insufficiency","journalAbbreviation":"Lancet","language":"ENG","author":[{"family":"Wang","given":"Thomas J."},{"family":"Zhang","given":"Feng"},{"family":"Richards","given":"J. Brent"},{"family":"Kestenbaum","given":"Bryan"},{"family":"Meurs","given":"Joyce B.","non-dropping-particle":"van"},{"family":"Berry","given":"Diane"},{"family":"Kiel","given":"Douglas P."},{"family":"Streeten","given":"Elizabeth A."},{"family":"Ohlsson","given":"Claes"},{"family":"Koller","given":"Daniel L."},{"family":"Peltonen","given":"Leena"},{"family":"Cooper","given":"Jason D."},{"family":"O'Reilly","given":"Paul F."},{"family":"Houston","given":"Denise K."},{"family":"Glazer","given":"Nicole L."},{"family":"Vandenput","given":"Liesbeth"},{"family":"Peacock","given":"Munro"},{"family":"Shi","given":"Julia"},{"family":"Rivadeneira","given":"Fernando"},{"family":"McCarthy","given":"Mark I."},{"family":"Anneli","given":"Pouta"},{"family":"Boer","given":"Ian H.","non-dropping-particle":"de"},{"family":"Mangino","given":"Massimo"},{"family":"Kato","given":"Bernet"},{"family":"Smyth","given":"Deborah J."},{"family":"Booth","given":"Sarah L."},{"family":"Jacques","given":"Paul F."},{"family":"Burke","given":"Greg L."},{"family":"Goodarzi","given":"Mark"},{"family":"Cheung","given":"Ching-Lung"},{"family":"Wolf","given":"Myles"},{"family":"Rice","given":"Kenneth"},{"family":"Goltzman","given":"David"},{"family":"Hidiroglou","given":"Nick"},{"family":"Ladouceur","given":"Martin"},{"family":"Wareham","given":"Nicholas J."},{"family":"Hocking","given":"Lynne J."},{"family":"Hart","given":"Deborah"},{"family":"Arden","given":"Nigel K."},{"family":"Cooper","given":"Cyrus"},{"family":"Malik","given":"Suneil"},{"family":"Fraser","given":"William D."},{"family":"Hartikainen","given":"Anna-Liisa"},{"family":"Zhai","given":"Guangju"},{"family":"Macdonald","given":"Helen M."},{"family":"Forouhi","given":"Nita G."},{"family":"Loos","given":"Ruth J. F."},{"family":"Reid","given":"David M."},{"family":"Hakim","given":"Alan"},{"family":"Dennison","given":"Elaine"},{"family":"Liu","given":"Yongmei"},{"family":"Power","given":"Chris"},{"family":"Stevens","given":"Helen E."},{"family":"Jaana","given":"Laitinen"},{"family":"Vasan","given":"Ramachandran S."},{"family":"Soranzo","given":"Nicole"},{"family":"Bojunga","given":"Jörg"},{"family":"Psaty","given":"Bruce M."},{"family":"Lorentzon","given":"Mattias"},{"family":"Foroud","given":"Tatiana"},{"family":"Harris","given":"Tamara B."},{"family":"Hofman","given":"Albert"},{"family":"Jansson","given":"John-Olov"},{"family":"Cauley","given":"Jane A."},{"family":"Uitterlinden","given":"Andre G."},{"family":"Gibson","given":"Quince"},{"family":"Järvelin","given":"Marjo-Riitta"},{"family":"Karasik","given":"David"},{"family":"Siscovick","given":"David S."},{"family":"Econs","given":"Michael J."},{"family":"Kritchevsky","given":"Stephen B."},{"family":"Florez","given":"Jose C."},{"family":"Todd","given":"John A."},{"family":"Dupuis","given":"Josee"},{"family":"Hyppönen","given":"Elina"},{"family":"Spector","given":"Timothy D."}],"issued":{"date-parts":[["2010",7,17]]}}}],"schema":"https://github.com/citation-style-language/schema/raw/master/csl-citation.json"}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10</w:t>
      </w:r>
      <w:r w:rsidR="00987F80" w:rsidRPr="001F1589">
        <w:rPr>
          <w:color w:val="000000" w:themeColor="text1"/>
        </w:rPr>
        <w:fldChar w:fldCharType="end"/>
      </w:r>
      <w:r w:rsidR="00247F50" w:rsidRPr="001F1589">
        <w:rPr>
          <w:color w:val="000000" w:themeColor="text1"/>
        </w:rPr>
        <w:t xml:space="preserve"> With the rapid expansion </w:t>
      </w:r>
      <w:r w:rsidR="00943A77" w:rsidRPr="001F1589">
        <w:rPr>
          <w:color w:val="000000" w:themeColor="text1"/>
        </w:rPr>
        <w:t xml:space="preserve">in sample sizes </w:t>
      </w:r>
      <w:r w:rsidR="00247F50" w:rsidRPr="001F1589">
        <w:rPr>
          <w:color w:val="000000" w:themeColor="text1"/>
        </w:rPr>
        <w:t xml:space="preserve">of </w:t>
      </w:r>
      <w:r w:rsidR="009D28C0" w:rsidRPr="001F1589">
        <w:rPr>
          <w:color w:val="000000" w:themeColor="text1"/>
        </w:rPr>
        <w:t>GWAS</w:t>
      </w:r>
      <w:r w:rsidR="00247F50" w:rsidRPr="001F1589">
        <w:rPr>
          <w:color w:val="000000" w:themeColor="text1"/>
        </w:rPr>
        <w:t>, two addi</w:t>
      </w:r>
      <w:r w:rsidR="00770ED1">
        <w:rPr>
          <w:color w:val="000000" w:themeColor="text1"/>
        </w:rPr>
        <w:t xml:space="preserve">tional vitamin D </w:t>
      </w:r>
      <w:r w:rsidR="00636CBB" w:rsidRPr="001F1589">
        <w:rPr>
          <w:color w:val="000000" w:themeColor="text1"/>
        </w:rPr>
        <w:t>associated</w:t>
      </w:r>
      <w:r w:rsidR="00F903BE" w:rsidRPr="001F1589">
        <w:rPr>
          <w:color w:val="000000" w:themeColor="text1"/>
        </w:rPr>
        <w:t xml:space="preserve"> </w:t>
      </w:r>
      <w:r w:rsidR="00322488" w:rsidRPr="001F1589">
        <w:rPr>
          <w:color w:val="000000" w:themeColor="text1"/>
        </w:rPr>
        <w:t>loci</w:t>
      </w:r>
      <w:r w:rsidR="009D28C0" w:rsidRPr="001F1589">
        <w:rPr>
          <w:color w:val="000000" w:themeColor="text1"/>
        </w:rPr>
        <w:t xml:space="preserve"> have been recently </w:t>
      </w:r>
      <w:r w:rsidR="00943A77" w:rsidRPr="001F1589">
        <w:rPr>
          <w:color w:val="000000" w:themeColor="text1"/>
        </w:rPr>
        <w:t>identified.</w:t>
      </w:r>
      <w:r w:rsidR="00987F80" w:rsidRPr="001F1589">
        <w:rPr>
          <w:color w:val="000000" w:themeColor="text1"/>
        </w:rPr>
        <w:fldChar w:fldCharType="begin"/>
      </w:r>
      <w:r w:rsidR="00A344A4" w:rsidRPr="001F1589">
        <w:rPr>
          <w:color w:val="000000" w:themeColor="text1"/>
        </w:rPr>
        <w:instrText xml:space="preserve"> ADDIN ZOTERO_ITEM CSL_CITATION {"citationID":"RXWJ2MX8","properties":{"formattedCitation":"\\super 11\\nosupersub{}","plainCitation":"11","noteIndex":0},"citationItems":[{"id":2703,"uris":["http://zotero.org/users/local/6qce9xwG/items/LXC6GV3P"],"uri":["http://zotero.org/users/local/6qce9xwG/items/LXC6GV3P"],"itemData":{"id":2703,"type":"article-journal","title":"Genome-wide association study in 79,366 European-ancestry individuals informs the genetic architecture of 25-hydroxyvitamin D levels","container-title":"Nature Communications","page":"260","volume":"9","issue":"1","source":"PubMed","abstract":"Vitamin D is a steroid hormone precursor that is associated with a range of human traits and diseases. Previous GWAS of serum 25-hydroxyvitamin D concentrations have identified four genome-wide significant loci (GC, NADSYN1/DHCR7, CYP2R1, CYP24A1). In this study, we expand the previous SUNLIGHT Consortium GWAS discovery sample size from 16,125 to 79,366 (all European descent). This larger GWAS yields two additional loci harboring genome-wide significant variants (P = 4.7×10-9 at rs8018720 in SEC23A, and P = 1.9×10-14 at rs10745742 in AMDHD1). The overall estimate of heritability of 25-hydroxyvitamin D serum concentrations attributable to GWAS common SNPs is 7.5%, with statistically significant loci explaining 38% of this total. Further investigation identifies signal enrichment in immune and hematopoietic tissues, and clustering with autoimmune diseases in cell-type-specific analysis. Larger studies are required to identify additional common SNPs, and to explore the role of rare or structural variants and gene-gene interactions in the heritability of circulating 25-hydroxyvitamin D levels.","DOI":"10.1038/s41467-017-02662-2","ISSN":"2041-1723","note":"PMID: 29343764\nPMCID: PMC5772647","journalAbbreviation":"Nat Commun","language":"eng","author":[{"family":"Jiang","given":"Xia"},{"family":"O'Reilly","given":"Paul F."},{"family":"Aschard","given":"Hugues"},{"family":"Hsu","given":"Yi-Hsiang"},{"family":"Richards","given":"J. Brent"},{"family":"Dupuis","given":"Josée"},{"family":"Ingelsson","given":"Erik"},{"family":"Karasik","given":"David"},{"family":"Pilz","given":"Stefan"},{"family":"Berry","given":"Diane"},{"family":"Kestenbaum","given":"Bryan"},{"family":"Zheng","given":"Jusheng"},{"family":"Luan","given":"Jianan"},{"family":"Sofianopoulou","given":"Eleni"},{"family":"Streeten","given":"Elizabeth A."},{"family":"Albanes","given":"Demetrius"},{"family":"Lutsey","given":"Pamela L."},{"family":"Yao","given":"Lu"},{"family":"Tang","given":"Weihong"},{"family":"Econs","given":"Michael J."},{"family":"Wallaschofski","given":"Henri"},{"family":"Völzke","given":"Henry"},{"family":"Zhou","given":"Ang"},{"family":"Power","given":"Chris"},{"family":"McCarthy","given":"Mark I."},{"family":"Michos","given":"Erin D."},{"family":"Boerwinkle","given":"Eric"},{"family":"Weinstein","given":"Stephanie J."},{"family":"Freedman","given":"Neal D."},{"family":"Huang","given":"Wen-Yi"},{"family":"Van Schoor","given":"Natasja M."},{"family":"Velde","given":"Nathalie","non-dropping-particle":"van der"},{"family":"Groot","given":"Lisette C. P. G. M.","dropping-particle":"de"},{"family":"Enneman","given":"Anke"},{"family":"Cupples","given":"L. Adrienne"},{"family":"Booth","given":"Sarah L."},{"family":"Vasan","given":"Ramachandran S."},{"family":"Liu","given":"Ching-Ti"},{"family":"Zhou","given":"Yanhua"},{"family":"Ripatti","given":"Samuli"},{"family":"Ohlsson","given":"Claes"},{"family":"Vandenput","given":"Liesbeth"},{"family":"Lorentzon","given":"Mattias"},{"family":"Eriksson","given":"Johan G."},{"family":"Shea","given":"M. Kyla"},{"family":"Houston","given":"Denise K."},{"family":"Kritchevsky","given":"Stephen B."},{"family":"Liu","given":"Yongmei"},{"family":"Lohman","given":"Kurt K."},{"family":"Ferrucci","given":"Luigi"},{"family":"Peacock","given":"Munro"},{"family":"Gieger","given":"Christian"},{"family":"Beekman","given":"Marian"},{"family":"Slagboom","given":"Eline"},{"family":"Deelen","given":"Joris"},{"family":"Heemst","given":"Diana","dropping-particle":"van"},{"family":"Kleber","given":"Marcus E."},{"family":"März","given":"Winfried"},{"family":"Boer","given":"Ian H.","non-dropping-particle":"de"},{"family":"Wood","given":"Alexis C."},{"family":"Rotter","given":"Jerome I."},{"family":"Rich","given":"Stephen S."},{"family":"Robinson-Cohen","given":"Cassianne"},{"family":"Heijer","given":"Martin","non-dropping-particle":"den"},{"family":"Jarvelin","given":"Marjo-Riitta"},{"family":"Cavadino","given":"Alana"},{"family":"Joshi","given":"Peter K."},{"family":"Wilson","given":"James F."},{"family":"Hayward","given":"Caroline"},{"family":"Lind","given":"Lars"},{"family":"Michaëlsson","given":"Karl"},{"family":"Trompet","given":"Stella"},{"family":"Zillikens","given":"M. Carola"},{"family":"Uitterlinden","given":"Andre G."},{"family":"Rivadeneira","given":"Fernando"},{"family":"Broer","given":"Linda"},{"family":"Zgaga","given":"Lina"},{"family":"Campbell","given":"Harry"},{"family":"Theodoratou","given":"Evropi"},{"family":"Farrington","given":"Susan M."},{"family":"Timofeeva","given":"Maria"},{"family":"Dunlop","given":"Malcolm G."},{"family":"Valdes","given":"Ana M."},{"family":"Tikkanen","given":"Emmi"},{"family":"Lehtimäki","given":"Terho"},{"family":"Lyytikäinen","given":"Leo-Pekka"},{"family":"Kähönen","given":"Mika"},{"family":"Raitakari","given":"Olli T."},{"family":"Mikkilä","given":"Vera"},{"family":"Ikram","given":"M. Arfan"},{"family":"Sattar","given":"Naveed"},{"family":"Jukema","given":"J. Wouter"},{"family":"Wareham","given":"Nicholas J."},{"family":"Langenberg","given":"Claudia"},{"family":"Forouhi","given":"Nita G."},{"family":"Gundersen","given":"Thomas E."},{"family":"Khaw","given":"Kay-Tee"},{"family":"Butterworth","given":"Adam S."},{"family":"Danesh","given":"John"},{"family":"Spector","given":"Timothy"},{"family":"Wang","given":"Thomas J."},{"family":"Hyppönen","given":"Elina"},{"family":"Kraft","given":"Peter"},{"family":"Kiel","given":"Douglas P."}],"issued":{"date-parts":[["2018",1,17]]}}}],"schema":"https://github.com/citation-style-language/schema/raw/master/csl-citation.json"}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11</w:t>
      </w:r>
      <w:r w:rsidR="00987F80" w:rsidRPr="001F1589">
        <w:rPr>
          <w:color w:val="000000" w:themeColor="text1"/>
        </w:rPr>
        <w:fldChar w:fldCharType="end"/>
      </w:r>
      <w:r w:rsidR="00B049A3" w:rsidRPr="001F1589">
        <w:rPr>
          <w:color w:val="000000" w:themeColor="text1"/>
          <w:lang w:val="en-GB"/>
        </w:rPr>
        <w:t xml:space="preserve"> Incorporating</w:t>
      </w:r>
      <w:r w:rsidR="00322488" w:rsidRPr="001F1589">
        <w:rPr>
          <w:color w:val="000000" w:themeColor="text1"/>
        </w:rPr>
        <w:t xml:space="preserve"> these</w:t>
      </w:r>
      <w:r w:rsidR="006254FA" w:rsidRPr="001F1589">
        <w:rPr>
          <w:color w:val="000000" w:themeColor="text1"/>
        </w:rPr>
        <w:t xml:space="preserve"> loci</w:t>
      </w:r>
      <w:r w:rsidR="009D28C0" w:rsidRPr="001F1589">
        <w:rPr>
          <w:color w:val="000000" w:themeColor="text1"/>
        </w:rPr>
        <w:t xml:space="preserve"> could improve the </w:t>
      </w:r>
      <w:r w:rsidR="00943A77" w:rsidRPr="001F1589">
        <w:rPr>
          <w:color w:val="000000" w:themeColor="text1"/>
        </w:rPr>
        <w:t xml:space="preserve">strength of genetic </w:t>
      </w:r>
      <w:r w:rsidR="009D28C0" w:rsidRPr="001F1589">
        <w:rPr>
          <w:color w:val="000000" w:themeColor="text1"/>
        </w:rPr>
        <w:t xml:space="preserve">instrument and </w:t>
      </w:r>
      <w:r w:rsidR="00943A77" w:rsidRPr="001F1589">
        <w:rPr>
          <w:color w:val="000000" w:themeColor="text1"/>
        </w:rPr>
        <w:t xml:space="preserve">both the </w:t>
      </w:r>
      <w:r w:rsidR="00B34FEB" w:rsidRPr="001F1589">
        <w:rPr>
          <w:color w:val="000000" w:themeColor="text1"/>
        </w:rPr>
        <w:t xml:space="preserve">accuracy </w:t>
      </w:r>
      <w:r w:rsidR="00943A77" w:rsidRPr="001F1589">
        <w:rPr>
          <w:color w:val="000000" w:themeColor="text1"/>
        </w:rPr>
        <w:t xml:space="preserve">and precision </w:t>
      </w:r>
      <w:r w:rsidR="00B34FEB" w:rsidRPr="001F1589">
        <w:rPr>
          <w:color w:val="000000" w:themeColor="text1"/>
        </w:rPr>
        <w:t xml:space="preserve">of </w:t>
      </w:r>
      <w:r w:rsidR="00AA543B" w:rsidRPr="001F1589">
        <w:rPr>
          <w:color w:val="000000" w:themeColor="text1"/>
        </w:rPr>
        <w:t xml:space="preserve">MR </w:t>
      </w:r>
      <w:r w:rsidR="00B34FEB" w:rsidRPr="001F1589">
        <w:rPr>
          <w:color w:val="000000" w:themeColor="text1"/>
        </w:rPr>
        <w:t>estimat</w:t>
      </w:r>
      <w:r w:rsidR="00943A77" w:rsidRPr="001F1589">
        <w:rPr>
          <w:color w:val="000000" w:themeColor="text1"/>
        </w:rPr>
        <w:t>es</w:t>
      </w:r>
      <w:r w:rsidR="003B4F04">
        <w:rPr>
          <w:color w:val="000000" w:themeColor="text1"/>
        </w:rPr>
        <w:t>. T</w:t>
      </w:r>
      <w:r w:rsidR="00B8170D" w:rsidRPr="001F1589">
        <w:rPr>
          <w:color w:val="000000" w:themeColor="text1"/>
        </w:rPr>
        <w:t xml:space="preserve">he statistical power </w:t>
      </w:r>
      <w:r w:rsidR="00AA543B" w:rsidRPr="001F1589">
        <w:rPr>
          <w:color w:val="000000" w:themeColor="text1"/>
        </w:rPr>
        <w:t xml:space="preserve">can be further improved by using </w:t>
      </w:r>
      <w:r w:rsidR="00943A77" w:rsidRPr="001F1589">
        <w:rPr>
          <w:color w:val="000000" w:themeColor="text1"/>
        </w:rPr>
        <w:t xml:space="preserve">summary genetic </w:t>
      </w:r>
      <w:r w:rsidR="00AA543B" w:rsidRPr="001F1589">
        <w:rPr>
          <w:color w:val="000000" w:themeColor="text1"/>
        </w:rPr>
        <w:t>data for breast and prostate cancer from recent larger GWAS</w:t>
      </w:r>
      <w:r w:rsidR="00DA7A53" w:rsidRPr="001F1589">
        <w:rPr>
          <w:color w:val="000000" w:themeColor="text1"/>
        </w:rPr>
        <w:t>s</w:t>
      </w:r>
      <w:r w:rsidR="00F33F49"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{"citationID":"ntTaGuqm","properties":{"formattedCitation":"\\super 12\\uc0\\u8211{}14\\nosupersub{}","plainCitation":"12–14","noteIndex":0},"citationItems":[{"id":1123,"uris":["http://zotero.org/users/local/6qce9xwG/items/96X67EGI"],"uri":["http://zotero.org/users/local/6qce9xwG/items/96X67EGI"],"itemData":{"id":1123,"type":"article-journal","title":"Association analysis identifies 65 new breast cancer risk loci","container-title":"Nature","source":"PubMed","abstract":"Breast cancer risk is influenced by rare coding variants in susceptibility genes, such as BRCA1, and many common, mostly non-coding variants. However, much of the genetic contribution to breast cancer risk remains unknown. Here we report the results of a genome-wide association study of breast cancer in 122,977 cases and 105,974 controls of European ancestry and 14,068 cases and 13,104 controls of East Asian ancestry. We identified 65 new loci that are associated with overall breast cancer risk at P &lt; 5 × 10(-8). The majority of credible risk single-nucleotide polymorphisms in these loci fall in distal regulatory elements, and by integrating in silico data to predict target genes in breast cells at each locus, we demonstrate a strong overlap between candidate target genes and somatic driver genes in breast tumours. We also find that heritability of breast cancer due to all single-nucleotide polymorphisms in regulatory features was 2-5-fold enriched relative to the genome-wide average, with strong enrichment for particular transcription factor binding sites. These results provide further insight into genetic susceptibility to breast cancer and will improve the use of genetic risk scores for individualized screening and prevention.","DOI":"10.1038/nature24284","ISSN":"1476-4687","note":"PMID: 29059683","journalAbbreviation":"Nature","language":"eng","author":[{"family":"Michailidou","given":"Kyriaki"},{"family":"Lindström","given":"Sara"},{"family":"Dennis","given":"Joe"},{"family":"Beesley","given":"Jonathan"},{"family":"Hui","given":"Shirley"},{"family":"Kar","given":"Siddhartha"},{"family":"Lemaçon","given":"Audrey"},{"family":"Soucy","given":"Penny"},{"family":"Glubb","given":"Dylan"},{"family":"Rostamianfar","given":"Asha"},{"family":"Bolla","given":"Manjeet K."},{"family":"Wang","given":"Qin"},{"family":"Tyrer","given":"Jonathan"},{"family":"Dicks","given":"Ed"},{"family":"Lee","given":"Andrew"},{"family":"Wang","given":"Zhaoming"},{"family":"Allen","given":"Jamie"},{"family":"Keeman","given":"Renske"},{"family":"Eilber","given":"Ursula"},{"family":"French","given":"Juliet D."},{"family":"Qing Chen","given":"Xiao"},{"family":"Fachal","given":"Laura"},{"family":"McCue","given":"Karen"},{"family":"McCart Reed","given":"Amy E."},{"family":"Ghoussaini","given":"Maya"},{"family":"Carroll","given":"Jason S."},{"family":"Jiang","given":"Xia"},{"family":"Finucane","given":"Hilary"},{"family":"Adams","given":"Marcia"},{"family":"Adank","given":"Muriel A."},{"family":"Ahsan","given":"Habibul"},{"family":"Aittomäki","given":"Kristiina"},{"family":"Anton-Culver","given":"Hoda"},{"family":"Antonenkova","given":"Natalia N."},{"family":"Arndt","given":"Volker"},{"family":"Aronson","given":"Kristan J."},{"family":"Arun","given":"Banu"},{"family":"Auer","given":"Paul L."},{"family":"Bacot","given":"François"},{"family":"Barrdahl","given":"Myrto"},{"family":"Baynes","given":"Caroline"},{"family":"Beckmann","given":"Matthias W."},{"family":"Behrens","given":"Sabine"},{"family":"Benitez","given":"Javier"},{"family":"Bermisheva","given":"Marina"},{"family":"Bernstein","given":"Leslie"},{"family":"Blomqvist","given":"Carl"},{"family":"Bogdanova","given":"Natalia V."},{"family":"Bojesen","given":"Stig E."},{"family":"Bonanni","given":"Bernardo"},{"family":"Børresen-Dale","given":"Anne-Lise"},{"family":"Brand","given":"Judith S."},{"family":"Brauch","given":"Hiltrud"},{"family":"Brennan","given":"Paul"},{"family":"Brenner","given":"Hermann"},{"family":"Brinton","given":"Louise"},{"family":"Broberg","given":"Per"},{"family":"Brock","given":"Ian W."},{"family":"Broeks","given":"Annegien"},{"family":"Brooks-Wilson","given":"Angela"},{"family":"Brucker","given":"Sara Y."},{"family":"Brüning","given":"Thomas"},{"family":"Burwinkel","given":"Barbara"},{"family":"Butterbach","given":"Katja"},{"family":"Cai","given":"Qiuyin"},{"family":"Cai","given":"Hui"},{"family":"Caldés","given":"Trinidad"},{"family":"Canzian","given":"Federico"},{"family":"Carracedo","given":"Angel"},{"family":"Carter","given":"Brian D."},{"family":"Castelao","given":"Jose E."},{"family":"Chan","given":"Tsun L."},{"family":"David Cheng","given":"Ting-Yuan"},{"family":"Seng Chia","given":"Kee"},{"family":"Choi","given":"Ji-Yeob"},{"family":"Christiansen","given":"Hans"},{"family":"Clarke","given":"Christine L."},{"literal":"NBCS Collaborators"},{"family":"Collée","given":"Margriet"},{"family":"Conroy","given":"Don M."},{"family":"Cordina-Duverger","given":"Emilie"},{"family":"Cornelissen","given":"Sten"},{"family":"Cox","given":"David G."},{"family":"Cox","given":"Angela"},{"family":"Cross","given":"Simon S."},{"family":"Cunningham","given":"Julie M."},{"family":"Czene","given":"Kamila"},{"family":"Daly","given":"Mary B."},{"family":"Devilee","given":"Peter"},{"family":"Doheny","given":"Kimberly F."},{"family":"Dörk","given":"Thilo"},{"family":"Dos-Santos-Silva","given":"Isabel"},{"family":"Dumont","given":"Martine"},{"family":"Durcan","given":"Lorraine"},{"family":"Dwek","given":"Miriam"},{"family":"Eccles","given":"Diana M."},{"family":"Ekici","given":"Arif B."},{"family":"Eliassen","given":"A. Heather"},{"family":"Ellberg","given":"Carolina"},{"family":"Elvira","given":"Mingajeva"},{"family":"Engel","given":"Christoph"},{"family":"Eriksson","given":"Mikael"},{"family":"Fasching","given":"Peter A."},{"family":"Figueroa","given":"Jonine"},{"family":"Flesch-Janys","given":"Dieter"},{"family":"Fletcher","given":"Olivia"},{"family":"Flyger","given":"Henrik"},{"family":"Fritschi","given":"Lin"},{"family":"Gaborieau","given":"Valerie"},{"family":"Gabrielson","given":"Marike"},{"family":"Gago-Dominguez","given":"Manuela"},{"family":"Gao","given":"Yu-Tang"},{"family":"Gapstur","given":"Susan M."},{"family":"García-Sáenz","given":"José A."},{"family":"Gaudet","given":"Mia M."},{"family":"Georgoulias","given":"Vassilios"},{"family":"Giles","given":"Graham G."},{"family":"Glendon","given":"Gord"},{"family":"Goldberg","given":"Mark S."},{"family":"Goldgar","given":"David E."},{"family":"González-Neira","given":"Anna"},{"family":"Grenaker Alnæs","given":"Grethe I."},{"family":"Grip","given":"Mervi"},{"family":"Gronwald","given":"Jacek"},{"family":"Grundy","given":"Anne"},{"family":"Guénel","given":"Pascal"},{"family":"Haeberle","given":"Lothar"},{"family":"Hahnen","given":"Eric"},{"family":"Haiman","given":"Christopher A."},{"family":"Håkansson","given":"Niclas"},{"family":"Hamann","given":"Ute"},{"family":"Hamel","given":"Nathalie"},{"family":"Hankinson","given":"Susan"},{"family":"Harrington","given":"Patricia"},{"family":"Hart","given":"Steven N."},{"family":"Hartikainen","given":"Jaana M."},{"family":"Hartman","given":"Mikael"},{"family":"Hein","given":"Alexander"},{"family":"Heyworth","given":"Jane"},{"family":"Hicks","given":"Belynda"},{"family":"Hillemanns","given":"Peter"},{"family":"Ho","given":"Dona N."},{"family":"Hollestelle","given":"Antoinette"},{"family":"Hooning","given":"Maartje J."},{"family":"Hoover","given":"Robert N."},{"family":"Hopper","given":"John L."},{"family":"Hou","given":"Ming-Feng"},{"family":"Hsiung","given":"Chia-Ni"},{"family":"Huang","given":"Guanmengqian"},{"family":"Humphreys","given":"Keith"},{"family":"Ishiguro","given":"Junko"},{"family":"Ito","given":"Hidemi"},{"family":"Iwasaki","given":"Motoki"},{"family":"Iwata","given":"Hiroji"},{"family":"Jakubowska","given":"Anna"},{"family":"Janni","given":"Wolfgang"},{"family":"John","given":"Esther M."},{"family":"Johnson","given":"Nichola"},{"family":"Jones","given":"Kristine"},{"family":"Jones","given":"Michael"},{"family":"Jukkola-Vuorinen","given":"Arja"},{"family":"Kaaks","given":"Rudolf"},{"family":"Kabisch","given":"Maria"},{"family":"Kaczmarek","given":"Katarzyna"},{"family":"Kang","given":"Daehee"},{"family":"Kasuga","given":"Yoshio"},{"family":"Kerin","given":"Michael J."},{"family":"Khan","given":"Sofia"},{"family":"Khusnutdinova","given":"Elza"},{"family":"Kiiski","given":"Johanna I."},{"family":"Kim","given":"Sung-Won"},{"family":"Knight","given":"Julia A."},{"family":"Kosma","given":"Veli-Matti"},{"family":"Kristensen","given":"Vessela N."},{"family":"Krüger","given":"Ute"},{"family":"Kwong","given":"Ava"},{"family":"Lambrechts","given":"Diether"},{"family":"Le Marchand","given":"Loic"},{"family":"Lee","given":"Eunjung"},{"family":"Lee","given":"Min Hyuk"},{"family":"Lee","given":"Jong Won"},{"family":"Neng Lee","given":"Chuen"},{"family":"Lejbkowicz","given":"Flavio"},{"family":"Li","given":"Jingmei"},{"family":"Lilyquist","given":"Jenna"},{"family":"Lindblom","given":"Annika"},{"family":"Lissowska","given":"Jolanta"},{"family":"Lo","given":"Wing-Yee"},{"family":"Loibl","given":"Sibylle"},{"family":"Long","given":"Jirong"},{"family":"Lophatananon","given":"Artitaya"},{"family":"Lubinski","given":"Jan"},{"family":"Luccarini","given":"Craig"},{"family":"Lux","given":"Michael P."},{"family":"Ma","given":"Edmond S. K."},{"family":"MacInnis","given":"Robert J."},{"family":"Maishman","given":"Tom"},{"family":"Makalic","given":"Enes"},{"family":"Malone","given":"Kathleen E."},{"family":"Kostovska","given":"Ivana Maleva"},{"family":"Mannermaa","given":"Arto"},{"family":"Manoukian","given":"Siranoush"},{"family":"Manson","given":"JoAnn E."},{"family":"Margolin","given":"Sara"},{"family":"Mariapun","given":"Shivaani"},{"family":"Martinez","given":"Maria Elena"},{"family":"Matsuo","given":"Keitaro"},{"family":"Mavroudis","given":"Dimitrios"},{"family":"McKay","given":"James"},{"family":"McLean","given":"Catriona"},{"family":"Meijers-Heijboer","given":"Hanne"},{"family":"Meindl","given":"Alfons"},{"family":"Menéndez","given":"Primitiva"},{"family":"Menon","given":"Usha"},{"family":"Meyer","given":"Jeffery"},{"family":"Miao","given":"Hui"},{"family":"Miller","given":"Nicola"},{"family":"Taib","given":"Nur Aishah Mohd"},{"family":"Muir","given":"Kenneth"},{"family":"Mulligan","given":"Anna Marie"},{"family":"Mulot","given":"Claire"},{"family":"Neuhausen","given":"Susan L."},{"family":"Nevanlinna","given":"Heli"},{"family":"Neven","given":"Patrick"},{"family":"Nielsen","given":"Sune F."},{"family":"Noh","given":"Dong-Young"},{"family":"Nordestgaard","given":"Børge G."},{"family":"Norman","given":"Aaron"},{"family":"Olopade","given":"Olufunmilayo I."},{"family":"Olson","given":"Janet E."},{"family":"Olsson","given":"Håkan"},{"family":"Olswold","given":"Curtis"},{"family":"Orr","given":"Nick"},{"family":"Pankratz","given":"V. Shane"},{"family":"Park","given":"Sue K."},{"family":"Park-Simon","given":"Tjoung-Won"},{"family":"Lloyd","given":"Rachel"},{"family":"Perez","given":"Jose I. A."},{"family":"Peterlongo","given":"Paolo"},{"family":"Peto","given":"Julian"},{"family":"Phillips","given":"Kelly-Anne"},{"family":"Pinchev","given":"Mila"},{"family":"Plaseska-Karanfilska","given":"Dijana"},{"family":"Prentice","given":"Ross"},{"family":"Presneau","given":"Nadege"},{"family":"Prokofyeva","given":"Darya"},{"family":"Pugh","given":"Elizabeth"},{"family":"Pylkäs","given":"Katri"},{"family":"Rack","given":"Brigitte"},{"family":"Radice","given":"Paolo"},{"family":"Rahman","given":"Nazneen"},{"family":"Rennert","given":"Gadi"},{"family":"Rennert","given":"Hedy S."},{"family":"Rhenius","given":"Valerie"},{"family":"Romero","given":"Atocha"},{"family":"Romm","given":"Jane"},{"family":"Ruddy","given":"Kathryn J."},{"family":"Rüdiger","given":"Thomas"},{"family":"Rudolph","given":"Anja"},{"family":"Ruebner","given":"Matthias"},{"family":"Rutgers","given":"Emiel J. T."},{"family":"Saloustros","given":"Emmanouil"},{"family":"Sandler","given":"Dale P."},{"family":"Sangrajrang","given":"Suleeporn"},{"family":"Sawyer","given":"Elinor J."},{"family":"Schmidt","given":"Daniel F."},{"family":"Schmutzler","given":"Rita K."},{"family":"Schneeweiss","given":"Andreas"},{"family":"Schoemaker","given":"Minouk J."},{"family":"Schumacher","given":"Fredrick"},{"family":"Schürmann","given":"Peter"},{"family":"Scott","given":"Rodney J."},{"family":"Scott","given":"Christopher"},{"family":"Seal","given":"Sheila"},{"family":"Seynaeve","given":"Caroline"},{"family":"Shah","given":"Mitul"},{"family":"Sharma","given":"Priyanka"},{"family":"Shen","given":"Chen-Yang"},{"family":"Sheng","given":"Grace"},{"family":"Sherman","given":"Mark E."},{"family":"Shrubsole","given":"Martha J."},{"family":"Shu","given":"Xiao-Ou"},{"family":"Smeets","given":"Ann"},{"family":"Sohn","given":"Christof"},{"family":"Southey","given":"Melissa C."},{"family":"Spinelli","given":"John J."},{"family":"Stegmaier","given":"Christa"},{"family":"Stewart-Brown","given":"Sarah"},{"family":"Stone","given":"Jennifer"},{"family":"Stram","given":"Daniel O."},{"family":"Surowy","given":"Harald"},{"family":"Swerdlow","given":"Anthony"},{"family":"Tamimi","given":"Rulla"},{"family":"Taylor","given":"Jack A."},{"family":"Tengström","given":"Maria"},{"family":"Teo","given":"Soo H."},{"family":"Beth Terry","given":"Mary"},{"family":"Tessier","given":"Daniel C."},{"family":"Thanasitthichai","given":"Somchai"},{"family":"Thöne","given":"Kathrin"},{"family":"Tollenaar","given":"Rob A. E. M."},{"family":"Tomlinson","given":"Ian"},{"family":"Tong","given":"Ling"},{"family":"Torres","given":"Diana"},{"family":"Truong","given":"Thérèse"},{"family":"Tseng","given":"Chiu-Chen"},{"family":"Tsugane","given":"Shoichiro"},{"family":"Ulmer","given":"Hans-Ulrich"},{"family":"Ursin","given":"Giske"},{"family":"Untch","given":"Michael"},{"family":"Vachon","given":"Celine"},{"family":"Asperen","given":"Christi J.","non-dropping-particle":"van"},{"family":"Van Den Berg","given":"David"},{"family":"Ouweland","given":"Ans M. W.","non-dropping-particle":"van den"},{"family":"Kolk","given":"Lizet","non-dropping-particle":"van der"},{"family":"Luijt","given":"Rob B.","non-dropping-particle":"van der"},{"family":"Vincent","given":"Daniel"},{"family":"Vollenweider","given":"Jason"},{"family":"Waisfisz","given":"Quinten"},{"family":"Wang-Gohrke","given":"Shan"},{"family":"Weinberg","given":"Clarice R."},{"family":"Wendt","given":"Camilla"},{"family":"Whittemore","given":"Alice S."},{"family":"Wildiers","given":"Hans"},{"family":"Willett","given":"Walter"},{"family":"Winqvist","given":"Robert"},{"family":"Wolk","given":"Alicja"},{"family":"Wu","given":"Anna H."},{"family":"Xia","given":"Lucy"},{"family":"Yamaji","given":"Taiki"},{"family":"Yang","given":"Xiaohong R."},{"family":"Har Yip","given":"Cheng"},{"family":"Yoo","given":"Keun-Young"},{"family":"Yu","given":"Jyh-Cherng"},{"family":"Zheng","given":"Wei"},{"family":"Zheng","given":"Ying"},{"family":"Zhu","given":"Bin"},{"family":"Ziogas","given":"Argyrios"},{"family":"Ziv","given":"Elad"},{"literal":"ABCTB Investigators"},{"literal":"ConFab/AOCS Investigators"},{"family":"Lakhani","given":"Sunil R."},{"family":"Antoniou","given":"Antonis C."},{"family":"Droit","given":"Arnaud"},{"family":"Andrulis","given":"Irene L."},{"family":"Amos","given":"Christopher I."},{"family":"Couch","given":"Fergus J."},{"family":"Pharoah","given":"Paul D. P."},{"family":"Chang-Claude","given":"Jenny"},{"family":"Hall","given":"Per"},{"family":"Hunter","given":"David J."},{"family":"Milne","given":"Roger L."},{"family":"García-Closas","given":"Montserrat"},{"family":"Schmidt","given":"Marjanka K."},{"family":"Chanock","given":"Stephen J."},{"family":"Dunning","given":"Alison M."},{"family":"Edwards","given":"Stacey L."},{"family":"Bader","given":"Gary D."},{"family":"Chenevix-Trench","given":"Georgia"},{"family":"Simard","given":"Jacques"},{"family":"Kraft","given":"Peter"},{"family":"Easton","given":"Douglas F."}],"issued":{"date-parts":[["2017",10,23]]}}},{"id":1125,"uris":["http://zotero.org/users/local/6qce9xwG/items/9WKTMN5R"],"uri":["http://zotero.org/users/local/6qce9xwG/items/9WKTMN5R"],"itemData":{"id":1125,"type":"article-journal","title":"Identification of ten variants associated with risk of estrogen-receptor-negative breast cancer","container-title":"Nature Genetics","source":"PubMed","abstract":"Most common breast cancer susceptibility variants have been identified through genome-wide association studies (GWAS) of predominantly estrogen receptor (ER)-positive disease. We conducted a GWAS using 21,468 ER-negative cases and 100,594 controls combined with 18,908 BRCA1 mutation carriers (9,414 with breast cancer), all of European origin. We identified independent associations at P &lt; 5 × 10(-8) with ten variants at nine new loci. At P &lt; 0.05, we replicated associations with 10 of 11 variants previously reported in ER-negative disease or BRCA1 mutation carrier GWAS and observed consistent associations with ER-negative disease for 105 susceptibility variants identified by other studies. These 125 variants explain approximately 16% of the familial risk of this breast cancer subtype. There was high genetic correlation (0.72) between risk of ER-negative breast cancer and breast cancer risk for BRCA1 mutation carriers. These findings may lead to improved risk prediction and inform further fine-mapping and functional work to better understand the biological basis of ER-negative breast cancer.","DOI":"10.1038/ng.3785","ISSN":"1546-1718","note":"PMID: 29058716","journalAbbreviation":"Nat. Genet.","language":"eng","author":[{"family":"Milne","given":"Roger L."},{"family":"Kuchenbaecker","given":"Karoline B."},{"family":"Michailidou","given":"Kyriaki"},{"family":"Beesley","given":"Jonathan"},{"family":"Kar","given":"Siddhartha"},{"family":"Lindström","given":"Sara"},{"family":"Hui","given":"Shirley"},{"family":"Lemaçon","given":"Audrey"},{"family":"Soucy","given":"Penny"},{"family":"Dennis","given":"Joe"},{"family":"Jiang","given":"Xia"},{"family":"Rostamianfar","given":"Asha"},{"family":"Finucane","given":"Hilary"},{"family":"Bolla","given":"Manjeet K."},{"family":"McGuffog","given":"Lesley"},{"family":"Wang","given":"Qin"},{"family":"Aalfs","given":"Cora M."},{"literal":"ABCTB Investigators"},{"family":"Adams","given":"Marcia"},{"family":"Adlard","given":"Julian"},{"family":"Agata","given":"Simona"},{"family":"Ahmed","given":"Shahana"},{"family":"Ahsan","given":"Habibul"},{"family":"Aittomäki","given":"Kristiina"},{"family":"Al-Ejeh","given":"Fares"},{"family":"Allen","given":"Jamie"},{"family":"Ambrosone","given":"Christine B."},{"family":"Amos","given":"Christopher I."},{"family":"Andrulis","given":"Irene L."},{"family":"Anton-Culver","given":"Hoda"},{"family":"Antonenkova","given":"Natalia N."},{"family":"Arndt","given":"Volker"},{"family":"Arnold","given":"Norbert"},{"family":"Aronson","given":"Kristan J."},{"family":"Auber","given":"Bernd"},{"family":"Auer","given":"Paul L."},{"family":"Ausems","given":"Margreet G. E. M."},{"family":"Azzollini","given":"Jacopo"},{"family":"Bacot","given":"François"},{"family":"Balmaña","given":"Judith"},{"family":"Barile","given":"Monica"},{"family":"Barjhoux","given":"Laure"},{"family":"Barkardottir","given":"Rosa B."},{"family":"Barrdahl","given":"Myrto"},{"family":"Barnes","given":"Daniel"},{"family":"Barrowdale","given":"Daniel"},{"family":"Baynes","given":"Caroline"},{"family":"Beckmann","given":"Matthias W."},{"family":"Benitez","given":"Javier"},{"family":"Bermisheva","given":"Marina"},{"family":"Bernstein","given":"Leslie"},{"family":"Bignon","given":"Yves-Jean"},{"family":"Blazer","given":"Kathleen R."},{"family":"Blok","given":"Marinus J."},{"family":"Blomqvist","given":"Carl"},{"family":"Blot","given":"William"},{"family":"Bobolis","given":"Kristie"},{"family":"Boeckx","given":"Bram"},{"family":"Bogdanova","given":"Natalia V."},{"family":"Bojesen","given":"Anders"},{"family":"Bojesen","given":"Stig E."},{"family":"Bonanni","given":"Bernardo"},{"family":"Børresen-Dale","given":"Anne-Lise"},{"family":"Bozsik","given":"Aniko"},{"family":"Bradbury","given":"Angela R."},{"family":"Brand","given":"Judith S."},{"family":"Brauch","given":"Hiltrud"},{"family":"Brenner","given":"Hermann"},{"family":"Bressac-de Paillerets","given":"Brigitte"},{"family":"Brewer","given":"Carole"},{"family":"Brinton","given":"Louise"},{"family":"Broberg","given":"Per"},{"family":"Brooks-Wilson","given":"Angela"},{"family":"Brunet","given":"Joan"},{"family":"Brüning","given":"Thomas"},{"family":"Burwinkel","given":"Barbara"},{"family":"Buys","given":"Saundra S."},{"family":"Byun","given":"Jinyoung"},{"family":"Cai","given":"Qiuyin"},{"family":"Caldés","given":"Trinidad"},{"family":"Caligo","given":"Maria A."},{"family":"Campbell","given":"Ian"},{"family":"Canzian","given":"Federico"},{"family":"Caron","given":"Olivier"},{"family":"Carracedo","given":"Angel"},{"family":"Carter","given":"Brian D."},{"family":"Castelao","given":"J. Esteban"},{"family":"Castera","given":"Laurent"},{"family":"Caux-Moncoutier","given":"Virginie"},{"family":"Chan","given":"Salina B."},{"family":"Chang-Claude","given":"Jenny"},{"family":"Chanock","given":"Stephen J."},{"family":"Chen","given":"Xiaoqing"},{"family":"Cheng","given":"Ting-Yuan David"},{"family":"Chiquette","given":"Jocelyne"},{"family":"Christiansen","given":"Hans"},{"family":"Claes","given":"Kathleen B. M."},{"family":"Clarke","given":"Christine L."},{"family":"Conner","given":"Thomas"},{"family":"Conroy","given":"Don M."},{"family":"Cook","given":"Jackie"},{"family":"Cordina-Duverger","given":"Emilie"},{"family":"Cornelissen","given":"Sten"},{"family":"Coupier","given":"Isabelle"},{"family":"Cox","given":"Angela"},{"family":"Cox","given":"David G."},{"family":"Cross","given":"Simon S."},{"family":"Cuk","given":"Katarina"},{"family":"Cunningham","given":"Julie M."},{"family":"Czene","given":"Kamila"},{"family":"Daly","given":"Mary B."},{"family":"Damiola","given":"Francesca"},{"family":"Darabi","given":"Hatef"},{"family":"Davidson","given":"Rosemarie"},{"family":"De Leeneer","given":"Kim"},{"family":"Devilee","given":"Peter"},{"family":"Dicks","given":"Ed"},{"family":"Diez","given":"Orland"},{"family":"Ding","given":"Yuan Chun"},{"family":"Ditsch","given":"Nina"},{"family":"Doheny","given":"Kimberly F."},{"family":"Domchek","given":"Susan M."},{"family":"Dorfling","given":"Cecilia M."},{"family":"Dörk","given":"Thilo"},{"family":"Dos-Santos-Silva","given":"Isabel"},{"family":"Dubois","given":"Stéphane"},{"family":"Dugué","given":"Pierre-Antoine"},{"family":"Dumont","given":"Martine"},{"family":"Dunning","given":"Alison M."},{"family":"Durcan","given":"Lorraine"},{"family":"Dwek","given":"Miriam"},{"family":"Dworniczak","given":"Bernd"},{"family":"Eccles","given":"Diana"},{"family":"Eeles","given":"Ros"},{"family":"Ehrencrona","given":"Hans"},{"family":"Eilber","given":"Ursula"},{"family":"Ejlertsen","given":"Bent"},{"family":"Ekici","given":"Arif B."},{"family":"Eliassen","given":"A. Heather"},{"literal":"EMBRACE"},{"family":"Engel","given":"Christoph"},{"family":"Eriksson","given":"Mikael"},{"family":"Fachal","given":"Laura"},{"family":"Faivre","given":"Laurence"},{"family":"Fasching","given":"Peter A."},{"family":"Faust","given":"Ulrike"},{"family":"Figueroa","given":"Jonine"},{"family":"Flesch-Janys","given":"Dieter"},{"family":"Fletcher","given":"Olivia"},{"family":"Flyger","given":"Henrik"},{"family":"Foulkes","given":"William D."},{"family":"Friedman","given":"Eitan"},{"family":"Fritschi","given":"Lin"},{"family":"Frost","given":"Debra"},{"family":"Gabrielson","given":"Marike"},{"family":"Gaddam","given":"Pragna"},{"family":"Gammon","given":"Marilie D."},{"family":"Ganz","given":"Patricia A."},{"family":"Gapstur","given":"Susan M."},{"family":"Garber","given":"Judy"},{"family":"Garcia-Barberan","given":"Vanesa"},{"family":"García-Sáenz","given":"José A."},{"family":"Gaudet","given":"Mia M."},{"family":"Gauthier-Villars","given":"Marion"},{"family":"Gehrig","given":"Andrea"},{"literal":"GEMO Study Collaborators"},{"family":"Georgoulias","given":"Vassilios"},{"family":"Gerdes","given":"Anne-Marie"},{"family":"Giles","given":"Graham G."},{"family":"Glendon","given":"Gord"},{"family":"Godwin","given":"Andrew K."},{"family":"Goldberg","given":"Mark S."},{"family":"Goldgar","given":"David E."},{"family":"González-Neira","given":"Anna"},{"family":"Goodfellow","given":"Paul"},{"family":"Greene","given":"Mark H."},{"family":"Alnæs","given":"Grethe I. Grenaker"},{"family":"Grip","given":"Mervi"},{"family":"Gronwald","given":"Jacek"},{"family":"Grundy","given":"Anne"},{"family":"Gschwantler-Kaulich","given":"Daphne"},{"family":"Guénel","given":"Pascal"},{"family":"Guo","given":"Qi"},{"family":"Haeberle","given":"Lothar"},{"family":"Hahnen","given":"Eric"},{"family":"Haiman","given":"Christopher A."},{"family":"Håkansson","given":"Niclas"},{"family":"Hallberg","given":"Emily"},{"family":"Hamann","given":"Ute"},{"family":"Hamel","given":"Nathalie"},{"family":"Hankinson","given":"Susan"},{"family":"Hansen","given":"Thomas V. O."},{"family":"Harrington","given":"Patricia"},{"family":"Hart","given":"Steven N."},{"family":"Hartikainen","given":"Jaana M."},{"family":"Healey","given":"Catherine S."},{"literal":"HEBON"},{"family":"Hein","given":"Alexander"},{"family":"Helbig","given":"Sonja"},{"family":"Henderson","given":"Alex"},{"family":"Heyworth","given":"Jane"},{"family":"Hicks","given":"Belynda"},{"family":"Hillemanns","given":"Peter"},{"family":"Hodgson","given":"Shirley"},{"family":"Hogervorst","given":"Frans B."},{"family":"Hollestelle","given":"Antoinette"},{"family":"Hooning","given":"Maartje J."},{"family":"Hoover","given":"Bob"},{"family":"Hopper","given":"John L."},{"family":"Hu","given":"Chunling"},{"family":"Huang","given":"Guanmengqian"},{"family":"Hulick","given":"Peter J."},{"family":"Humphreys","given":"Keith"},{"family":"Hunter","given":"David J."},{"family":"Imyanitov","given":"Evgeny N."},{"family":"Isaacs","given":"Claudine"},{"family":"Iwasaki","given":"Motoki"},{"family":"Izatt","given":"Louise"},{"family":"Jakubowska","given":"Anna"},{"family":"James","given":"Paul"},{"family":"Janavicius","given":"Ramunas"},{"family":"Janni","given":"Wolfgang"},{"family":"Jensen","given":"Uffe Birk"},{"family":"John","given":"Esther M."},{"family":"Johnson","given":"Nichola"},{"family":"Jones","given":"Kristine"},{"family":"Jones","given":"Michael"},{"family":"Jukkola-Vuorinen","given":"Arja"},{"family":"Kaaks","given":"Rudolf"},{"family":"Kabisch","given":"Maria"},{"family":"Kaczmarek","given":"Katarzyna"},{"family":"Kang","given":"Daehee"},{"family":"Kast","given":"Karin"},{"literal":"kConFab/AOCS Investigators"},{"family":"Keeman","given":"Renske"},{"family":"Kerin","given":"Michael J."},{"family":"Kets","given":"Carolien M."},{"family":"Keupers","given":"Machteld"},{"family":"Khan","given":"Sofia"},{"family":"Khusnutdinova","given":"Elza"},{"family":"Kiiski","given":"Johanna I."},{"family":"Kim","given":"Sung-Won"},{"family":"Knight","given":"Julia A."},{"family":"Konstantopoulou","given":"Irene"},{"family":"Kosma","given":"Veli-Matti"},{"family":"Kristensen","given":"Vessela N."},{"family":"Kruse","given":"Torben A."},{"family":"Kwong","given":"Ava"},{"family":"Lænkholm","given":"Anne-Vibeke"},{"family":"Laitman","given":"Yael"},{"family":"Lalloo","given":"Fiona"},{"family":"Lambrechts","given":"Diether"},{"family":"Landsman","given":"Keren"},{"family":"Lasset","given":"Christine"},{"family":"Lazaro","given":"Conxi"},{"family":"Le Marchand","given":"Loic"},{"family":"Lecarpentier","given":"Julie"},{"family":"Lee","given":"Andrew"},{"family":"Lee","given":"Eunjung"},{"family":"Lee","given":"Jong Won"},{"family":"Lee","given":"Min Hyuk"},{"family":"Lejbkowicz","given":"Flavio"},{"family":"Lesueur","given":"Fabienne"},{"family":"Li","given":"Jingmei"},{"family":"Lilyquist","given":"Jenna"},{"family":"Lincoln","given":"Anne"},{"family":"Lindblom","given":"Annika"},{"family":"Lissowska","given":"Jolanta"},{"family":"Lo","given":"Wing-Yee"},{"family":"Loibl","given":"Sibylle"},{"family":"Long","given":"Jirong"},{"family":"Loud","given":"Jennifer T."},{"family":"Lubinski","given":"Jan"},{"family":"Luccarini","given":"Craig"},{"family":"Lush","given":"Michael"},{"family":"MacInnis","given":"Robert J."},{"family":"Maishman","given":"Tom"},{"family":"Makalic","given":"Enes"},{"family":"Kostovska","given":"Ivana Maleva"},{"family":"Malone","given":"Kathleen E."},{"family":"Manoukian","given":"Siranoush"},{"family":"Manson","given":"JoAnn E."},{"family":"Margolin","given":"Sara"},{"family":"Martens","given":"John W. M."},{"family":"Martinez","given":"Maria Elena"},{"family":"Matsuo","given":"Keitaro"},{"family":"Mavroudis","given":"Dimitrios"},{"family":"Mazoyer","given":"Sylvie"},{"family":"McLean","given":"Catriona"},{"family":"Meijers-Heijboer","given":"Hanne"},{"family":"Menéndez","given":"Primitiva"},{"family":"Meyer","given":"Jeffery"},{"family":"Miao","given":"Hui"},{"family":"Miller","given":"Austin"},{"family":"Miller","given":"Nicola"},{"family":"Mitchell","given":"Gillian"},{"family":"Montagna","given":"Marco"},{"family":"Muir","given":"Kenneth"},{"family":"Mulligan","given":"Anna Marie"},{"family":"Mulot","given":"Claire"},{"family":"Nadesan","given":"Sue"},{"family":"Nathanson","given":"Katherine L."},{"literal":"NBSC Collaborators"},{"family":"Neuhausen","given":"Susan L."},{"family":"Nevanlinna","given":"Heli"},{"family":"Nevelsteen","given":"Ines"},{"family":"Niederacher","given":"Dieter"},{"family":"Nielsen","given":"Sune F."},{"family":"Nordestgaard","given":"Børge G."},{"family":"Norman","given":"Aaron"},{"family":"Nussbaum","given":"Robert L."},{"family":"Olah","given":"Edith"},{"family":"Olopade","given":"Olufunmilayo I."},{"family":"Olson","given":"Janet E."},{"family":"Olswold","given":"Curtis"},{"family":"Ong","given":"Kai-Ren"},{"family":"Oosterwijk","given":"Jan C."},{"family":"Orr","given":"Nick"},{"family":"Osorio","given":"Ana"},{"family":"Pankratz","given":"V. Shane"},{"family":"Papi","given":"Laura"},{"family":"Park-Simon","given":"Tjoung-Won"},{"family":"Paulsson-Karlsson","given":"Ylva"},{"family":"Lloyd","given":"Rachel"},{"family":"Pedersen","given":"Inge Søkilde"},{"family":"Peissel","given":"Bernard"},{"family":"Peixoto","given":"Ana"},{"family":"Perez","given":"Jose I. A."},{"family":"Peterlongo","given":"Paolo"},{"family":"Peto","given":"Julian"},{"family":"Pfeiler","given":"Georg"},{"family":"Phelan","given":"Catherine M."},{"family":"Pinchev","given":"Mila"},{"family":"Plaseska-Karanfilska","given":"Dijana"},{"family":"Poppe","given":"Bruce"},{"family":"Porteous","given":"Mary E."},{"family":"Prentice","given":"Ross"},{"family":"Presneau","given":"Nadege"},{"family":"Prokofieva","given":"Darya"},{"family":"Pugh","given":"Elizabeth"},{"family":"Pujana","given":"Miquel Angel"},{"family":"Pylkäs","given":"Katri"},{"family":"Rack","given":"Brigitte"},{"family":"Radice","given":"Paolo"},{"family":"Rahman","given":"Nazneen"},{"family":"Rantala","given":"Johanna"},{"family":"Rappaport-Fuerhauser","given":"Christine"},{"family":"Rennert","given":"Gad"},{"family":"Rennert","given":"Hedy S."},{"family":"Rhenius","given":"Valerie"},{"family":"Rhiem","given":"Kerstin"},{"family":"Richardson","given":"Andrea"},{"family":"Rodriguez","given":"Gustavo C."},{"family":"Romero","given":"Atocha"},{"family":"Romm","given":"Jane"},{"family":"Rookus","given":"Matti A."},{"family":"Rudolph","given":"Anja"},{"family":"Ruediger","given":"Thomas"},{"family":"Saloustros","given":"Emmanouil"},{"family":"Sanders","given":"Joyce"},{"family":"Sandler","given":"Dale P."},{"family":"Sangrajrang","given":"Suleeporn"},{"family":"Sawyer","given":"Elinor J."},{"family":"Schmidt","given":"Daniel F."},{"family":"Schoemaker","given":"Minouk J."},{"family":"Schumacher","given":"Fredrick"},{"family":"Schürmann","given":"Peter"},{"family":"Schwentner","given":"Lukas"},{"family":"Scott","given":"Christopher"},{"family":"Scott","given":"Rodney J."},{"family":"Seal","given":"Sheila"},{"family":"Senter","given":"Leigha"},{"family":"Seynaeve","given":"Caroline"},{"family":"Shah","given":"Mitul"},{"family":"Sharma","given":"Priyanka"},{"family":"Shen","given":"Chen-Yang"},{"family":"Sheng","given":"Xin"},{"family":"Shimelis","given":"Hermela"},{"family":"Shrubsole","given":"Martha J."},{"family":"Shu","given":"Xiao-Ou"},{"family":"Side","given":"Lucy E."},{"family":"Singer","given":"Christian F."},{"family":"Sohn","given":"Christof"},{"family":"Southey","given":"Melissa C."},{"family":"Spinelli","given":"John J."},{"family":"Spurdle","given":"Amanda B."},{"family":"Stegmaier","given":"Christa"},{"family":"Stoppa-Lyonnet","given":"Dominique"},{"family":"Sukiennicki","given":"Grzegorz"},{"family":"Surowy","given":"Harald"},{"family":"Sutter","given":"Christian"},{"family":"Swerdlow","given":"Anthony"},{"family":"Szabo","given":"Csilla I."},{"family":"Tamimi","given":"Rulla M."},{"family":"Tan","given":"Yen Y."},{"family":"Taylor","given":"Jack A."},{"family":"Tejada","given":"Maria-Isabel"},{"family":"Tengström","given":"Maria"},{"family":"Teo","given":"Soo H."},{"family":"Terry","given":"Mary B."},{"family":"Tessier","given":"Daniel C."},{"family":"Teulé","given":"Alex"},{"family":"Thöne","given":"Kathrin"},{"family":"Thull","given":"Darcy L."},{"family":"Tibiletti","given":"Maria Grazia"},{"family":"Tihomirova","given":"Laima"},{"family":"Tischkowitz","given":"Marc"},{"family":"Toland","given":"Amanda E."},{"family":"Tollenaar","given":"Rob A. E. M."},{"family":"Tomlinson","given":"Ian"},{"family":"Tong","given":"Ling"},{"family":"Torres","given":"Diana"},{"family":"Tranchant","given":"Martine"},{"family":"Truong","given":"Thérèse"},{"family":"Tucker","given":"Kathy"},{"family":"Tung","given":"Nadine"},{"family":"Tyrer","given":"Jonathan"},{"family":"Ulmer","given":"Hans-Ulrich"},{"family":"Vachon","given":"Celine"},{"family":"Asperen","given":"Christi J.","non-dropping-particle":"van"},{"family":"Van Den Berg","given":"David"},{"family":"Ouweland","given":"Ans M. W.","non-dropping-particle":"van den"},{"family":"Rensburg","given":"Elizabeth J.","non-dropping-particle":"van"},{"family":"Varesco","given":"Liliana"},{"family":"Varon-Mateeva","given":"Raymonda"},{"family":"Vega","given":"Ana"},{"family":"Viel","given":"Alessandra"},{"family":"Vijai","given":"Joseph"},{"family":"Vincent","given":"Daniel"},{"family":"Vollenweider","given":"Jason"},{"family":"Walker","given":"Lisa"},{"family":"Wang","given":"Zhaoming"},{"family":"Wang-Gohrke","given":"Shan"},{"family":"Wappenschmidt","given":"Barbara"},{"family":"Weinberg","given":"Clarice R."},{"family":"Weitzel","given":"Jeffrey N."},{"family":"Wendt","given":"Camilla"},{"family":"Wesseling","given":"Jelle"},{"family":"Whittemore","given":"Alice S."},{"family":"Wijnen","given":"Juul T."},{"family":"Willett","given":"Walter"},{"family":"Winqvist","given":"Robert"},{"family":"Wolk","given":"Alicja"},{"family":"Wu","given":"Anna H."},{"family":"Xia","given":"Lucy"},{"family":"Yang","given":"Xiaohong R."},{"family":"Yannoukakos","given":"Drakoulis"},{"family":"Zaffaroni","given":"Daniela"},{"family":"Zheng","given":"Wei"},{"family":"Zhu","given":"Bin"},{"family":"Ziogas","given":"Argyrios"},{"family":"Ziv","given":"Elad"},{"family":"Zorn","given":"Kristin K."},{"family":"Gago-Dominguez","given":"Manuela"},{"family":"Mannermaa","given":"Arto"},{"family":"Olsson","given":"Håkan"},{"family":"Teixeira","given":"Manuel R."},{"family":"Stone","given":"Jennifer"},{"family":"Offit","given":"Kenneth"},{"family":"Ottini","given":"Laura"},{"family":"Park","given":"Sue K."},{"family":"Thomassen","given":"Mads"},{"family":"Hall","given":"Per"},{"family":"Meindl","given":"Alfons"},{"family":"Schmutzler","given":"Rita K."},{"family":"Droit","given":"Arnaud"},{"family":"Bader","given":"Gary D."},{"family":"Pharoah","given":"Paul D. P."},{"family":"Couch","given":"Fergus J."},{"family":"Easton","given":"Douglas F."},{"family":"Kraft","given":"Peter"},{"family":"Chenevix-Trench","given":"Georgia"},{"family":"García-Closas","given":"Montserrat"},{"family":"Schmidt","given":"Marjanka K."},{"family":"Antoniou","given":"Antonis C."},{"family":"Simard","given":"Jacques"}],"issued":{"date-parts":[["2017",10,23]]}}},{"id":2639,"uris":["http://zotero.org/users/local/6qce9xwG/items/6BUQQS5R"],"uri":["http://zotero.org/users/local/6qce9xwG/items/6BUQQS5R"],"itemData":{"id":2639,"type":"article-journal","title":"Association analyses of more than 140,000 men identify 63 new prostate cancer susceptibility loci","container-title":"Nature Genetics","volume":"In press","author":[{"family":"Schumacher","given":"FR"},{"family":"Al Olama","given":"AA"},{"family":"Berndt","given":"SI"}]}}],"schema":"https://github.com/citation-style-language/schema/raw/master/csl-citation.json"}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12–14</w:t>
      </w:r>
      <w:r w:rsidR="00987F80" w:rsidRPr="001F1589">
        <w:rPr>
          <w:color w:val="000000" w:themeColor="text1"/>
        </w:rPr>
        <w:fldChar w:fldCharType="end"/>
      </w:r>
    </w:p>
    <w:p w14:paraId="334DFBCB" w14:textId="77777777" w:rsidR="00EE30EA" w:rsidRDefault="00D9514F" w:rsidP="005F7BB1">
      <w:pPr>
        <w:spacing w:after="120" w:line="480" w:lineRule="auto"/>
        <w:jc w:val="both"/>
        <w:rPr>
          <w:color w:val="000000" w:themeColor="text1"/>
        </w:rPr>
      </w:pPr>
      <w:r w:rsidRPr="001F1589">
        <w:rPr>
          <w:color w:val="000000" w:themeColor="text1"/>
        </w:rPr>
        <w:t xml:space="preserve">Therefore, we conducted </w:t>
      </w:r>
      <w:r w:rsidR="00943A77" w:rsidRPr="001F1589">
        <w:rPr>
          <w:color w:val="000000" w:themeColor="text1"/>
        </w:rPr>
        <w:t xml:space="preserve">an updated </w:t>
      </w:r>
      <w:r w:rsidR="00684E66" w:rsidRPr="001F1589">
        <w:rPr>
          <w:color w:val="000000" w:themeColor="text1"/>
        </w:rPr>
        <w:t xml:space="preserve">two-sample </w:t>
      </w:r>
      <w:r w:rsidRPr="001F1589">
        <w:rPr>
          <w:color w:val="000000" w:themeColor="text1"/>
        </w:rPr>
        <w:t xml:space="preserve">MR analysis to </w:t>
      </w:r>
      <w:r w:rsidR="00943A77" w:rsidRPr="001F1589">
        <w:rPr>
          <w:color w:val="000000" w:themeColor="text1"/>
        </w:rPr>
        <w:t xml:space="preserve">examine the effect of </w:t>
      </w:r>
      <w:r w:rsidR="008F5921" w:rsidRPr="001F1589">
        <w:rPr>
          <w:color w:val="000000" w:themeColor="text1"/>
        </w:rPr>
        <w:t>25(OH)D</w:t>
      </w:r>
      <w:r w:rsidR="00943A77" w:rsidRPr="001F1589">
        <w:rPr>
          <w:color w:val="000000" w:themeColor="text1"/>
        </w:rPr>
        <w:t xml:space="preserve"> on</w:t>
      </w:r>
      <w:r w:rsidRPr="001F1589">
        <w:rPr>
          <w:color w:val="000000" w:themeColor="text1"/>
        </w:rPr>
        <w:t xml:space="preserve"> breast </w:t>
      </w:r>
      <w:r w:rsidR="008F5921" w:rsidRPr="001F1589">
        <w:rPr>
          <w:color w:val="000000" w:themeColor="text1"/>
        </w:rPr>
        <w:t xml:space="preserve">and </w:t>
      </w:r>
      <w:r w:rsidRPr="001F1589">
        <w:rPr>
          <w:color w:val="000000" w:themeColor="text1"/>
        </w:rPr>
        <w:t xml:space="preserve">prostate cancer. Six genetic variants associated with plasma 25(OH)D </w:t>
      </w:r>
      <w:r w:rsidR="00BB5F37" w:rsidRPr="001F1589">
        <w:rPr>
          <w:color w:val="000000" w:themeColor="text1"/>
        </w:rPr>
        <w:t>concentration</w:t>
      </w:r>
      <w:r w:rsidR="00B21FF0" w:rsidRPr="001F1589">
        <w:rPr>
          <w:color w:val="000000" w:themeColor="text1"/>
        </w:rPr>
        <w:t xml:space="preserve"> were used as </w:t>
      </w:r>
      <w:r w:rsidRPr="001F1589">
        <w:rPr>
          <w:color w:val="000000" w:themeColor="text1"/>
        </w:rPr>
        <w:t>IV</w:t>
      </w:r>
      <w:r w:rsidR="00B21FF0" w:rsidRPr="001F1589">
        <w:rPr>
          <w:color w:val="000000" w:themeColor="text1"/>
        </w:rPr>
        <w:t>s</w:t>
      </w:r>
      <w:r w:rsidRPr="001F1589">
        <w:rPr>
          <w:color w:val="000000" w:themeColor="text1"/>
        </w:rPr>
        <w:t xml:space="preserve">. </w:t>
      </w:r>
      <w:r w:rsidR="00340FD2" w:rsidRPr="001F1589">
        <w:rPr>
          <w:color w:val="000000" w:themeColor="text1"/>
        </w:rPr>
        <w:t xml:space="preserve">Summary statistics </w:t>
      </w:r>
      <w:r w:rsidR="00122E11" w:rsidRPr="001F1589">
        <w:rPr>
          <w:color w:val="000000" w:themeColor="text1"/>
        </w:rPr>
        <w:t xml:space="preserve">for the </w:t>
      </w:r>
      <w:r w:rsidR="00340FD2" w:rsidRPr="001F1589">
        <w:rPr>
          <w:color w:val="000000" w:themeColor="text1"/>
        </w:rPr>
        <w:t xml:space="preserve">IV-exposure were extracted </w:t>
      </w:r>
      <w:r w:rsidR="00684E66" w:rsidRPr="001F1589">
        <w:rPr>
          <w:color w:val="000000" w:themeColor="text1"/>
        </w:rPr>
        <w:t xml:space="preserve">from </w:t>
      </w:r>
      <w:r w:rsidR="00340FD2" w:rsidRPr="001F1589">
        <w:rPr>
          <w:color w:val="000000" w:themeColor="text1"/>
        </w:rPr>
        <w:t xml:space="preserve">the </w:t>
      </w:r>
      <w:r w:rsidR="00DA5820">
        <w:rPr>
          <w:color w:val="000000" w:themeColor="text1"/>
        </w:rPr>
        <w:t xml:space="preserve">largest vitamin D GWAS </w:t>
      </w:r>
      <w:r w:rsidR="00340FD2" w:rsidRPr="001F1589">
        <w:rPr>
          <w:color w:val="000000" w:themeColor="text1"/>
        </w:rPr>
        <w:t>involving 73</w:t>
      </w:r>
      <w:r w:rsidR="00F97094" w:rsidRPr="001F1589">
        <w:rPr>
          <w:color w:val="000000" w:themeColor="text1"/>
        </w:rPr>
        <w:t>,</w:t>
      </w:r>
      <w:r w:rsidR="00340FD2" w:rsidRPr="001F1589">
        <w:rPr>
          <w:color w:val="000000" w:themeColor="text1"/>
        </w:rPr>
        <w:t>699 individuals</w:t>
      </w:r>
      <w:r w:rsidR="00F97094"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{"citationID":"UQFJOitL","properties":{"formattedCitation":"\\super 11\\nosupersub{}","plainCitation":"11","noteIndex":0},"citationItems":[{"id":2703,"uris":["http://zotero.org/users/local/6qce9xwG/items/LXC6GV3P"],"uri":["http://zotero.org/users/local/6qce9xwG/items/LXC6GV3P"],"itemData":{"id":2703,"type":"article-journal","title":"Genome-wide association study in 79,366 European-ancestry individuals informs the genetic architecture of 25-hydroxyvitamin D levels","container-title":"Nature Communications","page":"260","volume":"9","issue":"1","source":"PubMed","abstract":"Vitamin D is a steroid hormone precursor that is associated with a range of human traits and diseases. Previous GWAS of serum 25-hydroxyvitamin D concentrations have identified four genome-wide significant loci (GC, NADSYN1/DHCR7, CYP2R1, CYP24A1). In this study, we expand the previous SUNLIGHT Consortium GWAS discovery sample size from 16,125 to 79,366 (all European descent). This larger GWAS yields two additional loci harboring genome-wide significant variants (P = 4.7×10-9 at rs8018720 in SEC23A, and P = 1.9×10-14 at rs10745742 in AMDHD1). The overall estimate of heritability of 25-hydroxyvitamin D serum concentrations attributable to GWAS common SNPs is 7.5%, with statistically significant loci explaining 38% of this total. Further investigation identifies signal enrichment in immune and hematopoietic tissues, and clustering with autoimmune diseases in cell-type-specific analysis. Larger studies are required to identify additional common SNPs, and to explore the role of rare or structural variants and gene-gene interactions in the heritability of circulating 25-hydroxyvitamin D levels.","DOI":"10.1038/s41467-017-02662-2","ISSN":"2041-1723","note":"PMID: 29343764\nPMCID: PMC5772647","journalAbbreviation":"Nat Commun","language":"eng","author":[{"family":"Jiang","given":"Xia"},{"family":"O'Reilly","given":"Paul F."},{"family":"Aschard","given":"Hugues"},{"family":"Hsu","given":"Yi-Hsiang"},{"family":"Richards","given":"J. Brent"},{"family":"Dupuis","given":"Josée"},{"family":"Ingelsson","given":"Erik"},{"family":"Karasik","given":"David"},{"family":"Pilz","given":"Stefan"},{"family":"Berry","given":"Diane"},{"family":"Kestenbaum","given":"Bryan"},{"family":"Zheng","given":"Jusheng"},{"family":"Luan","given":"Jianan"},{"family":"Sofianopoulou","given":"Eleni"},{"family":"Streeten","given":"Elizabeth A."},{"family":"Albanes","given":"Demetrius"},{"family":"Lutsey","given":"Pamela L."},{"family":"Yao","given":"Lu"},{"family":"Tang","given":"Weihong"},{"family":"Econs","given":"Michael J."},{"family":"Wallaschofski","given":"Henri"},{"family":"Völzke","given":"Henry"},{"family":"Zhou","given":"Ang"},{"family":"Power","given":"Chris"},{"family":"McCarthy","given":"Mark I."},{"family":"Michos","given":"Erin D."},{"family":"Boerwinkle","given":"Eric"},{"family":"Weinstein","given":"Stephanie J."},{"family":"Freedman","given":"Neal D."},{"family":"Huang","given":"Wen-Yi"},{"family":"Van Schoor","given":"Natasja M."},{"family":"Velde","given":"Nathalie","non-dropping-particle":"van der"},{"family":"Groot","given":"Lisette C. P. G. M.","dropping-particle":"de"},{"family":"Enneman","given":"Anke"},{"family":"Cupples","given":"L. Adrienne"},{"family":"Booth","given":"Sarah L."},{"family":"Vasan","given":"Ramachandran S."},{"family":"Liu","given":"Ching-Ti"},{"family":"Zhou","given":"Yanhua"},{"family":"Ripatti","given":"Samuli"},{"family":"Ohlsson","given":"Claes"},{"family":"Vandenput","given":"Liesbeth"},{"family":"Lorentzon","given":"Mattias"},{"family":"Eriksson","given":"Johan G."},{"family":"Shea","given":"M. Kyla"},{"family":"Houston","given":"Denise K."},{"family":"Kritchevsky","given":"Stephen B."},{"family":"Liu","given":"Yongmei"},{"family":"Lohman","given":"Kurt K."},{"family":"Ferrucci","given":"Luigi"},{"family":"Peacock","given":"Munro"},{"family":"Gieger","given":"Christian"},{"family":"Beekman","given":"Marian"},{"family":"Slagboom","given":"Eline"},{"family":"Deelen","given":"Joris"},{"family":"Heemst","given":"Diana","dropping-particle":"van"},{"family":"Kleber","given":"Marcus E."},{"family":"März","given":"Winfried"},{"family":"Boer","given":"Ian H.","non-dropping-particle":"de"},{"family":"Wood","given":"Alexis C."},{"family":"Rotter","given":"Jerome I."},{"family":"Rich","given":"Stephen S."},{"family":"Robinson-Cohen","given":"Cassianne"},{"family":"Heijer","given":"Martin","non-dropping-particle":"den"},{"family":"Jarvelin","given":"Marjo-Riitta"},{"family":"Cavadino","given":"Alana"},{"family":"Joshi","given":"Peter K."},{"family":"Wilson","given":"James F."},{"family":"Hayward","given":"Caroline"},{"family":"Lind","given":"Lars"},{"family":"Michaëlsson","given":"Karl"},{"family":"Trompet","given":"Stella"},{"family":"Zillikens","given":"M. Carola"},{"family":"Uitterlinden","given":"Andre G."},{"family":"Rivadeneira","given":"Fernando"},{"family":"Broer","given":"Linda"},{"family":"Zgaga","given":"Lina"},{"family":"Campbell","given":"Harry"},{"family":"Theodoratou","given":"Evropi"},{"family":"Farrington","given":"Susan M."},{"family":"Timofeeva","given":"Maria"},{"family":"Dunlop","given":"Malcolm G."},{"family":"Valdes","given":"Ana M."},{"family":"Tikkanen","given":"Emmi"},{"family":"Lehtimäki","given":"Terho"},{"family":"Lyytikäinen","given":"Leo-Pekka"},{"family":"Kähönen","given":"Mika"},{"family":"Raitakari","given":"Olli T."},{"family":"Mikkilä","given":"Vera"},{"family":"Ikram","given":"M. Arfan"},{"family":"Sattar","given":"Naveed"},{"family":"Jukema","given":"J. Wouter"},{"family":"Wareham","given":"Nicholas J."},{"family":"Langenberg","given":"Claudia"},{"family":"Forouhi","given":"Nita G."},{"family":"Gundersen","given":"Thomas E."},{"family":"Khaw","given":"Kay-Tee"},{"family":"Butterworth","given":"Adam S."},{"family":"Danesh","given":"John"},{"family":"Spector","given":"Timothy"},{"family":"Wang","given":"Thomas J."},{"family":"Hyppönen","given":"Elina"},{"family":"Kraft","given":"Peter"},{"family":"Kiel","given":"Douglas P."}],"issued":{"date-parts":[["2018",1,17]]}}}],"schema":"https://github.com/citation-style-language/schema/raw/master/csl-citation.json"}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11</w:t>
      </w:r>
      <w:r w:rsidR="00987F80" w:rsidRPr="001F1589">
        <w:rPr>
          <w:color w:val="000000" w:themeColor="text1"/>
        </w:rPr>
        <w:fldChar w:fldCharType="end"/>
      </w:r>
      <w:r w:rsidR="00F97094" w:rsidRPr="001F1589">
        <w:rPr>
          <w:color w:val="000000" w:themeColor="text1"/>
        </w:rPr>
        <w:t xml:space="preserve"> S</w:t>
      </w:r>
      <w:r w:rsidR="00340FD2" w:rsidRPr="001F1589">
        <w:rPr>
          <w:color w:val="000000" w:themeColor="text1"/>
        </w:rPr>
        <w:t xml:space="preserve">ummary statistics </w:t>
      </w:r>
      <w:r w:rsidR="00684E66" w:rsidRPr="001F1589">
        <w:rPr>
          <w:color w:val="000000" w:themeColor="text1"/>
        </w:rPr>
        <w:t xml:space="preserve">for the </w:t>
      </w:r>
      <w:r w:rsidR="00F97094" w:rsidRPr="001F1589">
        <w:rPr>
          <w:color w:val="000000" w:themeColor="text1"/>
        </w:rPr>
        <w:t xml:space="preserve">IV-outcome were extracted from </w:t>
      </w:r>
      <w:r w:rsidR="00B042F2" w:rsidRPr="001F1589">
        <w:rPr>
          <w:color w:val="000000" w:themeColor="text1"/>
        </w:rPr>
        <w:t xml:space="preserve">the largest GWASs </w:t>
      </w:r>
      <w:r w:rsidR="00684E66" w:rsidRPr="001F1589">
        <w:rPr>
          <w:color w:val="000000" w:themeColor="text1"/>
        </w:rPr>
        <w:t xml:space="preserve">for </w:t>
      </w:r>
      <w:r w:rsidR="00B042F2" w:rsidRPr="001F1589">
        <w:rPr>
          <w:color w:val="000000" w:themeColor="text1"/>
        </w:rPr>
        <w:t xml:space="preserve">breast </w:t>
      </w:r>
      <w:r w:rsidR="00AA7EDB" w:rsidRPr="001F1589">
        <w:rPr>
          <w:color w:val="000000" w:themeColor="text1"/>
        </w:rPr>
        <w:t>(</w:t>
      </w:r>
      <w:r w:rsidR="00B707C8" w:rsidRPr="001F1589">
        <w:rPr>
          <w:color w:val="000000" w:themeColor="text1"/>
        </w:rPr>
        <w:t xml:space="preserve">122,977 </w:t>
      </w:r>
      <w:r w:rsidR="00AA7EDB" w:rsidRPr="001F1589">
        <w:rPr>
          <w:color w:val="000000" w:themeColor="text1"/>
        </w:rPr>
        <w:t xml:space="preserve">cases and 105,974 controls) </w:t>
      </w:r>
      <w:r w:rsidR="002F1D21" w:rsidRPr="001F1589">
        <w:rPr>
          <w:color w:val="000000" w:themeColor="text1"/>
        </w:rPr>
        <w:t>and prostate cancer</w:t>
      </w:r>
      <w:r w:rsidR="006F6134" w:rsidRPr="001F1589">
        <w:rPr>
          <w:color w:val="000000" w:themeColor="text1"/>
        </w:rPr>
        <w:t xml:space="preserve"> </w:t>
      </w:r>
      <w:r w:rsidR="00704A23" w:rsidRPr="001F1589">
        <w:rPr>
          <w:color w:val="000000" w:themeColor="text1"/>
        </w:rPr>
        <w:t>(</w:t>
      </w:r>
      <w:r w:rsidR="006F6134" w:rsidRPr="001F1589">
        <w:rPr>
          <w:color w:val="000000" w:themeColor="text1"/>
        </w:rPr>
        <w:t>79,148</w:t>
      </w:r>
      <w:r w:rsidR="00704A23" w:rsidRPr="001F1589">
        <w:rPr>
          <w:color w:val="000000" w:themeColor="text1"/>
        </w:rPr>
        <w:t xml:space="preserve"> cases and </w:t>
      </w:r>
      <w:r w:rsidR="006F6134" w:rsidRPr="001F1589">
        <w:rPr>
          <w:color w:val="000000" w:themeColor="text1"/>
        </w:rPr>
        <w:t>61,106</w:t>
      </w:r>
      <w:r w:rsidR="00AA7EDB" w:rsidRPr="001F1589">
        <w:rPr>
          <w:color w:val="000000" w:themeColor="text1"/>
        </w:rPr>
        <w:t xml:space="preserve"> controls)</w:t>
      </w:r>
      <w:r w:rsidR="00DA4A48" w:rsidRPr="001F1589">
        <w:rPr>
          <w:color w:val="000000" w:themeColor="text1"/>
        </w:rPr>
        <w:t xml:space="preserve"> </w:t>
      </w:r>
      <w:r w:rsidR="00B042F2" w:rsidRPr="001F1589">
        <w:rPr>
          <w:color w:val="000000" w:themeColor="text1"/>
        </w:rPr>
        <w:t>conducted by the OncoArray</w:t>
      </w:r>
      <w:r w:rsidR="00D94D87" w:rsidRPr="001F1589">
        <w:rPr>
          <w:color w:val="000000" w:themeColor="text1"/>
        </w:rPr>
        <w:t xml:space="preserve"> network</w:t>
      </w:r>
      <w:r w:rsidR="00B042F2"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{"citationID":"Xqns9O8C","properties":{"formattedCitation":"\\super 15\\nosupersub{}","plainCitation":"15","noteIndex":0},"citationItems":[{"id":220,"uris":["http://zotero.org/users/local/6qce9xwG/items/A8EVZX5M"],"uri":["http://zotero.org/users/local/6qce9xwG/items/A8EVZX5M"],"itemData":{"id":220,"type":"article-journal","title":"The OncoArray Consortium: a Network for Understanding the Genetic Architecture of Common Cancers","container-title":"Cancer Epidemiology, Biomarkers &amp; Prevention: A Publication of the American Association for Cancer Research, Cosponsored by the American Society of Preventive Oncology","source":"PubMed","abstract":"BACKGROUND: Common cancers develop through a multistep process often including inherited susceptibility. Collaboration among multiple institutions, and funding from multiple sources, has allowed the development of an inexpensive genotyping microarray, the OncoArray. The array includes a genome-wide backbone, comprising 230,000 SNPs tagging most common genetic variants, together with dense mapping of known susceptibility regions, rare variants from sequencing experiments, pharmacogenetic markers and cancer related traits.\nMETHODS: The OncoArray can be genotyped using a novel technology developed by Illumina to facilitate efficient genotyping. The consortium developed standard approaches for selecting SNPs for study, for quality control of markers and for ancestry analysis. The array was genotyped at selected sites and with prespecified replicate samples to permit evaluation of genotyping accuracy among centers and by ethnic background.\nRESULTS: The OncoArray consortium genotyped 447,705 samples. A total of 494,763 SNPs passed quality control steps with a sample success rate of 97% of the samples. Participating sites performed ancestry analysis using a common set of markers and a scoring algorithm based on principal components analysis.\nCONCLUSIONS: Results from these analyses will enable researchers to identify new susceptibility loci, perform fine mapping of new or known loci associated with either single or multiple cancers, assess the degree of overlap in cancer causation and pleiotropic effects of loci that have been identified for disease-specific risk, and jointly model genetic, environmental and lifestyle related exposures.\nIMPACT: Ongoing analyses will shed light on etiology and risk assessment for many types of cancer.","DOI":"10.1158/1055-9965.EPI-16-0106","ISSN":"1538-7755","note":"PMID: 27697780","shortTitle":"The OncoArray Consortium","journalAbbreviation":"Cancer Epidemiol. Biomarkers Prev.","language":"ENG","author":[{"family":"Amos","given":"Christopher I."},{"family":"Dennis","given":"Joe"},{"family":"Wang","given":"Zhaoming"},{"family":"Byun","given":"Jinyoung"},{"family":"Schumacher","given":"Fredrick R."},{"family":"Gayther","given":"Simon A."},{"family":"Casey","given":"Graham"},{"family":"Hunter","given":"David J."},{"family":"Sellers","given":"Thomas A."},{"family":"Gruber","given":"Stephen B."},{"family":"Dunning","given":"Alison M."},{"family":"Michailidou","given":"Kyriaki"},{"family":"Fachal","given":"Laura"},{"family":"Doheny","given":"Kimberly"},{"family":"Spurdle","given":"Amanda B."},{"family":"Li","given":"Yafang"},{"family":"Xiao","given":"Xiangjun"},{"family":"Romm","given":"Jane"},{"family":"Pugh","given":"Elizabeth"},{"family":"Coetzee","given":"Gerhard A."},{"family":"Hazelett","given":"Dennis J."},{"family":"Bojesen","given":"Stig E."},{"family":"Caga-Anan","given":"Charlisse"},{"family":"Haiman","given":"Christopher A."},{"family":"Kamal","given":"Ahsan"},{"family":"Luccarini","given":"Craig"},{"family":"Tessier","given":"Daniel"},{"family":"Vincent","given":"Daniel"},{"family":"Bacot","given":"Francois"},{"family":"Van Den Berg","given":"David J."},{"family":"Nelson","given":"Stefanie"},{"family":"Demetriades","given":"Stephen"},{"family":"Goldgar","given":"David E."},{"family":"Couch","given":"Fergus J."},{"family":"Forman","given":"Judith L."},{"family":"Giles","given":"Graham G."},{"family":"Conti","given":"David V."},{"family":"Bickeböller","given":"Heike"},{"family":"Risch","given":"Angela"},{"family":"Waldenberger","given":"Melanie"},{"family":"Brüske-Hohlfeld","given":"Irene"},{"family":"Hicks","given":"Belynda D."},{"family":"Ling","given":"Hua"},{"family":"McGuffog","given":"Lesley"},{"family":"Lee","given":"Andrew"},{"family":"Kuchenbaecker","given":"Karoline"},{"family":"Soucy","given":"Penny"},{"family":"Manz","given":"Judith"},{"family":"Cunningham","given":"Julie M."},{"family":"Butterbach","given":"Katja"},{"family":"Kote-Jarai","given":"Zsofia"},{"family":"Kraft","given":"Peter"},{"family":"FitzGerald","given":"Liesel"},{"family":"Lindstrom","given":"Sara"},{"family":"Adams","given":"Marcia"},{"family":"McKay","given":"James D."},{"family":"Phelan","given":"Catherine M."},{"family":"Benlloch","given":"Sara"},{"family":"Kelemen","given":"Linda E."},{"family":"Brennan","given":"Paul"},{"family":"Riggan","given":"Marjorie"},{"family":"O'Mara","given":"Tracy A."},{"family":"Shen","given":"Hongbing"},{"family":"Shi","given":"Yong-Yong"},{"family":"Thompson","given":"Deborah J."},{"family":"Goodman","given":"Marc T."},{"family":"Nielsen","given":"Sune F."},{"family":"Berchuck","given":"Andrew"},{"family":"Laboissiere","given":"Sylvie"},{"family":"Schmit","given":"Stephanie L."},{"family":"Shelford","given":"Tameka"},{"family":"Edlund","given":"Christopher K."},{"family":"Taylor","given":"Jack A."},{"family":"Field","given":"John Kirkpatrick"},{"family":"Park","given":"Sue K."},{"family":"Offit","given":"Kenneth"},{"family":"Thomassen","given":"Mads"},{"family":"Schmutzler","given":"Rita"},{"family":"Ottini","given":"Laura"},{"family":"Hung","given":"Rayjean J."},{"family":"Marchini","given":"Jonathan"},{"family":"Amin Al Olama","given":"Ali"},{"family":"Peters","given":"Ulrike"},{"family":"Eeles","given":"Rosalind A."},{"family":"Seldin","given":"Michael F."},{"family":"Gillanders","given":"Elizabeth"},{"family":"Seminara","given":"Daniela"},{"family":"Antoniou","given":"Antonis C."},{"family":"Pharoah","given":"Paul D. P."},{"family":"Chenevix-Trench","given":"Georgia"},{"family":"Chanock","given":"Stephen J."},{"family":"Simard","given":"Jacques"},{"family":"Easton","given":"Douglas F."}],"issued":{"date-parts":[["2016",10,3]]}}}],"schema":"https://github.com/citation-style-language/schema/raw/master/csl-citation.json"}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15</w:t>
      </w:r>
      <w:r w:rsidR="00987F80" w:rsidRPr="001F1589">
        <w:rPr>
          <w:color w:val="000000" w:themeColor="text1"/>
        </w:rPr>
        <w:fldChar w:fldCharType="end"/>
      </w:r>
    </w:p>
    <w:p w14:paraId="56EF36E8" w14:textId="51C1575D" w:rsidR="00B042F2" w:rsidRPr="00EE30EA" w:rsidRDefault="00B042F2" w:rsidP="005F7BB1">
      <w:pPr>
        <w:spacing w:after="120" w:line="480" w:lineRule="auto"/>
        <w:jc w:val="both"/>
        <w:rPr>
          <w:color w:val="000000" w:themeColor="text1"/>
        </w:rPr>
      </w:pPr>
      <w:r w:rsidRPr="001F1589">
        <w:rPr>
          <w:b/>
          <w:color w:val="000000" w:themeColor="text1"/>
          <w:sz w:val="28"/>
        </w:rPr>
        <w:lastRenderedPageBreak/>
        <w:t>Methods</w:t>
      </w:r>
    </w:p>
    <w:p w14:paraId="321A46D6" w14:textId="77777777" w:rsidR="00940CCD" w:rsidRPr="001F1589" w:rsidRDefault="00940CCD" w:rsidP="005F7BB1">
      <w:pPr>
        <w:spacing w:after="120" w:line="480" w:lineRule="auto"/>
        <w:jc w:val="both"/>
        <w:rPr>
          <w:b/>
          <w:color w:val="000000" w:themeColor="text1"/>
        </w:rPr>
      </w:pPr>
      <w:r w:rsidRPr="001F1589">
        <w:rPr>
          <w:b/>
          <w:color w:val="000000" w:themeColor="text1"/>
        </w:rPr>
        <w:t>Data for IV-exposure</w:t>
      </w:r>
    </w:p>
    <w:p w14:paraId="351C5071" w14:textId="157A7943" w:rsidR="006F424E" w:rsidRPr="001F1589" w:rsidRDefault="006F424E" w:rsidP="005F7BB1">
      <w:pPr>
        <w:spacing w:after="120" w:line="480" w:lineRule="auto"/>
        <w:jc w:val="both"/>
        <w:rPr>
          <w:color w:val="000000" w:themeColor="text1"/>
        </w:rPr>
      </w:pPr>
      <w:r w:rsidRPr="001F1589">
        <w:rPr>
          <w:color w:val="000000" w:themeColor="text1"/>
        </w:rPr>
        <w:t xml:space="preserve">We retrieved summary data for the association between six SNPs and circulating 25(OH)D concentration from </w:t>
      </w:r>
      <w:r w:rsidR="007B4061" w:rsidRPr="001F1589">
        <w:rPr>
          <w:color w:val="000000" w:themeColor="text1"/>
        </w:rPr>
        <w:t>the SUNLIGHT</w:t>
      </w:r>
      <w:r w:rsidR="009B0814" w:rsidRPr="001F1589">
        <w:rPr>
          <w:color w:val="000000" w:themeColor="text1"/>
        </w:rPr>
        <w:t xml:space="preserve"> </w:t>
      </w:r>
      <w:r w:rsidR="00C94C23" w:rsidRPr="001F1589">
        <w:rPr>
          <w:color w:val="000000" w:themeColor="text1"/>
        </w:rPr>
        <w:t>meta-</w:t>
      </w:r>
      <w:r w:rsidR="00D12034" w:rsidRPr="001F1589">
        <w:rPr>
          <w:color w:val="000000" w:themeColor="text1"/>
        </w:rPr>
        <w:t>GWAS</w:t>
      </w:r>
      <w:r w:rsidR="00432C7F" w:rsidRPr="001F1589">
        <w:rPr>
          <w:color w:val="000000" w:themeColor="text1"/>
        </w:rPr>
        <w:t xml:space="preserve"> </w:t>
      </w:r>
      <w:r w:rsidR="00C94C23" w:rsidRPr="001F1589">
        <w:rPr>
          <w:color w:val="000000" w:themeColor="text1"/>
        </w:rPr>
        <w:t>in</w:t>
      </w:r>
      <w:r w:rsidR="00484B46" w:rsidRPr="001F1589">
        <w:rPr>
          <w:color w:val="000000" w:themeColor="text1"/>
        </w:rPr>
        <w:t>volving 79,366 discovery samples</w:t>
      </w:r>
      <w:r w:rsidR="00C94C23" w:rsidRPr="001F1589">
        <w:rPr>
          <w:color w:val="000000" w:themeColor="text1"/>
        </w:rPr>
        <w:t xml:space="preserve"> and </w:t>
      </w:r>
      <w:r w:rsidR="00CC43C2" w:rsidRPr="001F1589">
        <w:rPr>
          <w:color w:val="000000" w:themeColor="text1"/>
        </w:rPr>
        <w:t>42</w:t>
      </w:r>
      <w:r w:rsidR="00827B87" w:rsidRPr="001F1589">
        <w:rPr>
          <w:color w:val="000000" w:themeColor="text1"/>
        </w:rPr>
        <w:t>,757 replication samples</w:t>
      </w:r>
      <w:r w:rsidR="009B0814" w:rsidRPr="001F1589">
        <w:rPr>
          <w:color w:val="000000" w:themeColor="text1"/>
        </w:rPr>
        <w:t xml:space="preserve"> </w:t>
      </w:r>
      <w:r w:rsidR="00B70E8E" w:rsidRPr="001F1589">
        <w:rPr>
          <w:color w:val="000000" w:themeColor="text1"/>
        </w:rPr>
        <w:t xml:space="preserve">of </w:t>
      </w:r>
      <w:r w:rsidR="00DB7E74" w:rsidRPr="001F1589">
        <w:rPr>
          <w:color w:val="000000" w:themeColor="text1"/>
        </w:rPr>
        <w:t>European ancestry</w:t>
      </w:r>
      <w:r w:rsidR="00827B87" w:rsidRPr="001F1589">
        <w:rPr>
          <w:color w:val="000000" w:themeColor="text1"/>
        </w:rPr>
        <w:t xml:space="preserve">. </w:t>
      </w:r>
      <w:r w:rsidR="00337658" w:rsidRPr="001F1589">
        <w:rPr>
          <w:color w:val="000000" w:themeColor="text1"/>
        </w:rPr>
        <w:t xml:space="preserve">Genome-wide analyses were performed within each cohort according to a uniform analysis plan. </w:t>
      </w:r>
      <w:r w:rsidR="00193EA6" w:rsidRPr="001F1589">
        <w:rPr>
          <w:color w:val="000000" w:themeColor="text1"/>
        </w:rPr>
        <w:t>Specifically</w:t>
      </w:r>
      <w:r w:rsidR="000A612B" w:rsidRPr="001F1589">
        <w:rPr>
          <w:color w:val="000000" w:themeColor="text1"/>
        </w:rPr>
        <w:t>,</w:t>
      </w:r>
      <w:r w:rsidR="005911AE" w:rsidRPr="001F1589">
        <w:rPr>
          <w:color w:val="000000" w:themeColor="text1"/>
        </w:rPr>
        <w:t xml:space="preserve"> </w:t>
      </w:r>
      <w:r w:rsidR="00337658" w:rsidRPr="001F1589">
        <w:rPr>
          <w:color w:val="000000" w:themeColor="text1"/>
        </w:rPr>
        <w:t>additive genetic models using linear regressio</w:t>
      </w:r>
      <w:r w:rsidR="007B40E2" w:rsidRPr="001F1589">
        <w:rPr>
          <w:color w:val="000000" w:themeColor="text1"/>
        </w:rPr>
        <w:t>n on natural-log transformed 25(OH)</w:t>
      </w:r>
      <w:r w:rsidR="00CF1733">
        <w:rPr>
          <w:color w:val="000000" w:themeColor="text1"/>
        </w:rPr>
        <w:t xml:space="preserve">D were fitted, and </w:t>
      </w:r>
      <w:r w:rsidR="00337658" w:rsidRPr="001F1589">
        <w:rPr>
          <w:color w:val="000000" w:themeColor="text1"/>
        </w:rPr>
        <w:t>a fixed-effects inverse variance weighted meta-analysis across the contributing cohorts</w:t>
      </w:r>
      <w:r w:rsidR="00483BA4">
        <w:rPr>
          <w:color w:val="000000" w:themeColor="text1"/>
        </w:rPr>
        <w:t xml:space="preserve"> </w:t>
      </w:r>
      <w:r w:rsidR="00483BA4" w:rsidRPr="00483BA4">
        <w:rPr>
          <w:color w:val="0432FF"/>
        </w:rPr>
        <w:t>was</w:t>
      </w:r>
      <w:r w:rsidR="00CF1733">
        <w:rPr>
          <w:color w:val="000000" w:themeColor="text1"/>
        </w:rPr>
        <w:t xml:space="preserve"> performed</w:t>
      </w:r>
      <w:r w:rsidR="00337658" w:rsidRPr="001F1589">
        <w:rPr>
          <w:color w:val="000000" w:themeColor="text1"/>
        </w:rPr>
        <w:t xml:space="preserve">, with control for population structure within each cohort and quality control thresholds </w:t>
      </w:r>
      <w:r w:rsidR="007844EA" w:rsidRPr="001F1589">
        <w:rPr>
          <w:color w:val="000000" w:themeColor="text1"/>
        </w:rPr>
        <w:t>of minor allele frequency (MAF)&gt;</w:t>
      </w:r>
      <w:r w:rsidR="00337658" w:rsidRPr="001F1589">
        <w:rPr>
          <w:color w:val="000000" w:themeColor="text1"/>
        </w:rPr>
        <w:t>0.05, imputation info score</w:t>
      </w:r>
      <w:r w:rsidR="007844EA" w:rsidRPr="001F1589">
        <w:rPr>
          <w:color w:val="000000" w:themeColor="text1"/>
        </w:rPr>
        <w:t>&gt;</w:t>
      </w:r>
      <w:r w:rsidR="00337658" w:rsidRPr="001F1589">
        <w:rPr>
          <w:color w:val="000000" w:themeColor="text1"/>
        </w:rPr>
        <w:t>0.8, H</w:t>
      </w:r>
      <w:r w:rsidR="007844EA" w:rsidRPr="001F1589">
        <w:rPr>
          <w:color w:val="000000" w:themeColor="text1"/>
        </w:rPr>
        <w:t>ardy-Weinberg equilibrium (HWE)&gt;</w:t>
      </w:r>
      <w:r w:rsidR="00337658" w:rsidRPr="001F1589">
        <w:rPr>
          <w:color w:val="000000" w:themeColor="text1"/>
        </w:rPr>
        <w:t>1</w:t>
      </w:r>
      <w:r w:rsidR="00337658" w:rsidRPr="001F1589">
        <w:rPr>
          <w:color w:val="000000" w:themeColor="text1"/>
        </w:rPr>
        <w:sym w:font="Symbol" w:char="F0B4"/>
      </w:r>
      <w:r w:rsidR="00337658" w:rsidRPr="001F1589">
        <w:rPr>
          <w:color w:val="000000" w:themeColor="text1"/>
        </w:rPr>
        <w:t>10</w:t>
      </w:r>
      <w:r w:rsidR="00337658" w:rsidRPr="001F1589">
        <w:rPr>
          <w:color w:val="000000" w:themeColor="text1"/>
          <w:vertAlign w:val="superscript"/>
        </w:rPr>
        <w:t>-6</w:t>
      </w:r>
      <w:r w:rsidR="00337658" w:rsidRPr="001F1589">
        <w:rPr>
          <w:color w:val="000000" w:themeColor="text1"/>
        </w:rPr>
        <w:t>, and a minimum of 10,000 individuals contributing to each reported SNP-phenotype association.</w:t>
      </w:r>
      <w:r w:rsidR="009B0814" w:rsidRPr="001F1589">
        <w:rPr>
          <w:color w:val="000000" w:themeColor="text1"/>
        </w:rPr>
        <w:t xml:space="preserve"> </w:t>
      </w:r>
      <w:r w:rsidR="00CA7A6F">
        <w:rPr>
          <w:color w:val="000000" w:themeColor="text1"/>
        </w:rPr>
        <w:t>I</w:t>
      </w:r>
      <w:r w:rsidR="00302C7B" w:rsidRPr="001F1589">
        <w:rPr>
          <w:color w:val="000000" w:themeColor="text1"/>
        </w:rPr>
        <w:t>nformation regarding the quality co</w:t>
      </w:r>
      <w:r w:rsidR="00F43CEA" w:rsidRPr="001F1589">
        <w:rPr>
          <w:color w:val="000000" w:themeColor="text1"/>
        </w:rPr>
        <w:t>ntrol</w:t>
      </w:r>
      <w:r w:rsidR="00EC4B65">
        <w:rPr>
          <w:color w:val="000000" w:themeColor="text1"/>
        </w:rPr>
        <w:t xml:space="preserve"> and statistical analyses </w:t>
      </w:r>
      <w:r w:rsidR="00EC4B65" w:rsidRPr="00EC4B65">
        <w:rPr>
          <w:color w:val="0432FF"/>
        </w:rPr>
        <w:t>has</w:t>
      </w:r>
      <w:r w:rsidR="00302C7B" w:rsidRPr="00EC4B65">
        <w:rPr>
          <w:color w:val="0432FF"/>
        </w:rPr>
        <w:t xml:space="preserve"> </w:t>
      </w:r>
      <w:r w:rsidR="00302C7B" w:rsidRPr="001F1589">
        <w:rPr>
          <w:color w:val="000000" w:themeColor="text1"/>
        </w:rPr>
        <w:t>been reported previously.</w:t>
      </w:r>
      <w:r w:rsidR="00987F80" w:rsidRPr="001F1589">
        <w:rPr>
          <w:color w:val="000000" w:themeColor="text1"/>
        </w:rPr>
        <w:fldChar w:fldCharType="begin"/>
      </w:r>
      <w:r w:rsidR="00A344A4" w:rsidRPr="001F1589">
        <w:rPr>
          <w:color w:val="000000" w:themeColor="text1"/>
        </w:rPr>
        <w:instrText xml:space="preserve"> ADDIN ZOTERO_ITEM CSL_CITATION {"citationID":"PxJvIZXq","properties":{"formattedCitation":"\\super 11\\nosupersub{}","plainCitation":"11","noteIndex":0},"citationItems":[{"id":2703,"uris":["http://zotero.org/users/local/6qce9xwG/items/LXC6GV3P"],"uri":["http://zotero.org/users/local/6qce9xwG/items/LXC6GV3P"],"itemData":{"id":2703,"type":"article-journal","title":"Genome-wide association study in 79,366 European-ancestry individuals informs the genetic architecture of 25-hydroxyvitamin D levels","container-title":"Nature Communications","page":"260","volume":"9","issue":"1","source":"PubMed","abstract":"Vitamin D is a steroid hormone precursor that is associated with a range of human traits and diseases. Previous GWAS of serum 25-hydroxyvitamin D concentrations have identified four genome-wide significant loci (GC, NADSYN1/DHCR7, CYP2R1, CYP24A1). In this study, we expand the previous SUNLIGHT Consortium GWAS discovery sample size from 16,125 to 79,366 (all European descent). This larger GWAS yields two additional loci harboring genome-wide significant variants (P = 4.7×10-9 at rs8018720 in SEC23A, and P = 1.9×10-14 at rs10745742 in AMDHD1). The overall estimate of heritability of 25-hydroxyvitamin D serum concentrations attributable to GWAS common SNPs is 7.5%, with statistically significant loci explaining 38% of this total. Further investigation identifies signal enrichment in immune and hematopoietic tissues, and clustering with autoimmune diseases in cell-type-specific analysis. Larger studies are required to identify additional common SNPs, and to explore the role of rare or structural variants and gene-gene interactions in the heritability of circulating 25-hydroxyvitamin D levels.","DOI":"10.1038/s41467-017-02662-2","ISSN":"2041-1723","note":"PMID: 29343764\nPMCID: PMC5772647","journalAbbreviation":"Nat Commun","language":"eng","author":[{"family":"Jiang","given":"Xia"},{"family":"O'Reilly","given":"Paul F."},{"family":"Aschard","given":"Hugues"},{"family":"Hsu","given":"Yi-Hsiang"},{"family":"Richards","given":"J. Brent"},{"family":"Dupuis","given":"Josée"},{"family":"Ingelsson","given":"Erik"},{"family":"Karasik","given":"David"},{"family":"Pilz","given":"Stefan"},{"family":"Berry","given":"Diane"},{"family":"Kestenbaum","given":"Bryan"},{"family":"Zheng","given":"Jusheng"},{"family":"Luan","given":"Jianan"},{"family":"Sofianopoulou","given":"Eleni"},{"family":"Streeten","given":"Elizabeth A."},{"family":"Albanes","given":"Demetrius"},{"family":"Lutsey","given":"Pamela L."},{"family":"Yao","given":"Lu"},{"family":"Tang","given":"Weihong"},{"family":"Econs","given":"Michael J."},{"family":"Wallaschofski","given":"Henri"},{"family":"Völzke","given":"Henry"},{"family":"Zhou","given":"Ang"},{"family":"Power","given":"Chris"},{"family":"McCarthy","given":"Mark I."},{"family":"Michos","given":"Erin D."},{"family":"Boerwinkle","given":"Eric"},{"family":"Weinstein","given":"Stephanie J."},{"family":"Freedman","given":"Neal D."},{"family":"Huang","given":"Wen-Yi"},{"family":"Van Schoor","given":"Natasja M."},{"family":"Velde","given":"Nathalie","non-dropping-particle":"van der"},{"family":"Groot","given":"Lisette C. P. G. M.","dropping-particle":"de"},{"family":"Enneman","given":"Anke"},{"family":"Cupples","given":"L. Adrienne"},{"family":"Booth","given":"Sarah L."},{"family":"Vasan","given":"Ramachandran S."},{"family":"Liu","given":"Ching-Ti"},{"family":"Zhou","given":"Yanhua"},{"family":"Ripatti","given":"Samuli"},{"family":"Ohlsson","given":"Claes"},{"family":"Vandenput","given":"Liesbeth"},{"family":"Lorentzon","given":"Mattias"},{"family":"Eriksson","given":"Johan G."},{"family":"Shea","given":"M. Kyla"},{"family":"Houston","given":"Denise K."},{"family":"Kritchevsky","given":"Stephen B."},{"family":"Liu","given":"Yongmei"},{"family":"Lohman","given":"Kurt K."},{"family":"Ferrucci","given":"Luigi"},{"family":"Peacock","given":"Munro"},{"family":"Gieger","given":"Christian"},{"family":"Beekman","given":"Marian"},{"family":"Slagboom","given":"Eline"},{"family":"Deelen","given":"Joris"},{"family":"Heemst","given":"Diana","dropping-particle":"van"},{"family":"Kleber","given":"Marcus E."},{"family":"März","given":"Winfried"},{"family":"Boer","given":"Ian H.","non-dropping-particle":"de"},{"family":"Wood","given":"Alexis C."},{"family":"Rotter","given":"Jerome I."},{"family":"Rich","given":"Stephen S."},{"family":"Robinson-Cohen","given":"Cassianne"},{"family":"Heijer","given":"Martin","non-dropping-particle":"den"},{"family":"Jarvelin","given":"Marjo-Riitta"},{"family":"Cavadino","given":"Alana"},{"family":"Joshi","given":"Peter K."},{"family":"Wilson","given":"James F."},{"family":"Hayward","given":"Caroline"},{"family":"Lind","given":"Lars"},{"family":"Michaëlsson","given":"Karl"},{"family":"Trompet","given":"Stella"},{"family":"Zillikens","given":"M. Carola"},{"family":"Uitterlinden","given":"Andre G."},{"family":"Rivadeneira","given":"Fernando"},{"family":"Broer","given":"Linda"},{"family":"Zgaga","given":"Lina"},{"family":"Campbell","given":"Harry"},{"family":"Theodoratou","given":"Evropi"},{"family":"Farrington","given":"Susan M."},{"family":"Timofeeva","given":"Maria"},{"family":"Dunlop","given":"Malcolm G."},{"family":"Valdes","given":"Ana M."},{"family":"Tikkanen","given":"Emmi"},{"family":"Lehtimäki","given":"Terho"},{"family":"Lyytikäinen","given":"Leo-Pekka"},{"family":"Kähönen","given":"Mika"},{"family":"Raitakari","given":"Olli T."},{"family":"Mikkilä","given":"Vera"},{"family":"Ikram","given":"M. Arfan"},{"family":"Sattar","given":"Naveed"},{"family":"Jukema","given":"J. Wouter"},{"family":"Wareham","given":"Nicholas J."},{"family":"Langenberg","given":"Claudia"},{"family":"Forouhi","given":"Nita G."},{"family":"Gundersen","given":"Thomas E."},{"family":"Khaw","given":"Kay-Tee"},{"family":"Butterworth","given":"Adam S."},{"family":"Danesh","given":"John"},{"family":"Spector","given":"Timothy"},{"family":"Wang","given":"Thomas J."},{"family":"Hyppönen","given":"Elina"},{"family":"Kraft","given":"Peter"},{"family":"Kiel","given":"Douglas P."}],"issued":{"date-parts":[["2018",1,17]]}}}],"schema":"https://github.com/citation-style-language/schema/raw/master/csl-citation.json"}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11</w:t>
      </w:r>
      <w:r w:rsidR="00987F80" w:rsidRPr="001F1589">
        <w:rPr>
          <w:color w:val="000000" w:themeColor="text1"/>
        </w:rPr>
        <w:fldChar w:fldCharType="end"/>
      </w:r>
    </w:p>
    <w:p w14:paraId="1A46CA95" w14:textId="7D91B491" w:rsidR="002C43E8" w:rsidRPr="001F1589" w:rsidRDefault="00F21086" w:rsidP="005F7BB1">
      <w:pPr>
        <w:spacing w:after="120" w:line="480" w:lineRule="auto"/>
        <w:jc w:val="both"/>
        <w:rPr>
          <w:color w:val="000000" w:themeColor="text1"/>
        </w:rPr>
      </w:pPr>
      <w:r w:rsidRPr="001F1589">
        <w:rPr>
          <w:color w:val="000000" w:themeColor="text1"/>
        </w:rPr>
        <w:t>Among</w:t>
      </w:r>
      <w:r w:rsidR="002C43E8" w:rsidRPr="001F1589">
        <w:rPr>
          <w:color w:val="000000" w:themeColor="text1"/>
        </w:rPr>
        <w:t xml:space="preserve"> th</w:t>
      </w:r>
      <w:r w:rsidR="00C26F38" w:rsidRPr="001F1589">
        <w:rPr>
          <w:color w:val="000000" w:themeColor="text1"/>
        </w:rPr>
        <w:t>e six SNPs, four were previously</w:t>
      </w:r>
      <w:r w:rsidR="009B0814" w:rsidRPr="001F1589">
        <w:rPr>
          <w:color w:val="000000" w:themeColor="text1"/>
        </w:rPr>
        <w:t xml:space="preserve"> </w:t>
      </w:r>
      <w:r w:rsidR="00757F52" w:rsidRPr="001F1589">
        <w:rPr>
          <w:color w:val="000000" w:themeColor="text1"/>
        </w:rPr>
        <w:t xml:space="preserve">identified </w:t>
      </w:r>
      <w:r w:rsidR="00867346" w:rsidRPr="001F1589">
        <w:rPr>
          <w:color w:val="000000" w:themeColor="text1"/>
        </w:rPr>
        <w:t xml:space="preserve">as being robustly associated with vitamin D </w:t>
      </w:r>
      <w:r w:rsidR="00757F52" w:rsidRPr="001F1589">
        <w:rPr>
          <w:color w:val="000000" w:themeColor="text1"/>
        </w:rPr>
        <w:t xml:space="preserve">(rs3755967 at </w:t>
      </w:r>
      <w:r w:rsidR="00757F52" w:rsidRPr="001F1589">
        <w:rPr>
          <w:i/>
          <w:color w:val="000000" w:themeColor="text1"/>
        </w:rPr>
        <w:t>GC</w:t>
      </w:r>
      <w:r w:rsidR="00757F52" w:rsidRPr="001F1589">
        <w:rPr>
          <w:color w:val="000000" w:themeColor="text1"/>
        </w:rPr>
        <w:t xml:space="preserve">, rs12785878 at </w:t>
      </w:r>
      <w:r w:rsidR="00757F52" w:rsidRPr="001F1589">
        <w:rPr>
          <w:i/>
          <w:color w:val="000000" w:themeColor="text1"/>
        </w:rPr>
        <w:t>NADSYN1/DHCR7</w:t>
      </w:r>
      <w:r w:rsidR="00757F52" w:rsidRPr="001F1589">
        <w:rPr>
          <w:color w:val="000000" w:themeColor="text1"/>
        </w:rPr>
        <w:t xml:space="preserve">, rs10741657 at </w:t>
      </w:r>
      <w:r w:rsidR="00757F52" w:rsidRPr="001F1589">
        <w:rPr>
          <w:i/>
          <w:color w:val="000000" w:themeColor="text1"/>
        </w:rPr>
        <w:t>CYP2R1,</w:t>
      </w:r>
      <w:r w:rsidR="00757F52" w:rsidRPr="001F1589">
        <w:rPr>
          <w:color w:val="000000" w:themeColor="text1"/>
        </w:rPr>
        <w:t xml:space="preserve"> rs17216707 at </w:t>
      </w:r>
      <w:r w:rsidR="00757F52" w:rsidRPr="001F1589">
        <w:rPr>
          <w:i/>
          <w:color w:val="000000" w:themeColor="text1"/>
        </w:rPr>
        <w:t>CYP24A1</w:t>
      </w:r>
      <w:r w:rsidRPr="001F1589">
        <w:rPr>
          <w:color w:val="000000" w:themeColor="text1"/>
        </w:rPr>
        <w:t>)</w:t>
      </w:r>
      <w:r w:rsidR="00867346" w:rsidRPr="001F1589">
        <w:rPr>
          <w:color w:val="000000" w:themeColor="text1"/>
        </w:rPr>
        <w:t xml:space="preserve">. </w:t>
      </w:r>
      <w:r w:rsidR="007B055F">
        <w:rPr>
          <w:color w:val="000000" w:themeColor="text1"/>
        </w:rPr>
        <w:t>T</w:t>
      </w:r>
      <w:r w:rsidRPr="001F1589">
        <w:rPr>
          <w:color w:val="000000" w:themeColor="text1"/>
        </w:rPr>
        <w:t xml:space="preserve">he other two were newly identified </w:t>
      </w:r>
      <w:r w:rsidR="004B7225">
        <w:rPr>
          <w:color w:val="000000" w:themeColor="text1"/>
        </w:rPr>
        <w:t>by the</w:t>
      </w:r>
      <w:r w:rsidR="005707F1" w:rsidRPr="001F1589">
        <w:rPr>
          <w:color w:val="000000" w:themeColor="text1"/>
        </w:rPr>
        <w:t xml:space="preserve"> discovery sample</w:t>
      </w:r>
      <w:r w:rsidR="00F8490D" w:rsidRPr="001F1589">
        <w:rPr>
          <w:color w:val="000000" w:themeColor="text1"/>
        </w:rPr>
        <w:t xml:space="preserve"> </w:t>
      </w:r>
      <w:r w:rsidRPr="001F1589">
        <w:rPr>
          <w:color w:val="000000" w:themeColor="text1"/>
        </w:rPr>
        <w:t>(</w:t>
      </w:r>
      <w:r w:rsidR="00FA09C5" w:rsidRPr="001F1589">
        <w:rPr>
          <w:color w:val="000000" w:themeColor="text1"/>
        </w:rPr>
        <w:t xml:space="preserve">rs10745742 at </w:t>
      </w:r>
      <w:r w:rsidR="00FA09C5" w:rsidRPr="001F1589">
        <w:rPr>
          <w:i/>
          <w:color w:val="000000" w:themeColor="text1"/>
        </w:rPr>
        <w:t>AMDHD1</w:t>
      </w:r>
      <w:r w:rsidR="00FA09C5" w:rsidRPr="001F1589">
        <w:rPr>
          <w:color w:val="000000" w:themeColor="text1"/>
        </w:rPr>
        <w:t xml:space="preserve">, rs8018720 at </w:t>
      </w:r>
      <w:r w:rsidR="00FA09C5" w:rsidRPr="001F1589">
        <w:rPr>
          <w:i/>
          <w:color w:val="000000" w:themeColor="text1"/>
        </w:rPr>
        <w:t>SEC23A</w:t>
      </w:r>
      <w:r w:rsidR="001C3897">
        <w:rPr>
          <w:color w:val="000000" w:themeColor="text1"/>
        </w:rPr>
        <w:t>) and</w:t>
      </w:r>
      <w:r w:rsidR="00867346" w:rsidRPr="001F1589">
        <w:rPr>
          <w:color w:val="000000" w:themeColor="text1"/>
        </w:rPr>
        <w:t xml:space="preserve"> </w:t>
      </w:r>
      <w:r w:rsidRPr="001F1589">
        <w:rPr>
          <w:color w:val="000000" w:themeColor="text1"/>
        </w:rPr>
        <w:t xml:space="preserve">validated </w:t>
      </w:r>
      <w:r w:rsidR="005D2C50" w:rsidRPr="001F1589">
        <w:rPr>
          <w:color w:val="000000" w:themeColor="text1"/>
        </w:rPr>
        <w:t xml:space="preserve">in </w:t>
      </w:r>
      <w:r w:rsidR="00ED31CD" w:rsidRPr="001F1589">
        <w:rPr>
          <w:color w:val="000000" w:themeColor="text1"/>
        </w:rPr>
        <w:t xml:space="preserve">the </w:t>
      </w:r>
      <w:r w:rsidRPr="001F1589">
        <w:rPr>
          <w:color w:val="000000" w:themeColor="text1"/>
        </w:rPr>
        <w:t>re</w:t>
      </w:r>
      <w:r w:rsidR="005707F1" w:rsidRPr="001F1589">
        <w:rPr>
          <w:color w:val="000000" w:themeColor="text1"/>
        </w:rPr>
        <w:t>plication sample</w:t>
      </w:r>
      <w:r w:rsidRPr="001F1589">
        <w:rPr>
          <w:color w:val="000000" w:themeColor="text1"/>
        </w:rPr>
        <w:t>.</w:t>
      </w:r>
    </w:p>
    <w:p w14:paraId="28D66D34" w14:textId="77777777" w:rsidR="0053565E" w:rsidRPr="001F1589" w:rsidRDefault="00EC29A0" w:rsidP="005F7BB1">
      <w:pPr>
        <w:spacing w:after="120" w:line="480" w:lineRule="auto"/>
        <w:jc w:val="both"/>
        <w:rPr>
          <w:b/>
          <w:color w:val="000000" w:themeColor="text1"/>
        </w:rPr>
      </w:pPr>
      <w:r w:rsidRPr="001F1589">
        <w:rPr>
          <w:b/>
          <w:color w:val="000000" w:themeColor="text1"/>
        </w:rPr>
        <w:t>Data for IV-outcome</w:t>
      </w:r>
    </w:p>
    <w:p w14:paraId="45282AC6" w14:textId="440A1A74" w:rsidR="00EC29A0" w:rsidRPr="001F1589" w:rsidRDefault="00C556F4" w:rsidP="005F7BB1">
      <w:pPr>
        <w:spacing w:after="120" w:line="480" w:lineRule="auto"/>
        <w:jc w:val="both"/>
        <w:rPr>
          <w:color w:val="000000" w:themeColor="text1"/>
        </w:rPr>
      </w:pPr>
      <w:r w:rsidRPr="001F1589">
        <w:rPr>
          <w:color w:val="000000" w:themeColor="text1"/>
        </w:rPr>
        <w:t xml:space="preserve">We retrieved summary data for </w:t>
      </w:r>
      <w:r w:rsidR="00662578" w:rsidRPr="001F1589">
        <w:rPr>
          <w:color w:val="000000" w:themeColor="text1"/>
        </w:rPr>
        <w:t>a</w:t>
      </w:r>
      <w:r w:rsidR="00A01EB2" w:rsidRPr="001F1589">
        <w:rPr>
          <w:color w:val="000000" w:themeColor="text1"/>
        </w:rPr>
        <w:t>ssociation</w:t>
      </w:r>
      <w:r w:rsidR="00662578" w:rsidRPr="001F1589">
        <w:rPr>
          <w:color w:val="000000" w:themeColor="text1"/>
        </w:rPr>
        <w:t>s</w:t>
      </w:r>
      <w:r w:rsidR="009B0814" w:rsidRPr="001F1589">
        <w:rPr>
          <w:color w:val="000000" w:themeColor="text1"/>
        </w:rPr>
        <w:t xml:space="preserve"> </w:t>
      </w:r>
      <w:r w:rsidR="00662578" w:rsidRPr="001F1589">
        <w:rPr>
          <w:color w:val="000000" w:themeColor="text1"/>
        </w:rPr>
        <w:t xml:space="preserve">of </w:t>
      </w:r>
      <w:r w:rsidR="00A01EB2" w:rsidRPr="001F1589">
        <w:rPr>
          <w:color w:val="000000" w:themeColor="text1"/>
        </w:rPr>
        <w:t xml:space="preserve">the </w:t>
      </w:r>
      <w:r w:rsidR="003D2B43" w:rsidRPr="001F1589">
        <w:rPr>
          <w:color w:val="000000" w:themeColor="text1"/>
        </w:rPr>
        <w:t>six</w:t>
      </w:r>
      <w:r w:rsidR="009B0814" w:rsidRPr="001F1589">
        <w:rPr>
          <w:color w:val="000000" w:themeColor="text1"/>
        </w:rPr>
        <w:t xml:space="preserve"> </w:t>
      </w:r>
      <w:r w:rsidR="00D23726" w:rsidRPr="001F1589">
        <w:rPr>
          <w:color w:val="000000" w:themeColor="text1"/>
        </w:rPr>
        <w:t>vitamin D proxy</w:t>
      </w:r>
      <w:r w:rsidR="009B0814" w:rsidRPr="001F1589">
        <w:rPr>
          <w:color w:val="000000" w:themeColor="text1"/>
        </w:rPr>
        <w:t xml:space="preserve"> </w:t>
      </w:r>
      <w:r w:rsidRPr="001F1589">
        <w:rPr>
          <w:color w:val="000000" w:themeColor="text1"/>
        </w:rPr>
        <w:t xml:space="preserve">SNPs </w:t>
      </w:r>
      <w:r w:rsidR="00662578" w:rsidRPr="001F1589">
        <w:rPr>
          <w:color w:val="000000" w:themeColor="text1"/>
        </w:rPr>
        <w:t xml:space="preserve">with breast and prostate </w:t>
      </w:r>
      <w:r w:rsidR="00A01EB2" w:rsidRPr="001F1589">
        <w:rPr>
          <w:color w:val="000000" w:themeColor="text1"/>
        </w:rPr>
        <w:t xml:space="preserve">cancer from the </w:t>
      </w:r>
      <w:r w:rsidR="00662578" w:rsidRPr="001F1589">
        <w:rPr>
          <w:color w:val="000000" w:themeColor="text1"/>
        </w:rPr>
        <w:t xml:space="preserve">currently </w:t>
      </w:r>
      <w:r w:rsidR="00D03848" w:rsidRPr="001F1589">
        <w:rPr>
          <w:color w:val="000000" w:themeColor="text1"/>
        </w:rPr>
        <w:t xml:space="preserve">largest </w:t>
      </w:r>
      <w:r w:rsidR="007856E2" w:rsidRPr="001F1589">
        <w:rPr>
          <w:color w:val="000000" w:themeColor="text1"/>
        </w:rPr>
        <w:t>meta-</w:t>
      </w:r>
      <w:r w:rsidR="0041486D" w:rsidRPr="001F1589">
        <w:rPr>
          <w:color w:val="000000" w:themeColor="text1"/>
        </w:rPr>
        <w:t xml:space="preserve">GWAS </w:t>
      </w:r>
      <w:r w:rsidR="00662578" w:rsidRPr="001F1589">
        <w:rPr>
          <w:color w:val="000000" w:themeColor="text1"/>
        </w:rPr>
        <w:t xml:space="preserve">of these outcomes </w:t>
      </w:r>
      <w:r w:rsidR="0041486D" w:rsidRPr="001F1589">
        <w:rPr>
          <w:color w:val="000000" w:themeColor="text1"/>
        </w:rPr>
        <w:t>conducted by the OncoArray network</w:t>
      </w:r>
      <w:r w:rsidR="000F0D04">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{"citationID":"7OqNT4k8","properties":{"formattedCitation":"\\super 15\\nosupersub{}","plainCitation":"15","noteIndex":0},"citationItems":[{"id":220,"uris":["http://zotero.org/users/local/6qce9xwG/items/A8EVZX5M"],"uri":["http://zotero.org/users/local/6qce9xwG/items/A8EVZX5M"],"itemData":{"id":220,"type":"article-journal","title":"The OncoArray Consortium: a Network for Understanding the Genetic Architecture of Common Cancers","container-title":"Cancer Epidemiology, Biomarkers &amp; Prevention: A Publication of the American Association for Cancer Research, Cosponsored by the American Society of Preventive Oncology","source":"PubMed","abstract":"BACKGROUND: Common cancers develop through a multistep process often including inherited susceptibility. Collaboration among multiple institutions, and funding from multiple sources, has allowed the development of an inexpensive genotyping microarray, the OncoArray. The array includes a genome-wide backbone, comprising 230,000 SNPs tagging most common genetic variants, together with dense mapping of known susceptibility regions, rare variants from sequencing experiments, pharmacogenetic markers and cancer related traits.\nMETHODS: The OncoArray can be genotyped using a novel technology developed by Illumina to facilitate efficient genotyping. The consortium developed standard approaches for selecting SNPs for study, for quality control of markers and for ancestry analysis. The array was genotyped at selected sites and with prespecified replicate samples to permit evaluation of genotyping accuracy among centers and by ethnic background.\nRESULTS: The OncoArray consortium genotyped 447,705 samples. A total of 494,763 SNPs passed quality control steps with a sample success rate of 97% of the samples. Participating sites performed ancestry analysis using a common set of markers and a scoring algorithm based on principal components analysis.\nCONCLUSIONS: Results from these analyses will enable researchers to identify new susceptibility loci, perform fine mapping of new or known loci associated with either single or multiple cancers, assess the degree of overlap in cancer causation and pleiotropic effects of loci that have been identified for disease-specific risk, and jointly model genetic, environmental and lifestyle related exposures.\nIMPACT: Ongoing analyses will shed light on etiology and risk assessment for many types of cancer.","DOI":"10.1158/1055-9965.EPI-16-0106","ISSN":"1538-7755","note":"PMID: 27697780","shortTitle":"The OncoArray Consortium","journalAbbreviation":"Cancer Epidemiol. Biomarkers Prev.","language":"ENG","author":[{"family":"Amos","given":"Christopher I."},{"family":"Dennis","given":"Joe"},{"family":"Wang","given":"Zhaoming"},{"family":"Byun","given":"Jinyoung"},{"family":"Schumacher","given":"Fredrick R."},{"family":"Gayther","given":"Simon A."},{"family":"Casey","given":"Graham"},{"family":"Hunter","given":"David J."},{"family":"Sellers","given":"Thomas A."},{"family":"Gruber","given":"Stephen B."},{"family":"Dunning","given":"Alison M."},{"family":"Michailidou","given":"Kyriaki"},{"family":"Fachal","given":"Laura"},{"family":"Doheny","given":"Kimberly"},{"family":"Spurdle","given":"Amanda B."},{"family":"Li","given":"Yafang"},{"family":"Xiao","given":"Xiangjun"},{"family":"Romm","given":"Jane"},{"family":"Pugh","given":"Elizabeth"},{"family":"Coetzee","given":"Gerhard A."},{"family":"Hazelett","given":"Dennis J."},{"family":"Bojesen","given":"Stig E."},{"family":"Caga-Anan","given":"Charlisse"},{"family":"Haiman","given":"Christopher A."},{"family":"Kamal","given":"Ahsan"},{"family":"Luccarini","given":"Craig"},{"family":"Tessier","given":"Daniel"},{"family":"Vincent","given":"Daniel"},{"family":"Bacot","given":"Francois"},{"family":"Van Den Berg","given":"David J."},{"family":"Nelson","given":"Stefanie"},{"family":"Demetriades","given":"Stephen"},{"family":"Goldgar","given":"David E."},{"family":"Couch","given":"Fergus J."},{"family":"Forman","given":"Judith L."},{"family":"Giles","given":"Graham G."},{"family":"Conti","given":"David V."},{"family":"Bickeböller","given":"Heike"},{"family":"Risch","given":"Angela"},{"family":"Waldenberger","given":"Melanie"},{"family":"Brüske-Hohlfeld","given":"Irene"},{"family":"Hicks","given":"Belynda D."},{"family":"Ling","given":"Hua"},{"family":"McGuffog","given":"Lesley"},{"family":"Lee","given":"Andrew"},{"family":"Kuchenbaecker","given":"Karoline"},{"family":"Soucy","given":"Penny"},{"family":"Manz","given":"Judith"},{"family":"Cunningham","given":"Julie M."},{"family":"Butterbach","given":"Katja"},{"family":"Kote-Jarai","given":"Zsofia"},{"family":"Kraft","given":"Peter"},{"family":"FitzGerald","given":"Liesel"},{"family":"Lindstrom","given":"Sara"},{"family":"Adams","given":"Marcia"},{"family":"McKay","given":"James D."},{"family":"Phelan","given":"Catherine M."},{"family":"Benlloch","given":"Sara"},{"family":"Kelemen","given":"Linda E."},{"family":"Brennan","given":"Paul"},{"family":"Riggan","given":"Marjorie"},{"family":"O'Mara","given":"Tracy A."},{"family":"Shen","given":"Hongbing"},{"family":"Shi","given":"Yong-Yong"},{"family":"Thompson","given":"Deborah J."},{"family":"Goodman","given":"Marc T."},{"family":"Nielsen","given":"Sune F."},{"family":"Berchuck","given":"Andrew"},{"family":"Laboissiere","given":"Sylvie"},{"family":"Schmit","given":"Stephanie L."},{"family":"Shelford","given":"Tameka"},{"family":"Edlund","given":"Christopher K."},{"family":"Taylor","given":"Jack A."},{"family":"Field","given":"John Kirkpatrick"},{"family":"Park","given":"Sue K."},{"family":"Offit","given":"Kenneth"},{"family":"Thomassen","given":"Mads"},{"family":"Schmutzler","given":"Rita"},{"family":"Ottini","given":"Laura"},{"family":"Hung","given":"Rayjean J."},{"family":"Marchini","given":"Jonathan"},{"family":"Amin Al Olama","given":"Ali"},{"family":"Peters","given":"Ulrike"},{"family":"Eeles","given":"Rosalind A."},{"family":"Seldin","given":"Michael F."},{"family":"Gillanders","given":"Elizabeth"},{"family":"Seminara","given":"Daniela"},{"family":"Antoniou","given":"Antonis C."},{"family":"Pharoah","given":"Paul D. P."},{"family":"Chenevix-Trench","given":"Georgia"},{"family":"Chanock","given":"Stephen J."},{"family":"Simard","given":"Jacques"},{"family":"Easton","given":"Douglas F."}],"issued":{"date-parts":[["2016",10,3]]}}}],"schema":"https://github.com/citation-style-language/schema/raw/master/csl-citation.json"}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15</w:t>
      </w:r>
      <w:r w:rsidR="00987F80" w:rsidRPr="001F1589">
        <w:rPr>
          <w:color w:val="000000" w:themeColor="text1"/>
        </w:rPr>
        <w:fldChar w:fldCharType="end"/>
      </w:r>
      <w:r w:rsidR="000F0D04">
        <w:rPr>
          <w:color w:val="000000" w:themeColor="text1"/>
        </w:rPr>
        <w:t xml:space="preserve"> </w:t>
      </w:r>
      <w:r w:rsidR="002F1D21" w:rsidRPr="001F1589">
        <w:rPr>
          <w:color w:val="000000" w:themeColor="text1"/>
        </w:rPr>
        <w:t xml:space="preserve">a large-scale </w:t>
      </w:r>
      <w:r w:rsidR="00D560B8" w:rsidRPr="001F1589">
        <w:rPr>
          <w:color w:val="000000" w:themeColor="text1"/>
        </w:rPr>
        <w:t xml:space="preserve">collaboration </w:t>
      </w:r>
      <w:r w:rsidR="00105620" w:rsidRPr="001F1589">
        <w:rPr>
          <w:color w:val="000000" w:themeColor="text1"/>
        </w:rPr>
        <w:t xml:space="preserve">that was </w:t>
      </w:r>
      <w:r w:rsidR="00D560B8" w:rsidRPr="001F1589">
        <w:rPr>
          <w:color w:val="000000" w:themeColor="text1"/>
        </w:rPr>
        <w:t xml:space="preserve">established to understand the genetic architecture </w:t>
      </w:r>
      <w:r w:rsidR="009B2BD9" w:rsidRPr="001F1589">
        <w:rPr>
          <w:color w:val="000000" w:themeColor="text1"/>
        </w:rPr>
        <w:t>and biological mechanism</w:t>
      </w:r>
      <w:r w:rsidR="00302C7B" w:rsidRPr="001F1589">
        <w:rPr>
          <w:color w:val="000000" w:themeColor="text1"/>
        </w:rPr>
        <w:t>s</w:t>
      </w:r>
      <w:r w:rsidR="009B2BD9" w:rsidRPr="001F1589">
        <w:rPr>
          <w:color w:val="000000" w:themeColor="text1"/>
        </w:rPr>
        <w:t xml:space="preserve"> underlying</w:t>
      </w:r>
      <w:r w:rsidR="00D560B8" w:rsidRPr="001F1589">
        <w:rPr>
          <w:color w:val="000000" w:themeColor="text1"/>
        </w:rPr>
        <w:t xml:space="preserve"> five common cancers </w:t>
      </w:r>
      <w:r w:rsidR="000F0D04">
        <w:rPr>
          <w:color w:val="000000" w:themeColor="text1"/>
        </w:rPr>
        <w:t>(</w:t>
      </w:r>
      <w:r w:rsidR="00D560B8" w:rsidRPr="001F1589">
        <w:rPr>
          <w:color w:val="000000" w:themeColor="text1"/>
        </w:rPr>
        <w:t>breast</w:t>
      </w:r>
      <w:r w:rsidR="000F0D04">
        <w:rPr>
          <w:color w:val="000000" w:themeColor="text1"/>
        </w:rPr>
        <w:t>, prostate, ovarian, colorectal</w:t>
      </w:r>
      <w:r w:rsidR="00D560B8" w:rsidRPr="001F1589">
        <w:rPr>
          <w:color w:val="000000" w:themeColor="text1"/>
        </w:rPr>
        <w:t xml:space="preserve"> and lung cancer</w:t>
      </w:r>
      <w:r w:rsidR="000F0D04">
        <w:rPr>
          <w:color w:val="000000" w:themeColor="text1"/>
        </w:rPr>
        <w:t>)</w:t>
      </w:r>
      <w:r w:rsidR="00D560B8" w:rsidRPr="001F1589">
        <w:rPr>
          <w:color w:val="000000" w:themeColor="text1"/>
        </w:rPr>
        <w:t xml:space="preserve">. A total of 447,705 individuals </w:t>
      </w:r>
      <w:r w:rsidR="00105620" w:rsidRPr="001F1589">
        <w:rPr>
          <w:color w:val="000000" w:themeColor="text1"/>
        </w:rPr>
        <w:t xml:space="preserve">of European ancestry </w:t>
      </w:r>
      <w:r w:rsidR="00D560B8" w:rsidRPr="001F1589">
        <w:rPr>
          <w:color w:val="000000" w:themeColor="text1"/>
        </w:rPr>
        <w:t>were genotyped</w:t>
      </w:r>
      <w:r w:rsidR="007031CB" w:rsidRPr="001F1589">
        <w:rPr>
          <w:color w:val="000000" w:themeColor="text1"/>
        </w:rPr>
        <w:t xml:space="preserve"> </w:t>
      </w:r>
      <w:r w:rsidR="007031CB" w:rsidRPr="001F1589">
        <w:rPr>
          <w:color w:val="000000" w:themeColor="text1"/>
        </w:rPr>
        <w:lastRenderedPageBreak/>
        <w:t>on a custom Illumina array</w:t>
      </w:r>
      <w:r w:rsidR="006A05E3">
        <w:rPr>
          <w:color w:val="000000" w:themeColor="text1"/>
        </w:rPr>
        <w:t>, and</w:t>
      </w:r>
      <w:r w:rsidR="002D1D66">
        <w:rPr>
          <w:color w:val="000000" w:themeColor="text1"/>
        </w:rPr>
        <w:t xml:space="preserve"> imputed to the 1000 Genomes Project </w:t>
      </w:r>
      <w:r w:rsidR="00DB7E74" w:rsidRPr="001F1589">
        <w:rPr>
          <w:color w:val="000000" w:themeColor="text1"/>
        </w:rPr>
        <w:t>reference panel.</w:t>
      </w:r>
      <w:r w:rsidR="00805F93" w:rsidRPr="001F1589">
        <w:rPr>
          <w:color w:val="000000" w:themeColor="text1"/>
        </w:rPr>
        <w:t xml:space="preserve"> For each cancer type, results from individual</w:t>
      </w:r>
      <w:r w:rsidR="00DA27AD" w:rsidRPr="001F1589">
        <w:rPr>
          <w:color w:val="000000" w:themeColor="text1"/>
        </w:rPr>
        <w:t xml:space="preserve"> GWAS were combined</w:t>
      </w:r>
      <w:r w:rsidR="00D4761E" w:rsidRPr="001F1589">
        <w:rPr>
          <w:color w:val="000000" w:themeColor="text1"/>
        </w:rPr>
        <w:t xml:space="preserve"> </w:t>
      </w:r>
      <w:r w:rsidR="006376D2">
        <w:rPr>
          <w:color w:val="000000" w:themeColor="text1"/>
        </w:rPr>
        <w:t>by</w:t>
      </w:r>
      <w:r w:rsidR="00DA27AD" w:rsidRPr="001F1589">
        <w:rPr>
          <w:color w:val="000000" w:themeColor="text1"/>
        </w:rPr>
        <w:t xml:space="preserve"> fixed-effects inverse variance weighted meta-analysi</w:t>
      </w:r>
      <w:r w:rsidR="005B736B" w:rsidRPr="001F1589">
        <w:rPr>
          <w:color w:val="000000" w:themeColor="text1"/>
        </w:rPr>
        <w:t>s, with control for population stratification within each cohort and quality control thresh</w:t>
      </w:r>
      <w:r w:rsidR="007844EA" w:rsidRPr="001F1589">
        <w:rPr>
          <w:color w:val="000000" w:themeColor="text1"/>
        </w:rPr>
        <w:t>olds of MAF&gt;</w:t>
      </w:r>
      <w:r w:rsidR="005B736B" w:rsidRPr="001F1589">
        <w:rPr>
          <w:color w:val="000000" w:themeColor="text1"/>
        </w:rPr>
        <w:t>0.01, imputation info score</w:t>
      </w:r>
      <w:r w:rsidR="007844EA" w:rsidRPr="001F1589">
        <w:rPr>
          <w:color w:val="000000" w:themeColor="text1"/>
        </w:rPr>
        <w:t>&gt;</w:t>
      </w:r>
      <w:r w:rsidR="005B736B" w:rsidRPr="001F1589">
        <w:rPr>
          <w:color w:val="000000" w:themeColor="text1"/>
        </w:rPr>
        <w:t>0.3</w:t>
      </w:r>
      <w:r w:rsidR="003A2204" w:rsidRPr="001F1589">
        <w:rPr>
          <w:color w:val="000000" w:themeColor="text1"/>
        </w:rPr>
        <w:t xml:space="preserve"> </w:t>
      </w:r>
      <w:r w:rsidR="006C15BA" w:rsidRPr="001F1589">
        <w:rPr>
          <w:color w:val="000000" w:themeColor="text1"/>
        </w:rPr>
        <w:t xml:space="preserve">and </w:t>
      </w:r>
      <w:r w:rsidR="003A2204" w:rsidRPr="001F1589">
        <w:rPr>
          <w:color w:val="000000" w:themeColor="text1"/>
        </w:rPr>
        <w:t>HWE</w:t>
      </w:r>
      <w:r w:rsidR="007844EA" w:rsidRPr="001F1589">
        <w:rPr>
          <w:color w:val="000000" w:themeColor="text1"/>
        </w:rPr>
        <w:t>&gt;</w:t>
      </w:r>
      <w:r w:rsidR="005B736B" w:rsidRPr="001F1589">
        <w:rPr>
          <w:color w:val="000000" w:themeColor="text1"/>
        </w:rPr>
        <w:t>1</w:t>
      </w:r>
      <w:r w:rsidR="005B736B" w:rsidRPr="001F1589">
        <w:rPr>
          <w:color w:val="000000" w:themeColor="text1"/>
        </w:rPr>
        <w:sym w:font="Symbol" w:char="F0B4"/>
      </w:r>
      <w:r w:rsidR="005B736B" w:rsidRPr="001F1589">
        <w:rPr>
          <w:color w:val="000000" w:themeColor="text1"/>
        </w:rPr>
        <w:t>10</w:t>
      </w:r>
      <w:r w:rsidR="005B736B" w:rsidRPr="001F1589">
        <w:rPr>
          <w:color w:val="000000" w:themeColor="text1"/>
          <w:vertAlign w:val="superscript"/>
        </w:rPr>
        <w:t>-12</w:t>
      </w:r>
      <w:r w:rsidR="00201DA5" w:rsidRPr="001F1589">
        <w:rPr>
          <w:color w:val="000000" w:themeColor="text1"/>
        </w:rPr>
        <w:t xml:space="preserve">. </w:t>
      </w:r>
      <w:r w:rsidR="00302C7B" w:rsidRPr="001F1589">
        <w:rPr>
          <w:color w:val="000000" w:themeColor="text1"/>
        </w:rPr>
        <w:t>Informatio</w:t>
      </w:r>
      <w:r w:rsidR="00F43CEA" w:rsidRPr="001F1589">
        <w:rPr>
          <w:color w:val="000000" w:themeColor="text1"/>
        </w:rPr>
        <w:t>n regarding the quality control</w:t>
      </w:r>
      <w:r w:rsidR="00D439A2">
        <w:rPr>
          <w:color w:val="000000" w:themeColor="text1"/>
        </w:rPr>
        <w:t xml:space="preserve"> and statistical analyses</w:t>
      </w:r>
      <w:r w:rsidR="00D439A2" w:rsidRPr="00D439A2">
        <w:rPr>
          <w:color w:val="0432FF"/>
        </w:rPr>
        <w:t xml:space="preserve"> has</w:t>
      </w:r>
      <w:r w:rsidR="00302C7B" w:rsidRPr="00D439A2">
        <w:rPr>
          <w:color w:val="0432FF"/>
        </w:rPr>
        <w:t xml:space="preserve"> </w:t>
      </w:r>
      <w:r w:rsidR="00302C7B" w:rsidRPr="001F1589">
        <w:rPr>
          <w:color w:val="000000" w:themeColor="text1"/>
        </w:rPr>
        <w:t>been reported previously.</w:t>
      </w:r>
      <w:r w:rsidR="00987F80" w:rsidRPr="001F1589">
        <w:rPr>
          <w:color w:val="000000" w:themeColor="text1"/>
        </w:rPr>
        <w:fldChar w:fldCharType="begin"/>
      </w:r>
      <w:r w:rsidR="00A344A4" w:rsidRPr="001F1589">
        <w:rPr>
          <w:color w:val="000000" w:themeColor="text1"/>
        </w:rPr>
        <w:instrText xml:space="preserve"> ADDIN ZOTERO_ITEM CSL_CITATION {"citationID":"DCyqrgwj","properties":{"formattedCitation":"\\super 12\\uc0\\u8211{}14\\nosupersub{}","plainCitation":"12–14","noteIndex":0},"citationItems":[{"id":1123,"uris":["http://zotero.org/users/local/6qce9xwG/items/96X67EGI"],"uri":["http://zotero.org/users/local/6qce9xwG/items/96X67EGI"],"itemData":{"id":1123,"type":"article-journal","title":"Association analysis identifies 65 new breast cancer risk loci","container-title":"Nature","source":"PubMed","abstract":"Breast cancer risk is influenced by rare coding variants in susceptibility genes, such as BRCA1, and many common, mostly non-coding variants. However, much of the genetic contribution to breast cancer risk remains unknown. Here we report the results of a genome-wide association study of breast cancer in 122,977 cases and 105,974 controls of European ancestry and 14,068 cases and 13,104 controls of East Asian ancestry. We identified 65 new loci that are associated with overall breast cancer risk at P &lt; 5 × 10(-8). The majority of credible risk single-nucleotide polymorphisms in these loci fall in distal regulatory elements, and by integrating in silico data to predict target genes in breast cells at each locus, we demonstrate a strong overlap between candidate target genes and somatic driver genes in breast tumours. We also find that heritability of breast cancer due to all single-nucleotide polymorphisms in regulatory features was 2-5-fold enriched relative to the genome-wide average, with strong enrichment for particular transcription factor binding sites. These results provide further insight into genetic susceptibility to breast cancer and will improve the use of genetic risk scores for individualized screening and prevention.","DOI":"10.1038/nature24284","ISSN":"1476-4687","note":"PMID: 29059683","journalAbbreviation":"Nature","language":"eng","author":[{"family":"Michailidou","given":"Kyriaki"},{"family":"Lindström","given":"Sara"},{"family":"Dennis","given":"Joe"},{"family":"Beesley","given":"Jonathan"},{"family":"Hui","given":"Shirley"},{"family":"Kar","given":"Siddhartha"},{"family":"Lemaçon","given":"Audrey"},{"family":"Soucy","given":"Penny"},{"family":"Glubb","given":"Dylan"},{"family":"Rostamianfar","given":"Asha"},{"family":"Bolla","given":"Manjeet K."},{"family":"Wang","given":"Qin"},{"family":"Tyrer","given":"Jonathan"},{"family":"Dicks","given":"Ed"},{"family":"Lee","given":"Andrew"},{"family":"Wang","given":"Zhaoming"},{"family":"Allen","given":"Jamie"},{"family":"Keeman","given":"Renske"},{"family":"Eilber","given":"Ursula"},{"family":"French","given":"Juliet D."},{"family":"Qing Chen","given":"Xiao"},{"family":"Fachal","given":"Laura"},{"family":"McCue","given":"Karen"},{"family":"McCart Reed","given":"Amy E."},{"family":"Ghoussaini","given":"Maya"},{"family":"Carroll","given":"Jason S."},{"family":"Jiang","given":"Xia"},{"family":"Finucane","given":"Hilary"},{"family":"Adams","given":"Marcia"},{"family":"Adank","given":"Muriel A."},{"family":"Ahsan","given":"Habibul"},{"family":"Aittomäki","given":"Kristiina"},{"family":"Anton-Culver","given":"Hoda"},{"family":"Antonenkova","given":"Natalia N."},{"family":"Arndt","given":"Volker"},{"family":"Aronson","given":"Kristan J."},{"family":"Arun","given":"Banu"},{"family":"Auer","given":"Paul L."},{"family":"Bacot","given":"François"},{"family":"Barrdahl","given":"Myrto"},{"family":"Baynes","given":"Caroline"},{"family":"Beckmann","given":"Matthias W."},{"family":"Behrens","given":"Sabine"},{"family":"Benitez","given":"Javier"},{"family":"Bermisheva","given":"Marina"},{"family":"Bernstein","given":"Leslie"},{"family":"Blomqvist","given":"Carl"},{"family":"Bogdanova","given":"Natalia V."},{"family":"Bojesen","given":"Stig E."},{"family":"Bonanni","given":"Bernardo"},{"family":"Børresen-Dale","given":"Anne-Lise"},{"family":"Brand","given":"Judith S."},{"family":"Brauch","given":"Hiltrud"},{"family":"Brennan","given":"Paul"},{"family":"Brenner","given":"Hermann"},{"family":"Brinton","given":"Louise"},{"family":"Broberg","given":"Per"},{"family":"Brock","given":"Ian W."},{"family":"Broeks","given":"Annegien"},{"family":"Brooks-Wilson","given":"Angela"},{"family":"Brucker","given":"Sara Y."},{"family":"Brüning","given":"Thomas"},{"family":"Burwinkel","given":"Barbara"},{"family":"Butterbach","given":"Katja"},{"family":"Cai","given":"Qiuyin"},{"family":"Cai","given":"Hui"},{"family":"Caldés","given":"Trinidad"},{"family":"Canzian","given":"Federico"},{"family":"Carracedo","given":"Angel"},{"family":"Carter","given":"Brian D."},{"family":"Castelao","given":"Jose E."},{"family":"Chan","given":"Tsun L."},{"family":"David Cheng","given":"Ting-Yuan"},{"family":"Seng Chia","given":"Kee"},{"family":"Choi","given":"Ji-Yeob"},{"family":"Christiansen","given":"Hans"},{"family":"Clarke","given":"Christine L."},{"literal":"NBCS Collaborators"},{"family":"Collée","given":"Margriet"},{"family":"Conroy","given":"Don M."},{"family":"Cordina-Duverger","given":"Emilie"},{"family":"Cornelissen","given":"Sten"},{"family":"Cox","given":"David G."},{"family":"Cox","given":"Angela"},{"family":"Cross","given":"Simon S."},{"family":"Cunningham","given":"Julie M."},{"family":"Czene","given":"Kamila"},{"family":"Daly","given":"Mary B."},{"family":"Devilee","given":"Peter"},{"family":"Doheny","given":"Kimberly F."},{"family":"Dörk","given":"Thilo"},{"family":"Dos-Santos-Silva","given":"Isabel"},{"family":"Dumont","given":"Martine"},{"family":"Durcan","given":"Lorraine"},{"family":"Dwek","given":"Miriam"},{"family":"Eccles","given":"Diana M."},{"family":"Ekici","given":"Arif B."},{"family":"Eliassen","given":"A. Heather"},{"family":"Ellberg","given":"Carolina"},{"family":"Elvira","given":"Mingajeva"},{"family":"Engel","given":"Christoph"},{"family":"Eriksson","given":"Mikael"},{"family":"Fasching","given":"Peter A."},{"family":"Figueroa","given":"Jonine"},{"family":"Flesch-Janys","given":"Dieter"},{"family":"Fletcher","given":"Olivia"},{"family":"Flyger","given":"Henrik"},{"family":"Fritschi","given":"Lin"},{"family":"Gaborieau","given":"Valerie"},{"family":"Gabrielson","given":"Marike"},{"family":"Gago-Dominguez","given":"Manuela"},{"family":"Gao","given":"Yu-Tang"},{"family":"Gapstur","given":"Susan M."},{"family":"García-Sáenz","given":"José A."},{"family":"Gaudet","given":"Mia M."},{"family":"Georgoulias","given":"Vassilios"},{"family":"Giles","given":"Graham G."},{"family":"Glendon","given":"Gord"},{"family":"Goldberg","given":"Mark S."},{"family":"Goldgar","given":"David E."},{"family":"González-Neira","given":"Anna"},{"family":"Grenaker Alnæs","given":"Grethe I."},{"family":"Grip","given":"Mervi"},{"family":"Gronwald","given":"Jacek"},{"family":"Grundy","given":"Anne"},{"family":"Guénel","given":"Pascal"},{"family":"Haeberle","given":"Lothar"},{"family":"Hahnen","given":"Eric"},{"family":"Haiman","given":"Christopher A."},{"family":"Håkansson","given":"Niclas"},{"family":"Hamann","given":"Ute"},{"family":"Hamel","given":"Nathalie"},{"family":"Hankinson","given":"Susan"},{"family":"Harrington","given":"Patricia"},{"family":"Hart","given":"Steven N."},{"family":"Hartikainen","given":"Jaana M."},{"family":"Hartman","given":"Mikael"},{"family":"Hein","given":"Alexander"},{"family":"Heyworth","given":"Jane"},{"family":"Hicks","given":"Belynda"},{"family":"Hillemanns","given":"Peter"},{"family":"Ho","given":"Dona N."},{"family":"Hollestelle","given":"Antoinette"},{"family":"Hooning","given":"Maartje J."},{"family":"Hoover","given":"Robert N."},{"family":"Hopper","given":"John L."},{"family":"Hou","given":"Ming-Feng"},{"family":"Hsiung","given":"Chia-Ni"},{"family":"Huang","given":"Guanmengqian"},{"family":"Humphreys","given":"Keith"},{"family":"Ishiguro","given":"Junko"},{"family":"Ito","given":"Hidemi"},{"family":"Iwasaki","given":"Motoki"},{"family":"Iwata","given":"Hiroji"},{"family":"Jakubowska","given":"Anna"},{"family":"Janni","given":"Wolfgang"},{"family":"John","given":"Esther M."},{"family":"Johnson","given":"Nichola"},{"family":"Jones","given":"Kristine"},{"family":"Jones","given":"Michael"},{"family":"Jukkola-Vuorinen","given":"Arja"},{"family":"Kaaks","given":"Rudolf"},{"family":"Kabisch","given":"Maria"},{"family":"Kaczmarek","given":"Katarzyna"},{"family":"Kang","given":"Daehee"},{"family":"Kasuga","given":"Yoshio"},{"family":"Kerin","given":"Michael J."},{"family":"Khan","given":"Sofia"},{"family":"Khusnutdinova","given":"Elza"},{"family":"Kiiski","given":"Johanna I."},{"family":"Kim","given":"Sung-Won"},{"family":"Knight","given":"Julia A."},{"family":"Kosma","given":"Veli-Matti"},{"family":"Kristensen","given":"Vessela N."},{"family":"Krüger","given":"Ute"},{"family":"Kwong","given":"Ava"},{"family":"Lambrechts","given":"Diether"},{"family":"Le Marchand","given":"Loic"},{"family":"Lee","given":"Eunjung"},{"family":"Lee","given":"Min Hyuk"},{"family":"Lee","given":"Jong Won"},{"family":"Neng Lee","given":"Chuen"},{"family":"Lejbkowicz","given":"Flavio"},{"family":"Li","given":"Jingmei"},{"family":"Lilyquist","given":"Jenna"},{"family":"Lindblom","given":"Annika"},{"family":"Lissowska","given":"Jolanta"},{"family":"Lo","given":"Wing-Yee"},{"family":"Loibl","given":"Sibylle"},{"family":"Long","given":"Jirong"},{"family":"Lophatananon","given":"Artitaya"},{"family":"Lubinski","given":"Jan"},{"family":"Luccarini","given":"Craig"},{"family":"Lux","given":"Michael P."},{"family":"Ma","given":"Edmond S. K."},{"family":"MacInnis","given":"Robert J."},{"family":"Maishman","given":"Tom"},{"family":"Makalic","given":"Enes"},{"family":"Malone","given":"Kathleen E."},{"family":"Kostovska","given":"Ivana Maleva"},{"family":"Mannermaa","given":"Arto"},{"family":"Manoukian","given":"Siranoush"},{"family":"Manson","given":"JoAnn E."},{"family":"Margolin","given":"Sara"},{"family":"Mariapun","given":"Shivaani"},{"family":"Martinez","given":"Maria Elena"},{"family":"Matsuo","given":"Keitaro"},{"family":"Mavroudis","given":"Dimitrios"},{"family":"McKay","given":"James"},{"family":"McLean","given":"Catriona"},{"family":"Meijers-Heijboer","given":"Hanne"},{"family":"Meindl","given":"Alfons"},{"family":"Menéndez","given":"Primitiva"},{"family":"Menon","given":"Usha"},{"family":"Meyer","given":"Jeffery"},{"family":"Miao","given":"Hui"},{"family":"Miller","given":"Nicola"},{"family":"Taib","given":"Nur Aishah Mohd"},{"family":"Muir","given":"Kenneth"},{"family":"Mulligan","given":"Anna Marie"},{"family":"Mulot","given":"Claire"},{"family":"Neuhausen","given":"Susan L."},{"family":"Nevanlinna","given":"Heli"},{"family":"Neven","given":"Patrick"},{"family":"Nielsen","given":"Sune F."},{"family":"Noh","given":"Dong-Young"},{"family":"Nordestgaard","given":"Børge G."},{"family":"Norman","given":"Aaron"},{"family":"Olopade","given":"Olufunmilayo I."},{"family":"Olson","given":"Janet E."},{"family":"Olsson","given":"Håkan"},{"family":"Olswold","given":"Curtis"},{"family":"Orr","given":"Nick"},{"family":"Pankratz","given":"V. Shane"},{"family":"Park","given":"Sue K."},{"family":"Park-Simon","given":"Tjoung-Won"},{"family":"Lloyd","given":"Rachel"},{"family":"Perez","given":"Jose I. A."},{"family":"Peterlongo","given":"Paolo"},{"family":"Peto","given":"Julian"},{"family":"Phillips","given":"Kelly-Anne"},{"family":"Pinchev","given":"Mila"},{"family":"Plaseska-Karanfilska","given":"Dijana"},{"family":"Prentice","given":"Ross"},{"family":"Presneau","given":"Nadege"},{"family":"Prokofyeva","given":"Darya"},{"family":"Pugh","given":"Elizabeth"},{"family":"Pylkäs","given":"Katri"},{"family":"Rack","given":"Brigitte"},{"family":"Radice","given":"Paolo"},{"family":"Rahman","given":"Nazneen"},{"family":"Rennert","given":"Gadi"},{"family":"Rennert","given":"Hedy S."},{"family":"Rhenius","given":"Valerie"},{"family":"Romero","given":"Atocha"},{"family":"Romm","given":"Jane"},{"family":"Ruddy","given":"Kathryn J."},{"family":"Rüdiger","given":"Thomas"},{"family":"Rudolph","given":"Anja"},{"family":"Ruebner","given":"Matthias"},{"family":"Rutgers","given":"Emiel J. T."},{"family":"Saloustros","given":"Emmanouil"},{"family":"Sandler","given":"Dale P."},{"family":"Sangrajrang","given":"Suleeporn"},{"family":"Sawyer","given":"Elinor J."},{"family":"Schmidt","given":"Daniel F."},{"family":"Schmutzler","given":"Rita K."},{"family":"Schneeweiss","given":"Andreas"},{"family":"Schoemaker","given":"Minouk J."},{"family":"Schumacher","given":"Fredrick"},{"family":"Schürmann","given":"Peter"},{"family":"Scott","given":"Rodney J."},{"family":"Scott","given":"Christopher"},{"family":"Seal","given":"Sheila"},{"family":"Seynaeve","given":"Caroline"},{"family":"Shah","given":"Mitul"},{"family":"Sharma","given":"Priyanka"},{"family":"Shen","given":"Chen-Yang"},{"family":"Sheng","given":"Grace"},{"family":"Sherman","given":"Mark E."},{"family":"Shrubsole","given":"Martha J."},{"family":"Shu","given":"Xiao-Ou"},{"family":"Smeets","given":"Ann"},{"family":"Sohn","given":"Christof"},{"family":"Southey","given":"Melissa C."},{"family":"Spinelli","given":"John J."},{"family":"Stegmaier","given":"Christa"},{"family":"Stewart-Brown","given":"Sarah"},{"family":"Stone","given":"Jennifer"},{"family":"Stram","given":"Daniel O."},{"family":"Surowy","given":"Harald"},{"family":"Swerdlow","given":"Anthony"},{"family":"Tamimi","given":"Rulla"},{"family":"Taylor","given":"Jack A."},{"family":"Tengström","given":"Maria"},{"family":"Teo","given":"Soo H."},{"family":"Beth Terry","given":"Mary"},{"family":"Tessier","given":"Daniel C."},{"family":"Thanasitthichai","given":"Somchai"},{"family":"Thöne","given":"Kathrin"},{"family":"Tollenaar","given":"Rob A. E. M."},{"family":"Tomlinson","given":"Ian"},{"family":"Tong","given":"Ling"},{"family":"Torres","given":"Diana"},{"family":"Truong","given":"Thérèse"},{"family":"Tseng","given":"Chiu-Chen"},{"family":"Tsugane","given":"Shoichiro"},{"family":"Ulmer","given":"Hans-Ulrich"},{"family":"Ursin","given":"Giske"},{"family":"Untch","given":"Michael"},{"family":"Vachon","given":"Celine"},{"family":"Asperen","given":"Christi J.","non-dropping-particle":"van"},{"family":"Van Den Berg","given":"David"},{"family":"Ouweland","given":"Ans M. W.","non-dropping-particle":"van den"},{"family":"Kolk","given":"Lizet","non-dropping-particle":"van der"},{"family":"Luijt","given":"Rob B.","non-dropping-particle":"van der"},{"family":"Vincent","given":"Daniel"},{"family":"Vollenweider","given":"Jason"},{"family":"Waisfisz","given":"Quinten"},{"family":"Wang-Gohrke","given":"Shan"},{"family":"Weinberg","given":"Clarice R."},{"family":"Wendt","given":"Camilla"},{"family":"Whittemore","given":"Alice S."},{"family":"Wildiers","given":"Hans"},{"family":"Willett","given":"Walter"},{"family":"Winqvist","given":"Robert"},{"family":"Wolk","given":"Alicja"},{"family":"Wu","given":"Anna H."},{"family":"Xia","given":"Lucy"},{"family":"Yamaji","given":"Taiki"},{"family":"Yang","given":"Xiaohong R."},{"family":"Har Yip","given":"Cheng"},{"family":"Yoo","given":"Keun-Young"},{"family":"Yu","given":"Jyh-Cherng"},{"family":"Zheng","given":"Wei"},{"family":"Zheng","given":"Ying"},{"family":"Zhu","given":"Bin"},{"family":"Ziogas","given":"Argyrios"},{"family":"Ziv","given":"Elad"},{"literal":"ABCTB Investigators"},{"literal":"ConFab/AOCS Investigators"},{"family":"Lakhani","given":"Sunil R."},{"family":"Antoniou","given":"Antonis C."},{"family":"Droit","given":"Arnaud"},{"family":"Andrulis","given":"Irene L."},{"family":"Amos","given":"Christopher I."},{"family":"Couch","given":"Fergus J."},{"family":"Pharoah","given":"Paul D. P."},{"family":"Chang-Claude","given":"Jenny"},{"family":"Hall","given":"Per"},{"family":"Hunter","given":"David J."},{"family":"Milne","given":"Roger L."},{"family":"García-Closas","given":"Montserrat"},{"family":"Schmidt","given":"Marjanka K."},{"family":"Chanock","given":"Stephen J."},{"family":"Dunning","given":"Alison M."},{"family":"Edwards","given":"Stacey L."},{"family":"Bader","given":"Gary D."},{"family":"Chenevix-Trench","given":"Georgia"},{"family":"Simard","given":"Jacques"},{"family":"Kraft","given":"Peter"},{"family":"Easton","given":"Douglas F."}],"issued":{"date-parts":[["2017",10,23]]}},"label":"page"},{"id":1125,"uris":["http://zotero.org/users/local/6qce9xwG/items/9WKTMN5R"],"uri":["http://zotero.org/users/local/6qce9xwG/items/9WKTMN5R"],"itemData":{"id":1125,"type":"article-journal","title":"Identification of ten variants associated with risk of estrogen-receptor-negative breast cancer","container-title":"Nature Genetics","source":"PubMed","abstract":"Most common breast cancer susceptibility variants have been identified through genome-wide association studies (GWAS) of predominantly estrogen receptor (ER)-positive disease. We conducted a GWAS using 21,468 ER-negative cases and 100,594 controls combined with 18,908 BRCA1 mutation carriers (9,414 with breast cancer), all of European origin. We identified independent associations at P &lt; 5 × 10(-8) with ten variants at nine new loci. At P &lt; 0.05, we replicated associations with 10 of 11 variants previously reported in ER-negative disease or BRCA1 mutation carrier GWAS and observed consistent associations with ER-negative disease for 105 susceptibility variants identified by other studies. These 125 variants explain approximately 16% of the familial risk of this breast cancer subtype. There was high genetic correlation (0.72) between risk of ER-negative breast cancer and breast cancer risk for BRCA1 mutation carriers. These findings may lead to improved risk prediction and inform further fine-mapping and functional work to better understand the biological basis of ER-negative breast cancer.","DOI":"10.1038/ng.3785","ISSN":"1546-1718","note":"PMID: 29058716","journalAbbreviation":"Nat. Genet.","language":"eng","author":[{"family":"Milne","given":"Roger L."},{"family":"Kuchenbaecker","given":"Karoline B."},{"family":"Michailidou","given":"Kyriaki"},{"family":"Beesley","given":"Jonathan"},{"family":"Kar","given":"Siddhartha"},{"family":"Lindström","given":"Sara"},{"family":"Hui","given":"Shirley"},{"family":"Lemaçon","given":"Audrey"},{"family":"Soucy","given":"Penny"},{"family":"Dennis","given":"Joe"},{"family":"Jiang","given":"Xia"},{"family":"Rostamianfar","given":"Asha"},{"family":"Finucane","given":"Hilary"},{"family":"Bolla","given":"Manjeet K."},{"family":"McGuffog","given":"Lesley"},{"family":"Wang","given":"Qin"},{"family":"Aalfs","given":"Cora M."},{"literal":"ABCTB Investigators"},{"family":"Adams","given":"Marcia"},{"family":"Adlard","given":"Julian"},{"family":"Agata","given":"Simona"},{"family":"Ahmed","given":"Shahana"},{"family":"Ahsan","given":"Habibul"},{"family":"Aittomäki","given":"Kristiina"},{"family":"Al-Ejeh","given":"Fares"},{"family":"Allen","given":"Jamie"},{"family":"Ambrosone","given":"Christine B."},{"family":"Amos","given":"Christopher I."},{"family":"Andrulis","given":"Irene L."},{"family":"Anton-Culver","given":"Hoda"},{"family":"Antonenkova","given":"Natalia N."},{"family":"Arndt","given":"Volker"},{"family":"Arnold","given":"Norbert"},{"family":"Aronson","given":"Kristan J."},{"family":"Auber","given":"Bernd"},{"family":"Auer","given":"Paul L."},{"family":"Ausems","given":"Margreet G. E. M."},{"family":"Azzollini","given":"Jacopo"},{"family":"Bacot","given":"François"},{"family":"Balmaña","given":"Judith"},{"family":"Barile","given":"Monica"},{"family":"Barjhoux","given":"Laure"},{"family":"Barkardottir","given":"Rosa B."},{"family":"Barrdahl","given":"Myrto"},{"family":"Barnes","given":"Daniel"},{"family":"Barrowdale","given":"Daniel"},{"family":"Baynes","given":"Caroline"},{"family":"Beckmann","given":"Matthias W."},{"family":"Benitez","given":"Javier"},{"family":"Bermisheva","given":"Marina"},{"family":"Bernstein","given":"Leslie"},{"family":"Bignon","given":"Yves-Jean"},{"family":"Blazer","given":"Kathleen R."},{"family":"Blok","given":"Marinus J."},{"family":"Blomqvist","given":"Carl"},{"family":"Blot","given":"William"},{"family":"Bobolis","given":"Kristie"},{"family":"Boeckx","given":"Bram"},{"family":"Bogdanova","given":"Natalia V."},{"family":"Bojesen","given":"Anders"},{"family":"Bojesen","given":"Stig E."},{"family":"Bonanni","given":"Bernardo"},{"family":"Børresen-Dale","given":"Anne-Lise"},{"family":"Bozsik","given":"Aniko"},{"family":"Bradbury","given":"Angela R."},{"family":"Brand","given":"Judith S."},{"family":"Brauch","given":"Hiltrud"},{"family":"Brenner","given":"Hermann"},{"family":"Bressac-de Paillerets","given":"Brigitte"},{"family":"Brewer","given":"Carole"},{"family":"Brinton","given":"Louise"},{"family":"Broberg","given":"Per"},{"family":"Brooks-Wilson","given":"Angela"},{"family":"Brunet","given":"Joan"},{"family":"Brüning","given":"Thomas"},{"family":"Burwinkel","given":"Barbara"},{"family":"Buys","given":"Saundra S."},{"family":"Byun","given":"Jinyoung"},{"family":"Cai","given":"Qiuyin"},{"family":"Caldés","given":"Trinidad"},{"family":"Caligo","given":"Maria A."},{"family":"Campbell","given":"Ian"},{"family":"Canzian","given":"Federico"},{"family":"Caron","given":"Olivier"},{"family":"Carracedo","given":"Angel"},{"family":"Carter","given":"Brian D."},{"family":"Castelao","given":"J. Esteban"},{"family":"Castera","given":"Laurent"},{"family":"Caux-Moncoutier","given":"Virginie"},{"family":"Chan","given":"Salina B."},{"family":"Chang-Claude","given":"Jenny"},{"family":"Chanock","given":"Stephen J."},{"family":"Chen","given":"Xiaoqing"},{"family":"Cheng","given":"Ting-Yuan David"},{"family":"Chiquette","given":"Jocelyne"},{"family":"Christiansen","given":"Hans"},{"family":"Claes","given":"Kathleen B. M."},{"family":"Clarke","given":"Christine L."},{"family":"Conner","given":"Thomas"},{"family":"Conroy","given":"Don M."},{"family":"Cook","given":"Jackie"},{"family":"Cordina-Duverger","given":"Emilie"},{"family":"Cornelissen","given":"Sten"},{"family":"Coupier","given":"Isabelle"},{"family":"Cox","given":"Angela"},{"family":"Cox","given":"David G."},{"family":"Cross","given":"Simon S."},{"family":"Cuk","given":"Katarina"},{"family":"Cunningham","given":"Julie M."},{"family":"Czene","given":"Kamila"},{"family":"Daly","given":"Mary B."},{"family":"Damiola","given":"Francesca"},{"family":"Darabi","given":"Hatef"},{"family":"Davidson","given":"Rosemarie"},{"family":"De Leeneer","given":"Kim"},{"family":"Devilee","given":"Peter"},{"family":"Dicks","given":"Ed"},{"family":"Diez","given":"Orland"},{"family":"Ding","given":"Yuan Chun"},{"family":"Ditsch","given":"Nina"},{"family":"Doheny","given":"Kimberly F."},{"family":"Domchek","given":"Susan M."},{"family":"Dorfling","given":"Cecilia M."},{"family":"Dörk","given":"Thilo"},{"family":"Dos-Santos-Silva","given":"Isabel"},{"family":"Dubois","given":"Stéphane"},{"family":"Dugué","given":"Pierre-Antoine"},{"family":"Dumont","given":"Martine"},{"family":"Dunning","given":"Alison M."},{"family":"Durcan","given":"Lorraine"},{"family":"Dwek","given":"Miriam"},{"family":"Dworniczak","given":"Bernd"},{"family":"Eccles","given":"Diana"},{"family":"Eeles","given":"Ros"},{"family":"Ehrencrona","given":"Hans"},{"family":"Eilber","given":"Ursula"},{"family":"Ejlertsen","given":"Bent"},{"family":"Ekici","given":"Arif B."},{"family":"Eliassen","given":"A. Heather"},{"literal":"EMBRACE"},{"family":"Engel","given":"Christoph"},{"family":"Eriksson","given":"Mikael"},{"family":"Fachal","given":"Laura"},{"family":"Faivre","given":"Laurence"},{"family":"Fasching","given":"Peter A."},{"family":"Faust","given":"Ulrike"},{"family":"Figueroa","given":"Jonine"},{"family":"Flesch-Janys","given":"Dieter"},{"family":"Fletcher","given":"Olivia"},{"family":"Flyger","given":"Henrik"},{"family":"Foulkes","given":"William D."},{"family":"Friedman","given":"Eitan"},{"family":"Fritschi","given":"Lin"},{"family":"Frost","given":"Debra"},{"family":"Gabrielson","given":"Marike"},{"family":"Gaddam","given":"Pragna"},{"family":"Gammon","given":"Marilie D."},{"family":"Ganz","given":"Patricia A."},{"family":"Gapstur","given":"Susan M."},{"family":"Garber","given":"Judy"},{"family":"Garcia-Barberan","given":"Vanesa"},{"family":"García-Sáenz","given":"José A."},{"family":"Gaudet","given":"Mia M."},{"family":"Gauthier-Villars","given":"Marion"},{"family":"Gehrig","given":"Andrea"},{"literal":"GEMO Study Collaborators"},{"family":"Georgoulias","given":"Vassilios"},{"family":"Gerdes","given":"Anne-Marie"},{"family":"Giles","given":"Graham G."},{"family":"Glendon","given":"Gord"},{"family":"Godwin","given":"Andrew K."},{"family":"Goldberg","given":"Mark S."},{"family":"Goldgar","given":"David E."},{"family":"González-Neira","given":"Anna"},{"family":"Goodfellow","given":"Paul"},{"family":"Greene","given":"Mark H."},{"family":"Alnæs","given":"Grethe I. Grenaker"},{"family":"Grip","given":"Mervi"},{"family":"Gronwald","given":"Jacek"},{"family":"Grundy","given":"Anne"},{"family":"Gschwantler-Kaulich","given":"Daphne"},{"family":"Guénel","given":"Pascal"},{"family":"Guo","given":"Qi"},{"family":"Haeberle","given":"Lothar"},{"family":"Hahnen","given":"Eric"},{"family":"Haiman","given":"Christopher A."},{"family":"Håkansson","given":"Niclas"},{"family":"Hallberg","given":"Emily"},{"family":"Hamann","given":"Ute"},{"family":"Hamel","given":"Nathalie"},{"family":"Hankinson","given":"Susan"},{"family":"Hansen","given":"Thomas V. O."},{"family":"Harrington","given":"Patricia"},{"family":"Hart","given":"Steven N."},{"family":"Hartikainen","given":"Jaana M."},{"family":"Healey","given":"Catherine S."},{"literal":"HEBON"},{"family":"Hein","given":"Alexander"},{"family":"Helbig","given":"Sonja"},{"family":"Henderson","given":"Alex"},{"family":"Heyworth","given":"Jane"},{"family":"Hicks","given":"Belynda"},{"family":"Hillemanns","given":"Peter"},{"family":"Hodgson","given":"Shirley"},{"family":"Hogervorst","given":"Frans B."},{"family":"Hollestelle","given":"Antoinette"},{"family":"Hooning","given":"Maartje J."},{"family":"Hoover","given":"Bob"},{"family":"Hopper","given":"John L."},{"family":"Hu","given":"Chunling"},{"family":"Huang","given":"Guanmengqian"},{"family":"Hulick","given":"Peter J."},{"family":"Humphreys","given":"Keith"},{"family":"Hunter","given":"David J."},{"family":"Imyanitov","given":"Evgeny N."},{"family":"Isaacs","given":"Claudine"},{"family":"Iwasaki","given":"Motoki"},{"family":"Izatt","given":"Louise"},{"family":"Jakubowska","given":"Anna"},{"family":"James","given":"Paul"},{"family":"Janavicius","given":"Ramunas"},{"family":"Janni","given":"Wolfgang"},{"family":"Jensen","given":"Uffe Birk"},{"family":"John","given":"Esther M."},{"family":"Johnson","given":"Nichola"},{"family":"Jones","given":"Kristine"},{"family":"Jones","given":"Michael"},{"family":"Jukkola-Vuorinen","given":"Arja"},{"family":"Kaaks","given":"Rudolf"},{"family":"Kabisch","given":"Maria"},{"family":"Kaczmarek","given":"Katarzyna"},{"family":"Kang","given":"Daehee"},{"family":"Kast","given":"Karin"},{"literal":"kConFab/AOCS Investigators"},{"family":"Keeman","given":"Renske"},{"family":"Kerin","given":"Michael J."},{"family":"Kets","given":"Carolien M."},{"family":"Keupers","given":"Machteld"},{"family":"Khan","given":"Sofia"},{"family":"Khusnutdinova","given":"Elza"},{"family":"Kiiski","given":"Johanna I."},{"family":"Kim","given":"Sung-Won"},{"family":"Knight","given":"Julia A."},{"family":"Konstantopoulou","given":"Irene"},{"family":"Kosma","given":"Veli-Matti"},{"family":"Kristensen","given":"Vessela N."},{"family":"Kruse","given":"Torben A."},{"family":"Kwong","given":"Ava"},{"family":"Lænkholm","given":"Anne-Vibeke"},{"family":"Laitman","given":"Yael"},{"family":"Lalloo","given":"Fiona"},{"family":"Lambrechts","given":"Diether"},{"family":"Landsman","given":"Keren"},{"family":"Lasset","given":"Christine"},{"family":"Lazaro","given":"Conxi"},{"family":"Le Marchand","given":"Loic"},{"family":"Lecarpentier","given":"Julie"},{"family":"Lee","given":"Andrew"},{"family":"Lee","given":"Eunjung"},{"family":"Lee","given":"Jong Won"},{"family":"Lee","given":"Min Hyuk"},{"family":"Lejbkowicz","given":"Flavio"},{"family":"Lesueur","given":"Fabienne"},{"family":"Li","given":"Jingmei"},{"family":"Lilyquist","given":"Jenna"},{"family":"Lincoln","given":"Anne"},{"family":"Lindblom","given":"Annika"},{"family":"Lissowska","given":"Jolanta"},{"family":"Lo","given":"Wing-Yee"},{"family":"Loibl","given":"Sibylle"},{"family":"Long","given":"Jirong"},{"family":"Loud","given":"Jennifer T."},{"family":"Lubinski","given":"Jan"},{"family":"Luccarini","given":"Craig"},{"family":"Lush","given":"Michael"},{"family":"MacInnis","given":"Robert J."},{"family":"Maishman","given":"Tom"},{"family":"Makalic","given":"Enes"},{"family":"Kostovska","given":"Ivana Maleva"},{"family":"Malone","given":"Kathleen E."},{"family":"Manoukian","given":"Siranoush"},{"family":"Manson","given":"JoAnn E."},{"family":"Margolin","given":"Sara"},{"family":"Martens","given":"John W. M."},{"family":"Martinez","given":"Maria Elena"},{"family":"Matsuo","given":"Keitaro"},{"family":"Mavroudis","given":"Dimitrios"},{"family":"Mazoyer","given":"Sylvie"},{"family":"McLean","given":"Catriona"},{"family":"Meijers-Heijboer","given":"Hanne"},{"family":"Menéndez","given":"Primitiva"},{"family":"Meyer","given":"Jeffery"},{"family":"Miao","given":"Hui"},{"family":"Miller","given":"Austin"},{"family":"Miller","given":"Nicola"},{"family":"Mitchell","given":"Gillian"},{"family":"Montagna","given":"Marco"},{"family":"Muir","given":"Kenneth"},{"family":"Mulligan","given":"Anna Marie"},{"family":"Mulot","given":"Claire"},{"family":"Nadesan","given":"Sue"},{"family":"Nathanson","given":"Katherine L."},{"literal":"NBSC Collaborators"},{"family":"Neuhausen","given":"Susan L."},{"family":"Nevanlinna","given":"Heli"},{"family":"Nevelsteen","given":"Ines"},{"family":"Niederacher","given":"Dieter"},{"family":"Nielsen","given":"Sune F."},{"family":"Nordestgaard","given":"Børge G."},{"family":"Norman","given":"Aaron"},{"family":"Nussbaum","given":"Robert L."},{"family":"Olah","given":"Edith"},{"family":"Olopade","given":"Olufunmilayo I."},{"family":"Olson","given":"Janet E."},{"family":"Olswold","given":"Curtis"},{"family":"Ong","given":"Kai-Ren"},{"family":"Oosterwijk","given":"Jan C."},{"family":"Orr","given":"Nick"},{"family":"Osorio","given":"Ana"},{"family":"Pankratz","given":"V. Shane"},{"family":"Papi","given":"Laura"},{"family":"Park-Simon","given":"Tjoung-Won"},{"family":"Paulsson-Karlsson","given":"Ylva"},{"family":"Lloyd","given":"Rachel"},{"family":"Pedersen","given":"Inge Søkilde"},{"family":"Peissel","given":"Bernard"},{"family":"Peixoto","given":"Ana"},{"family":"Perez","given":"Jose I. A."},{"family":"Peterlongo","given":"Paolo"},{"family":"Peto","given":"Julian"},{"family":"Pfeiler","given":"Georg"},{"family":"Phelan","given":"Catherine M."},{"family":"Pinchev","given":"Mila"},{"family":"Plaseska-Karanfilska","given":"Dijana"},{"family":"Poppe","given":"Bruce"},{"family":"Porteous","given":"Mary E."},{"family":"Prentice","given":"Ross"},{"family":"Presneau","given":"Nadege"},{"family":"Prokofieva","given":"Darya"},{"family":"Pugh","given":"Elizabeth"},{"family":"Pujana","given":"Miquel Angel"},{"family":"Pylkäs","given":"Katri"},{"family":"Rack","given":"Brigitte"},{"family":"Radice","given":"Paolo"},{"family":"Rahman","given":"Nazneen"},{"family":"Rantala","given":"Johanna"},{"family":"Rappaport-Fuerhauser","given":"Christine"},{"family":"Rennert","given":"Gad"},{"family":"Rennert","given":"Hedy S."},{"family":"Rhenius","given":"Valerie"},{"family":"Rhiem","given":"Kerstin"},{"family":"Richardson","given":"Andrea"},{"family":"Rodriguez","given":"Gustavo C."},{"family":"Romero","given":"Atocha"},{"family":"Romm","given":"Jane"},{"family":"Rookus","given":"Matti A."},{"family":"Rudolph","given":"Anja"},{"family":"Ruediger","given":"Thomas"},{"family":"Saloustros","given":"Emmanouil"},{"family":"Sanders","given":"Joyce"},{"family":"Sandler","given":"Dale P."},{"family":"Sangrajrang","given":"Suleeporn"},{"family":"Sawyer","given":"Elinor J."},{"family":"Schmidt","given":"Daniel F."},{"family":"Schoemaker","given":"Minouk J."},{"family":"Schumacher","given":"Fredrick"},{"family":"Schürmann","given":"Peter"},{"family":"Schwentner","given":"Lukas"},{"family":"Scott","given":"Christopher"},{"family":"Scott","given":"Rodney J."},{"family":"Seal","given":"Sheila"},{"family":"Senter","given":"Leigha"},{"family":"Seynaeve","given":"Caroline"},{"family":"Shah","given":"Mitul"},{"family":"Sharma","given":"Priyanka"},{"family":"Shen","given":"Chen-Yang"},{"family":"Sheng","given":"Xin"},{"family":"Shimelis","given":"Hermela"},{"family":"Shrubsole","given":"Martha J."},{"family":"Shu","given":"Xiao-Ou"},{"family":"Side","given":"Lucy E."},{"family":"Singer","given":"Christian F."},{"family":"Sohn","given":"Christof"},{"family":"Southey","given":"Melissa C."},{"family":"Spinelli","given":"John J."},{"family":"Spurdle","given":"Amanda B."},{"family":"Stegmaier","given":"Christa"},{"family":"Stoppa-Lyonnet","given":"Dominique"},{"family":"Sukiennicki","given":"Grzegorz"},{"family":"Surowy","given":"Harald"},{"family":"Sutter","given":"Christian"},{"family":"Swerdlow","given":"Anthony"},{"family":"Szabo","given":"Csilla I."},{"family":"Tamimi","given":"Rulla M."},{"family":"Tan","given":"Yen Y."},{"family":"Taylor","given":"Jack A."},{"family":"Tejada","given":"Maria-Isabel"},{"family":"Tengström","given":"Maria"},{"family":"Teo","given":"Soo H."},{"family":"Terry","given":"Mary B."},{"family":"Tessier","given":"Daniel C."},{"family":"Teulé","given":"Alex"},{"family":"Thöne","given":"Kathrin"},{"family":"Thull","given":"Darcy L."},{"family":"Tibiletti","given":"Maria Grazia"},{"family":"Tihomirova","given":"Laima"},{"family":"Tischkowitz","given":"Marc"},{"family":"Toland","given":"Amanda E."},{"family":"Tollenaar","given":"Rob A. E. M."},{"family":"Tomlinson","given":"Ian"},{"family":"Tong","given":"Ling"},{"family":"Torres","given":"Diana"},{"family":"Tranchant","given":"Martine"},{"family":"Truong","given":"Thérèse"},{"family":"Tucker","given":"Kathy"},{"family":"Tung","given":"Nadine"},{"family":"Tyrer","given":"Jonathan"},{"family":"Ulmer","given":"Hans-Ulrich"},{"family":"Vachon","given":"Celine"},{"family":"Asperen","given":"Christi J.","non-dropping-particle":"van"},{"family":"Van Den Berg","given":"David"},{"family":"Ouweland","given":"Ans M. W.","non-dropping-particle":"van den"},{"family":"Rensburg","given":"Elizabeth J.","non-dropping-particle":"van"},{"family":"Varesco","given":"Liliana"},{"family":"Varon-Mateeva","given":"Raymonda"},{"family":"Vega","given":"Ana"},{"family":"Viel","given":"Alessandra"},{"family":"Vijai","given":"Joseph"},{"family":"Vincent","given":"Daniel"},{"family":"Vollenweider","given":"Jason"},{"family":"Walker","given":"Lisa"},{"family":"Wang","given":"Zhaoming"},{"family":"Wang-Gohrke","given":"Shan"},{"family":"Wappenschmidt","given":"Barbara"},{"family":"Weinberg","given":"Clarice R."},{"family":"Weitzel","given":"Jeffrey N."},{"family":"Wendt","given":"Camilla"},{"family":"Wesseling","given":"Jelle"},{"family":"Whittemore","given":"Alice S."},{"family":"Wijnen","given":"Juul T."},{"family":"Willett","given":"Walter"},{"family":"Winqvist","given":"Robert"},{"family":"Wolk","given":"Alicja"},{"family":"Wu","given":"Anna H."},{"family":"Xia","given":"Lucy"},{"family":"Yang","given":"Xiaohong R."},{"family":"Yannoukakos","given":"Drakoulis"},{"family":"Zaffaroni","given":"Daniela"},{"family":"Zheng","given":"Wei"},{"family":"Zhu","given":"Bin"},{"family":"Ziogas","given":"Argyrios"},{"family":"Ziv","given":"Elad"},{"family":"Zorn","given":"Kristin K."},{"family":"Gago-Dominguez","given":"Manuela"},{"family":"Mannermaa","given":"Arto"},{"family":"Olsson","given":"Håkan"},{"family":"Teixeira","given":"Manuel R."},{"family":"Stone","given":"Jennifer"},{"family":"Offit","given":"Kenneth"},{"family":"Ottini","given":"Laura"},{"family":"Park","given":"Sue K."},{"family":"Thomassen","given":"Mads"},{"family":"Hall","given":"Per"},{"family":"Meindl","given":"Alfons"},{"family":"Schmutzler","given":"Rita K."},{"family":"Droit","given":"Arnaud"},{"family":"Bader","given":"Gary D."},{"family":"Pharoah","given":"Paul D. P."},{"family":"Couch","given":"Fergus J."},{"family":"Easton","given":"Douglas F."},{"family":"Kraft","given":"Peter"},{"family":"Chenevix-Trench","given":"Georgia"},{"family":"García-Closas","given":"Montserrat"},{"family":"Schmidt","given":"Marjanka K."},{"family":"Antoniou","given":"Antonis C."},{"family":"Simard","given":"Jacques"}],"issued":{"date-parts":[["2017",10,23]]}},"label":"page"},{"id":2639,"uris":["http://zotero.org/users/local/6qce9xwG/items/6BUQQS5R"],"uri":["http://zotero.org/users/local/6qce9xwG/items/6BUQQS5R"],"itemData":{"id":2639,"type":"article-journal","title":"Association analyses of more than 140,000 men identify 63 new prostate cancer susceptibility loci","container-title":"Nature Genetics","volume":"In press","author":[{"family":"Schumacher","given":"FR"},{"family":"Al Olama","given":"AA"},{"family":"Berndt","given":"SI"}]},"label":"page"}],"schema":"https://github.com/citation-style-language/schema/raw/master/csl-citation.json"}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12–14</w:t>
      </w:r>
      <w:r w:rsidR="00987F80" w:rsidRPr="001F1589">
        <w:rPr>
          <w:color w:val="000000" w:themeColor="text1"/>
        </w:rPr>
        <w:fldChar w:fldCharType="end"/>
      </w:r>
    </w:p>
    <w:p w14:paraId="30FDC153" w14:textId="79A53FC3" w:rsidR="00302C7B" w:rsidRPr="001F1589" w:rsidRDefault="00352C9F" w:rsidP="005F7BB1">
      <w:pPr>
        <w:spacing w:after="120" w:line="480" w:lineRule="auto"/>
        <w:jc w:val="both"/>
        <w:rPr>
          <w:color w:val="000000" w:themeColor="text1"/>
        </w:rPr>
      </w:pPr>
      <w:r w:rsidRPr="001F1589">
        <w:rPr>
          <w:color w:val="000000" w:themeColor="text1"/>
        </w:rPr>
        <w:t xml:space="preserve">For breast cancer, </w:t>
      </w:r>
      <w:r w:rsidR="00D24B31">
        <w:rPr>
          <w:color w:val="000000" w:themeColor="text1"/>
        </w:rPr>
        <w:t>122,977 cases (</w:t>
      </w:r>
      <w:r w:rsidR="00611C20" w:rsidRPr="001F1589">
        <w:rPr>
          <w:color w:val="000000" w:themeColor="text1"/>
        </w:rPr>
        <w:t>105,974 controls</w:t>
      </w:r>
      <w:r w:rsidR="00D24B31">
        <w:rPr>
          <w:color w:val="000000" w:themeColor="text1"/>
        </w:rPr>
        <w:t>)</w:t>
      </w:r>
      <w:r w:rsidR="00611C20" w:rsidRPr="001F1589">
        <w:rPr>
          <w:color w:val="000000" w:themeColor="text1"/>
        </w:rPr>
        <w:t xml:space="preserve"> were involved, of which, </w:t>
      </w:r>
      <w:r w:rsidR="00367440" w:rsidRPr="001F1589">
        <w:rPr>
          <w:color w:val="000000" w:themeColor="text1"/>
        </w:rPr>
        <w:t xml:space="preserve">69,501 were </w:t>
      </w:r>
      <w:r w:rsidR="00420B6E" w:rsidRPr="001F1589">
        <w:rPr>
          <w:color w:val="000000" w:themeColor="text1"/>
        </w:rPr>
        <w:t>estrogen receptor (</w:t>
      </w:r>
      <w:r w:rsidR="00367440" w:rsidRPr="001F1589">
        <w:rPr>
          <w:color w:val="000000" w:themeColor="text1"/>
        </w:rPr>
        <w:t>ER</w:t>
      </w:r>
      <w:r w:rsidR="00420B6E" w:rsidRPr="001F1589">
        <w:rPr>
          <w:color w:val="000000" w:themeColor="text1"/>
        </w:rPr>
        <w:t>)</w:t>
      </w:r>
      <w:r w:rsidR="00367440" w:rsidRPr="001F1589">
        <w:rPr>
          <w:color w:val="000000" w:themeColor="text1"/>
        </w:rPr>
        <w:t xml:space="preserve">+ cases and </w:t>
      </w:r>
      <w:r w:rsidR="006C2444" w:rsidRPr="001F1589">
        <w:rPr>
          <w:color w:val="000000" w:themeColor="text1"/>
        </w:rPr>
        <w:t>21,468 were ER</w:t>
      </w:r>
      <w:r w:rsidR="006C2444" w:rsidRPr="001F1589">
        <w:rPr>
          <w:color w:val="000000" w:themeColor="text1"/>
        </w:rPr>
        <w:sym w:font="Symbol" w:char="F02D"/>
      </w:r>
      <w:r w:rsidR="006C2444" w:rsidRPr="001F1589">
        <w:rPr>
          <w:color w:val="000000" w:themeColor="text1"/>
        </w:rPr>
        <w:t xml:space="preserve"> cases</w:t>
      </w:r>
      <w:r w:rsidR="00367440" w:rsidRPr="001F1589">
        <w:rPr>
          <w:color w:val="000000" w:themeColor="text1"/>
        </w:rPr>
        <w:t>;</w:t>
      </w:r>
      <w:r w:rsidR="006C2444" w:rsidRPr="001F1589">
        <w:rPr>
          <w:color w:val="000000" w:themeColor="text1"/>
        </w:rPr>
        <w:t xml:space="preserve"> for prostate cancer, </w:t>
      </w:r>
      <w:r w:rsidR="006F6134" w:rsidRPr="001F1589">
        <w:rPr>
          <w:color w:val="000000" w:themeColor="text1"/>
        </w:rPr>
        <w:t>79,148</w:t>
      </w:r>
      <w:r w:rsidR="00D24B31">
        <w:rPr>
          <w:color w:val="000000" w:themeColor="text1"/>
        </w:rPr>
        <w:t xml:space="preserve"> cases</w:t>
      </w:r>
      <w:r w:rsidR="005D3407" w:rsidRPr="001F1589">
        <w:rPr>
          <w:color w:val="000000" w:themeColor="text1"/>
        </w:rPr>
        <w:t xml:space="preserve"> </w:t>
      </w:r>
      <w:r w:rsidR="00D24B31">
        <w:rPr>
          <w:color w:val="000000" w:themeColor="text1"/>
        </w:rPr>
        <w:t>(</w:t>
      </w:r>
      <w:r w:rsidR="006F6134" w:rsidRPr="001F1589">
        <w:rPr>
          <w:color w:val="000000" w:themeColor="text1"/>
        </w:rPr>
        <w:t>61,106</w:t>
      </w:r>
      <w:r w:rsidR="000634B2" w:rsidRPr="001F1589">
        <w:rPr>
          <w:color w:val="000000" w:themeColor="text1"/>
        </w:rPr>
        <w:t xml:space="preserve"> con</w:t>
      </w:r>
      <w:r w:rsidR="004E6A15" w:rsidRPr="001F1589">
        <w:rPr>
          <w:color w:val="000000" w:themeColor="text1"/>
        </w:rPr>
        <w:t>t</w:t>
      </w:r>
      <w:r w:rsidR="006347A9" w:rsidRPr="001F1589">
        <w:rPr>
          <w:color w:val="000000" w:themeColor="text1"/>
        </w:rPr>
        <w:t>rols</w:t>
      </w:r>
      <w:r w:rsidR="00D24B31">
        <w:rPr>
          <w:color w:val="000000" w:themeColor="text1"/>
        </w:rPr>
        <w:t>)</w:t>
      </w:r>
      <w:r w:rsidR="006347A9" w:rsidRPr="001F1589">
        <w:rPr>
          <w:color w:val="000000" w:themeColor="text1"/>
        </w:rPr>
        <w:t xml:space="preserve"> were involved</w:t>
      </w:r>
      <w:r w:rsidR="001151C3" w:rsidRPr="001F1589">
        <w:rPr>
          <w:color w:val="000000" w:themeColor="text1"/>
        </w:rPr>
        <w:t>, of which</w:t>
      </w:r>
      <w:r w:rsidR="00D52736" w:rsidRPr="001F1589">
        <w:rPr>
          <w:color w:val="000000" w:themeColor="text1"/>
        </w:rPr>
        <w:t xml:space="preserve"> 15,167</w:t>
      </w:r>
      <w:r w:rsidR="000D535F" w:rsidRPr="001F1589">
        <w:rPr>
          <w:color w:val="000000" w:themeColor="text1"/>
        </w:rPr>
        <w:t xml:space="preserve"> were diagnosed with</w:t>
      </w:r>
      <w:r w:rsidR="001151C3" w:rsidRPr="001F1589">
        <w:rPr>
          <w:color w:val="000000" w:themeColor="text1"/>
        </w:rPr>
        <w:t xml:space="preserve"> advanced prostate cancer</w:t>
      </w:r>
      <w:r w:rsidR="001F48A9" w:rsidRPr="001F1589">
        <w:rPr>
          <w:color w:val="000000" w:themeColor="text1"/>
        </w:rPr>
        <w:t xml:space="preserve"> </w:t>
      </w:r>
      <w:r w:rsidR="00640E2F">
        <w:rPr>
          <w:color w:val="000000" w:themeColor="text1"/>
        </w:rPr>
        <w:t>(</w:t>
      </w:r>
      <w:r w:rsidR="001F48A9" w:rsidRPr="001F1589">
        <w:rPr>
          <w:color w:val="000000" w:themeColor="text1"/>
        </w:rPr>
        <w:t>defined as Gleason Score 8+ or death from the disease or metast</w:t>
      </w:r>
      <w:r w:rsidR="00920AA5" w:rsidRPr="001F1589">
        <w:rPr>
          <w:color w:val="000000" w:themeColor="text1"/>
        </w:rPr>
        <w:t>a</w:t>
      </w:r>
      <w:r w:rsidR="001F48A9" w:rsidRPr="001F1589">
        <w:rPr>
          <w:color w:val="000000" w:themeColor="text1"/>
        </w:rPr>
        <w:t xml:space="preserve">tic disease (i.e. M1) or prostate specific antigen values </w:t>
      </w:r>
      <w:r w:rsidR="009C274B">
        <w:rPr>
          <w:color w:val="000000" w:themeColor="text1"/>
        </w:rPr>
        <w:t>&gt;</w:t>
      </w:r>
      <w:r w:rsidR="001F48A9" w:rsidRPr="001F1589">
        <w:rPr>
          <w:color w:val="000000" w:themeColor="text1"/>
        </w:rPr>
        <w:t xml:space="preserve"> 100 ng/ml</w:t>
      </w:r>
      <w:r w:rsidR="00640E2F">
        <w:rPr>
          <w:color w:val="000000" w:themeColor="text1"/>
        </w:rPr>
        <w:t>)</w:t>
      </w:r>
      <w:r w:rsidR="001F48A9" w:rsidRPr="001F1589">
        <w:rPr>
          <w:color w:val="000000" w:themeColor="text1"/>
        </w:rPr>
        <w:t xml:space="preserve">. </w:t>
      </w:r>
      <w:r w:rsidR="006347A9" w:rsidRPr="001F1589">
        <w:rPr>
          <w:color w:val="000000" w:themeColor="text1"/>
        </w:rPr>
        <w:t>Our current</w:t>
      </w:r>
      <w:r w:rsidR="00325A2C" w:rsidRPr="001F1589">
        <w:rPr>
          <w:color w:val="000000" w:themeColor="text1"/>
        </w:rPr>
        <w:t xml:space="preserve"> sample size was 4</w:t>
      </w:r>
      <w:r w:rsidR="00FF04BB">
        <w:rPr>
          <w:color w:val="000000" w:themeColor="text1"/>
        </w:rPr>
        <w:t>.6-</w:t>
      </w:r>
      <w:r w:rsidR="007C1513" w:rsidRPr="001F1589">
        <w:rPr>
          <w:color w:val="000000" w:themeColor="text1"/>
        </w:rPr>
        <w:t>fold</w:t>
      </w:r>
      <w:r w:rsidR="00B42792" w:rsidRPr="001F1589">
        <w:rPr>
          <w:color w:val="000000" w:themeColor="text1"/>
        </w:rPr>
        <w:t>s</w:t>
      </w:r>
      <w:r w:rsidR="007C1513" w:rsidRPr="001F1589">
        <w:rPr>
          <w:color w:val="000000" w:themeColor="text1"/>
        </w:rPr>
        <w:t xml:space="preserve"> </w:t>
      </w:r>
      <w:r w:rsidR="001F48A9" w:rsidRPr="001F1589">
        <w:rPr>
          <w:color w:val="000000" w:themeColor="text1"/>
        </w:rPr>
        <w:t>higher</w:t>
      </w:r>
      <w:r w:rsidR="00420B6E" w:rsidRPr="001F1589">
        <w:rPr>
          <w:color w:val="000000" w:themeColor="text1"/>
        </w:rPr>
        <w:t xml:space="preserve"> </w:t>
      </w:r>
      <w:r w:rsidR="000634B2" w:rsidRPr="001F1589">
        <w:rPr>
          <w:color w:val="000000" w:themeColor="text1"/>
        </w:rPr>
        <w:t xml:space="preserve">than those </w:t>
      </w:r>
      <w:r w:rsidR="00C7656A" w:rsidRPr="001F1589">
        <w:rPr>
          <w:color w:val="000000" w:themeColor="text1"/>
        </w:rPr>
        <w:t>in Dimitrakopoulou</w:t>
      </w:r>
      <w:r w:rsidR="00E67B5B" w:rsidRPr="001F1589">
        <w:rPr>
          <w:color w:val="000000" w:themeColor="text1"/>
        </w:rPr>
        <w:t xml:space="preserve"> </w:t>
      </w:r>
      <w:r w:rsidR="00C7656A" w:rsidRPr="001F1589">
        <w:rPr>
          <w:i/>
          <w:color w:val="000000" w:themeColor="text1"/>
        </w:rPr>
        <w:t>et al.</w:t>
      </w:r>
      <w:r w:rsidR="00987F80" w:rsidRPr="001F1589">
        <w:rPr>
          <w:color w:val="000000" w:themeColor="text1"/>
        </w:rPr>
        <w:fldChar w:fldCharType="begin"/>
      </w:r>
      <w:r w:rsidR="00A344A4" w:rsidRPr="001F1589">
        <w:rPr>
          <w:color w:val="000000" w:themeColor="text1"/>
        </w:rPr>
        <w:instrText xml:space="preserve"> ADDIN ZOTERO_ITEM CSL_CITATION {"citationID":"pOZNSsCz","properties":{"formattedCitation":"\\super 9\\nosupersub{}","plainCitation":"9","noteIndex":0},"citationItems":[{"id":1372,"uris":["http://zotero.org/users/local/6qce9xwG/items/IP3S3BUH"],"uri":["http://zotero.org/users/local/6qce9xwG/items/IP3S3BUH"],"itemData":{"id":1372,"type":"article-journal","title":"Circulating vitamin D concentration and risk of seven cancers: Mendelian randomisation study","container-title":"BMJ (Clinical research ed.)","page":"j4761","volume":"359","source":"PubMed","abstract":"Objective To determine if circulating concentrations of vitamin D are causally associated with risk of cancer.Design Mendelian randomisation study.Setting Large genetic epidemiology networks (the Genetic Associations and Mechanisms in Oncology (GAME-ON), the Genetic and Epidemiology of Colorectal Cancer Consortium (GECCO), and the Prostate Cancer Association Group to Investigate Cancer Associated Alterations in the Genome (PRACTICAL) consortiums, and the MR-Base platform).Participants 70 563 cases of cancer (22 898 prostate cancer, 15 748 breast cancer, 12 537 lung cancer, 11 488 colorectal cancer, 4369 ovarian cancer, 1896 pancreatic cancer, and 1627 neuroblastoma) and 84 418 controls.Exposures Four single nucleotide polymorphisms (rs2282679, rs10741657, rs12785878 and rs6013897) associated with vitamin D were used to define a multi-polymorphism score for circulating 25-hydroxyvitamin D (25(OH)D) concentrations.Main outcomes measures The primary outcomes were the risk of incident colorectal, breast, prostate, ovarian, lung, and pancreatic cancer and neuroblastoma, which was evaluated with an inverse variance weighted average of the associations with specific polymorphisms and a likelihood based approach. Secondary outcomes based on cancer subtypes by sex, anatomic location, stage, and histology were also examined.Results There was little evidence that the multi-polymorphism score of 25(OH)D was associated with risk of any of the seven cancers or their subtypes. Specifically, the odds ratios per 25 nmol/L increase in genetically determined 25(OH)D concentrations were 0.92 (95% confidence interval 0.76 to 1.10) for colorectal cancer, 1.05 (0.89 to 1.24) for breast cancer, 0.89 (0.77 to 1.02) for prostate cancer, and 1.03 (0.87 to 1.23) for lung cancer. The results were consistent with the two different analytical approaches, and the study was powered to detect relative effect sizes of moderate magnitude (for example, 1.20-1.50 per 25 nmol/L decrease in 25(OH)D for most primary cancer outcomes. The Mendelian randomisation assumptions did not seem to be violated.Conclusions There is little evidence for a linear causal association between circulating vitamin D concentration and risk of various types of cancer, though the existence of causal clinically relevant effects of low magnitude cannot be ruled out. These results, in combination with previous literature, provide evidence that population-wide screening for vitamin D deficiency and subsequent widespread vitamin D supplementation should not currently be recommended as a strategy for primary cancer prevention.","ISSN":"1756-1833","note":"PMID: 29089348","shortTitle":"Circulating vitamin D concentration and risk of seven cancers","journalAbbreviation":"BMJ","language":"eng","author":[{"family":"Dimitrakopoulou","given":"Vasiliki I."},{"family":"Tsilidis","given":"Konstantinos K."},{"family":"Haycock","given":"Philip C."},{"family":"Dimou","given":"Niki L."},{"family":"Al-Dabhani","given":"Kawthar"},{"family":"Martin","given":"Richard M."},{"family":"Lewis","given":"Sarah J."},{"family":"Gunter","given":"Marc J."},{"family":"Mondul","given":"Alison"},{"family":"Shui","given":"Irene M."},{"family":"Theodoratou","given":"Evropi"},{"family":"Nimptsch","given":"Katharina"},{"family":"Lindström","given":"Sara"},{"family":"Albanes","given":"Demetrius"},{"family":"Kühn","given":"Tilman"},{"family":"Key","given":"Timothy J."},{"family":"Travis","given":"Ruth C."},{"family":"Vimaleswaran","given":"Karani Santhanakrishnan"},{"literal":"GECCO Consortium"},{"literal":"PRACTICAL Consortium"},{"literal":"GAME-ON Network (CORECT, DRIVE, ELLIPSE, FOCI-OCAC, TRICL-ILCCO)"},{"family":"Kraft","given":"Peter"},{"family":"Pierce","given":"Brandon L."},{"family":"Schildkraut","given":"Joellen M."}],"issued":{"date-parts":[["2017"]],"season":"31"}}}],"schema":"https://github.com/citation-style-language/schema/raw/master/csl-citation.json"}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9</w:t>
      </w:r>
      <w:r w:rsidR="00987F80" w:rsidRPr="001F1589">
        <w:rPr>
          <w:color w:val="000000" w:themeColor="text1"/>
        </w:rPr>
        <w:fldChar w:fldCharType="end"/>
      </w:r>
      <w:r w:rsidR="00367440" w:rsidRPr="001F1589">
        <w:rPr>
          <w:i/>
          <w:color w:val="000000" w:themeColor="text1"/>
        </w:rPr>
        <w:t>.</w:t>
      </w:r>
    </w:p>
    <w:p w14:paraId="11EE6D5D" w14:textId="77777777" w:rsidR="00DB7E74" w:rsidRPr="001F1589" w:rsidRDefault="004A5D68" w:rsidP="005F7BB1">
      <w:pPr>
        <w:spacing w:after="120" w:line="480" w:lineRule="auto"/>
        <w:jc w:val="both"/>
        <w:rPr>
          <w:b/>
          <w:color w:val="000000" w:themeColor="text1"/>
        </w:rPr>
      </w:pPr>
      <w:r w:rsidRPr="001F1589">
        <w:rPr>
          <w:b/>
          <w:color w:val="000000" w:themeColor="text1"/>
        </w:rPr>
        <w:t>Statistical analysis</w:t>
      </w:r>
    </w:p>
    <w:p w14:paraId="1925B13D" w14:textId="6BE0C81E" w:rsidR="0046690A" w:rsidRPr="001F1589" w:rsidRDefault="005B78E1" w:rsidP="005F7BB1">
      <w:pPr>
        <w:spacing w:after="120" w:line="480" w:lineRule="auto"/>
        <w:jc w:val="both"/>
        <w:rPr>
          <w:color w:val="000000" w:themeColor="text1"/>
        </w:rPr>
      </w:pPr>
      <w:r w:rsidRPr="001F1589">
        <w:rPr>
          <w:color w:val="000000" w:themeColor="text1"/>
        </w:rPr>
        <w:t>MR uses SNPs as proxies for risk factors, assuming that SNPs are randomly allocated at conception, mirroring a randomiza</w:t>
      </w:r>
      <w:r w:rsidR="00081374" w:rsidRPr="001F1589">
        <w:rPr>
          <w:color w:val="000000" w:themeColor="text1"/>
        </w:rPr>
        <w:t>tion process;</w:t>
      </w:r>
      <w:r w:rsidRPr="001F1589">
        <w:rPr>
          <w:color w:val="000000" w:themeColor="text1"/>
        </w:rPr>
        <w:t xml:space="preserve"> and </w:t>
      </w:r>
      <w:r w:rsidR="005E0B4A" w:rsidRPr="001F1589">
        <w:rPr>
          <w:color w:val="000000" w:themeColor="text1"/>
        </w:rPr>
        <w:t>that SNPs always precede</w:t>
      </w:r>
      <w:r w:rsidRPr="001F1589">
        <w:rPr>
          <w:color w:val="000000" w:themeColor="text1"/>
        </w:rPr>
        <w:t xml:space="preserve"> disease onset therefore eliminates reverse causality. </w:t>
      </w:r>
      <w:r w:rsidR="008B6A79" w:rsidRPr="001F1589">
        <w:rPr>
          <w:color w:val="000000" w:themeColor="text1"/>
        </w:rPr>
        <w:t>T</w:t>
      </w:r>
      <w:r w:rsidRPr="001F1589">
        <w:rPr>
          <w:color w:val="000000" w:themeColor="text1"/>
        </w:rPr>
        <w:t xml:space="preserve">hree important assumptions </w:t>
      </w:r>
      <w:r w:rsidR="00B60CA6" w:rsidRPr="001F1589">
        <w:rPr>
          <w:color w:val="000000" w:themeColor="text1"/>
        </w:rPr>
        <w:t>need</w:t>
      </w:r>
      <w:r w:rsidR="008B6A79" w:rsidRPr="001F1589">
        <w:rPr>
          <w:color w:val="000000" w:themeColor="text1"/>
        </w:rPr>
        <w:t xml:space="preserve"> to be met </w:t>
      </w:r>
      <w:r w:rsidR="00E55D92" w:rsidRPr="001F1589">
        <w:rPr>
          <w:color w:val="000000" w:themeColor="text1"/>
        </w:rPr>
        <w:t>to ensure a</w:t>
      </w:r>
      <w:r w:rsidRPr="001F1589">
        <w:rPr>
          <w:color w:val="000000" w:themeColor="text1"/>
        </w:rPr>
        <w:t xml:space="preserve"> valid </w:t>
      </w:r>
      <w:r w:rsidR="00E55D92" w:rsidRPr="001F1589">
        <w:rPr>
          <w:color w:val="000000" w:themeColor="text1"/>
        </w:rPr>
        <w:t>IV</w:t>
      </w:r>
      <w:r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{"citationID":"ctBanMjC","properties":{"formattedCitation":"\\super 16\\nosupersub{}","plainCitation":"16","noteIndex":0},"citationItems":[{"id":1537,"uris":["http://zotero.org/users/local/6qce9xwG/items/FHUKWGP2"],"uri":["http://zotero.org/users/local/6qce9xwG/items/FHUKWGP2"],"itemData":{"id":1537,"type":"article-journal","title":"Recent Developments in Mendelian Randomization Studies","container-title":"Current Epidemiology Reports","page":"330-345","volume":"4","issue":"4","source":"PubMed","abstract":"Purpose of Review: Mendelian randomization (MR) is a strategy for evaluating causality in observational epidemiological studies. MR exploits the fact that genotypes are not generally susceptible to reverse causation and confounding, due to their fixed nature and Mendel's First and Second Laws of Inheritance. MR has the potential to provide information on causality in many situations where randomized controlled trials are not possible, but the results of MR studies must be interpreted carefully to avoid drawing erroneous conclusions.\nRecent Findings: In this review, we outline the principles behind MR, as well as assumptions and limitations of the method. Extensions to the basic approach are discussed, including two-sample MR, bidirectional MR, two-step MR, multivariable MR, and factorial MR. We also consider some new applications and recent developments in the methodology, including its ability to inform drug development, automation of the method using tools such as MR-Base, and phenome-wide and hypothesis-free MR.\nSummary: In conjunction with the growing availability of large-scale genomic databases, higher level of automation and increased robustness of the methods, MR promises to be a valuable strategy to examine causality in complex biological/omics networks, inform drug development and prioritize intervention targets for disease prevention in the future.","DOI":"10.1007/s40471-017-0128-6","ISSN":"2196-2995","note":"PMID: 29226067\nPMCID: PMC5711966","journalAbbreviation":"Curr Epidemiol Rep","language":"eng","author":[{"family":"Zheng","given":"Jie"},{"family":"Baird","given":"Denis"},{"family":"Borges","given":"Maria-Carolina"},{"family":"Bowden","given":"Jack"},{"family":"Hemani","given":"Gibran"},{"family":"Haycock","given":"Philip"},{"family":"Evans","given":"David M."},{"family":"Smith","given":"George Davey"}],"issued":{"date-parts":[["2017"]]}}}],"schema":"https://github.com/citation-style-language/schema/raw/master/csl-citation.json"}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16</w:t>
      </w:r>
      <w:r w:rsidR="00987F80" w:rsidRPr="001F1589">
        <w:rPr>
          <w:color w:val="000000" w:themeColor="text1"/>
        </w:rPr>
        <w:fldChar w:fldCharType="end"/>
      </w:r>
      <w:r w:rsidR="006F6134" w:rsidRPr="001F1589">
        <w:rPr>
          <w:color w:val="000000" w:themeColor="text1"/>
        </w:rPr>
        <w:t xml:space="preserve"> </w:t>
      </w:r>
      <w:r w:rsidR="00C51215">
        <w:rPr>
          <w:color w:val="000000" w:themeColor="text1"/>
        </w:rPr>
        <w:t>The first</w:t>
      </w:r>
      <w:r w:rsidR="00E55D92" w:rsidRPr="001F1589">
        <w:rPr>
          <w:color w:val="000000" w:themeColor="text1"/>
        </w:rPr>
        <w:t xml:space="preserve"> is the relevance assumption, </w:t>
      </w:r>
      <w:r w:rsidR="00B578EF" w:rsidRPr="001F1589">
        <w:rPr>
          <w:color w:val="000000" w:themeColor="text1"/>
        </w:rPr>
        <w:t xml:space="preserve">that the </w:t>
      </w:r>
      <w:r w:rsidR="00C51215">
        <w:rPr>
          <w:color w:val="000000" w:themeColor="text1"/>
        </w:rPr>
        <w:t xml:space="preserve">IVs </w:t>
      </w:r>
      <w:r w:rsidR="00E55D92" w:rsidRPr="001F1589">
        <w:rPr>
          <w:color w:val="000000" w:themeColor="text1"/>
        </w:rPr>
        <w:t xml:space="preserve">should be </w:t>
      </w:r>
      <w:r w:rsidR="00E55D92" w:rsidRPr="00D27207">
        <w:rPr>
          <w:strike/>
          <w:color w:val="0432FF"/>
        </w:rPr>
        <w:t xml:space="preserve">strongly </w:t>
      </w:r>
      <w:r w:rsidR="00E55D92" w:rsidRPr="001F1589">
        <w:rPr>
          <w:color w:val="000000" w:themeColor="text1"/>
        </w:rPr>
        <w:t>associated with the exposure; the second assumption requires no</w:t>
      </w:r>
      <w:r w:rsidR="00E67B5B" w:rsidRPr="001F1589">
        <w:rPr>
          <w:color w:val="000000" w:themeColor="text1"/>
        </w:rPr>
        <w:t xml:space="preserve"> </w:t>
      </w:r>
      <w:r w:rsidR="00E55D92" w:rsidRPr="001F1589">
        <w:rPr>
          <w:color w:val="000000" w:themeColor="text1"/>
        </w:rPr>
        <w:t>association between IV</w:t>
      </w:r>
      <w:r w:rsidR="00E30303">
        <w:rPr>
          <w:color w:val="000000" w:themeColor="text1"/>
        </w:rPr>
        <w:t>s</w:t>
      </w:r>
      <w:r w:rsidR="00E55D92" w:rsidRPr="001F1589">
        <w:rPr>
          <w:color w:val="000000" w:themeColor="text1"/>
        </w:rPr>
        <w:t xml:space="preserve"> and confounders of the exposure-outcome relationship</w:t>
      </w:r>
      <w:r w:rsidR="00081374" w:rsidRPr="001F1589">
        <w:rPr>
          <w:color w:val="000000" w:themeColor="text1"/>
        </w:rPr>
        <w:t>;</w:t>
      </w:r>
      <w:r w:rsidR="00E55D92" w:rsidRPr="001F1589">
        <w:rPr>
          <w:color w:val="000000" w:themeColor="text1"/>
        </w:rPr>
        <w:t xml:space="preserve"> and the third is the</w:t>
      </w:r>
      <w:r w:rsidR="00E67B5B" w:rsidRPr="001F1589">
        <w:rPr>
          <w:color w:val="000000" w:themeColor="text1"/>
        </w:rPr>
        <w:t xml:space="preserve"> </w:t>
      </w:r>
      <w:r w:rsidR="00E55D92" w:rsidRPr="001F1589">
        <w:rPr>
          <w:color w:val="000000" w:themeColor="text1"/>
        </w:rPr>
        <w:t>exclusion restriction a</w:t>
      </w:r>
      <w:r w:rsidR="00081374" w:rsidRPr="001F1589">
        <w:rPr>
          <w:color w:val="000000" w:themeColor="text1"/>
        </w:rPr>
        <w:t>ssumption, indicating that genetic</w:t>
      </w:r>
      <w:r w:rsidR="00E55D92" w:rsidRPr="001F1589">
        <w:rPr>
          <w:color w:val="000000" w:themeColor="text1"/>
        </w:rPr>
        <w:t xml:space="preserve"> variant</w:t>
      </w:r>
      <w:r w:rsidR="00081374" w:rsidRPr="001F1589">
        <w:rPr>
          <w:color w:val="000000" w:themeColor="text1"/>
        </w:rPr>
        <w:t>s should affect the outcome on</w:t>
      </w:r>
      <w:r w:rsidR="00E55D92" w:rsidRPr="001F1589">
        <w:rPr>
          <w:color w:val="000000" w:themeColor="text1"/>
        </w:rPr>
        <w:t>ly through</w:t>
      </w:r>
      <w:r w:rsidR="004278AB" w:rsidRPr="001F1589">
        <w:rPr>
          <w:color w:val="000000" w:themeColor="text1"/>
        </w:rPr>
        <w:t xml:space="preserve"> </w:t>
      </w:r>
      <w:r w:rsidR="00CC7594" w:rsidRPr="001F1589">
        <w:rPr>
          <w:color w:val="000000" w:themeColor="text1"/>
        </w:rPr>
        <w:t>the exposure. If all</w:t>
      </w:r>
      <w:r w:rsidR="00E55D92" w:rsidRPr="001F1589">
        <w:rPr>
          <w:color w:val="000000" w:themeColor="text1"/>
        </w:rPr>
        <w:t xml:space="preserve"> MR assumptions are satisfied</w:t>
      </w:r>
      <w:r w:rsidR="00E67B5B" w:rsidRPr="001F1589">
        <w:rPr>
          <w:color w:val="000000" w:themeColor="text1"/>
        </w:rPr>
        <w:t xml:space="preserve"> </w:t>
      </w:r>
      <w:r w:rsidR="00E55D92" w:rsidRPr="001F1589">
        <w:rPr>
          <w:color w:val="000000" w:themeColor="text1"/>
        </w:rPr>
        <w:t>then a causal estimation can be made based on the</w:t>
      </w:r>
      <w:r w:rsidR="004278AB" w:rsidRPr="001F1589">
        <w:rPr>
          <w:color w:val="000000" w:themeColor="text1"/>
        </w:rPr>
        <w:t xml:space="preserve"> </w:t>
      </w:r>
      <w:r w:rsidR="00E55D92" w:rsidRPr="001F1589">
        <w:rPr>
          <w:color w:val="000000" w:themeColor="text1"/>
        </w:rPr>
        <w:t>observed IV-exposure and IV-outcome association.</w:t>
      </w:r>
    </w:p>
    <w:p w14:paraId="56F01902" w14:textId="1C555E2E" w:rsidR="00081374" w:rsidRPr="001F1589" w:rsidRDefault="009F195C" w:rsidP="005F7BB1">
      <w:pPr>
        <w:spacing w:after="120" w:line="480" w:lineRule="auto"/>
        <w:jc w:val="both"/>
        <w:rPr>
          <w:color w:val="000000" w:themeColor="text1"/>
        </w:rPr>
      </w:pPr>
      <w:r w:rsidRPr="001F1589">
        <w:rPr>
          <w:color w:val="000000" w:themeColor="text1"/>
        </w:rPr>
        <w:lastRenderedPageBreak/>
        <w:t xml:space="preserve">We </w:t>
      </w:r>
      <w:r w:rsidR="005A05AF" w:rsidRPr="001F1589">
        <w:rPr>
          <w:color w:val="000000" w:themeColor="text1"/>
        </w:rPr>
        <w:t xml:space="preserve">conducted </w:t>
      </w:r>
      <w:r w:rsidR="00B578EF" w:rsidRPr="001F1589">
        <w:rPr>
          <w:color w:val="000000" w:themeColor="text1"/>
        </w:rPr>
        <w:t xml:space="preserve">a two-sample </w:t>
      </w:r>
      <w:r w:rsidR="005A05AF" w:rsidRPr="001F1589">
        <w:rPr>
          <w:color w:val="000000" w:themeColor="text1"/>
        </w:rPr>
        <w:t>MR to test for a potential causal relationship</w:t>
      </w:r>
      <w:r w:rsidRPr="001F1589">
        <w:rPr>
          <w:color w:val="000000" w:themeColor="text1"/>
        </w:rPr>
        <w:t xml:space="preserve"> between circulating </w:t>
      </w:r>
      <w:r w:rsidR="00917154" w:rsidRPr="001F1589">
        <w:rPr>
          <w:color w:val="000000" w:themeColor="text1"/>
        </w:rPr>
        <w:t>25(OH)D</w:t>
      </w:r>
      <w:r w:rsidR="0046690A" w:rsidRPr="001F1589">
        <w:rPr>
          <w:color w:val="000000" w:themeColor="text1"/>
        </w:rPr>
        <w:t xml:space="preserve"> </w:t>
      </w:r>
      <w:r w:rsidR="00917154" w:rsidRPr="001F1589">
        <w:rPr>
          <w:color w:val="000000" w:themeColor="text1"/>
        </w:rPr>
        <w:t>and risk of breast</w:t>
      </w:r>
      <w:r w:rsidR="001476BE" w:rsidRPr="001F1589">
        <w:rPr>
          <w:color w:val="000000" w:themeColor="text1"/>
        </w:rPr>
        <w:t xml:space="preserve"> and </w:t>
      </w:r>
      <w:r w:rsidR="00917154" w:rsidRPr="001F1589">
        <w:rPr>
          <w:color w:val="000000" w:themeColor="text1"/>
        </w:rPr>
        <w:t>prostate cancer</w:t>
      </w:r>
      <w:r w:rsidR="00717E4C" w:rsidRPr="001F1589">
        <w:rPr>
          <w:color w:val="000000" w:themeColor="text1"/>
        </w:rPr>
        <w:t xml:space="preserve">. We also </w:t>
      </w:r>
      <w:r w:rsidR="008A2CD2">
        <w:rPr>
          <w:color w:val="000000" w:themeColor="text1"/>
        </w:rPr>
        <w:t>investigated</w:t>
      </w:r>
      <w:r w:rsidR="0046690A" w:rsidRPr="001F1589">
        <w:rPr>
          <w:color w:val="000000" w:themeColor="text1"/>
        </w:rPr>
        <w:t xml:space="preserve"> cancer subtyp</w:t>
      </w:r>
      <w:r w:rsidR="00717E4C" w:rsidRPr="001F1589">
        <w:rPr>
          <w:color w:val="000000" w:themeColor="text1"/>
        </w:rPr>
        <w:t xml:space="preserve">es including </w:t>
      </w:r>
      <w:r w:rsidR="003F077F" w:rsidRPr="001F1589">
        <w:rPr>
          <w:color w:val="000000" w:themeColor="text1"/>
        </w:rPr>
        <w:t xml:space="preserve">ER+ and </w:t>
      </w:r>
      <w:r w:rsidRPr="001F1589">
        <w:rPr>
          <w:color w:val="000000" w:themeColor="text1"/>
        </w:rPr>
        <w:t>ER</w:t>
      </w:r>
      <w:r w:rsidRPr="001F1589">
        <w:rPr>
          <w:color w:val="000000" w:themeColor="text1"/>
        </w:rPr>
        <w:sym w:font="Symbol" w:char="F02D"/>
      </w:r>
      <w:r w:rsidRPr="001F1589">
        <w:rPr>
          <w:color w:val="000000" w:themeColor="text1"/>
        </w:rPr>
        <w:t xml:space="preserve"> breast cancer</w:t>
      </w:r>
      <w:r w:rsidR="000C5318" w:rsidRPr="001F1589">
        <w:rPr>
          <w:color w:val="000000" w:themeColor="text1"/>
        </w:rPr>
        <w:t xml:space="preserve"> </w:t>
      </w:r>
      <w:r w:rsidR="00717E4C" w:rsidRPr="001F1589">
        <w:rPr>
          <w:color w:val="000000" w:themeColor="text1"/>
        </w:rPr>
        <w:t xml:space="preserve">and </w:t>
      </w:r>
      <w:r w:rsidR="000D535F" w:rsidRPr="001F1589">
        <w:rPr>
          <w:color w:val="000000" w:themeColor="text1"/>
        </w:rPr>
        <w:t>advanced</w:t>
      </w:r>
      <w:r w:rsidR="00745AB4" w:rsidRPr="001F1589">
        <w:rPr>
          <w:color w:val="000000" w:themeColor="text1"/>
        </w:rPr>
        <w:t xml:space="preserve"> prostate cancer</w:t>
      </w:r>
      <w:r w:rsidRPr="001F1589">
        <w:rPr>
          <w:color w:val="000000" w:themeColor="text1"/>
        </w:rPr>
        <w:t xml:space="preserve">. </w:t>
      </w:r>
      <w:r w:rsidR="001817E8" w:rsidRPr="001F1589">
        <w:rPr>
          <w:color w:val="000000" w:themeColor="text1"/>
        </w:rPr>
        <w:t xml:space="preserve">We applied </w:t>
      </w:r>
      <w:r w:rsidR="00F47ABF" w:rsidRPr="001F1589">
        <w:rPr>
          <w:color w:val="000000" w:themeColor="text1"/>
        </w:rPr>
        <w:t xml:space="preserve">a number of </w:t>
      </w:r>
      <w:r w:rsidR="001817E8" w:rsidRPr="001F1589">
        <w:rPr>
          <w:color w:val="000000" w:themeColor="text1"/>
        </w:rPr>
        <w:t xml:space="preserve">MR methods </w:t>
      </w:r>
      <w:r w:rsidR="008A3B37">
        <w:rPr>
          <w:color w:val="000000" w:themeColor="text1"/>
        </w:rPr>
        <w:t>including</w:t>
      </w:r>
      <w:r w:rsidR="001817E8" w:rsidRPr="001F1589">
        <w:rPr>
          <w:color w:val="000000" w:themeColor="text1"/>
        </w:rPr>
        <w:t xml:space="preserve"> </w:t>
      </w:r>
      <w:r w:rsidR="00B70937" w:rsidRPr="001F1589">
        <w:rPr>
          <w:color w:val="000000" w:themeColor="text1"/>
        </w:rPr>
        <w:t>an inverse variance weighted avera</w:t>
      </w:r>
      <w:r w:rsidR="00BD4DC2" w:rsidRPr="001F1589">
        <w:rPr>
          <w:color w:val="000000" w:themeColor="text1"/>
        </w:rPr>
        <w:t xml:space="preserve">ge </w:t>
      </w:r>
      <w:r w:rsidR="00B45E39">
        <w:rPr>
          <w:color w:val="000000" w:themeColor="text1"/>
        </w:rPr>
        <w:t>approach</w:t>
      </w:r>
      <w:r w:rsidR="004A4FE9" w:rsidRPr="001F1589">
        <w:rPr>
          <w:color w:val="000000" w:themeColor="text1"/>
        </w:rPr>
        <w:t xml:space="preserve"> (IVW)</w:t>
      </w:r>
      <w:r w:rsidR="00B70937"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{"citationID":"GijNf9RG","properties":{"formattedCitation":"\\super 17\\nosupersub{}","plainCitation":"17","noteIndex":0},"citationItems":[{"id":1585,"uris":["http://zotero.org/users/local/6qce9xwG/items/QMHJR6TH"],"uri":["http://zotero.org/users/local/6qce9xwG/items/QMHJR6TH"],"itemData":{"id":1585,"type":"article-journal","title":"Using published data in Mendelian randomization: a blueprint for efficient identification of causal risk factors","container-title":"European Journal of Epidemiology","page":"543-552","volume":"30","issue":"7","source":"PubMed","abstract":"Finding individual-level data for adequately-powered Mendelian randomization analyses may be problematic. As publicly-available summarized data on genetic associations with disease outcomes from large consortia are becoming more abundant, use of published data is an attractive analysis strategy for obtaining precise estimates of the causal effects of risk factors on outcomes. We detail the necessary steps for conducting Mendelian randomization investigations using published data, and present novel statistical methods for combining data on the associations of multiple (correlated or uncorrelated) genetic variants with the risk factor and outcome into a single causal effect estimate. A two-sample analysis strategy may be employed, in which evidence on the gene-risk factor and gene-outcome associations are taken from different data sources. These approaches allow the efficient identification of risk factors that are suitable targets for clinical intervention from published data, although the ability to assess the assumptions necessary for causal inference is diminished. Methods and guidance are illustrated using the example of the causal effect of serum calcium levels on fasting glucose concentrations. The estimated causal effect of a 1 standard deviation (0.13 mmol/L) increase in calcium levels on fasting glucose (mM) using a single lead variant from the CASR gene region is 0.044 (95 % credible interval -0.002, 0.100). In contrast, using our method to account for the correlation between variants, the corresponding estimate using 17 genetic variants is 0.022 (95 % credible interval 0.009, 0.035), a more clearly positive causal effect.","DOI":"10.1007/s10654-015-0011-z","ISSN":"1573-7284","note":"PMID: 25773750\nPMCID: PMC4516908","shortTitle":"Using published data in Mendelian randomization","journalAbbreviation":"Eur. J. Epidemiol.","language":"eng","author":[{"family":"Burgess","given":"Stephen"},{"family":"Scott","given":"Robert A."},{"family":"Timpson","given":"Nicholas J."},{"family":"Davey Smith","given":"George"},{"family":"Thompson","given":"Simon G."},{"literal":"EPIC- InterAct Consortium"}],"issued":{"date-parts":[["2015",7]]}}}],"schema":"https://github.com/citation-style-language/schema/raw/master/csl-citation.json"}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17</w:t>
      </w:r>
      <w:r w:rsidR="00987F80" w:rsidRPr="001F1589">
        <w:rPr>
          <w:color w:val="000000" w:themeColor="text1"/>
        </w:rPr>
        <w:fldChar w:fldCharType="end"/>
      </w:r>
      <w:r w:rsidR="002E56EC" w:rsidRPr="001F1589">
        <w:rPr>
          <w:color w:val="000000" w:themeColor="text1"/>
        </w:rPr>
        <w:t xml:space="preserve"> </w:t>
      </w:r>
      <w:r w:rsidR="004D7942" w:rsidRPr="001F1589">
        <w:rPr>
          <w:color w:val="000000" w:themeColor="text1"/>
        </w:rPr>
        <w:t xml:space="preserve">a </w:t>
      </w:r>
      <w:r w:rsidR="001B6018" w:rsidRPr="001F1589">
        <w:rPr>
          <w:color w:val="000000" w:themeColor="text1"/>
        </w:rPr>
        <w:t>maximum likelihood method,</w:t>
      </w:r>
      <w:r w:rsidR="00987F80" w:rsidRPr="001F1589">
        <w:rPr>
          <w:color w:val="000000" w:themeColor="text1"/>
        </w:rPr>
        <w:fldChar w:fldCharType="begin"/>
      </w:r>
      <w:r w:rsidR="00A344A4" w:rsidRPr="001F1589">
        <w:rPr>
          <w:color w:val="000000" w:themeColor="text1"/>
        </w:rPr>
        <w:instrText xml:space="preserve"> ADDIN ZOTERO_ITEM CSL_CITATION {"citationID":"dBQ9a7GP","properties":{"formattedCitation":"\\super 18\\nosupersub{}","plainCitation":"18","noteIndex":0},"citationItems":[{"id":1588,"uris":["http://zotero.org/users/local/6qce9xwG/items/H3TQDVX5"],"uri":["http://zotero.org/users/local/6qce9xwG/items/H3TQDVX5"],"itemData":{"id":1588,"type":"article-journal","title":"Mendelian randomization analysis with multiple genetic variants using summarized data","container-title":"Genetic Epidemiology","page":"658-665","volume":"37","issue":"7","source":"PubMed","abstract":"Genome-wide association studies, which typically report regression coefficients summarizing the associations of many genetic variants with various traits, are potentially a powerful source of data for Mendelian randomization investigations. We demonstrate how such coefficients from multiple variants can be combined in a Mendelian randomization analysis to estimate the causal effect of a risk factor on an outcome. The bias and efficiency of estimates based on summarized data are compared to those based on individual-level data in simulation studies. We investigate the impact of gene-gene interactions, linkage disequilibrium, and 'weak instruments' on these estimates. Both an inverse-variance weighted average of variant-specific associations and a likelihood-based approach for summarized data give similar estimates and precision to the two-stage least squares method for individual-level data, even when there are gene-gene interactions. However, these summarized data methods overstate precision when variants are in linkage disequilibrium. If the P-value in a linear regression of the risk factor for each variant is less than 1×10</w:instrText>
      </w:r>
      <w:r w:rsidR="00A344A4" w:rsidRPr="001F1589">
        <w:rPr>
          <w:rFonts w:ascii="Calibri" w:eastAsia="Calibri" w:hAnsi="Calibri" w:cs="Calibri"/>
          <w:color w:val="000000" w:themeColor="text1"/>
        </w:rPr>
        <w:instrText>⁻⁵</w:instrText>
      </w:r>
      <w:r w:rsidR="00A344A4" w:rsidRPr="001F1589">
        <w:rPr>
          <w:color w:val="000000" w:themeColor="text1"/>
        </w:rPr>
        <w:instrText xml:space="preserve">, then weak instrument bias will be small. We use these methods to estimate the causal association of low-density lipoprotein cholesterol (LDL-C) on coronary artery disease using published data on five genetic variants. A 30% reduction in LDL-C is estimated to reduce coronary artery disease risk by 67% (95% CI: 54% to 76%). We conclude that Mendelian randomization investigations using summarized data from uncorrelated variants are similarly efficient to those using individual-level data, although the necessary assumptions cannot be so fully assessed.","DOI":"10.1002/gepi.21758","ISSN":"1098-2272","note":"PMID: 24114802\nPMCID: PMC4377079","journalAbbreviation":"Genet. Epidemiol.","language":"eng","author":[{"family":"Burgess","given":"Stephen"},{"family":"Butterworth","given":"Adam"},{"family":"Thompson","given":"Simon G."}],"issued":{"date-parts":[["2013",11]]}}}],"schema":"https://github.com/citation-style-language/schema/raw/master/csl-citation.json"}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18</w:t>
      </w:r>
      <w:r w:rsidR="00987F80" w:rsidRPr="001F1589">
        <w:rPr>
          <w:color w:val="000000" w:themeColor="text1"/>
        </w:rPr>
        <w:fldChar w:fldCharType="end"/>
      </w:r>
      <w:r w:rsidR="0009035E" w:rsidRPr="001F1589">
        <w:rPr>
          <w:color w:val="000000" w:themeColor="text1"/>
        </w:rPr>
        <w:t xml:space="preserve"> </w:t>
      </w:r>
      <w:r w:rsidR="00B70937" w:rsidRPr="001F1589">
        <w:rPr>
          <w:color w:val="000000" w:themeColor="text1"/>
        </w:rPr>
        <w:t>MR-Egger</w:t>
      </w:r>
      <w:r w:rsidR="006F1907" w:rsidRPr="001F1589">
        <w:rPr>
          <w:color w:val="000000" w:themeColor="text1"/>
        </w:rPr>
        <w:t xml:space="preserve"> regression</w:t>
      </w:r>
      <w:r w:rsidR="00B70937" w:rsidRPr="001F1589">
        <w:rPr>
          <w:color w:val="000000" w:themeColor="text1"/>
        </w:rPr>
        <w:t>,</w:t>
      </w:r>
      <w:r w:rsidR="00987F80" w:rsidRPr="001F1589">
        <w:rPr>
          <w:color w:val="000000" w:themeColor="text1"/>
        </w:rPr>
        <w:fldChar w:fldCharType="begin"/>
      </w:r>
      <w:r w:rsidR="00A344A4" w:rsidRPr="001F1589">
        <w:rPr>
          <w:color w:val="000000" w:themeColor="text1"/>
        </w:rPr>
        <w:instrText xml:space="preserve"> ADDIN ZOTERO_ITEM CSL_CITATION {"citationID":"dbSLgyTe","properties":{"formattedCitation":"\\super 19\\nosupersub{}","plainCitation":"19","noteIndex":0},"citationItems":[{"id":83,"uris":["http://zotero.org/users/local/6qce9xwG/items/U3QQWQJF"],"uri":["http://zotero.org/users/local/6qce9xwG/items/U3QQWQJF"],"itemData":{"id":83,"type":"article-journal","title":"Mendelian randomization with invalid instruments: effect estimation and bias detection through Egger regression","container-title":"International Journal of Epidemiology","page":"512-525","volume":"44","issue":"2","source":"PubMed","abstract":"BACKGROUND: The number of Mendelian randomization analyses including large numbers of genetic variants is rapidly increasing. This is due to the proliferation of genome-wide association studies, and the desire to obtain more precise estimates of causal effects. However, some genetic variants may not be valid instrumental variables, in particular due to them having more than one proximal phenotypic correlate (pleiotropy).\nMETHODS: We view Mendelian randomization with multiple instruments as a meta-analysis, and show that bias caused by pleiotropy can be regarded as analogous to small study bias. Causal estimates using each instrument can be displayed visually by a funnel plot to assess potential asymmetry. Egger regression, a tool to detect small study bias in meta-analysis, can be adapted to test for bias from pleiotropy, and the slope coefficient from Egger regression provides an estimate of the causal effect. Under the assumption that the association of each genetic variant with the exposure is independent of the pleiotropic effect of the variant (not via the exposure), Egger's test gives a valid test of the null causal hypothesis and a consistent causal effect estimate even when all the genetic variants are invalid instrumental variables.\nRESULTS: We illustrate the use of this approach by re-analysing two published Mendelian randomization studies of the causal effect of height on lung function, and the causal effect of blood pressure on coronary artery disease risk. The conservative nature of this approach is illustrated with these examples.\nCONCLUSIONS: An adaption of Egger regression (which we call MR-Egger) can detect some violations of the standard instrumental variable assumptions, and provide an effect estimate which is not subject to these violations. The approach provides a sensitivity analysis for the robustness of the findings from a Mendelian randomization investigation.","DOI":"10.1093/ije/dyv080","ISSN":"1464-3685","note":"PMID: 26050253\nPMCID: PMC4469799","shortTitle":"Mendelian randomization with invalid instruments","journalAbbreviation":"Int J Epidemiol","language":"eng","author":[{"family":"Bowden","given":"Jack"},{"family":"Davey Smith","given":"George"},{"family":"Burgess","given":"Stephen"}],"issued":{"date-parts":[["2015",4]]}}}],"schema":"https://github.com/citation-style-language/schema/raw/master/csl-citation.json"}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19</w:t>
      </w:r>
      <w:r w:rsidR="00987F80" w:rsidRPr="001F1589">
        <w:rPr>
          <w:color w:val="000000" w:themeColor="text1"/>
        </w:rPr>
        <w:fldChar w:fldCharType="end"/>
      </w:r>
      <w:r w:rsidR="0071695E" w:rsidRPr="001F1589">
        <w:rPr>
          <w:color w:val="000000" w:themeColor="text1"/>
        </w:rPr>
        <w:t xml:space="preserve"> and a </w:t>
      </w:r>
      <w:r w:rsidR="00B578EF" w:rsidRPr="001F1589">
        <w:rPr>
          <w:color w:val="000000" w:themeColor="text1"/>
        </w:rPr>
        <w:t xml:space="preserve">weighted </w:t>
      </w:r>
      <w:r w:rsidR="00B70937" w:rsidRPr="001F1589">
        <w:rPr>
          <w:color w:val="000000" w:themeColor="text1"/>
        </w:rPr>
        <w:t>median approach.</w:t>
      </w:r>
      <w:r w:rsidR="00987F80" w:rsidRPr="001F1589">
        <w:rPr>
          <w:color w:val="000000" w:themeColor="text1"/>
        </w:rPr>
        <w:fldChar w:fldCharType="begin"/>
      </w:r>
      <w:r w:rsidR="00A344A4" w:rsidRPr="001F1589">
        <w:rPr>
          <w:color w:val="000000" w:themeColor="text1"/>
        </w:rPr>
        <w:instrText xml:space="preserve"> ADDIN ZOTERO_ITEM CSL_CITATION {"citationID":"eVxPDeEU","properties":{"formattedCitation":"\\super 20\\nosupersub{}","plainCitation":"20","noteIndex":0},"citationItems":[{"id":1583,"uris":["http://zotero.org/users/local/6qce9xwG/items/73IW645K"],"uri":["http://zotero.org/users/local/6qce9xwG/items/73IW645K"],"itemData":{"id":1583,"type":"article-journal","title":"Consistent Estimation in Mendelian Randomization with Some Invalid Instruments Using a Weighted Median Estimator","container-title":"Genetic Epidemiology","page":"304-314","volume":"40","issue":"4","source":"PubMed","abstract":"Developments in genome-wide association studies and the increasing availability of summary genetic association data have made application of Mendelian randomization relatively straightforward. However, obtaining reliable results from a Mendelian randomization investigation remains problematic, as the conventional inverse-variance weighted method only gives consistent estimates if all of the genetic variants in the analysis are valid instrumental variables. We present a novel weighted median estimator for combining data on multiple genetic variants into a single causal estimate. This estimator is consistent even when up to 50% of the information comes from invalid instrumental variables. In a simulation analysis, it is shown to have better finite-sample Type 1 error rates than the inverse-variance weighted method, and is complementary to the recently proposed MR-Egger (Mendelian randomization-Egger) regression method. In analyses of the causal effects of low-density lipoprotein cholesterol and high-density lipoprotein cholesterol on coronary artery disease risk, the inverse-variance weighted method suggests a causal effect of both lipid fractions, whereas the weighted median and MR-Egger regression methods suggest a null effect of high-density lipoprotein cholesterol that corresponds with the experimental evidence. Both median-based and MR-Egger regression methods should be considered as sensitivity analyses for Mendelian randomization investigations with multiple genetic variants.","DOI":"10.1002/gepi.21965","ISSN":"1098-2272","note":"PMID: 27061298\nPMCID: PMC4849733","journalAbbreviation":"Genet. Epidemiol.","language":"eng","author":[{"family":"Bowden","given":"Jack"},{"family":"Davey Smith","given":"George"},{"family":"Haycock","given":"Philip C."},{"family":"Burgess","given":"Stephen"}],"issued":{"date-parts":[["2016",5]]}}}],"schema":"https://github.com/citation-style-language/schema/raw/master/csl-citation.json"} </w:instrText>
      </w:r>
      <w:r w:rsidR="00987F80" w:rsidRPr="001F1589">
        <w:rPr>
          <w:color w:val="000000" w:themeColor="text1"/>
        </w:rPr>
        <w:fldChar w:fldCharType="separate"/>
      </w:r>
      <w:r w:rsidR="00A31D70" w:rsidRPr="00A31D70">
        <w:rPr>
          <w:color w:val="000000"/>
          <w:vertAlign w:val="superscript"/>
        </w:rPr>
        <w:t>20</w:t>
      </w:r>
      <w:r w:rsidR="00987F80" w:rsidRPr="001F1589">
        <w:rPr>
          <w:color w:val="000000" w:themeColor="text1"/>
        </w:rPr>
        <w:fldChar w:fldCharType="end"/>
      </w:r>
    </w:p>
    <w:p w14:paraId="53FC4FCC" w14:textId="63E65A8A" w:rsidR="004A4FE9" w:rsidRPr="001F1589" w:rsidRDefault="00705D0C" w:rsidP="005F7BB1">
      <w:pPr>
        <w:spacing w:after="120" w:line="480" w:lineRule="auto"/>
        <w:jc w:val="both"/>
        <w:rPr>
          <w:color w:val="000000" w:themeColor="text1"/>
        </w:rPr>
      </w:pPr>
      <w:r w:rsidRPr="001F1589">
        <w:rPr>
          <w:color w:val="000000" w:themeColor="text1"/>
        </w:rPr>
        <w:t xml:space="preserve">For </w:t>
      </w:r>
      <w:r w:rsidR="002E7E97" w:rsidRPr="001F1589">
        <w:rPr>
          <w:color w:val="000000" w:themeColor="text1"/>
        </w:rPr>
        <w:t xml:space="preserve">each of </w:t>
      </w:r>
      <w:r w:rsidR="00260870" w:rsidRPr="001F1589">
        <w:rPr>
          <w:color w:val="000000" w:themeColor="text1"/>
        </w:rPr>
        <w:t xml:space="preserve">the </w:t>
      </w:r>
      <w:r w:rsidR="009122BA" w:rsidRPr="001F1589">
        <w:rPr>
          <w:i/>
          <w:color w:val="000000" w:themeColor="text1"/>
        </w:rPr>
        <w:t>k</w:t>
      </w:r>
      <w:r w:rsidR="00E67B5B" w:rsidRPr="001F1589">
        <w:rPr>
          <w:i/>
          <w:color w:val="000000" w:themeColor="text1"/>
        </w:rPr>
        <w:t xml:space="preserve"> </w:t>
      </w:r>
      <w:r w:rsidR="002E7E97" w:rsidRPr="001F1589">
        <w:rPr>
          <w:color w:val="000000" w:themeColor="text1"/>
        </w:rPr>
        <w:t>genetic variants</w:t>
      </w:r>
      <w:r w:rsidR="001B2E83" w:rsidRPr="001F1589">
        <w:rPr>
          <w:color w:val="000000" w:themeColor="text1"/>
        </w:rPr>
        <w:t xml:space="preserve"> (IVs)</w:t>
      </w:r>
      <w:r w:rsidR="00046562" w:rsidRPr="001F1589">
        <w:rPr>
          <w:color w:val="000000" w:themeColor="text1"/>
        </w:rPr>
        <w:t>,</w:t>
      </w:r>
      <w:r w:rsidR="00C03230" w:rsidRPr="001F1589">
        <w:rPr>
          <w:color w:val="000000" w:themeColor="text1"/>
        </w:rPr>
        <w:t xml:space="preserve"> </w:t>
      </w:r>
      <w:r w:rsidR="00AA0824" w:rsidRPr="001F1589">
        <w:rPr>
          <w:color w:val="000000" w:themeColor="text1"/>
        </w:rPr>
        <w:t>the estimate of</w:t>
      </w:r>
      <w:r w:rsidR="00730C2D" w:rsidRPr="001F1589">
        <w:rPr>
          <w:color w:val="000000" w:themeColor="text1"/>
        </w:rPr>
        <w:t xml:space="preserve"> </w:t>
      </w:r>
      <w:r w:rsidR="006F0B4D" w:rsidRPr="001F1589">
        <w:rPr>
          <w:color w:val="000000" w:themeColor="text1"/>
        </w:rPr>
        <w:t xml:space="preserve">genetic </w:t>
      </w:r>
      <w:r w:rsidRPr="001F1589">
        <w:rPr>
          <w:color w:val="000000" w:themeColor="text1"/>
        </w:rPr>
        <w:t>ass</w:t>
      </w:r>
      <w:r w:rsidR="00046562" w:rsidRPr="001F1589">
        <w:rPr>
          <w:color w:val="000000" w:themeColor="text1"/>
        </w:rPr>
        <w:t xml:space="preserve">ociation with the </w:t>
      </w:r>
      <w:r w:rsidR="00260870" w:rsidRPr="001F1589">
        <w:rPr>
          <w:color w:val="000000" w:themeColor="text1"/>
        </w:rPr>
        <w:t>exposure</w:t>
      </w:r>
      <w:r w:rsidR="009122BA" w:rsidRPr="001F1589">
        <w:rPr>
          <w:color w:val="000000" w:themeColor="text1"/>
        </w:rPr>
        <w:t xml:space="preserve"> is represented as </w:t>
      </w:r>
      <w:r w:rsidR="00BB57C8" w:rsidRPr="001F1589">
        <w:rPr>
          <w:noProof/>
          <w:color w:val="000000" w:themeColor="text1"/>
          <w:position w:val="-10"/>
        </w:rPr>
        <w:object w:dxaOrig="400" w:dyaOrig="360" w14:anchorId="4CF17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20pt;height:19.35pt;mso-width-percent:0;mso-height-percent:0;mso-width-percent:0;mso-height-percent:0" o:ole="">
            <v:imagedata r:id="rId10" o:title=""/>
          </v:shape>
          <o:OLEObject Type="Embed" ProgID="Equation.DSMT4" ShapeID="_x0000_i1032" DrawAspect="Content" ObjectID="_1601962404" r:id="rId11"/>
        </w:object>
      </w:r>
      <w:r w:rsidR="00046562" w:rsidRPr="001F1589">
        <w:rPr>
          <w:color w:val="000000" w:themeColor="text1"/>
        </w:rPr>
        <w:t>with standard error</w:t>
      </w:r>
      <w:r w:rsidR="00BB57C8" w:rsidRPr="001F1589">
        <w:rPr>
          <w:noProof/>
          <w:color w:val="000000" w:themeColor="text1"/>
          <w:position w:val="-10"/>
        </w:rPr>
        <w:object w:dxaOrig="400" w:dyaOrig="320" w14:anchorId="66DC2570">
          <v:shape id="_x0000_i1031" type="#_x0000_t75" alt="" style="width:19.35pt;height:16pt;mso-width-percent:0;mso-height-percent:0;mso-width-percent:0;mso-height-percent:0" o:ole="">
            <v:imagedata r:id="rId12" o:title=""/>
          </v:shape>
          <o:OLEObject Type="Embed" ProgID="Equation.DSMT4" ShapeID="_x0000_i1031" DrawAspect="Content" ObjectID="_1601962405" r:id="rId13"/>
        </w:object>
      </w:r>
      <w:r w:rsidR="009122BA" w:rsidRPr="001F1589">
        <w:rPr>
          <w:color w:val="000000" w:themeColor="text1"/>
          <w:position w:val="-10"/>
        </w:rPr>
        <w:t xml:space="preserve">, </w:t>
      </w:r>
      <w:r w:rsidR="00AA0824" w:rsidRPr="001F1589">
        <w:rPr>
          <w:color w:val="000000" w:themeColor="text1"/>
        </w:rPr>
        <w:t>and the estimate of</w:t>
      </w:r>
      <w:r w:rsidR="00730C2D" w:rsidRPr="001F1589">
        <w:rPr>
          <w:color w:val="000000" w:themeColor="text1"/>
        </w:rPr>
        <w:t xml:space="preserve"> </w:t>
      </w:r>
      <w:r w:rsidR="006F0B4D" w:rsidRPr="001F1589">
        <w:rPr>
          <w:color w:val="000000" w:themeColor="text1"/>
        </w:rPr>
        <w:t xml:space="preserve">genetic </w:t>
      </w:r>
      <w:r w:rsidR="00046562" w:rsidRPr="001F1589">
        <w:rPr>
          <w:color w:val="000000" w:themeColor="text1"/>
        </w:rPr>
        <w:t xml:space="preserve">association with the outcome is represented as </w:t>
      </w:r>
      <w:r w:rsidR="00BB57C8" w:rsidRPr="001F1589">
        <w:rPr>
          <w:noProof/>
          <w:color w:val="000000" w:themeColor="text1"/>
          <w:position w:val="-10"/>
        </w:rPr>
        <w:object w:dxaOrig="360" w:dyaOrig="360" w14:anchorId="26952EF4">
          <v:shape id="_x0000_i1030" type="#_x0000_t75" alt="" style="width:19.35pt;height:19.35pt;mso-width-percent:0;mso-height-percent:0;mso-width-percent:0;mso-height-percent:0" o:ole="">
            <v:imagedata r:id="rId14" o:title=""/>
          </v:shape>
          <o:OLEObject Type="Embed" ProgID="Equation.DSMT4" ShapeID="_x0000_i1030" DrawAspect="Content" ObjectID="_1601962406" r:id="rId15"/>
        </w:object>
      </w:r>
      <w:r w:rsidRPr="001F1589">
        <w:rPr>
          <w:color w:val="000000" w:themeColor="text1"/>
        </w:rPr>
        <w:t>with stan</w:t>
      </w:r>
      <w:r w:rsidR="00046562" w:rsidRPr="001F1589">
        <w:rPr>
          <w:color w:val="000000" w:themeColor="text1"/>
        </w:rPr>
        <w:t>dard error</w:t>
      </w:r>
      <w:r w:rsidR="00BB57C8" w:rsidRPr="001F1589">
        <w:rPr>
          <w:noProof/>
          <w:color w:val="000000" w:themeColor="text1"/>
          <w:position w:val="-10"/>
        </w:rPr>
        <w:object w:dxaOrig="380" w:dyaOrig="320" w14:anchorId="44370462">
          <v:shape id="_x0000_i1029" type="#_x0000_t75" alt="" style="width:19.35pt;height:16pt;mso-width-percent:0;mso-height-percent:0;mso-width-percent:0;mso-height-percent:0" o:ole="">
            <v:imagedata r:id="rId16" o:title=""/>
          </v:shape>
          <o:OLEObject Type="Embed" ProgID="Equation.DSMT4" ShapeID="_x0000_i1029" DrawAspect="Content" ObjectID="_1601962407" r:id="rId17"/>
        </w:object>
      </w:r>
      <w:r w:rsidR="00046562" w:rsidRPr="001F1589">
        <w:rPr>
          <w:color w:val="000000" w:themeColor="text1"/>
        </w:rPr>
        <w:t xml:space="preserve">. </w:t>
      </w:r>
      <w:r w:rsidR="000633FC" w:rsidRPr="001F1589">
        <w:rPr>
          <w:color w:val="000000" w:themeColor="text1"/>
        </w:rPr>
        <w:t xml:space="preserve">The </w:t>
      </w:r>
      <w:r w:rsidR="00646865" w:rsidRPr="001F1589">
        <w:rPr>
          <w:color w:val="000000" w:themeColor="text1"/>
        </w:rPr>
        <w:t>IVW</w:t>
      </w:r>
      <w:r w:rsidR="000633FC" w:rsidRPr="001F1589">
        <w:rPr>
          <w:color w:val="000000" w:themeColor="text1"/>
        </w:rPr>
        <w:t xml:space="preserve"> estimator can be motivated as a weighted aver</w:t>
      </w:r>
      <w:r w:rsidR="00646865" w:rsidRPr="001F1589">
        <w:rPr>
          <w:color w:val="000000" w:themeColor="text1"/>
        </w:rPr>
        <w:t xml:space="preserve">age of the ratio estimates </w:t>
      </w:r>
      <w:r w:rsidR="00BB57C8" w:rsidRPr="001F1589">
        <w:rPr>
          <w:noProof/>
          <w:color w:val="000000" w:themeColor="text1"/>
          <w:position w:val="-30"/>
        </w:rPr>
        <w:object w:dxaOrig="460" w:dyaOrig="700" w14:anchorId="0DAFF0DB">
          <v:shape id="_x0000_i1028" type="#_x0000_t75" alt="" style="width:23.35pt;height:36.65pt;mso-width-percent:0;mso-height-percent:0;mso-width-percent:0;mso-height-percent:0" o:ole="">
            <v:imagedata r:id="rId18" o:title=""/>
          </v:shape>
          <o:OLEObject Type="Embed" ProgID="Equation.DSMT4" ShapeID="_x0000_i1028" DrawAspect="Content" ObjectID="_1601962408" r:id="rId19"/>
        </w:object>
      </w:r>
      <w:r w:rsidR="00AF3F04">
        <w:rPr>
          <w:color w:val="000000" w:themeColor="text1"/>
        </w:rPr>
        <w:t>for each variant</w:t>
      </w:r>
      <w:r w:rsidR="000633FC" w:rsidRPr="001F1589">
        <w:rPr>
          <w:color w:val="000000" w:themeColor="text1"/>
        </w:rPr>
        <w:t>, weighted using the reciprocal of an approximate expressio</w:t>
      </w:r>
      <w:r w:rsidR="00646865" w:rsidRPr="001F1589">
        <w:rPr>
          <w:color w:val="000000" w:themeColor="text1"/>
        </w:rPr>
        <w:t>n for their asymptotic variance</w:t>
      </w:r>
      <w:r w:rsidR="00BB57C8" w:rsidRPr="001F1589">
        <w:rPr>
          <w:noProof/>
          <w:color w:val="000000" w:themeColor="text1"/>
          <w:position w:val="-30"/>
        </w:rPr>
        <w:object w:dxaOrig="460" w:dyaOrig="700" w14:anchorId="31B7BF73">
          <v:shape id="_x0000_i1027" type="#_x0000_t75" alt="" style="width:23.35pt;height:36.65pt;mso-width-percent:0;mso-height-percent:0;mso-width-percent:0;mso-height-percent:0" o:ole="">
            <v:imagedata r:id="rId20" o:title=""/>
          </v:shape>
          <o:OLEObject Type="Embed" ProgID="Equation.DSMT4" ShapeID="_x0000_i1027" DrawAspect="Content" ObjectID="_1601962409" r:id="rId21"/>
        </w:object>
      </w:r>
      <w:r w:rsidR="004D1BF7" w:rsidRPr="001F1589">
        <w:rPr>
          <w:color w:val="000000" w:themeColor="text1"/>
        </w:rPr>
        <w:t>,</w:t>
      </w:r>
      <w:r w:rsidR="00A03952" w:rsidRPr="001F1589">
        <w:rPr>
          <w:color w:val="000000" w:themeColor="text1"/>
        </w:rPr>
        <w:t xml:space="preserve"> </w:t>
      </w:r>
      <w:r w:rsidR="004D1BF7" w:rsidRPr="001F1589">
        <w:rPr>
          <w:color w:val="000000" w:themeColor="text1"/>
        </w:rPr>
        <w:t>as shown by</w:t>
      </w:r>
      <w:r w:rsidR="001323E4" w:rsidRPr="001F1589">
        <w:rPr>
          <w:color w:val="000000" w:themeColor="text1"/>
        </w:rPr>
        <w:t xml:space="preserve"> the fo</w:t>
      </w:r>
      <w:r w:rsidR="001D1A02" w:rsidRPr="001F1589">
        <w:rPr>
          <w:color w:val="000000" w:themeColor="text1"/>
        </w:rPr>
        <w:t xml:space="preserve">rmula below. To evaluate potential heterogeneity among causal effects of different variants, we employed the </w:t>
      </w:r>
      <w:r w:rsidR="00AF3F04">
        <w:rPr>
          <w:color w:val="000000" w:themeColor="text1"/>
        </w:rPr>
        <w:t xml:space="preserve">Q test, </w:t>
      </w:r>
      <w:r w:rsidR="001D1A02" w:rsidRPr="001F1589">
        <w:rPr>
          <w:color w:val="000000" w:themeColor="text1"/>
        </w:rPr>
        <w:t>P-value &lt; 0.05 was considered as</w:t>
      </w:r>
      <w:r w:rsidR="0045592D">
        <w:rPr>
          <w:color w:val="000000" w:themeColor="text1"/>
        </w:rPr>
        <w:t xml:space="preserve"> the</w:t>
      </w:r>
      <w:r w:rsidR="001D1A02" w:rsidRPr="001F1589">
        <w:rPr>
          <w:color w:val="000000" w:themeColor="text1"/>
        </w:rPr>
        <w:t xml:space="preserve"> </w:t>
      </w:r>
      <w:r w:rsidR="0016132B">
        <w:rPr>
          <w:color w:val="000000" w:themeColor="text1"/>
        </w:rPr>
        <w:t>existence of</w:t>
      </w:r>
      <w:r w:rsidR="00271152" w:rsidRPr="001F1589">
        <w:rPr>
          <w:color w:val="000000" w:themeColor="text1"/>
        </w:rPr>
        <w:t xml:space="preserve"> heterogeneity.</w:t>
      </w:r>
    </w:p>
    <w:p w14:paraId="118E2F70" w14:textId="77777777" w:rsidR="001323E4" w:rsidRPr="001F1589" w:rsidRDefault="00282771" w:rsidP="00F74DB3">
      <w:pPr>
        <w:spacing w:after="120"/>
        <w:jc w:val="center"/>
        <w:rPr>
          <w:color w:val="000000" w:themeColor="text1"/>
        </w:rPr>
      </w:pPr>
      <w:r w:rsidRPr="001F1589">
        <w:rPr>
          <w:color w:val="000000" w:themeColor="text1"/>
        </w:rPr>
        <w:t xml:space="preserve">The </w:t>
      </w:r>
      <w:r w:rsidR="006F0B4D" w:rsidRPr="001F1589">
        <w:rPr>
          <w:color w:val="000000" w:themeColor="text1"/>
        </w:rPr>
        <w:t xml:space="preserve">causal estimate </w:t>
      </w:r>
      <w:r w:rsidR="00BB57C8" w:rsidRPr="001F1589">
        <w:rPr>
          <w:noProof/>
          <w:color w:val="000000" w:themeColor="text1"/>
          <w:position w:val="-34"/>
        </w:rPr>
        <w:object w:dxaOrig="2120" w:dyaOrig="800" w14:anchorId="713879F6">
          <v:shape id="_x0000_i1026" type="#_x0000_t75" alt="" style="width:105.35pt;height:39.35pt;mso-width-percent:0;mso-height-percent:0;mso-width-percent:0;mso-height-percent:0" o:ole="">
            <v:imagedata r:id="rId22" o:title=""/>
          </v:shape>
          <o:OLEObject Type="Embed" ProgID="Equation.DSMT4" ShapeID="_x0000_i1026" DrawAspect="Content" ObjectID="_1601962410" r:id="rId23"/>
        </w:object>
      </w:r>
    </w:p>
    <w:p w14:paraId="16BE8580" w14:textId="77777777" w:rsidR="005C3528" w:rsidRPr="001F1589" w:rsidRDefault="005C3528" w:rsidP="00F74DB3">
      <w:pPr>
        <w:spacing w:after="120"/>
        <w:jc w:val="center"/>
        <w:rPr>
          <w:color w:val="000000" w:themeColor="text1"/>
        </w:rPr>
      </w:pPr>
      <w:r w:rsidRPr="001F1589">
        <w:rPr>
          <w:color w:val="000000" w:themeColor="text1"/>
        </w:rPr>
        <w:t>The approximate st</w:t>
      </w:r>
      <w:r w:rsidR="003303E7" w:rsidRPr="001F1589">
        <w:rPr>
          <w:color w:val="000000" w:themeColor="text1"/>
        </w:rPr>
        <w:t xml:space="preserve">andard error of the estimate </w:t>
      </w:r>
      <w:r w:rsidR="00BB57C8" w:rsidRPr="001F1589">
        <w:rPr>
          <w:noProof/>
          <w:color w:val="000000" w:themeColor="text1"/>
          <w:position w:val="-36"/>
        </w:rPr>
        <w:object w:dxaOrig="2360" w:dyaOrig="760" w14:anchorId="1EABD4BF">
          <v:shape id="_x0000_i1025" type="#_x0000_t75" alt="" style="width:119.35pt;height:38.65pt;mso-width-percent:0;mso-height-percent:0;mso-width-percent:0;mso-height-percent:0" o:ole="">
            <v:imagedata r:id="rId24" o:title=""/>
          </v:shape>
          <o:OLEObject Type="Embed" ProgID="Equation.DSMT4" ShapeID="_x0000_i1025" DrawAspect="Content" ObjectID="_1601962411" r:id="rId25"/>
        </w:object>
      </w:r>
    </w:p>
    <w:p w14:paraId="2614409D" w14:textId="7A30340E" w:rsidR="00C627B7" w:rsidRPr="001F1589" w:rsidRDefault="003E50FC" w:rsidP="005F7BB1">
      <w:pPr>
        <w:spacing w:after="120" w:line="480" w:lineRule="auto"/>
        <w:jc w:val="both"/>
        <w:rPr>
          <w:color w:val="000000" w:themeColor="text1"/>
        </w:rPr>
      </w:pPr>
      <w:r w:rsidRPr="001F1589">
        <w:rPr>
          <w:color w:val="000000" w:themeColor="text1"/>
        </w:rPr>
        <w:t>Complementary to IVW, w</w:t>
      </w:r>
      <w:r w:rsidR="00440DCC" w:rsidRPr="001F1589">
        <w:rPr>
          <w:color w:val="000000" w:themeColor="text1"/>
        </w:rPr>
        <w:t>e</w:t>
      </w:r>
      <w:r w:rsidRPr="001F1589">
        <w:rPr>
          <w:color w:val="000000" w:themeColor="text1"/>
        </w:rPr>
        <w:t xml:space="preserve"> also</w:t>
      </w:r>
      <w:r w:rsidR="00440DCC" w:rsidRPr="001F1589">
        <w:rPr>
          <w:color w:val="000000" w:themeColor="text1"/>
        </w:rPr>
        <w:t xml:space="preserve"> adopted</w:t>
      </w:r>
      <w:r w:rsidR="00CC254C" w:rsidRPr="001F1589">
        <w:rPr>
          <w:color w:val="000000" w:themeColor="text1"/>
        </w:rPr>
        <w:t xml:space="preserve"> the maximum likelihood method. When th</w:t>
      </w:r>
      <w:r w:rsidR="005406C0" w:rsidRPr="001F1589">
        <w:rPr>
          <w:color w:val="000000" w:themeColor="text1"/>
        </w:rPr>
        <w:t xml:space="preserve">e genetic associations with the </w:t>
      </w:r>
      <w:r w:rsidR="00CC254C" w:rsidRPr="001F1589">
        <w:rPr>
          <w:color w:val="000000" w:themeColor="text1"/>
        </w:rPr>
        <w:t>exposure are precisely estimated, both app</w:t>
      </w:r>
      <w:r w:rsidR="00431E34" w:rsidRPr="001F1589">
        <w:rPr>
          <w:color w:val="000000" w:themeColor="text1"/>
        </w:rPr>
        <w:t xml:space="preserve">roaches give identical results. </w:t>
      </w:r>
      <w:r w:rsidR="0005436E" w:rsidRPr="001F1589">
        <w:rPr>
          <w:color w:val="000000" w:themeColor="text1"/>
        </w:rPr>
        <w:t>W</w:t>
      </w:r>
      <w:r w:rsidR="00CC254C" w:rsidRPr="001F1589">
        <w:rPr>
          <w:color w:val="000000" w:themeColor="text1"/>
        </w:rPr>
        <w:t>hen there is considerable imprecision in the estimates, causal effect estimates from the IVW are over-precise, wh</w:t>
      </w:r>
      <w:r w:rsidR="0005436E" w:rsidRPr="001F1589">
        <w:rPr>
          <w:color w:val="000000" w:themeColor="text1"/>
        </w:rPr>
        <w:t>ereas</w:t>
      </w:r>
      <w:r w:rsidR="00CC254C" w:rsidRPr="001F1589">
        <w:rPr>
          <w:color w:val="000000" w:themeColor="text1"/>
        </w:rPr>
        <w:t xml:space="preserve"> the likelihood method gives appropriately-sized confidence intervals.</w:t>
      </w:r>
    </w:p>
    <w:p w14:paraId="58653CA3" w14:textId="488AD165" w:rsidR="00955BBE" w:rsidRDefault="00DD1B74" w:rsidP="005F7BB1">
      <w:pPr>
        <w:spacing w:after="120" w:line="480" w:lineRule="auto"/>
        <w:jc w:val="both"/>
        <w:rPr>
          <w:color w:val="000000" w:themeColor="text1"/>
        </w:rPr>
      </w:pPr>
      <w:r w:rsidRPr="00DD1B74">
        <w:rPr>
          <w:color w:val="0432FF"/>
        </w:rPr>
        <w:lastRenderedPageBreak/>
        <w:t>In addition, we performed MR-Egger regression to test for bias due to directional pleiotropy, where the average of the direct effects of the tested genetic variants on outcome is non-zero (i.e. a violation of exclusion restriction assumption). Under the INstrument Strength Independent of Direct Effect (InSIDE) assumption, the intercept of a weighted</w:t>
      </w:r>
      <w:r>
        <w:rPr>
          <w:color w:val="0432FF"/>
        </w:rPr>
        <w:t xml:space="preserve"> regression of </w:t>
      </w:r>
      <m:oMath>
        <m:sSub>
          <m:sSubPr>
            <m:ctrlPr>
              <w:rPr>
                <w:rFonts w:ascii="Cambria Math" w:eastAsia="Times New Roman" w:hAnsi="Cambria Math"/>
                <w:i/>
                <w:color w:val="0432FF"/>
              </w:rPr>
            </m:ctrlPr>
          </m:sSubPr>
          <m:e>
            <m:acc>
              <m:accPr>
                <m:ctrlPr>
                  <w:rPr>
                    <w:rFonts w:ascii="Cambria Math" w:eastAsia="Times New Roman" w:hAnsi="Cambria Math"/>
                    <w:i/>
                    <w:color w:val="0432FF"/>
                  </w:rPr>
                </m:ctrlPr>
              </m:accPr>
              <m:e>
                <m:r>
                  <w:rPr>
                    <w:rFonts w:ascii="Cambria Math" w:eastAsia="Times New Roman" w:hAnsi="Cambria Math"/>
                    <w:color w:val="0432FF"/>
                  </w:rPr>
                  <m:t>β</m:t>
                </m:r>
              </m:e>
            </m:acc>
          </m:e>
          <m:sub>
            <m:r>
              <w:rPr>
                <w:rFonts w:ascii="Cambria Math" w:eastAsia="Times New Roman" w:hAnsi="Cambria Math"/>
                <w:color w:val="0432FF"/>
              </w:rPr>
              <m:t>yk</m:t>
            </m:r>
          </m:sub>
        </m:sSub>
      </m:oMath>
      <w:r>
        <w:rPr>
          <w:color w:val="0432FF"/>
        </w:rPr>
        <w:t xml:space="preserve"> on </w:t>
      </w:r>
      <m:oMath>
        <m:sSub>
          <m:sSubPr>
            <m:ctrlPr>
              <w:rPr>
                <w:rFonts w:ascii="Cambria Math" w:eastAsia="Times New Roman" w:hAnsi="Cambria Math"/>
                <w:i/>
                <w:color w:val="0432FF"/>
              </w:rPr>
            </m:ctrlPr>
          </m:sSubPr>
          <m:e>
            <m:acc>
              <m:accPr>
                <m:ctrlPr>
                  <w:rPr>
                    <w:rFonts w:ascii="Cambria Math" w:eastAsia="Times New Roman" w:hAnsi="Cambria Math"/>
                    <w:i/>
                    <w:color w:val="0432FF"/>
                  </w:rPr>
                </m:ctrlPr>
              </m:accPr>
              <m:e>
                <m:r>
                  <w:rPr>
                    <w:rFonts w:ascii="Cambria Math" w:eastAsia="Times New Roman" w:hAnsi="Cambria Math"/>
                    <w:color w:val="0432FF"/>
                  </w:rPr>
                  <m:t>β</m:t>
                </m:r>
              </m:e>
            </m:acc>
          </m:e>
          <m:sub>
            <m:r>
              <w:rPr>
                <w:rFonts w:ascii="Cambria Math" w:eastAsia="Times New Roman" w:hAnsi="Cambria Math"/>
                <w:color w:val="0432FF"/>
              </w:rPr>
              <m:t>xk</m:t>
            </m:r>
          </m:sub>
        </m:sSub>
      </m:oMath>
      <w:r>
        <w:rPr>
          <w:color w:val="0432FF"/>
        </w:rPr>
        <w:t xml:space="preserve"> </w:t>
      </w:r>
      <w:r w:rsidRPr="00DD1B74">
        <w:rPr>
          <w:color w:val="0432FF"/>
        </w:rPr>
        <w:t>will be different than zero in the presence of directional pleiotropy, and the slope of that regression will be a consistent estimate of the causal effect of X on Y</w:t>
      </w:r>
      <w:r w:rsidR="006F1907" w:rsidRPr="00DD1B74">
        <w:rPr>
          <w:color w:val="0432FF"/>
        </w:rPr>
        <w:t>.</w:t>
      </w:r>
      <w:r w:rsidR="00A83401">
        <w:rPr>
          <w:color w:val="000000" w:themeColor="text1"/>
        </w:rPr>
        <w:fldChar w:fldCharType="begin"/>
      </w:r>
      <w:r w:rsidR="00A0460F">
        <w:rPr>
          <w:color w:val="000000" w:themeColor="text1"/>
        </w:rPr>
        <w:instrText xml:space="preserve"> ADDIN ZOTERO_ITEM CSL_CITATION {"citationID":"SqkgbHbi","properties":{"formattedCitation":"\\super 21\\nosupersub{}","plainCitation":"21","noteIndex":0},"citationItems":[{"id":2951,"uris":["http://zotero.org/users/local/6qce9xwG/items/XTIFIQQB"],"uri":["http://zotero.org/users/local/6qce9xwG/items/XTIFIQQB"],"itemData":{"id":2951,"type":"article-journal","title":"Interpreting findings from Mendelian randomization using the MR-Egger method","container-title":"European Journal of Epidemiology","page":"377-389","volume":"32","issue":"5","source":"PubMed Central","abstract":"Mendelian randomization-Egger (MR-Egger) is an analysis method for Mendelian randomization using summarized genetic data. MR-Egger consists of three parts: (1) a test for directional pleiotropy, (2) a test for a causal effect, and (3) an estimate of the causal effect. While conventional analysis methods for Mendelian randomization assume that all genetic variants satisfy the instrumental variable assumptions, the MR-Egger method is able to assess whether genetic variants have pleiotropic effects on the outcome that differ on average from zero (directional pleiotropy), as well as to provide a consistent estimate of the causal effect, under a weaker assumption—the InSIDE (INstrument Strength Independent of Direct Effect) assumption. In this paper, we provide a critical assessment of the MR-Egger method with regard to its implementation and interpretation. While the MR-Egger method is a worthwhile sensitivity analysis for detecting violations of the instrumental variable assumptions, there are several reasons why causal estimates from the MR-Egger method may be biased and have inflated Type 1 error rates in practice, including violations of the InSIDE assumption and the influence of outlying variants. The issues raised in this paper have potentially serious consequences for causal inferences from the MR-Egger approach. We give examples of scenarios in which the estimates from conventional Mendelian randomization methods and MR-Egger differ, and discuss how to interpret findings in such cases.","DOI":"10.1007/s10654-017-0255-x","ISSN":"0393-2990","note":"PMID: 28527048\nPMCID: PMC5506233","journalAbbreviation":"Eur J Epidemiol","author":[{"family":"Burgess","given":"Stephen"},{"family":"Thompson","given":"Simon G."}],"issued":{"date-parts":[["2017"]]}}}],"schema":"https://github.com/citation-style-language/schema/raw/master/csl-citation.json"} </w:instrText>
      </w:r>
      <w:r w:rsidR="00A83401">
        <w:rPr>
          <w:color w:val="000000" w:themeColor="text1"/>
        </w:rPr>
        <w:fldChar w:fldCharType="separate"/>
      </w:r>
      <w:r w:rsidR="00A0460F" w:rsidRPr="00A0460F">
        <w:rPr>
          <w:color w:val="000000"/>
          <w:vertAlign w:val="superscript"/>
        </w:rPr>
        <w:t>21</w:t>
      </w:r>
      <w:r w:rsidR="00A83401">
        <w:rPr>
          <w:color w:val="000000" w:themeColor="text1"/>
        </w:rPr>
        <w:fldChar w:fldCharType="end"/>
      </w:r>
      <w:r w:rsidR="00E67B5B" w:rsidRPr="001F1589">
        <w:rPr>
          <w:color w:val="000000" w:themeColor="text1"/>
        </w:rPr>
        <w:t xml:space="preserve"> </w:t>
      </w:r>
      <w:r w:rsidR="005026A6" w:rsidRPr="001F1589">
        <w:rPr>
          <w:color w:val="000000" w:themeColor="text1"/>
        </w:rPr>
        <w:t xml:space="preserve">Complementary to MR-Egger, </w:t>
      </w:r>
      <w:r w:rsidR="0071695E" w:rsidRPr="001F1589">
        <w:rPr>
          <w:color w:val="000000" w:themeColor="text1"/>
        </w:rPr>
        <w:t xml:space="preserve">we also employed a </w:t>
      </w:r>
      <w:r w:rsidR="0005436E" w:rsidRPr="001F1589">
        <w:rPr>
          <w:color w:val="000000" w:themeColor="text1"/>
        </w:rPr>
        <w:t xml:space="preserve">weighted </w:t>
      </w:r>
      <w:r w:rsidR="0071695E" w:rsidRPr="001F1589">
        <w:rPr>
          <w:color w:val="000000" w:themeColor="text1"/>
        </w:rPr>
        <w:t xml:space="preserve">median method to derive causal </w:t>
      </w:r>
      <w:r w:rsidR="001476BE" w:rsidRPr="001F1589">
        <w:rPr>
          <w:color w:val="000000" w:themeColor="text1"/>
        </w:rPr>
        <w:t xml:space="preserve">effect </w:t>
      </w:r>
      <w:r w:rsidR="003D0F6C">
        <w:rPr>
          <w:color w:val="000000" w:themeColor="text1"/>
        </w:rPr>
        <w:t>estimates. This method</w:t>
      </w:r>
      <w:r w:rsidR="00033FAB" w:rsidRPr="001F1589">
        <w:rPr>
          <w:color w:val="000000" w:themeColor="text1"/>
        </w:rPr>
        <w:t xml:space="preserve"> provide</w:t>
      </w:r>
      <w:r w:rsidR="003D0F6C">
        <w:rPr>
          <w:color w:val="000000" w:themeColor="text1"/>
        </w:rPr>
        <w:t>s</w:t>
      </w:r>
      <w:r w:rsidR="008B5D50" w:rsidRPr="001F1589">
        <w:rPr>
          <w:color w:val="000000" w:themeColor="text1"/>
        </w:rPr>
        <w:t xml:space="preserve"> consistent estimates </w:t>
      </w:r>
      <w:r w:rsidR="003D0F6C">
        <w:rPr>
          <w:color w:val="000000" w:themeColor="text1"/>
        </w:rPr>
        <w:t xml:space="preserve">even </w:t>
      </w:r>
      <w:r w:rsidR="008B5D50" w:rsidRPr="001F1589">
        <w:rPr>
          <w:color w:val="000000" w:themeColor="text1"/>
        </w:rPr>
        <w:t xml:space="preserve">when </w:t>
      </w:r>
      <w:r w:rsidR="003D0F6C">
        <w:rPr>
          <w:color w:val="000000" w:themeColor="text1"/>
        </w:rPr>
        <w:t>up to 50% of</w:t>
      </w:r>
      <w:r w:rsidR="008B5D50" w:rsidRPr="001F1589">
        <w:rPr>
          <w:color w:val="000000" w:themeColor="text1"/>
        </w:rPr>
        <w:t xml:space="preserve"> </w:t>
      </w:r>
      <w:r w:rsidR="003D0F6C">
        <w:rPr>
          <w:color w:val="000000" w:themeColor="text1"/>
        </w:rPr>
        <w:t xml:space="preserve">the analyzed </w:t>
      </w:r>
      <w:r w:rsidR="008B5D50" w:rsidRPr="001F1589">
        <w:rPr>
          <w:color w:val="000000" w:themeColor="text1"/>
        </w:rPr>
        <w:t xml:space="preserve">genetic variants </w:t>
      </w:r>
      <w:r w:rsidR="00AD0BC8">
        <w:rPr>
          <w:color w:val="000000" w:themeColor="text1"/>
        </w:rPr>
        <w:t>are in</w:t>
      </w:r>
      <w:r w:rsidR="008B5D50" w:rsidRPr="001F1589">
        <w:rPr>
          <w:color w:val="000000" w:themeColor="text1"/>
        </w:rPr>
        <w:t>valid IVs.</w:t>
      </w:r>
      <w:r w:rsidR="003D0F6C">
        <w:rPr>
          <w:color w:val="000000" w:themeColor="text1"/>
        </w:rPr>
        <w:t xml:space="preserve"> </w:t>
      </w:r>
      <w:r w:rsidR="005B5E55" w:rsidRPr="001F1589">
        <w:rPr>
          <w:color w:val="000000" w:themeColor="text1"/>
        </w:rPr>
        <w:t>We al</w:t>
      </w:r>
      <w:r w:rsidR="00955BBE">
        <w:rPr>
          <w:color w:val="000000" w:themeColor="text1"/>
        </w:rPr>
        <w:t xml:space="preserve">so employed a multivariable </w:t>
      </w:r>
      <w:r w:rsidR="005B5E55" w:rsidRPr="001F1589">
        <w:rPr>
          <w:color w:val="000000" w:themeColor="text1"/>
        </w:rPr>
        <w:t>MR approach</w:t>
      </w:r>
      <w:r w:rsidR="00987F80" w:rsidRPr="001F1589">
        <w:rPr>
          <w:color w:val="000000" w:themeColor="text1"/>
        </w:rPr>
        <w:fldChar w:fldCharType="begin"/>
      </w:r>
      <w:r w:rsidR="00A0460F">
        <w:rPr>
          <w:color w:val="000000" w:themeColor="text1"/>
        </w:rPr>
        <w:instrText xml:space="preserve"> ADDIN ZOTERO_ITEM CSL_CITATION {"citationID":"eeesjDqB","properties":{"formattedCitation":"\\super 22\\nosupersub{}","plainCitation":"22","noteIndex":0},"citationItems":[{"id":2861,"uris":["http://zotero.org/users/local/6qce9xwG/items/SLIFLZUK"],"uri":["http://zotero.org/users/local/6qce9xwG/items/SLIFLZUK"],"itemData":{"id":2861,"type":"article-journal","title":"Multivariable Mendelian randomization: the use of pleiotropic genetic variants to estimate causal effects","container-title":"American Journal of Epidemiology","page":"251-260","volume":"181","issue":"4","source":"PubMed","abstract":"A conventional Mendelian randomization analysis assesses the causal effect of a risk factor on an outcome by using genetic variants that are solely associated with the risk factor of interest as instrumental variables. However, in some cases, such as the case of triglyceride level as a risk factor for cardiovascular disease, it may be difficult to find a relevant genetic variant that is not also associated with related risk factors, such as other lipid fractions. Such a variant is known as pleiotropic. In this paper, we propose an extension of Mendelian randomization that uses multiple genetic variants associated with several measured risk factors to simultaneously estimate the causal effect of each of the risk factors on the outcome. This \"multivariable Mendelian randomization\" approach is similar to the simultaneous assessment of several treatments in a factorial randomized trial. In this paper, methods for estimating the causal effects are presented and compared using real and simulated data, and the assumptions necessary for a valid multivariable Mendelian randomization analysis are discussed. Subject to these assumptions, we demonstrate that triglyceride-related pathways have a causal effect on the risk of coronary heart disease independent of the effects of low-density lipoprotein cholesterol and high-density lipoprotein cholesterol.","DOI":"10.1093/aje/kwu283","ISSN":"1476-6256","note":"PMID: 25632051\nPMCID: PMC4325677","shortTitle":"Multivariable Mendelian randomization","journalAbbreviation":"Am. J. Epidemiol.","language":"eng","author":[{"family":"Burgess","given":"Stephen"},{"family":"Thompson","given":"Simon G."}],"issued":{"date-parts":[["2015",2,15]]}}}],"schema":"https://github.com/citation-style-language/schema/raw/master/csl-citation.json"} </w:instrText>
      </w:r>
      <w:r w:rsidR="00987F80" w:rsidRPr="001F1589">
        <w:rPr>
          <w:color w:val="000000" w:themeColor="text1"/>
        </w:rPr>
        <w:fldChar w:fldCharType="separate"/>
      </w:r>
      <w:r w:rsidR="00A0460F" w:rsidRPr="00A0460F">
        <w:rPr>
          <w:color w:val="000000"/>
          <w:vertAlign w:val="superscript"/>
        </w:rPr>
        <w:t>22</w:t>
      </w:r>
      <w:r w:rsidR="00987F80" w:rsidRPr="001F1589">
        <w:rPr>
          <w:color w:val="000000" w:themeColor="text1"/>
        </w:rPr>
        <w:fldChar w:fldCharType="end"/>
      </w:r>
      <w:r w:rsidR="00A97864" w:rsidRPr="001F1589">
        <w:rPr>
          <w:color w:val="000000" w:themeColor="text1"/>
        </w:rPr>
        <w:t xml:space="preserve"> </w:t>
      </w:r>
      <w:r w:rsidR="005B5E55" w:rsidRPr="001F1589">
        <w:rPr>
          <w:color w:val="000000" w:themeColor="text1"/>
        </w:rPr>
        <w:t xml:space="preserve">to adjust for potential horizontal pleiotropy acting </w:t>
      </w:r>
      <w:r w:rsidR="00AA592E" w:rsidRPr="001F1589">
        <w:rPr>
          <w:color w:val="000000" w:themeColor="text1"/>
        </w:rPr>
        <w:t>in particular</w:t>
      </w:r>
      <w:r w:rsidR="00CB4004" w:rsidRPr="001F1589">
        <w:rPr>
          <w:color w:val="000000" w:themeColor="text1"/>
        </w:rPr>
        <w:t xml:space="preserve"> </w:t>
      </w:r>
      <w:r w:rsidR="005B5E55" w:rsidRPr="001F1589">
        <w:rPr>
          <w:color w:val="000000" w:themeColor="text1"/>
        </w:rPr>
        <w:t xml:space="preserve">through BMI, because </w:t>
      </w:r>
      <w:r w:rsidR="00FC1562" w:rsidRPr="001F1589">
        <w:rPr>
          <w:color w:val="000000" w:themeColor="text1"/>
        </w:rPr>
        <w:t xml:space="preserve">rs10741657 has been associated with BMI (P=0.01), and </w:t>
      </w:r>
      <w:r w:rsidR="005B5E55" w:rsidRPr="001F1589">
        <w:rPr>
          <w:color w:val="000000" w:themeColor="text1"/>
        </w:rPr>
        <w:t xml:space="preserve">BMI has been associated </w:t>
      </w:r>
      <w:r w:rsidR="000F6AF4" w:rsidRPr="001F1589">
        <w:rPr>
          <w:color w:val="000000" w:themeColor="text1"/>
        </w:rPr>
        <w:t>with 25(OH)D concentrations</w:t>
      </w:r>
      <w:r w:rsidR="00987F80" w:rsidRPr="001F1589">
        <w:rPr>
          <w:color w:val="000000" w:themeColor="text1"/>
        </w:rPr>
        <w:fldChar w:fldCharType="begin"/>
      </w:r>
      <w:r w:rsidR="00A0460F">
        <w:rPr>
          <w:color w:val="000000" w:themeColor="text1"/>
        </w:rPr>
        <w:instrText xml:space="preserve"> ADDIN ZOTERO_ITEM CSL_CITATION {"citationID":"gpbzIvnY","properties":{"formattedCitation":"\\super 23\\nosupersub{}","plainCitation":"23","noteIndex":0},"citationItems":[{"id":2863,"uris":["http://zotero.org/users/local/6qce9xwG/items/YJI8TDQ2"],"uri":["http://zotero.org/users/local/6qce9xwG/items/YJI8TDQ2"],"itemData":{"id":2863,"type":"article-journal","title":"Vitamin D and obesity: current perspectives and future directions","container-title":"The Proceedings of the Nutrition Society","page":"115-124","volume":"74","issue":"2","source":"PubMed","abstract":"In recent years, new functional roles of vitamin D beyond its traditional role in calcium homoeostasis and bone metabolism have emerged linking the fat-soluble vitamin to various non-communicable diseases. Vitamin D deficiency (25-hydroxyvitamin D (25(OH)D) &lt; 25-30 nmol/l) and sub-optimal status (25(OH)D &lt; 50-100 nmol/l) are increasingly associated with unfavourable metabolic phenotypes, including insulin resistance, type 2 diabetes and CVD; conditions also commonly linked with overweight and obesity. Early studies reported poor vitamin D status in the morbidly obese. More recently, it has been observed that a graded relationship between vitamin D status and BMI, or specifically adiposity, exists in the general population. A number of hypotheses have been proposed to explain the potential mechanisms whereby alterations in the vitamin D endocrine system occur in the obese state. Plausible explanations include sequestration in adipose tissue, volumetric dilution or negative feedback mechanisms from increased circulating 1,25-dihydroxyvitamin D3. Others hypothesise that heavier individuals may partake in less outdoor activity, may also cover-up and wear more clothing than leaner individuals, thus decreasing sun exposure and limiting endogenous production of cholecalciferol in the skin. Moreover, in some but not all studies, BMI and adiposity have been negatively associated with the change in vitamin D status following vitamin D supplementation. It therefore remains unclear if body size and/or adiposity should be taken into account when determining the dietary requirements for vitamin D. This review will evaluate the current evidence linking vitamin D status and supplementation to overweight and obesity, and discuss the implications for setting dietary requirements.","DOI":"10.1017/S0029665114001578","ISSN":"1475-2719","note":"PMID: 25359323","shortTitle":"Vitamin D and obesity","journalAbbreviation":"Proc Nutr Soc","language":"eng","author":[{"family":"Pourshahidi","given":"L. Kirsty"}],"issued":{"date-parts":[["2015",5]]}}}],"schema":"https://github.com/citation-style-language/schema/raw/master/csl-citation.json"} </w:instrText>
      </w:r>
      <w:r w:rsidR="00987F80" w:rsidRPr="001F1589">
        <w:rPr>
          <w:color w:val="000000" w:themeColor="text1"/>
        </w:rPr>
        <w:fldChar w:fldCharType="separate"/>
      </w:r>
      <w:r w:rsidR="00A0460F" w:rsidRPr="00A0460F">
        <w:rPr>
          <w:color w:val="000000"/>
          <w:vertAlign w:val="superscript"/>
        </w:rPr>
        <w:t>23</w:t>
      </w:r>
      <w:r w:rsidR="00987F80" w:rsidRPr="001F1589">
        <w:rPr>
          <w:color w:val="000000" w:themeColor="text1"/>
        </w:rPr>
        <w:fldChar w:fldCharType="end"/>
      </w:r>
      <w:r w:rsidR="00A97864" w:rsidRPr="001F1589">
        <w:rPr>
          <w:color w:val="000000" w:themeColor="text1"/>
        </w:rPr>
        <w:t xml:space="preserve"> </w:t>
      </w:r>
      <w:r w:rsidR="00032D2E" w:rsidRPr="001F1589">
        <w:rPr>
          <w:color w:val="000000" w:themeColor="text1"/>
        </w:rPr>
        <w:t>and breast cancer risk</w:t>
      </w:r>
      <w:r w:rsidR="00987F80" w:rsidRPr="001F1589">
        <w:rPr>
          <w:color w:val="000000" w:themeColor="text1"/>
        </w:rPr>
        <w:fldChar w:fldCharType="begin"/>
      </w:r>
      <w:r w:rsidR="00A0460F">
        <w:rPr>
          <w:color w:val="000000" w:themeColor="text1"/>
        </w:rPr>
        <w:instrText xml:space="preserve"> ADDIN ZOTERO_ITEM CSL_CITATION {"citationID":"GBLZ42Nz","properties":{"formattedCitation":"\\super 24\\nosupersub{}","plainCitation":"24","noteIndex":0},"citationItems":[{"id":2865,"uris":["http://zotero.org/users/local/6qce9xwG/items/ZZITHCX3"],"uri":["http://zotero.org/users/local/6qce9xwG/items/ZZITHCX3"],"itemData":{"id":2865,"type":"article-journal","title":"Genetically Predicted Body Mass Index and Breast Cancer Risk: Mendelian Randomization Analyses of Data from 145,000 Women of European Descent","container-title":"PLoS medicine","page":"e1002105","volume":"13","issue":"8","source":"PubMed","abstract":"BACKGROUND: Observational epidemiological studies have shown that high body mass index (BMI) is associated with a reduced risk of breast cancer in premenopausal women but an increased risk in postmenopausal women. It is unclear whether this association is mediated through shared genetic or environmental factors.\nMETHODS: We applied Mendelian randomization to evaluate the association between BMI and risk of breast cancer occurrence using data from two large breast cancer consortia. We created a weighted BMI genetic score comprising 84 BMI-associated genetic variants to predicted BMI. We evaluated genetically predicted BMI in association with breast cancer risk using individual-level data from the Breast Cancer Association Consortium (BCAC) (cases  =  46,325, controls  =  42,482). We further evaluated the association between genetically predicted BMI and breast cancer risk using summary statistics from 16,003 cases and 41,335 controls from the Discovery, Biology, and Risk of Inherited Variants in Breast Cancer (DRIVE) Project. Because most studies measured BMI after cancer diagnosis, we could not conduct a parallel analysis to adequately evaluate the association of measured BMI with breast cancer risk prospectively.\nRESULTS: In the BCAC data, genetically predicted BMI was found to be inversely associated with breast cancer risk (odds ratio [OR]  =  0.65 per 5 kg/m2 increase, 95% confidence interval [CI]: 0.56-0.75, p = 3.32 × 10-10). The associations were similar for both premenopausal (OR   =   0.44, 95% CI:0.31-0.62, p  =  9.91 × 10-8) and postmenopausal breast cancer (OR  =  0.57, 95% CI: 0.46-0.71, p  =  1.88 × 10-8). This association was replicated in the data from the DRIVE consortium (OR  =  0.72, 95% CI: 0.60-0.84, p   =   1.64 × 10-7). Single marker analyses identified 17 of the 84 BMI-associated single nucleotide polymorphisms (SNPs) in association with breast cancer risk at p &lt; 0.05; for 16 of them, the allele associated with elevated BMI was associated with reduced breast cancer risk.\nCONCLUSIONS: BMI predicted by genome-wide association studies (GWAS)-identified variants is inversely associated with the risk of both pre- and postmenopausal breast cancer. The reduced risk of postmenopausal breast cancer associated with genetically predicted BMI observed in this study differs from the positive association reported from studies using measured adult BMI. Understanding the reasons for this discrepancy may reveal insights into the complex relationship of genetic determinants of body weight in the etiology of breast cancer.","DOI":"10.1371/journal.pmed.1002105","ISSN":"1549-1676","note":"PMID: 27551723\nPMCID: PMC4995025","shortTitle":"Genetically Predicted Body Mass Index and Breast Cancer Risk","journalAbbreviation":"PLoS Med.","language":"eng","author":[{"family":"Guo","given":"Yan"},{"family":"Warren Andersen","given":"Shaneda"},{"family":"Shu","given":"Xiao-Ou"},{"family":"Michailidou","given":"Kyriaki"},{"family":"Bolla","given":"Manjeet K."},{"family":"Wang","given":"Qin"},{"family":"Garcia-Closas","given":"Montserrat"},{"family":"Milne","given":"Roger L."},{"family":"Schmidt","given":"Marjanka K."},{"family":"Chang-Claude","given":"Jenny"},{"family":"Dunning","given":"Allison"},{"family":"Bojesen","given":"Stig E."},{"family":"Ahsan","given":"Habibul"},{"family":"Aittomäki","given":"Kristiina"},{"family":"Andrulis","given":"Irene L."},{"family":"Anton-Culver","given":"Hoda"},{"family":"Arndt","given":"Volker"},{"family":"Beckmann","given":"Matthias W."},{"family":"Beeghly-Fadiel","given":"Alicia"},{"family":"Benitez","given":"Javier"},{"family":"Bogdanova","given":"Natalia V."},{"family":"Bonanni","given":"Bernardo"},{"family":"Børresen-Dale","given":"Anne-Lise"},{"family":"Brand","given":"Judith"},{"family":"Brauch","given":"Hiltrud"},{"family":"Brenner","given":"Hermann"},{"family":"Brüning","given":"Thomas"},{"family":"Burwinkel","given":"Barbara"},{"family":"Casey","given":"Graham"},{"family":"Chenevix-Trench","given":"Georgia"},{"family":"Couch","given":"Fergus J."},{"family":"Cox","given":"Angela"},{"family":"Cross","given":"Simon S."},{"family":"Czene","given":"Kamila"},{"family":"Devilee","given":"Peter"},{"family":"Dörk","given":"Thilo"},{"family":"Dumont","given":"Martine"},{"family":"Fasching","given":"Peter A."},{"family":"Figueroa","given":"Jonine"},{"family":"Flesch-Janys","given":"Dieter"},{"family":"Fletcher","given":"Olivia"},{"family":"Flyger","given":"Henrik"},{"family":"Fostira","given":"Florentia"},{"family":"Gammon","given":"Marilie"},{"family":"Giles","given":"Graham G."},{"family":"Guénel","given":"Pascal"},{"family":"Haiman","given":"Christopher A."},{"family":"Hamann","given":"Ute"},{"family":"Hooning","given":"Maartje J."},{"family":"Hopper","given":"John L."},{"family":"Jakubowska","given":"Anna"},{"family":"Jasmine","given":"Farzana"},{"family":"Jenkins","given":"Mark"},{"family":"John","given":"Esther M."},{"family":"Johnson","given":"Nichola"},{"family":"Jones","given":"Michael E."},{"family":"Kabisch","given":"Maria"},{"family":"Kibriya","given":"Muhammad"},{"family":"Knight","given":"Julia A."},{"family":"Koppert","given":"Linetta B."},{"family":"Kosma","given":"Veli-Matti"},{"family":"Kristensen","given":"Vessela"},{"family":"Le Marchand","given":"Loic"},{"family":"Lee","given":"Eunjung"},{"family":"Li","given":"Jingmei"},{"family":"Lindblom","given":"Annika"},{"family":"Luben","given":"Robert"},{"family":"Lubinski","given":"Jan"},{"family":"Malone","given":"Kathi E."},{"family":"Mannermaa","given":"Arto"},{"family":"Margolin","given":"Sara"},{"family":"Marme","given":"Frederik"},{"family":"McLean","given":"Catriona"},{"family":"Meijers-Heijboer","given":"Hanne"},{"family":"Meindl","given":"Alfons"},{"family":"Neuhausen","given":"Susan L."},{"family":"Nevanlinna","given":"Heli"},{"family":"Neven","given":"Patrick"},{"family":"Olson","given":"Janet E."},{"family":"Perez","given":"Jose I. A."},{"family":"Perkins","given":"Barbara"},{"family":"Peterlongo","given":"Paolo"},{"family":"Phillips","given":"Kelly-Anne"},{"family":"Pylkäs","given":"Katri"},{"family":"Rudolph","given":"Anja"},{"family":"Santella","given":"Regina"},{"family":"Sawyer","given":"Elinor J."},{"family":"Schmutzler","given":"Rita K."},{"family":"Seynaeve","given":"Caroline"},{"family":"Shah","given":"Mitul"},{"family":"Shrubsole","given":"Martha J."},{"family":"Southey","given":"Melissa C."},{"family":"Swerdlow","given":"Anthony J."},{"family":"Toland","given":"Amanda E."},{"family":"Tomlinson","given":"Ian"},{"family":"Torres","given":"Diana"},{"family":"Truong","given":"Thérèse"},{"family":"Ursin","given":"Giske"},{"family":"Van Der Luijt","given":"Rob B."},{"family":"Verhoef","given":"Senno"},{"family":"Whittemore","given":"Alice S."},{"family":"Winqvist","given":"Robert"},{"family":"Zhao","given":"Hui"},{"family":"Zhao","given":"Shilin"},{"family":"Hall","given":"Per"},{"family":"Simard","given":"Jacques"},{"family":"Kraft","given":"Peter"},{"family":"Pharoah","given":"Paul"},{"family":"Hunter","given":"David"},{"family":"Easton","given":"Douglas F."},{"family":"Zheng","given":"Wei"}],"issued":{"date-parts":[["2016",8]]}}}],"schema":"https://github.com/citation-style-language/schema/raw/master/csl-citation.json"} </w:instrText>
      </w:r>
      <w:r w:rsidR="00987F80" w:rsidRPr="001F1589">
        <w:rPr>
          <w:color w:val="000000" w:themeColor="text1"/>
        </w:rPr>
        <w:fldChar w:fldCharType="separate"/>
      </w:r>
      <w:r w:rsidR="00A0460F" w:rsidRPr="00A0460F">
        <w:rPr>
          <w:color w:val="000000"/>
          <w:vertAlign w:val="superscript"/>
        </w:rPr>
        <w:t>24</w:t>
      </w:r>
      <w:r w:rsidR="00987F80" w:rsidRPr="001F1589">
        <w:rPr>
          <w:color w:val="000000" w:themeColor="text1"/>
        </w:rPr>
        <w:fldChar w:fldCharType="end"/>
      </w:r>
      <w:r w:rsidR="005B5E55" w:rsidRPr="001F1589">
        <w:rPr>
          <w:color w:val="000000" w:themeColor="text1"/>
        </w:rPr>
        <w:t>.</w:t>
      </w:r>
      <w:r w:rsidR="004C2514" w:rsidRPr="001F1589">
        <w:rPr>
          <w:color w:val="000000" w:themeColor="text1"/>
        </w:rPr>
        <w:t xml:space="preserve"> </w:t>
      </w:r>
      <w:r w:rsidR="005B5E55" w:rsidRPr="001F1589">
        <w:rPr>
          <w:color w:val="000000" w:themeColor="text1"/>
        </w:rPr>
        <w:t>Publicly available genetic data for BMI were retrieved from the GIANT consortium f</w:t>
      </w:r>
      <w:r w:rsidR="00EC12C5">
        <w:rPr>
          <w:color w:val="000000" w:themeColor="text1"/>
        </w:rPr>
        <w:t>or 339,000 individuals (</w:t>
      </w:r>
      <w:r w:rsidR="005B5E55" w:rsidRPr="001F1589">
        <w:rPr>
          <w:color w:val="000000" w:themeColor="text1"/>
        </w:rPr>
        <w:t xml:space="preserve">95% </w:t>
      </w:r>
      <w:r w:rsidR="00EC12C5">
        <w:rPr>
          <w:color w:val="000000" w:themeColor="text1"/>
        </w:rPr>
        <w:t xml:space="preserve">were of </w:t>
      </w:r>
      <w:r w:rsidR="00032D2E" w:rsidRPr="001F1589">
        <w:rPr>
          <w:color w:val="000000" w:themeColor="text1"/>
        </w:rPr>
        <w:t>European descent</w:t>
      </w:r>
      <w:r w:rsidR="00EC12C5">
        <w:rPr>
          <w:color w:val="000000" w:themeColor="text1"/>
        </w:rPr>
        <w:t>)</w:t>
      </w:r>
      <w:r w:rsidR="005B5E55" w:rsidRPr="001F1589">
        <w:rPr>
          <w:color w:val="000000" w:themeColor="text1"/>
        </w:rPr>
        <w:t>.</w:t>
      </w:r>
      <w:r w:rsidR="00987F80" w:rsidRPr="001F1589">
        <w:rPr>
          <w:color w:val="000000" w:themeColor="text1"/>
        </w:rPr>
        <w:fldChar w:fldCharType="begin"/>
      </w:r>
      <w:r w:rsidR="00A0460F">
        <w:rPr>
          <w:color w:val="000000" w:themeColor="text1"/>
        </w:rPr>
        <w:instrText xml:space="preserve"> ADDIN ZOTERO_ITEM CSL_CITATION {"citationID":"hADqHYl7","properties":{"formattedCitation":"\\super 25\\nosupersub{}","plainCitation":"25","noteIndex":0},"citationItems":[{"id":110,"uris":["http://zotero.org/users/local/6qce9xwG/items/5JR9G5SD"],"uri":["http://zotero.org/users/local/6qce9xwG/items/5JR9G5SD"],"itemData":{"id":110,"type":"article-journal","title":"Genetic studies of body mass index yield new insights for obesity biology","container-title":"Nature","page":"197-206","volume":"518","issue":"7538","source":"PubMed","abstract":"Obesity is heritable and predisposes to many diseases. To understand the genetic basis of obesity better, here we conduct a genome-wide association study and Metabochip meta-analysis of body mass index (BMI), a measure commonly used to define obesity and assess adiposity, in up to 339,224 individuals. This analysis identifies 97 BMI-associated loci (P &lt; 5 × 10(-8)), 56 of which are novel. Five loci demonstrate clear evidence of several independent association signals, and many loci have significant effects on other metabolic phenotypes. The 97 loci account for </w:instrText>
      </w:r>
      <w:r w:rsidR="00A0460F">
        <w:rPr>
          <w:rFonts w:ascii="MS Mincho" w:eastAsia="MS Mincho" w:hAnsi="MS Mincho" w:cs="MS Mincho"/>
          <w:color w:val="000000" w:themeColor="text1"/>
        </w:rPr>
        <w:instrText>∼</w:instrText>
      </w:r>
      <w:r w:rsidR="00A0460F">
        <w:rPr>
          <w:color w:val="000000" w:themeColor="text1"/>
        </w:rPr>
        <w:instrText xml:space="preserve">2.7% of BMI variation, and genome-wide estimates suggest that common variation accounts for &gt;20% of BMI variation. Pathway analyses provide strong support for a role of the central nervous system in obesity susceptibility and implicate new genes and pathways, including those related to synaptic function, glutamate signalling, insulin secretion/action, energy metabolism, lipid biology and adipogenesis.","DOI":"10.1038/nature14177","ISSN":"1476-4687","note":"PMID: 25673413\nPMCID: PMC4382211","journalAbbreviation":"Nature","language":"eng","author":[{"family":"Locke","given":"Adam E."},{"family":"Kahali","given":"Bratati"},{"family":"Berndt","given":"Sonja I."},{"family":"Justice","given":"Anne E."},{"family":"Pers","given":"Tune H."},{"family":"Day","given":"Felix R."},{"family":"Powell","given":"Corey"},{"family":"Vedantam","given":"Sailaja"},{"family":"Buchkovich","given":"Martin L."},{"family":"Yang","given":"Jian"},{"family":"Croteau-Chonka","given":"Damien C."},{"family":"Esko","given":"Tonu"},{"family":"Fall","given":"Tove"},{"family":"Ferreira","given":"Teresa"},{"family":"Gustafsson","given":"Stefan"},{"family":"Kutalik","given":"Zoltán"},{"family":"Luan","given":"Jian'an"},{"family":"Mägi","given":"Reedik"},{"family":"Randall","given":"Joshua C."},{"family":"Winkler","given":"Thomas W."},{"family":"Wood","given":"Andrew R."},{"family":"Workalemahu","given":"Tsegaselassie"},{"family":"Faul","given":"Jessica D."},{"family":"Smith","given":"Jennifer A."},{"family":"Hua Zhao","given":"Jing"},{"family":"Zhao","given":"Wei"},{"family":"Chen","given":"Jin"},{"family":"Fehrmann","given":"Rudolf"},{"family":"Hedman","given":"Åsa K."},{"family":"Karjalainen","given":"Juha"},{"family":"Schmidt","given":"Ellen M."},{"family":"Absher","given":"Devin"},{"family":"Amin","given":"Najaf"},{"family":"Anderson","given":"Denise"},{"family":"Beekman","given":"Marian"},{"family":"Bolton","given":"Jennifer L."},{"family":"Bragg-Gresham","given":"Jennifer L."},{"family":"Buyske","given":"Steven"},{"family":"Demirkan","given":"Ayse"},{"family":"Deng","given":"Guohong"},{"family":"Ehret","given":"Georg B."},{"family":"Feenstra","given":"Bjarke"},{"family":"Feitosa","given":"Mary F."},{"family":"Fischer","given":"Krista"},{"family":"Goel","given":"Anuj"},{"family":"Gong","given":"Jian"},{"family":"Jackson","given":"Anne U."},{"family":"Kanoni","given":"Stavroula"},{"family":"Kleber","given":"Marcus E."},{"family":"Kristiansson","given":"Kati"},{"family":"Lim","given":"Unhee"},{"family":"Lotay","given":"Vaneet"},{"family":"Mangino","given":"Massimo"},{"family":"Mateo Leach","given":"Irene"},{"family":"Medina-Gomez","given":"Carolina"},{"family":"Medland","given":"Sarah E."},{"family":"Nalls","given":"Michael A."},{"family":"Palmer","given":"Cameron D."},{"family":"Pasko","given":"Dorota"},{"family":"Pechlivanis","given":"Sonali"},{"family":"Peters","given":"Marjolein J."},{"family":"Prokopenko","given":"Inga"},{"family":"Shungin","given":"Dmitry"},{"family":"Stančáková","given":"Alena"},{"family":"Strawbridge","given":"Rona J."},{"family":"Ju Sung","given":"Yun"},{"family":"Tanaka","given":"Toshiko"},{"family":"Teumer","given":"Alexander"},{"family":"Trompet","given":"Stella"},{"family":"Laan","given":"Sander W.","non-dropping-particle":"van der"},{"family":"Setten","given":"Jessica","non-dropping-particle":"van"},{"family":"Van Vliet-Ostaptchouk","given":"Jana V."},{"family":"Wang","given":"Zhaoming"},{"family":"Yengo","given":"Loïc"},{"family":"Zhang","given":"Weihua"},{"family":"Isaacs","given":"Aaron"},{"family":"Albrecht","given":"Eva"},{"family":"Ärnlöv","given":"Johan"},{"family":"Arscott","given":"Gillian M."},{"family":"Attwood","given":"Antony P."},{"family":"Bandinelli","given":"Stefania"},{"family":"Barrett","given":"Amy"},{"family":"Bas","given":"Isabelita N."},{"family":"Bellis","given":"Claire"},{"family":"Bennett","given":"Amanda J."},{"family":"Berne","given":"Christian"},{"family":"Blagieva","given":"Roza"},{"family":"Blüher","given":"Matthias"},{"family":"Böhringer","given":"Stefan"},{"family":"Bonnycastle","given":"Lori L."},{"family":"Böttcher","given":"Yvonne"},{"family":"Boyd","given":"Heather A."},{"family":"Bruinenberg","given":"Marcel"},{"family":"Caspersen","given":"Ida H."},{"family":"Ida Chen","given":"Yii-Der"},{"family":"Clarke","given":"Robert"},{"family":"Daw","given":"E. Warwick"},{"family":"Craen","given":"Anton J. M.","non-dropping-particle":"de"},{"family":"Delgado","given":"Graciela"},{"family":"Dimitriou","given":"Maria"},{"family":"Doney","given":"Alex S. F."},{"family":"Eklund","given":"Niina"},{"family":"Estrada","given":"Karol"},{"family":"Eury","given":"Elodie"},{"family":"Folkersen","given":"Lasse"},{"family":"Fraser","given":"Ross M."},{"family":"Garcia","given":"Melissa E."},{"family":"Geller","given":"Frank"},{"family":"Giedraitis","given":"Vilmantas"},{"family":"Gigante","given":"Bruna"},{"family":"Go","given":"Alan S."},{"family":"Golay","given":"Alain"},{"family":"Goodall","given":"Alison H."},{"family":"Gordon","given":"Scott D."},{"family":"Gorski","given":"Mathias"},{"family":"Grabe","given":"Hans-Jörgen"},{"family":"Grallert","given":"Harald"},{"family":"Grammer","given":"Tanja B."},{"family":"Gräßler","given":"Jürgen"},{"family":"Grönberg","given":"Henrik"},{"family":"Groves","given":"Christopher J."},{"family":"Gusto","given":"Gaëlle"},{"family":"Haessler","given":"Jeffrey"},{"family":"Hall","given":"Per"},{"family":"Haller","given":"Toomas"},{"family":"Hallmans","given":"Goran"},{"family":"Hartman","given":"Catharina A."},{"family":"Hassinen","given":"Maija"},{"family":"Hayward","given":"Caroline"},{"family":"Heard-Costa","given":"Nancy L."},{"family":"Helmer","given":"Quinta"},{"family":"Hengstenberg","given":"Christian"},{"family":"Holmen","given":"Oddgeir"},{"family":"Hottenga","given":"Jouke-Jan"},{"family":"James","given":"Alan L."},{"family":"Jeff","given":"Janina M."},{"family":"Johansson","given":"Åsa"},{"family":"Jolley","given":"Jennifer"},{"family":"Juliusdottir","given":"Thorhildur"},{"family":"Kinnunen","given":"Leena"},{"family":"Koenig","given":"Wolfgang"},{"family":"Koskenvuo","given":"Markku"},{"family":"Kratzer","given":"Wolfgang"},{"family":"Laitinen","given":"Jaana"},{"family":"Lamina","given":"Claudia"},{"family":"Leander","given":"Karin"},{"family":"Lee","given":"Nanette R."},{"family":"Lichtner","given":"Peter"},{"family":"Lind","given":"Lars"},{"family":"Lindström","given":"Jaana"},{"family":"Sin Lo","given":"Ken"},{"family":"Lobbens","given":"Stéphane"},{"family":"Lorbeer","given":"Roberto"},{"family":"Lu","given":"Yingchang"},{"family":"Mach","given":"François"},{"family":"Magnusson","given":"Patrik K. E."},{"family":"Mahajan","given":"Anubha"},{"family":"McArdle","given":"Wendy L."},{"family":"McLachlan","given":"Stela"},{"family":"Menni","given":"Cristina"},{"family":"Merger","given":"Sigrun"},{"family":"Mihailov","given":"Evelin"},{"family":"Milani","given":"Lili"},{"family":"Moayyeri","given":"Alireza"},{"family":"Monda","given":"Keri L."},{"family":"Morken","given":"Mario A."},{"family":"Mulas","given":"Antonella"},{"family":"Müller","given":"Gabriele"},{"family":"Müller-Nurasyid","given":"Martina"},{"family":"Musk","given":"Arthur W."},{"family":"Nagaraja","given":"Ramaiah"},{"family":"Nöthen","given":"Markus M."},{"family":"Nolte","given":"Ilja M."},{"family":"Pilz","given":"Stefan"},{"family":"Rayner","given":"Nigel W."},{"family":"Renstrom","given":"Frida"},{"family":"Rettig","given":"Rainer"},{"family":"Ried","given":"Janina S."},{"family":"Ripke","given":"Stephan"},{"family":"Robertson","given":"Neil R."},{"family":"Rose","given":"Lynda M."},{"family":"Sanna","given":"Serena"},{"family":"Scharnagl","given":"Hubert"},{"family":"Scholtens","given":"Salome"},{"family":"Schumacher","given":"Fredrick R."},{"family":"Scott","given":"William R."},{"family":"Seufferlein","given":"Thomas"},{"family":"Shi","given":"Jianxin"},{"family":"Vernon Smith","given":"Albert"},{"family":"Smolonska","given":"Joanna"},{"family":"Stanton","given":"Alice V."},{"family":"Steinthorsdottir","given":"Valgerdur"},{"family":"Stirrups","given":"Kathleen"},{"family":"Stringham","given":"Heather M."},{"family":"Sundström","given":"Johan"},{"family":"Swertz","given":"Morris A."},{"family":"Swift","given":"Amy J."},{"family":"Syvänen","given":"Ann-Christine"},{"family":"Tan","given":"Sian-Tsung"},{"family":"Tayo","given":"Bamidele O."},{"family":"Thorand","given":"Barbara"},{"family":"Thorleifsson","given":"Gudmar"},{"family":"Tyrer","given":"Jonathan P."},{"family":"Uh","given":"Hae-Won"},{"family":"Vandenput","given":"Liesbeth"},{"family":"Verhulst","given":"Frank C."},{"family":"Vermeulen","given":"Sita H."},{"family":"Verweij","given":"Niek"},{"family":"Vonk","given":"Judith M."},{"family":"Waite","given":"Lindsay L."},{"family":"Warren","given":"Helen R."},{"family":"Waterworth","given":"Dawn"},{"family":"Weedon","given":"Michael N."},{"family":"Wilkens","given":"Lynne R."},{"family":"Willenborg","given":"Christina"},{"family":"Wilsgaard","given":"Tom"},{"family":"Wojczynski","given":"Mary K."},{"family":"Wong","given":"Andrew"},{"family":"Wright","given":"Alan F."},{"family":"Zhang","given":"Qunyuan"},{"literal":"LifeLines Cohort Study"},{"family":"Brennan","given":"Eoin P."},{"family":"Choi","given":"Murim"},{"family":"Dastani","given":"Zari"},{"family":"Drong","given":"Alexander W."},{"family":"Eriksson","given":"Per"},{"family":"Franco-Cereceda","given":"Anders"},{"family":"Gådin","given":"Jesper R."},{"family":"Gharavi","given":"Ali G."},{"family":"Goddard","given":"Michael E."},{"family":"Handsaker","given":"Robert E."},{"family":"Huang","given":"Jinyan"},{"family":"Karpe","given":"Fredrik"},{"family":"Kathiresan","given":"Sekar"},{"family":"Keildson","given":"Sarah"},{"family":"Kiryluk","given":"Krzysztof"},{"family":"Kubo","given":"Michiaki"},{"family":"Lee","given":"Jong-Young"},{"family":"Liang","given":"Liming"},{"family":"Lifton","given":"Richard P."},{"family":"Ma","given":"Baoshan"},{"family":"McCarroll","given":"Steven A."},{"family":"McKnight","given":"Amy J."},{"family":"Min","given":"Josine L."},{"family":"Moffatt","given":"Miriam F."},{"family":"Montgomery","given":"Grant W."},{"family":"Murabito","given":"Joanne M."},{"family":"Nicholson","given":"George"},{"family":"Nyholt","given":"Dale R."},{"family":"Okada","given":"Yukinori"},{"family":"Perry","given":"John R. B."},{"family":"Dorajoo","given":"Rajkumar"},{"family":"Reinmaa","given":"Eva"},{"family":"Salem","given":"Rany M."},{"family":"Sandholm","given":"Niina"},{"family":"Scott","given":"Robert A."},{"family":"Stolk","given":"Lisette"},{"family":"Takahashi","given":"Atsushi"},{"family":"Tanaka","given":"Toshihiro"},{"family":"Van't Hooft","given":"Ferdinand M."},{"family":"Vinkhuyzen","given":"Anna A. E."},{"family":"Westra","given":"Harm-Jan"},{"family":"Zheng","given":"Wei"},{"family":"Zondervan","given":"Krina T."},{"literal":"ADIPOGen Consortium"},{"literal":"AGEN-BMI Working Group"},{"literal":"CARDIOGRAMplusC4D Consortium"},{"literal":"CKDGen Consortium"},{"literal":"GLGC"},{"literal":"ICBP"},{"literal":"MAGIC Investigators"},{"literal":"MuTHER Consortium"},{"literal":"MIGen Consortium"},{"literal":"PAGE Consortium"},{"literal":"ReproGen Consortium"},{"literal":"GENIE Consortium"},{"literal":"International Endogene Consortium"},{"family":"Heath","given":"Andrew C."},{"family":"Arveiler","given":"Dominique"},{"family":"Bakker","given":"Stephan J. L."},{"family":"Beilby","given":"John"},{"family":"Bergman","given":"Richard N."},{"family":"Blangero","given":"John"},{"family":"Bovet","given":"Pascal"},{"family":"Campbell","given":"Harry"},{"family":"Caulfield","given":"Mark J."},{"family":"Cesana","given":"Giancarlo"},{"family":"Chakravarti","given":"Aravinda"},{"family":"Chasman","given":"Daniel I."},{"family":"Chines","given":"Peter S."},{"family":"Collins","given":"Francis S."},{"family":"Crawford","given":"Dana C."},{"family":"Cupples","given":"L. Adrienne"},{"family":"Cusi","given":"Daniele"},{"family":"Danesh","given":"John"},{"family":"Faire","given":"Ulf","non-dropping-particle":"de"},{"family":"Ruijter","given":"Hester M.","non-dropping-particle":"den"},{"family":"Dominiczak","given":"Anna F."},{"family":"Erbel","given":"Raimund"},{"family":"Erdmann","given":"Jeanette"},{"family":"Eriksson","given":"Johan G."},{"family":"Farrall","given":"Martin"},{"family":"Felix","given":"Stephan B."},{"family":"Ferrannini","given":"Ele"},{"family":"Ferrières","given":"Jean"},{"family":"Ford","given":"Ian"},{"family":"Forouhi","given":"Nita G."},{"family":"Forrester","given":"Terrence"},{"family":"Franco","given":"Oscar H."},{"family":"Gansevoort","given":"Ron T."},{"family":"Gejman","given":"Pablo V."},{"family":"Gieger","given":"Christian"},{"family":"Gottesman","given":"Omri"},{"family":"Gudnason","given":"Vilmundur"},{"family":"Gyllensten","given":"Ulf"},{"family":"Hall","given":"Alistair S."},{"family":"Harris","given":"Tamara B."},{"family":"Hattersley","given":"Andrew T."},{"family":"Hicks","given":"Andrew A."},{"family":"Hindorff","given":"Lucia A."},{"family":"Hingorani","given":"Aroon D."},{"family":"Hofman","given":"Albert"},{"family":"Homuth","given":"Georg"},{"family":"Hovingh","given":"G. Kees"},{"family":"Humphries","given":"Steve E."},{"family":"Hunt","given":"Steven C."},{"family":"Hyppönen","given":"Elina"},{"family":"Illig","given":"Thomas"},{"family":"Jacobs","given":"Kevin B."},{"family":"Jarvelin","given":"Marjo-Riitta"},{"family":"Jöckel","given":"Karl-Heinz"},{"family":"Johansen","given":"Berit"},{"family":"Jousilahti","given":"Pekka"},{"family":"Jukema","given":"J. Wouter"},{"family":"Jula","given":"Antti M."},{"family":"Kaprio","given":"Jaakko"},{"family":"Kastelein","given":"John J. P."},{"family":"Keinanen-Kiukaanniemi","given":"Sirkka M."},{"family":"Kiemeney","given":"Lambertus A."},{"family":"Knekt","given":"Paul"},{"family":"Kooner","given":"Jaspal S."},{"family":"Kooperberg","given":"Charles"},{"family":"Kovacs","given":"Peter"},{"family":"Kraja","given":"Aldi T."},{"family":"Kumari","given":"Meena"},{"family":"Kuusisto","given":"Johanna"},{"family":"Lakka","given":"Timo A."},{"family":"Langenberg","given":"Claudia"},{"family":"Le Marchand","given":"Loic"},{"family":"Lehtimäki","given":"Terho"},{"family":"Lyssenko","given":"Valeriya"},{"family":"Männistö","given":"Satu"},{"family":"Marette","given":"André"},{"family":"Matise","given":"Tara C."},{"family":"McKenzie","given":"Colin A."},{"family":"McKnight","given":"Barbara"},{"family":"Moll","given":"Frans L."},{"family":"Morris","given":"Andrew D."},{"family":"Morris","given":"Andrew P."},{"family":"Murray","given":"Jeffrey C."},{"family":"Nelis","given":"Mari"},{"family":"Ohlsson","given":"Claes"},{"family":"Oldehinkel","given":"Albertine J."},{"family":"Ong","given":"Ken K."},{"family":"Madden","given":"Pamela A. F."},{"family":"Pasterkamp","given":"Gerard"},{"family":"Peden","given":"John F."},{"family":"Peters","given":"Annette"},{"family":"Postma","given":"Dirkje S."},{"family":"Pramstaller","given":"Peter P."},{"family":"Price","given":"Jackie F."},{"family":"Qi","given":"Lu"},{"family":"Raitakari","given":"Olli T."},{"family":"Rankinen","given":"Tuomo"},{"family":"Rao","given":"D. C."},{"family":"Rice","given":"Treva K."},{"family":"Ridker","given":"Paul M."},{"family":"Rioux","given":"John D."},{"family":"Ritchie","given":"Marylyn D."},{"family":"Rudan","given":"Igor"},{"family":"Salomaa","given":"Veikko"},{"family":"Samani","given":"Nilesh J."},{"family":"Saramies","given":"Jouko"},{"family":"Sarzynski","given":"Mark A."},{"family":"Schunkert","given":"Heribert"},{"family":"Schwarz","given":"Peter E. H."},{"family":"Sever","given":"Peter"},{"family":"Shuldiner","given":"Alan R."},{"family":"Sinisalo","given":"Juha"},{"family":"Stolk","given":"Ronald P."},{"family":"Strauch","given":"Konstantin"},{"family":"Tönjes","given":"Anke"},{"family":"Trégouët","given":"David-Alexandre"},{"family":"Tremblay","given":"Angelo"},{"family":"Tremoli","given":"Elena"},{"family":"Virtamo","given":"Jarmo"},{"family":"Vohl","given":"Marie-Claude"},{"family":"Völker","given":"Uwe"},{"family":"Waeber","given":"Gérard"},{"family":"Willemsen","given":"Gonneke"},{"family":"Witteman","given":"Jacqueline C."},{"family":"Zillikens","given":"M. Carola"},{"family":"Adair","given":"Linda S."},{"family":"Amouyel","given":"Philippe"},{"family":"Asselbergs","given":"Folkert W."},{"family":"Assimes","given":"Themistocles L."},{"family":"Bochud","given":"Murielle"},{"family":"Boehm","given":"Bernhard O."},{"family":"Boerwinkle","given":"Eric"},{"family":"Bornstein","given":"Stefan R."},{"family":"Bottinger","given":"Erwin P."},{"family":"Bouchard","given":"Claude"},{"family":"Cauchi","given":"Stéphane"},{"family":"Chambers","given":"John C."},{"family":"Chanock","given":"Stephen J."},{"family":"Cooper","given":"Richard S."},{"family":"Bakker","given":"Paul I. W.","non-dropping-particle":"de"},{"family":"Dedoussis","given":"George"},{"family":"Ferrucci","given":"Luigi"},{"family":"Franks","given":"Paul W."},{"family":"Froguel","given":"Philippe"},{"family":"Groop","given":"Leif C."},{"family":"Haiman","given":"Christopher A."},{"family":"Hamsten","given":"Anders"},{"family":"Hui","given":"Jennie"},{"family":"Hunter","given":"David J."},{"family":"Hveem","given":"Kristian"},{"family":"Kaplan","given":"Robert C."},{"family":"Kivimaki","given":"Mika"},{"family":"Kuh","given":"Diana"},{"family":"Laakso","given":"Markku"},{"family":"Liu","given":"Yongmei"},{"family":"Martin","given":"Nicholas G."},{"family":"März","given":"Winfried"},{"family":"Melbye","given":"Mads"},{"family":"Metspalu","given":"Andres"},{"family":"Moebus","given":"Susanne"},{"family":"Munroe","given":"Patricia B."},{"family":"Njølstad","given":"Inger"},{"family":"Oostra","given":"Ben A."},{"family":"Palmer","given":"Colin N. A."},{"family":"Pedersen","given":"Nancy L."},{"family":"Perola","given":"Markus"},{"family":"Pérusse","given":"Louis"},{"family":"Peters","given":"Ulrike"},{"family":"Power","given":"Chris"},{"family":"Quertermous","given":"Thomas"},{"family":"Rauramaa","given":"Rainer"},{"family":"Rivadeneira","given":"Fernando"},{"family":"Saaristo","given":"Timo E."},{"family":"Saleheen","given":"Danish"},{"family":"Sattar","given":"Naveed"},{"family":"Schadt","given":"Eric E."},{"family":"Schlessinger","given":"David"},{"family":"Slagboom","given":"P. Eline"},{"family":"Snieder","given":"Harold"},{"family":"Spector","given":"Tim D."},{"family":"Thorsteinsdottir","given":"Unnur"},{"family":"Stumvoll","given":"Michael"},{"family":"Tuomilehto","given":"Jaakko"},{"family":"Uitterlinden","given":"André G."},{"family":"Uusitupa","given":"Matti"},{"family":"Harst","given":"Pim","non-dropping-particle":"van der"},{"family":"Walker","given":"Mark"},{"family":"Wallaschofski","given":"Henri"},{"family":"Wareham","given":"Nicholas J."},{"family":"Watkins","given":"Hugh"},{"family":"Weir","given":"David R."},{"family":"Wichmann","given":"H.-Erich"},{"family":"Wilson","given":"James F."},{"family":"Zanen","given":"Pieter"},{"family":"Borecki","given":"Ingrid B."},{"family":"Deloukas","given":"Panos"},{"family":"Fox","given":"Caroline S."},{"family":"Heid","given":"Iris M."},{"family":"O'Connell","given":"Jeffrey R."},{"family":"Strachan","given":"David P."},{"family":"Stefansson","given":"Kari"},{"family":"Duijn","given":"Cornelia M.","non-dropping-particle":"van"},{"family":"Abecasis","given":"Gonçalo R."},{"family":"Franke","given":"Lude"},{"family":"Frayling","given":"Timothy M."},{"family":"McCarthy","given":"Mark I."},{"family":"Visscher","given":"Peter M."},{"family":"Scherag","given":"André"},{"family":"Willer","given":"Cristen J."},{"family":"Boehnke","given":"Michael"},{"family":"Mohlke","given":"Karen L."},{"family":"Lindgren","given":"Cecilia M."},{"family":"Beckmann","given":"Jacques S."},{"family":"Barroso","given":"Inês"},{"family":"North","given":"Kari E."},{"family":"Ingelsson","given":"Erik"},{"family":"Hirschhorn","given":"Joel N."},{"family":"Loos","given":"Ruth J. F."},{"family":"Speliotes","given":"Elizabeth K."}],"issued":{"date-parts":[["2015",2,12]]}}}],"schema":"https://github.com/citation-style-language/schema/raw/master/csl-citation.json"} </w:instrText>
      </w:r>
      <w:r w:rsidR="00987F80" w:rsidRPr="001F1589">
        <w:rPr>
          <w:color w:val="000000" w:themeColor="text1"/>
        </w:rPr>
        <w:fldChar w:fldCharType="separate"/>
      </w:r>
      <w:r w:rsidR="00A0460F" w:rsidRPr="00A0460F">
        <w:rPr>
          <w:color w:val="000000"/>
          <w:vertAlign w:val="superscript"/>
        </w:rPr>
        <w:t>25</w:t>
      </w:r>
      <w:r w:rsidR="00987F80" w:rsidRPr="001F1589">
        <w:rPr>
          <w:color w:val="000000" w:themeColor="text1"/>
        </w:rPr>
        <w:fldChar w:fldCharType="end"/>
      </w:r>
    </w:p>
    <w:p w14:paraId="5C21C5EE" w14:textId="4458BBF2" w:rsidR="004367FA" w:rsidRPr="001F1589" w:rsidRDefault="002D4FC7" w:rsidP="005F7BB1">
      <w:pPr>
        <w:spacing w:after="120" w:line="480" w:lineRule="auto"/>
        <w:jc w:val="both"/>
        <w:rPr>
          <w:color w:val="000000" w:themeColor="text1"/>
        </w:rPr>
      </w:pPr>
      <w:r w:rsidRPr="001F1589">
        <w:rPr>
          <w:color w:val="000000" w:themeColor="text1"/>
        </w:rPr>
        <w:t xml:space="preserve">Further, we performed </w:t>
      </w:r>
      <w:r w:rsidR="00B367F6" w:rsidRPr="001F1589">
        <w:rPr>
          <w:color w:val="000000" w:themeColor="text1"/>
        </w:rPr>
        <w:t>a sensitivity analysis where we excluded one SNP at-a-time, and perfo</w:t>
      </w:r>
      <w:r w:rsidR="003C7B9F" w:rsidRPr="001F1589">
        <w:rPr>
          <w:color w:val="000000" w:themeColor="text1"/>
        </w:rPr>
        <w:t xml:space="preserve">rmed IVW on the rest five SNPs to </w:t>
      </w:r>
      <w:r w:rsidR="002A0570" w:rsidRPr="001F1589">
        <w:rPr>
          <w:color w:val="000000" w:themeColor="text1"/>
        </w:rPr>
        <w:t xml:space="preserve">identify the </w:t>
      </w:r>
      <w:r w:rsidR="003C7B9F" w:rsidRPr="001F1589">
        <w:rPr>
          <w:color w:val="000000" w:themeColor="text1"/>
        </w:rPr>
        <w:t xml:space="preserve">potential </w:t>
      </w:r>
      <w:r w:rsidR="002A0570" w:rsidRPr="001F1589">
        <w:rPr>
          <w:color w:val="000000" w:themeColor="text1"/>
        </w:rPr>
        <w:t>influence of outlying variants on the estimates.</w:t>
      </w:r>
      <w:r w:rsidR="00DE69D4">
        <w:rPr>
          <w:color w:val="000000" w:themeColor="text1"/>
        </w:rPr>
        <w:t xml:space="preserve"> </w:t>
      </w:r>
      <w:r w:rsidR="00987F80" w:rsidRPr="001F1589">
        <w:rPr>
          <w:color w:val="000000" w:themeColor="text1"/>
        </w:rPr>
        <w:t xml:space="preserve">Finally, we estimated the power of our study according to a method suggested by Brion </w:t>
      </w:r>
      <w:r w:rsidR="00987F80" w:rsidRPr="001F1589">
        <w:rPr>
          <w:i/>
          <w:color w:val="000000" w:themeColor="text1"/>
        </w:rPr>
        <w:t>et al.</w:t>
      </w:r>
      <w:r w:rsidR="00987F80" w:rsidRPr="001F1589">
        <w:rPr>
          <w:color w:val="000000" w:themeColor="text1"/>
        </w:rPr>
        <w:fldChar w:fldCharType="begin"/>
      </w:r>
      <w:r w:rsidR="00A0460F">
        <w:rPr>
          <w:color w:val="000000" w:themeColor="text1"/>
        </w:rPr>
        <w:instrText xml:space="preserve"> ADDIN ZOTERO_ITEM CSL_CITATION {"citationID":"78BrpKCE","properties":{"formattedCitation":"\\super 26\\nosupersub{}","plainCitation":"26","noteIndex":0},"citationItems":[{"id":2824,"uris":["http://zotero.org/users/local/6qce9xwG/items/AN8W9FVF"],"uri":["http://zotero.org/users/local/6qce9xwG/items/AN8W9FVF"],"itemData":{"id":2824,"type":"article-journal","title":"Calculating statistical power in Mendelian randomization studies","container-title":"International Journal of Epidemiology","page":"1497-1501","volume":"42","issue":"5","source":"academic.oup.com","abstract":"Abstract.  In Mendelian randomization (MR) studies, where genetic variants are used as proxy measures for an exposure trait of interest, obtaining adequate stat","DOI":"10.1093/ije/dyt179","ISSN":"0300-5771","journalAbbreviation":"Int J Epidemiol","language":"en","author":[{"family":"Brion","given":"Marie-Jo A."},{"family":"Shakhbazov","given":"Konstantin"},{"family":"Visscher","given":"Peter M."}],"issued":{"date-parts":[["2013",10,1]]}}}],"schema":"https://github.com/citation-style-language/schema/raw/master/csl-citation.json"} </w:instrText>
      </w:r>
      <w:r w:rsidR="00987F80" w:rsidRPr="001F1589">
        <w:rPr>
          <w:color w:val="000000" w:themeColor="text1"/>
        </w:rPr>
        <w:fldChar w:fldCharType="separate"/>
      </w:r>
      <w:r w:rsidR="00A0460F" w:rsidRPr="00A0460F">
        <w:rPr>
          <w:color w:val="000000"/>
          <w:vertAlign w:val="superscript"/>
        </w:rPr>
        <w:t>26</w:t>
      </w:r>
      <w:r w:rsidR="00987F80" w:rsidRPr="001F1589">
        <w:rPr>
          <w:color w:val="000000" w:themeColor="text1"/>
        </w:rPr>
        <w:fldChar w:fldCharType="end"/>
      </w:r>
      <w:r w:rsidR="00987F80" w:rsidRPr="001F1589">
        <w:rPr>
          <w:color w:val="000000" w:themeColor="text1"/>
        </w:rPr>
        <w:t>. The six 25(OH)D associated SNPs collectively explained 2.84% of the variance of circu</w:t>
      </w:r>
      <w:r w:rsidR="00133461">
        <w:rPr>
          <w:color w:val="000000" w:themeColor="text1"/>
        </w:rPr>
        <w:t>lating vitamin D concentration</w:t>
      </w:r>
      <w:r w:rsidR="00987F80" w:rsidRPr="001F1589">
        <w:rPr>
          <w:color w:val="000000" w:themeColor="text1"/>
        </w:rPr>
        <w:t>. We fixed the type-I error rate at 0.05.</w:t>
      </w:r>
    </w:p>
    <w:p w14:paraId="11AC0389" w14:textId="249C834D" w:rsidR="00940CCD" w:rsidRPr="001F1589" w:rsidRDefault="004E3381" w:rsidP="005F7BB1">
      <w:pPr>
        <w:spacing w:after="120" w:line="480" w:lineRule="auto"/>
        <w:jc w:val="both"/>
        <w:rPr>
          <w:color w:val="000000" w:themeColor="text1"/>
        </w:rPr>
      </w:pPr>
      <w:r w:rsidRPr="001F1589">
        <w:rPr>
          <w:b/>
          <w:color w:val="000000" w:themeColor="text1"/>
          <w:sz w:val="28"/>
        </w:rPr>
        <w:t>Results</w:t>
      </w:r>
    </w:p>
    <w:p w14:paraId="67B79CEA" w14:textId="77777777" w:rsidR="00565564" w:rsidRDefault="00975C04" w:rsidP="00EF1994">
      <w:pPr>
        <w:spacing w:after="120" w:line="480" w:lineRule="auto"/>
        <w:jc w:val="both"/>
        <w:rPr>
          <w:color w:val="000000" w:themeColor="text1"/>
        </w:rPr>
      </w:pPr>
      <w:r>
        <w:rPr>
          <w:color w:val="000000" w:themeColor="text1"/>
        </w:rPr>
        <w:t>Table 1 shows the sample size</w:t>
      </w:r>
      <w:r w:rsidR="00DD305F" w:rsidRPr="001F1589">
        <w:rPr>
          <w:color w:val="000000" w:themeColor="text1"/>
        </w:rPr>
        <w:t xml:space="preserve"> </w:t>
      </w:r>
      <w:r w:rsidR="00355082" w:rsidRPr="001F1589">
        <w:rPr>
          <w:color w:val="000000" w:themeColor="text1"/>
        </w:rPr>
        <w:t xml:space="preserve">in the current analysis for each cancer </w:t>
      </w:r>
      <w:r w:rsidR="00FF2D43" w:rsidRPr="001F1589">
        <w:rPr>
          <w:color w:val="000000" w:themeColor="text1"/>
        </w:rPr>
        <w:t>and subtype</w:t>
      </w:r>
      <w:r w:rsidR="00355082" w:rsidRPr="001F1589">
        <w:rPr>
          <w:color w:val="000000" w:themeColor="text1"/>
        </w:rPr>
        <w:t>. The number of</w:t>
      </w:r>
      <w:r w:rsidR="00651B24" w:rsidRPr="001F1589">
        <w:rPr>
          <w:color w:val="000000" w:themeColor="text1"/>
        </w:rPr>
        <w:t xml:space="preserve"> overall</w:t>
      </w:r>
      <w:r w:rsidR="00355082" w:rsidRPr="001F1589">
        <w:rPr>
          <w:color w:val="000000" w:themeColor="text1"/>
        </w:rPr>
        <w:t xml:space="preserve"> breast cancer cases </w:t>
      </w:r>
      <w:r w:rsidR="005324F4" w:rsidRPr="001F1589">
        <w:rPr>
          <w:color w:val="000000" w:themeColor="text1"/>
        </w:rPr>
        <w:t xml:space="preserve">was 122,977, among which </w:t>
      </w:r>
      <w:r w:rsidR="00651B24" w:rsidRPr="001F1589">
        <w:rPr>
          <w:color w:val="000000" w:themeColor="text1"/>
        </w:rPr>
        <w:t>69,50</w:t>
      </w:r>
      <w:r w:rsidR="006E50DE" w:rsidRPr="001F1589">
        <w:rPr>
          <w:color w:val="000000" w:themeColor="text1"/>
        </w:rPr>
        <w:t xml:space="preserve">1 were ER+ </w:t>
      </w:r>
      <w:r w:rsidR="007156E9" w:rsidRPr="001F1589">
        <w:rPr>
          <w:color w:val="000000" w:themeColor="text1"/>
        </w:rPr>
        <w:t xml:space="preserve">cases </w:t>
      </w:r>
      <w:r w:rsidR="00651B24" w:rsidRPr="001F1589">
        <w:rPr>
          <w:color w:val="000000" w:themeColor="text1"/>
        </w:rPr>
        <w:t>and 21,468 were ER</w:t>
      </w:r>
      <w:r w:rsidR="00651B24" w:rsidRPr="001F1589">
        <w:rPr>
          <w:color w:val="000000" w:themeColor="text1"/>
        </w:rPr>
        <w:sym w:font="Symbol" w:char="F02D"/>
      </w:r>
      <w:r w:rsidR="007156E9" w:rsidRPr="001F1589">
        <w:rPr>
          <w:color w:val="000000" w:themeColor="text1"/>
        </w:rPr>
        <w:t xml:space="preserve"> cases</w:t>
      </w:r>
      <w:r w:rsidR="00FF0B87">
        <w:rPr>
          <w:color w:val="000000" w:themeColor="text1"/>
        </w:rPr>
        <w:t>. The</w:t>
      </w:r>
      <w:r w:rsidR="0015747E" w:rsidRPr="001F1589">
        <w:rPr>
          <w:color w:val="000000" w:themeColor="text1"/>
        </w:rPr>
        <w:t xml:space="preserve"> </w:t>
      </w:r>
      <w:r w:rsidR="00651B24" w:rsidRPr="001F1589">
        <w:rPr>
          <w:color w:val="000000" w:themeColor="text1"/>
        </w:rPr>
        <w:t xml:space="preserve">number of </w:t>
      </w:r>
      <w:r w:rsidR="00FF0B87">
        <w:rPr>
          <w:color w:val="000000" w:themeColor="text1"/>
        </w:rPr>
        <w:t xml:space="preserve">overall </w:t>
      </w:r>
      <w:r w:rsidR="00651B24" w:rsidRPr="001F1589">
        <w:rPr>
          <w:color w:val="000000" w:themeColor="text1"/>
        </w:rPr>
        <w:t>pr</w:t>
      </w:r>
      <w:r w:rsidR="008A1ACF" w:rsidRPr="001F1589">
        <w:rPr>
          <w:color w:val="000000" w:themeColor="text1"/>
        </w:rPr>
        <w:t xml:space="preserve">ostate cancer cases was </w:t>
      </w:r>
      <w:r w:rsidR="00FC4527" w:rsidRPr="001F1589">
        <w:rPr>
          <w:color w:val="000000" w:themeColor="text1"/>
        </w:rPr>
        <w:t>79,148</w:t>
      </w:r>
      <w:r w:rsidR="005324F4" w:rsidRPr="001F1589">
        <w:rPr>
          <w:color w:val="000000" w:themeColor="text1"/>
        </w:rPr>
        <w:t xml:space="preserve">, among which 15,167 had </w:t>
      </w:r>
      <w:r w:rsidR="005324F4" w:rsidRPr="001F1589">
        <w:rPr>
          <w:color w:val="000000" w:themeColor="text1"/>
        </w:rPr>
        <w:lastRenderedPageBreak/>
        <w:t>advanced disease</w:t>
      </w:r>
      <w:r w:rsidR="008A1ACF" w:rsidRPr="001F1589">
        <w:rPr>
          <w:color w:val="000000" w:themeColor="text1"/>
        </w:rPr>
        <w:t>.</w:t>
      </w:r>
      <w:r w:rsidR="005324F4" w:rsidRPr="001F1589">
        <w:rPr>
          <w:color w:val="000000" w:themeColor="text1"/>
        </w:rPr>
        <w:t xml:space="preserve"> Under the current sample size, our study had 80% power to detect a causal effect of a relative 7% (i.e. ORs of 0.93 or less) decrease in breast cancer risk per </w:t>
      </w:r>
      <w:r w:rsidR="00786415" w:rsidRPr="001F1589">
        <w:rPr>
          <w:color w:val="000000" w:themeColor="text1"/>
        </w:rPr>
        <w:t>25nmol/L</w:t>
      </w:r>
      <w:r w:rsidR="005324F4" w:rsidRPr="001F1589">
        <w:rPr>
          <w:color w:val="000000" w:themeColor="text1"/>
        </w:rPr>
        <w:t xml:space="preserve"> increase of 25(OH)D and 8% for prostate cancer (i.e. ORs of 0.92)</w:t>
      </w:r>
      <w:r w:rsidR="00D76C18" w:rsidRPr="001F1589">
        <w:rPr>
          <w:color w:val="000000" w:themeColor="text1"/>
        </w:rPr>
        <w:t xml:space="preserve">; </w:t>
      </w:r>
      <w:r w:rsidR="005324F4" w:rsidRPr="001F1589">
        <w:rPr>
          <w:color w:val="000000" w:themeColor="text1"/>
        </w:rPr>
        <w:t>corresponding estimates for ER+ breast cancer, ER</w:t>
      </w:r>
      <w:r w:rsidR="005324F4" w:rsidRPr="001F1589">
        <w:rPr>
          <w:color w:val="000000" w:themeColor="text1"/>
        </w:rPr>
        <w:sym w:font="Symbol" w:char="F02D"/>
      </w:r>
      <w:r w:rsidR="005324F4" w:rsidRPr="001F1589">
        <w:rPr>
          <w:color w:val="000000" w:themeColor="text1"/>
        </w:rPr>
        <w:t xml:space="preserve"> breast cancer and advanced prostate cancer were 8%, 12% and 13% relative reductions (i.e. ORs of 0.92, 0.88 and 0.87). We also presented power estimations for a range of proportions of 25(OH)D variation explained by the six genetic variants.</w:t>
      </w:r>
      <w:r w:rsidR="00565564">
        <w:rPr>
          <w:color w:val="000000" w:themeColor="text1"/>
        </w:rPr>
        <w:t xml:space="preserve"> </w:t>
      </w:r>
    </w:p>
    <w:p w14:paraId="5659DD91" w14:textId="5DC7E907" w:rsidR="00737DF9" w:rsidRPr="001F1589" w:rsidRDefault="00EF1994" w:rsidP="00737DF9">
      <w:pPr>
        <w:spacing w:after="120" w:line="480" w:lineRule="auto"/>
        <w:jc w:val="both"/>
        <w:rPr>
          <w:color w:val="000000" w:themeColor="text1"/>
        </w:rPr>
      </w:pPr>
      <w:r w:rsidRPr="001F1589">
        <w:rPr>
          <w:color w:val="000000" w:themeColor="text1"/>
        </w:rPr>
        <w:t>Table 2 presents the information on the association of six SNPs (rs3755967, rs12785878, rs10741657</w:t>
      </w:r>
      <w:r w:rsidRPr="001F1589">
        <w:rPr>
          <w:i/>
          <w:color w:val="000000" w:themeColor="text1"/>
        </w:rPr>
        <w:t>,</w:t>
      </w:r>
      <w:r w:rsidRPr="001F1589">
        <w:rPr>
          <w:color w:val="000000" w:themeColor="text1"/>
        </w:rPr>
        <w:t xml:space="preserve"> rs17216707, rs10745742 and rs8018720) with 25(OH) D concentration and cancers. </w:t>
      </w:r>
      <w:r w:rsidRPr="00F107DB">
        <w:rPr>
          <w:color w:val="0432FF"/>
          <w:lang w:val="en-GB"/>
        </w:rPr>
        <w:t xml:space="preserve">There was </w:t>
      </w:r>
      <w:r w:rsidR="00F107DB" w:rsidRPr="00F107DB">
        <w:rPr>
          <w:color w:val="0432FF"/>
          <w:lang w:val="en-GB"/>
        </w:rPr>
        <w:t>no</w:t>
      </w:r>
      <w:r w:rsidRPr="00F107DB">
        <w:rPr>
          <w:color w:val="0432FF"/>
          <w:lang w:val="en-GB"/>
        </w:rPr>
        <w:t xml:space="preserve"> evidence </w:t>
      </w:r>
      <w:r w:rsidRPr="001F1589">
        <w:rPr>
          <w:color w:val="000000" w:themeColor="text1"/>
          <w:lang w:val="en-GB"/>
        </w:rPr>
        <w:t xml:space="preserve">that any of </w:t>
      </w:r>
      <w:r w:rsidRPr="001F1589">
        <w:rPr>
          <w:color w:val="000000" w:themeColor="text1"/>
        </w:rPr>
        <w:t xml:space="preserve">the individual vitamin D associated SNPs were </w:t>
      </w:r>
      <w:r w:rsidR="00737BF4">
        <w:rPr>
          <w:color w:val="000000" w:themeColor="text1"/>
        </w:rPr>
        <w:t xml:space="preserve">also associated with </w:t>
      </w:r>
      <w:r w:rsidR="00565564">
        <w:rPr>
          <w:color w:val="000000" w:themeColor="text1"/>
        </w:rPr>
        <w:t>breast or prostate cancer.</w:t>
      </w:r>
      <w:r w:rsidR="00737DF9" w:rsidRPr="00737DF9">
        <w:rPr>
          <w:color w:val="000000" w:themeColor="text1"/>
        </w:rPr>
        <w:t xml:space="preserve"> </w:t>
      </w:r>
      <w:r w:rsidR="00737DF9" w:rsidRPr="00F107DB">
        <w:rPr>
          <w:color w:val="0432FF"/>
        </w:rPr>
        <w:t xml:space="preserve">We </w:t>
      </w:r>
      <w:r w:rsidR="00F107DB">
        <w:rPr>
          <w:color w:val="0432FF"/>
        </w:rPr>
        <w:t>did not find</w:t>
      </w:r>
      <w:r w:rsidR="00737DF9" w:rsidRPr="00F107DB">
        <w:rPr>
          <w:color w:val="0432FF"/>
        </w:rPr>
        <w:t xml:space="preserve"> that </w:t>
      </w:r>
      <w:r w:rsidR="00737DF9" w:rsidRPr="001F1589">
        <w:rPr>
          <w:color w:val="000000" w:themeColor="text1"/>
        </w:rPr>
        <w:t>the genetic instrument for circulating 25(OH)D concentration was associated with</w:t>
      </w:r>
      <w:r w:rsidR="00737DF9">
        <w:rPr>
          <w:color w:val="000000" w:themeColor="text1"/>
        </w:rPr>
        <w:t xml:space="preserve"> the risk of breast [IVW per 25</w:t>
      </w:r>
      <w:r w:rsidR="00737DF9" w:rsidRPr="001F1589">
        <w:rPr>
          <w:color w:val="000000" w:themeColor="text1"/>
        </w:rPr>
        <w:t xml:space="preserve">nmol/L increase: 1.02 (95%CI: 0.97-1.08)] or prostate cancer [IVW: 1.00 (95%CI: 0.93-1.07)], breast </w:t>
      </w:r>
      <w:r w:rsidR="00737DF9">
        <w:rPr>
          <w:color w:val="000000" w:themeColor="text1"/>
        </w:rPr>
        <w:t>cancer subtypes [ER+: 1.00 (95%</w:t>
      </w:r>
      <w:r w:rsidR="00737DF9" w:rsidRPr="001F1589">
        <w:rPr>
          <w:color w:val="000000" w:themeColor="text1"/>
        </w:rPr>
        <w:t>CI: 0.94-1.07); ER</w:t>
      </w:r>
      <w:r w:rsidR="00737DF9" w:rsidRPr="001F1589">
        <w:rPr>
          <w:color w:val="000000" w:themeColor="text1"/>
        </w:rPr>
        <w:sym w:font="Symbol" w:char="F02D"/>
      </w:r>
      <w:r w:rsidR="00737DF9">
        <w:rPr>
          <w:color w:val="000000" w:themeColor="text1"/>
        </w:rPr>
        <w:t>: 1.02 (95%</w:t>
      </w:r>
      <w:r w:rsidR="00737DF9" w:rsidRPr="001F1589">
        <w:rPr>
          <w:color w:val="000000" w:themeColor="text1"/>
        </w:rPr>
        <w:t xml:space="preserve">CI: 0.90-1.16)] or advanced </w:t>
      </w:r>
      <w:r w:rsidR="00737DF9">
        <w:rPr>
          <w:color w:val="000000" w:themeColor="text1"/>
        </w:rPr>
        <w:t>prostate cancer [IVW: 1.02 (95%</w:t>
      </w:r>
      <w:r w:rsidR="00737DF9" w:rsidRPr="001F1589">
        <w:rPr>
          <w:color w:val="000000" w:themeColor="text1"/>
        </w:rPr>
        <w:t xml:space="preserve">CI: 0.90-1.16)]. The maximum likelihood method </w:t>
      </w:r>
      <w:r w:rsidR="00737DF9">
        <w:rPr>
          <w:color w:val="000000" w:themeColor="text1"/>
        </w:rPr>
        <w:t xml:space="preserve">generated very similar results. </w:t>
      </w:r>
      <w:r w:rsidR="00737DF9" w:rsidRPr="001F1589">
        <w:rPr>
          <w:color w:val="000000" w:themeColor="text1"/>
        </w:rPr>
        <w:t>We did not detect heterogeneity among the causal estimates of the six variants (P</w:t>
      </w:r>
      <w:r w:rsidR="00737DF9" w:rsidRPr="001F1589">
        <w:rPr>
          <w:color w:val="000000" w:themeColor="text1"/>
          <w:vertAlign w:val="subscript"/>
        </w:rPr>
        <w:t>het</w:t>
      </w:r>
      <w:r w:rsidR="00737DF9">
        <w:rPr>
          <w:color w:val="000000" w:themeColor="text1"/>
        </w:rPr>
        <w:t>=</w:t>
      </w:r>
      <w:r w:rsidR="00737DF9" w:rsidRPr="001F1589">
        <w:rPr>
          <w:color w:val="000000" w:themeColor="text1"/>
        </w:rPr>
        <w:t>0.45 and 0.80 for overall breast and prostate cancer; 0.61 and 0.14 for ER+ and ER</w:t>
      </w:r>
      <w:r w:rsidR="00737DF9" w:rsidRPr="001F1589">
        <w:rPr>
          <w:color w:val="000000" w:themeColor="text1"/>
        </w:rPr>
        <w:sym w:font="Symbol" w:char="F02D"/>
      </w:r>
      <w:r w:rsidR="00737DF9" w:rsidRPr="001F1589">
        <w:rPr>
          <w:color w:val="000000" w:themeColor="text1"/>
        </w:rPr>
        <w:t xml:space="preserve"> subset; 0.58 for advanced prostate cancer), indicating little evidence for the existence of </w:t>
      </w:r>
      <w:r w:rsidR="007603E9" w:rsidRPr="007603E9">
        <w:rPr>
          <w:color w:val="0432FF"/>
        </w:rPr>
        <w:t xml:space="preserve">SNP-specific </w:t>
      </w:r>
      <w:r w:rsidR="00737DF9" w:rsidRPr="001F1589">
        <w:rPr>
          <w:color w:val="000000" w:themeColor="text1"/>
        </w:rPr>
        <w:t xml:space="preserve">horizontal pleiotropy. Further, we did not identify </w:t>
      </w:r>
      <w:r w:rsidR="007603E9" w:rsidRPr="007603E9">
        <w:rPr>
          <w:color w:val="0432FF"/>
        </w:rPr>
        <w:t xml:space="preserve">aggregated directional </w:t>
      </w:r>
      <w:r w:rsidR="00737DF9" w:rsidRPr="001F1589">
        <w:rPr>
          <w:color w:val="000000" w:themeColor="text1"/>
        </w:rPr>
        <w:t>pleiotropy using MR-Egger (P</w:t>
      </w:r>
      <w:r w:rsidR="00737DF9" w:rsidRPr="001F1589">
        <w:rPr>
          <w:color w:val="000000" w:themeColor="text1"/>
          <w:vertAlign w:val="subscript"/>
        </w:rPr>
        <w:t>intercept</w:t>
      </w:r>
      <w:r w:rsidR="00737DF9" w:rsidRPr="001F1589">
        <w:rPr>
          <w:color w:val="000000" w:themeColor="text1"/>
        </w:rPr>
        <w:t>= 0.92 and 0.88 for overall breast and prostate cancer; 0.82 and 0.70 for ER+ and ER</w:t>
      </w:r>
      <w:r w:rsidR="00737DF9" w:rsidRPr="001F1589">
        <w:rPr>
          <w:color w:val="000000" w:themeColor="text1"/>
        </w:rPr>
        <w:sym w:font="Symbol" w:char="F02D"/>
      </w:r>
      <w:r w:rsidR="00737DF9" w:rsidRPr="001F1589">
        <w:rPr>
          <w:color w:val="000000" w:themeColor="text1"/>
        </w:rPr>
        <w:t xml:space="preserve"> subset; 0.72 for advanced prostate cancer</w:t>
      </w:r>
      <w:r w:rsidR="00557231">
        <w:rPr>
          <w:color w:val="000000" w:themeColor="text1"/>
        </w:rPr>
        <w:t xml:space="preserve">; </w:t>
      </w:r>
      <w:r w:rsidR="00557231" w:rsidRPr="00557231">
        <w:rPr>
          <w:color w:val="0432FF"/>
        </w:rPr>
        <w:t>the intercepts with 95%CI</w:t>
      </w:r>
      <w:r w:rsidR="00E675B7">
        <w:rPr>
          <w:color w:val="0432FF"/>
        </w:rPr>
        <w:t>s</w:t>
      </w:r>
      <w:r w:rsidR="00557231" w:rsidRPr="00557231">
        <w:rPr>
          <w:color w:val="0432FF"/>
        </w:rPr>
        <w:t xml:space="preserve"> are shown in Table 3</w:t>
      </w:r>
      <w:r w:rsidR="00737DF9" w:rsidRPr="001F1589">
        <w:rPr>
          <w:color w:val="000000" w:themeColor="text1"/>
        </w:rPr>
        <w:t xml:space="preserve">), although this method has low statistical power when few genetic instruments are used. </w:t>
      </w:r>
      <w:r w:rsidR="00737DF9" w:rsidRPr="00331924">
        <w:rPr>
          <w:color w:val="0432FF"/>
        </w:rPr>
        <w:t>Consistent with IVW, estimates from MR-Egger and weighed median</w:t>
      </w:r>
      <w:r w:rsidR="00331924">
        <w:rPr>
          <w:color w:val="0432FF"/>
        </w:rPr>
        <w:t xml:space="preserve"> approach did not provide any</w:t>
      </w:r>
      <w:r w:rsidR="00737DF9" w:rsidRPr="00331924">
        <w:rPr>
          <w:color w:val="0432FF"/>
        </w:rPr>
        <w:t xml:space="preserve"> evidence </w:t>
      </w:r>
      <w:r w:rsidR="00737DF9" w:rsidRPr="001F1589">
        <w:rPr>
          <w:color w:val="000000" w:themeColor="text1"/>
        </w:rPr>
        <w:t xml:space="preserve">of a causal effect of </w:t>
      </w:r>
      <w:r w:rsidR="00737DF9" w:rsidRPr="001F1589">
        <w:rPr>
          <w:color w:val="000000" w:themeColor="text1"/>
        </w:rPr>
        <w:lastRenderedPageBreak/>
        <w:t>circulating vitamin D on prostate or breast cancer (Table 3). Multivariable IVW estimates controlling for BMI were almost identical with the classical IVW approach (results not shown).</w:t>
      </w:r>
    </w:p>
    <w:p w14:paraId="1EBB3BC7" w14:textId="77777777" w:rsidR="00FD612F" w:rsidRDefault="00737DF9" w:rsidP="00737DF9">
      <w:pPr>
        <w:spacing w:after="120" w:line="480" w:lineRule="auto"/>
        <w:jc w:val="both"/>
        <w:rPr>
          <w:color w:val="000000" w:themeColor="text1"/>
        </w:rPr>
      </w:pPr>
      <w:r w:rsidRPr="001F1589">
        <w:rPr>
          <w:color w:val="000000" w:themeColor="text1"/>
        </w:rPr>
        <w:t>Similar results were observed in the leave-one-out analysis where we iteratively removed one SNP each time and performed IVW using the</w:t>
      </w:r>
      <w:r w:rsidR="00FD612F">
        <w:rPr>
          <w:color w:val="000000" w:themeColor="text1"/>
        </w:rPr>
        <w:t xml:space="preserve"> remaining five SNPs (Table 4).</w:t>
      </w:r>
    </w:p>
    <w:p w14:paraId="58B12CA8" w14:textId="0FF0FBF7" w:rsidR="00737DF9" w:rsidRPr="00FD612F" w:rsidRDefault="00737DF9" w:rsidP="00737DF9">
      <w:pPr>
        <w:spacing w:after="120" w:line="480" w:lineRule="auto"/>
        <w:jc w:val="both"/>
        <w:rPr>
          <w:color w:val="000000" w:themeColor="text1"/>
        </w:rPr>
      </w:pPr>
      <w:r w:rsidRPr="001F1589">
        <w:rPr>
          <w:b/>
          <w:color w:val="000000" w:themeColor="text1"/>
          <w:sz w:val="28"/>
        </w:rPr>
        <w:t>Discussion</w:t>
      </w:r>
    </w:p>
    <w:p w14:paraId="200B1574" w14:textId="77777777" w:rsidR="00737DF9" w:rsidRPr="001F1589" w:rsidRDefault="00737DF9" w:rsidP="00737DF9">
      <w:pPr>
        <w:spacing w:after="120" w:line="480" w:lineRule="auto"/>
        <w:jc w:val="both"/>
        <w:rPr>
          <w:color w:val="000000" w:themeColor="text1"/>
        </w:rPr>
      </w:pPr>
      <w:r w:rsidRPr="001F1589">
        <w:rPr>
          <w:color w:val="000000" w:themeColor="text1"/>
        </w:rPr>
        <w:t>In this study, we used an updated and stronger instrumental variable constructed from six SNPs and capitalized on the summary statistics of the largest meta-GWAS conducted for breast and prostate cancers in European populations. We aimed to determine whether the relationship between 25(OH)D and risk of two cancers was causal employing a range of two-sample MR methods</w:t>
      </w:r>
      <w:r>
        <w:rPr>
          <w:color w:val="000000" w:themeColor="text1"/>
        </w:rPr>
        <w:t xml:space="preserve">. </w:t>
      </w:r>
      <w:r w:rsidRPr="001F1589">
        <w:rPr>
          <w:color w:val="000000" w:themeColor="text1"/>
        </w:rPr>
        <w:t>However, none of these analyses suggested a causal relationship between serum 25(OH)D and breast or prostate cancer risk.</w:t>
      </w:r>
    </w:p>
    <w:p w14:paraId="6442D69C" w14:textId="27798F94" w:rsidR="00737DF9" w:rsidRPr="001F1589" w:rsidRDefault="00737DF9" w:rsidP="00737DF9">
      <w:pPr>
        <w:spacing w:after="120" w:line="480" w:lineRule="auto"/>
        <w:jc w:val="both"/>
        <w:rPr>
          <w:color w:val="000000" w:themeColor="text1"/>
        </w:rPr>
      </w:pPr>
      <w:r w:rsidRPr="001F1589">
        <w:rPr>
          <w:color w:val="000000" w:themeColor="text1"/>
        </w:rPr>
        <w:t xml:space="preserve">Despite previous retrospective observational studies suggesting an inverse association between higher circulating 25(OH)D levels and breast cancer risk, such a relationship has not been firmly supported by evidence from prospective epidemiological studies. Bauer </w:t>
      </w:r>
      <w:r w:rsidRPr="001F1589">
        <w:rPr>
          <w:i/>
          <w:color w:val="000000" w:themeColor="text1"/>
        </w:rPr>
        <w:t>et al.</w:t>
      </w:r>
      <w:r w:rsidRPr="001F1589">
        <w:rPr>
          <w:color w:val="000000" w:themeColor="text1"/>
        </w:rPr>
        <w:t xml:space="preserve"> meta-analyzed 9 prospective studies (N</w:t>
      </w:r>
      <w:r w:rsidRPr="001F1589">
        <w:rPr>
          <w:color w:val="000000" w:themeColor="text1"/>
          <w:vertAlign w:val="subscript"/>
        </w:rPr>
        <w:t>case</w:t>
      </w:r>
      <w:r w:rsidRPr="001F1589">
        <w:rPr>
          <w:color w:val="000000" w:themeColor="text1"/>
        </w:rPr>
        <w:t>=5,206) and identified weak evidence of an association between circulating 25(OH)D and r</w:t>
      </w:r>
      <w:r>
        <w:rPr>
          <w:color w:val="000000" w:themeColor="text1"/>
        </w:rPr>
        <w:t>isk of postmenopausal [RR per 5ng/mL (approximately 12.5</w:t>
      </w:r>
      <w:r w:rsidRPr="001F1589">
        <w:rPr>
          <w:color w:val="000000" w:themeColor="text1"/>
        </w:rPr>
        <w:t>nmol/L</w:t>
      </w:r>
      <w:r>
        <w:rPr>
          <w:color w:val="000000" w:themeColor="text1"/>
        </w:rPr>
        <w:t>) 0.97 (95%</w:t>
      </w:r>
      <w:r w:rsidRPr="001F1589">
        <w:rPr>
          <w:color w:val="000000" w:themeColor="text1"/>
        </w:rPr>
        <w:t>CI: 0.93-1.00)], but not premenopausal [</w:t>
      </w:r>
      <w:r>
        <w:rPr>
          <w:color w:val="000000" w:themeColor="text1"/>
        </w:rPr>
        <w:t>0.99 (95%</w:t>
      </w:r>
      <w:r w:rsidRPr="001F1589">
        <w:rPr>
          <w:color w:val="000000" w:themeColor="text1"/>
        </w:rPr>
        <w:t>CI: 0.97-1.04)] breast cancer.</w:t>
      </w:r>
      <w:r w:rsidRPr="001F1589">
        <w:rPr>
          <w:color w:val="000000" w:themeColor="text1"/>
        </w:rPr>
        <w:fldChar w:fldCharType="begin"/>
      </w:r>
      <w:r w:rsidR="00A0460F">
        <w:rPr>
          <w:color w:val="000000" w:themeColor="text1"/>
        </w:rPr>
        <w:instrText xml:space="preserve"> ADDIN ZOTERO_ITEM CSL_CITATION {"citationID":"tz1REvlr","properties":{"formattedCitation":"\\super 27\\nosupersub{}","plainCitation":"27","noteIndex":0},"citationItems":[{"id":2832,"uris":["http://zotero.org/users/local/6qce9xwG/items/6VSMAE76"],"uri":["http://zotero.org/users/local/6qce9xwG/items/6VSMAE76"],"itemData":{"id":2832,"type":"article-journal","title":"Plasma vitamin D levels, menopause, and risk of breast cancer: dose-response meta-analysis of prospective studies","container-title":"Medicine","page":"123-131","volume":"92","issue":"3","source":"PubMed","abstract":"Previous evidence suggests that higher circulating 25-hydroxyvitamin D (25[OH]D) levels are variably associated with lower breast cancer risk; however, prospective studies and clinical trials have been inconsistent, particularly between older and younger women of differing menopausal status. We conducted a quantitative nonlinear dose-response meta-analysis of prospective studies evaluating the association between circulating 25(OH)D and breast cancer risk, stratified by menopause. A systematic search of MEDLINE and EMBASE included studies published through May 2011. We reviewed references from retrieved articles and contacted relevant investigators for additional data from prospective studies on circulating 25(OH)D levels and incident breast cancers. Prospective studies of circulating vitamin D and breast cancer risk were reviewed, and no language restrictions were imposed. Information on study population, menopausal status, 25(OH)D levels, and relative risk (RR) estimates were extracted using a standardized protocol.A total of 9 prospective studies were included, comprising 5206 cases and 6450 controls. Data were pooled using dose-response random-effects meta-regression models. Identifying nonlinear effects, spline models were optimized for thresholds. The relationship between circulating 25(OH)D and breast cancer risk differed by menopausal status (p = 0.05 for effect modification). While no association was found in premenopausal women, dose-response modeling revealed a nonlinear inverse association among postmenopausal women. Notably, a flat association was observed in the lowest range of 25(OH)D levels &lt;27 ng/mL (RR = 1.01 per 5 ng/mL; 95% confidence interval [CI], 0.98-1.04). In contrast, postmenopausal breast cancer risk decreased with 25(OH)D levels 27-&lt;35 ng/mL (p = 0.02 for nonlinear risk change), where a 5 ng/mL increase in 25(OH)D was associated with a 12% lower risk of breast cancer (RR = 0.88 per 5 ng/mL; 95% CI, 0.79-0.97), with suggestive flattening at higher doses &gt;35 ng/mL. The significant inverse association did not appear to vary across strata of invasive/in-situ cases, body mass index adjustment, region, postmenopausal hormone use, or assay method.In summary, this dose-response meta-analysis of prospective studies of plasma 25(OH)D suggested a breast cancer risk differential by menopause, whereby a step-wise inverse association was observed beyond a threshold of 27 ng/mL, but with flattening of effects above 35 ng/mL, in postmenopausal women. These findings help resolve prior inconsistent findings and may carry important clinical and public health implications.","DOI":"10.1097/MD.0b013e3182943bc2","ISSN":"1536-5964","note":"PMID: 23625163\nPMCID: PMC4553988","shortTitle":"Plasma vitamin D levels, menopause, and risk of breast cancer","journalAbbreviation":"Medicine (Baltimore)","language":"eng","author":[{"family":"Bauer","given":"Scott R."},{"family":"Hankinson","given":"Susan E."},{"family":"Bertone-Johnson","given":"Elizabeth R."},{"family":"Ding","given":"Eric L."}],"issued":{"date-parts":[["2013",5]]}}}],"schema":"https://github.com/citation-style-language/schema/raw/master/csl-citation.json"} </w:instrText>
      </w:r>
      <w:r w:rsidRPr="001F1589">
        <w:rPr>
          <w:color w:val="000000" w:themeColor="text1"/>
        </w:rPr>
        <w:fldChar w:fldCharType="separate"/>
      </w:r>
      <w:r w:rsidR="00A0460F" w:rsidRPr="00A0460F">
        <w:rPr>
          <w:color w:val="000000"/>
          <w:vertAlign w:val="superscript"/>
        </w:rPr>
        <w:t>27</w:t>
      </w:r>
      <w:r w:rsidRPr="001F1589">
        <w:rPr>
          <w:color w:val="000000" w:themeColor="text1"/>
        </w:rPr>
        <w:fldChar w:fldCharType="end"/>
      </w:r>
      <w:r w:rsidRPr="001F1589">
        <w:rPr>
          <w:color w:val="000000" w:themeColor="text1"/>
        </w:rPr>
        <w:t xml:space="preserve"> Similar results were observed in a meta-analysis conducted by Wang </w:t>
      </w:r>
      <w:r w:rsidRPr="001F1589">
        <w:rPr>
          <w:i/>
          <w:color w:val="000000" w:themeColor="text1"/>
        </w:rPr>
        <w:t xml:space="preserve">et al. </w:t>
      </w:r>
      <w:r w:rsidRPr="001F1589">
        <w:rPr>
          <w:color w:val="000000" w:themeColor="text1"/>
        </w:rPr>
        <w:t>that aggregated data over 13 prospective studies (N</w:t>
      </w:r>
      <w:r w:rsidRPr="001F1589">
        <w:rPr>
          <w:color w:val="000000" w:themeColor="text1"/>
          <w:vertAlign w:val="subscript"/>
        </w:rPr>
        <w:t>case</w:t>
      </w:r>
      <w:r w:rsidRPr="001F1589">
        <w:rPr>
          <w:color w:val="000000" w:themeColor="text1"/>
        </w:rPr>
        <w:t>=9,110)</w:t>
      </w:r>
      <w:r>
        <w:rPr>
          <w:color w:val="000000" w:themeColor="text1"/>
        </w:rPr>
        <w:t xml:space="preserve">, where </w:t>
      </w:r>
      <w:r w:rsidRPr="001F1589">
        <w:rPr>
          <w:color w:val="000000" w:themeColor="text1"/>
        </w:rPr>
        <w:t>25(OH)D was inversely ass</w:t>
      </w:r>
      <w:r>
        <w:rPr>
          <w:color w:val="000000" w:themeColor="text1"/>
        </w:rPr>
        <w:t xml:space="preserve">ociated with postmenopausal </w:t>
      </w:r>
      <w:r w:rsidR="00816AAC">
        <w:rPr>
          <w:color w:val="000000" w:themeColor="text1"/>
        </w:rPr>
        <w:t xml:space="preserve">breast cancer </w:t>
      </w:r>
      <w:r>
        <w:rPr>
          <w:color w:val="000000" w:themeColor="text1"/>
        </w:rPr>
        <w:t>[RR</w:t>
      </w:r>
      <w:r w:rsidRPr="004C181D">
        <w:rPr>
          <w:color w:val="000000" w:themeColor="text1"/>
          <w:vertAlign w:val="subscript"/>
        </w:rPr>
        <w:t xml:space="preserve">highest </w:t>
      </w:r>
      <w:r w:rsidRPr="004C181D">
        <w:rPr>
          <w:i/>
          <w:color w:val="000000" w:themeColor="text1"/>
          <w:vertAlign w:val="subscript"/>
        </w:rPr>
        <w:t>vs.</w:t>
      </w:r>
      <w:r w:rsidRPr="004C181D">
        <w:rPr>
          <w:color w:val="000000" w:themeColor="text1"/>
          <w:vertAlign w:val="subscript"/>
        </w:rPr>
        <w:t xml:space="preserve"> lowest quantile</w:t>
      </w:r>
      <w:r>
        <w:rPr>
          <w:color w:val="000000" w:themeColor="text1"/>
        </w:rPr>
        <w:t xml:space="preserve"> 0.85 (95%</w:t>
      </w:r>
      <w:r w:rsidRPr="001F1589">
        <w:rPr>
          <w:color w:val="000000" w:themeColor="text1"/>
        </w:rPr>
        <w:t>CI: 0.75-0.96)]</w:t>
      </w:r>
      <w:r>
        <w:rPr>
          <w:color w:val="000000" w:themeColor="text1"/>
        </w:rPr>
        <w:t>,</w:t>
      </w:r>
      <w:r w:rsidRPr="001F1589">
        <w:rPr>
          <w:color w:val="000000" w:themeColor="text1"/>
        </w:rPr>
        <w:t xml:space="preserve"> </w:t>
      </w:r>
      <w:r w:rsidR="00816AAC" w:rsidRPr="00097A26">
        <w:rPr>
          <w:color w:val="0432FF"/>
        </w:rPr>
        <w:t xml:space="preserve">and with similar but imprecise estimates for premenopausal breast cancer </w:t>
      </w:r>
      <w:r w:rsidRPr="001F1589">
        <w:rPr>
          <w:color w:val="000000" w:themeColor="text1"/>
        </w:rPr>
        <w:t>[0.84 (95</w:t>
      </w:r>
      <w:r>
        <w:rPr>
          <w:color w:val="000000" w:themeColor="text1"/>
        </w:rPr>
        <w:t>%</w:t>
      </w:r>
      <w:r w:rsidRPr="001F1589">
        <w:rPr>
          <w:color w:val="000000" w:themeColor="text1"/>
        </w:rPr>
        <w:t>CI: 0.52-1.35)].</w:t>
      </w:r>
      <w:r w:rsidRPr="001F1589">
        <w:rPr>
          <w:color w:val="000000" w:themeColor="text1"/>
        </w:rPr>
        <w:fldChar w:fldCharType="begin"/>
      </w:r>
      <w:r w:rsidR="00A0460F">
        <w:rPr>
          <w:color w:val="000000" w:themeColor="text1"/>
        </w:rPr>
        <w:instrText xml:space="preserve"> ADDIN ZOTERO_ITEM CSL_CITATION {"citationID":"t1pESIJH","properties":{"formattedCitation":"\\super 28\\nosupersub{}","plainCitation":"28","noteIndex":0},"citationItems":[{"id":2834,"uris":["http://zotero.org/users/local/6qce9xwG/items/6LNG6S6J"],"uri":["http://zotero.org/users/local/6qce9xwG/items/6LNG6S6J"],"itemData":{"id":2834,"type":"article-journal","title":"Serum 25-hydroxyvitamin D and breast cancer risk: a meta-analysis of prospective studies","container-title":"Tumour Biology: The Journal of the International Society for Oncodevelopmental Biology and Medicine","page":"3509-3517","volume":"34","issue":"6","source":"PubMed","abstract":"There were some case-control studies, nested case-control studies, and cohort studies with controversial results on the association between serum 25-hydroxyvitamin D [25(OH)D] and breast cancer risk. Case-control studies are prone to selection bias, which limit the strength and quality of the evidence. To overcome the shortcoming of the case-control studies, the meta-analysis of prospective studies including nested case-control studies and cohort studies was conducted. PubMed, Embase, and Web of Science databases were searched, and the last retrieval date was March 24, 2013. For the highest versus the lowest level of serum 25(OH)D, the relative risks (RRs) and its 95% confidence intervals (CIs) from each study were used to estimate summary RR and its 95% CI. Subgroup analyses by geographic region, menopausal status, and adjusted status of RR were also performed, respectively. A dose-response association between serum 25(OH)D concentration and breast cancer risk was assessed. Fourteen articles with 9,110 breast cancer cases and 16,244 controls were included in the meta-analysis. Overall, serum 25(OH)D levels were inversely significantly associated with breast cancer risk (RR = 0.845, 95% CI = 0.750-0.951). Inversely statistically significant associations were observed in North American studies, postmenopausal women, and studies with adjusted and unadjusted RR, respectively. No statistically significant associations were observed in European studies and premenopausal women, respectively. Dose-response analysis showed that every 10 ng/mL increment in serum 25(OH)D concentration was associated with a significant 3.2% reduction in breast cancer risk. This meta-analysis provides evidence of a significantly inverse association between serum 25(OH)D concentration and breast cancer risk.","DOI":"10.1007/s13277-013-0929-2","ISSN":"1423-0380","note":"PMID: 23807676","shortTitle":"Serum 25-hydroxyvitamin D and breast cancer risk","journalAbbreviation":"Tumour Biol.","language":"eng","author":[{"family":"Wang","given":"Dan"},{"family":"Vélez de-la-Paz","given":"Omar Israel"},{"family":"Zhai","given":"Jun-Xia"},{"family":"Liu","given":"Dian-Wu"}],"issued":{"date-parts":[["2013",12]]}}}],"schema":"https://github.com/citation-style-language/schema/raw/master/csl-citation.json"} </w:instrText>
      </w:r>
      <w:r w:rsidRPr="001F1589">
        <w:rPr>
          <w:color w:val="000000" w:themeColor="text1"/>
        </w:rPr>
        <w:fldChar w:fldCharType="separate"/>
      </w:r>
      <w:r w:rsidR="00A0460F" w:rsidRPr="00A0460F">
        <w:rPr>
          <w:color w:val="000000"/>
          <w:vertAlign w:val="superscript"/>
        </w:rPr>
        <w:t>28</w:t>
      </w:r>
      <w:r w:rsidRPr="001F1589">
        <w:rPr>
          <w:color w:val="000000" w:themeColor="text1"/>
        </w:rPr>
        <w:fldChar w:fldCharType="end"/>
      </w:r>
      <w:r w:rsidRPr="001F1589">
        <w:rPr>
          <w:color w:val="000000" w:themeColor="text1"/>
        </w:rPr>
        <w:t xml:space="preserve"> When the sample size was further increased to 31,867 individuals</w:t>
      </w:r>
      <w:r w:rsidRPr="001F1589">
        <w:rPr>
          <w:color w:val="000000" w:themeColor="text1"/>
          <w:lang w:val="en-GB"/>
        </w:rPr>
        <w:t xml:space="preserve"> </w:t>
      </w:r>
      <w:r w:rsidRPr="001F1589">
        <w:rPr>
          <w:color w:val="000000" w:themeColor="text1"/>
        </w:rPr>
        <w:t xml:space="preserve">and with a careful inclusion criteria as in </w:t>
      </w:r>
      <w:r w:rsidRPr="001F1589">
        <w:rPr>
          <w:color w:val="000000" w:themeColor="text1"/>
        </w:rPr>
        <w:lastRenderedPageBreak/>
        <w:t xml:space="preserve">the meta-analysis conducted by Kim </w:t>
      </w:r>
      <w:r w:rsidRPr="001F1589">
        <w:rPr>
          <w:i/>
          <w:color w:val="000000" w:themeColor="text1"/>
        </w:rPr>
        <w:t>et al.</w:t>
      </w:r>
      <w:r w:rsidRPr="001F1589">
        <w:rPr>
          <w:color w:val="000000" w:themeColor="text1"/>
        </w:rPr>
        <w:t>, little evidence of a significant</w:t>
      </w:r>
      <w:r w:rsidRPr="001F1589">
        <w:rPr>
          <w:color w:val="000000" w:themeColor="text1"/>
          <w:lang w:val="en-GB"/>
        </w:rPr>
        <w:t xml:space="preserve"> </w:t>
      </w:r>
      <w:r w:rsidRPr="001F1589">
        <w:rPr>
          <w:color w:val="000000" w:themeColor="text1"/>
        </w:rPr>
        <w:t>association was report</w:t>
      </w:r>
      <w:r>
        <w:rPr>
          <w:color w:val="000000" w:themeColor="text1"/>
        </w:rPr>
        <w:t>ed in either postmenopausal [RR</w:t>
      </w:r>
      <w:r w:rsidRPr="004C181D">
        <w:rPr>
          <w:color w:val="000000" w:themeColor="text1"/>
          <w:vertAlign w:val="subscript"/>
        </w:rPr>
        <w:t xml:space="preserve">highest </w:t>
      </w:r>
      <w:r w:rsidRPr="004C181D">
        <w:rPr>
          <w:i/>
          <w:color w:val="000000" w:themeColor="text1"/>
          <w:vertAlign w:val="subscript"/>
        </w:rPr>
        <w:t>vs.</w:t>
      </w:r>
      <w:r w:rsidRPr="004C181D">
        <w:rPr>
          <w:color w:val="000000" w:themeColor="text1"/>
          <w:vertAlign w:val="subscript"/>
        </w:rPr>
        <w:t xml:space="preserve"> lowest category</w:t>
      </w:r>
      <w:r>
        <w:rPr>
          <w:color w:val="000000" w:themeColor="text1"/>
        </w:rPr>
        <w:t xml:space="preserve"> 0.96 (95%</w:t>
      </w:r>
      <w:r w:rsidRPr="001F1589">
        <w:rPr>
          <w:color w:val="000000" w:themeColor="text1"/>
        </w:rPr>
        <w:t>CI: 0.85-1.02)] or premenopausal [0.82 (95%CI: 0.48-1.41)] breast cancer.</w:t>
      </w:r>
      <w:r w:rsidRPr="001F1589">
        <w:rPr>
          <w:color w:val="000000" w:themeColor="text1"/>
        </w:rPr>
        <w:fldChar w:fldCharType="begin"/>
      </w:r>
      <w:r w:rsidRPr="001F1589">
        <w:rPr>
          <w:color w:val="000000" w:themeColor="text1"/>
        </w:rPr>
        <w:instrText xml:space="preserve"> ADDIN ZOTERO_ITEM CSL_CITATION {"citationID":"L6IUMtQc","properties":{"formattedCitation":"\\super 3\\nosupersub{}","plainCitation":"3","noteIndex":0},"citationItems":[{"id":2814,"uris":["http://zotero.org/users/local/6qce9xwG/items/TWSWCS8R"],"uri":["http://zotero.org/users/local/6qce9xwG/items/TWSWCS8R"],"itemData":{"id":2814,"type":"article-journal","title":"Vitamin D intake, blood 25(OH)D levels, and breast cancer risk or mortality: a meta-analysis","container-title":"British Journal of Cancer","page":"2772-2784","volume":"110","issue":"11","source":"PubMed","abstract":"BACKGROUND: Experimental studies suggest potential anti-carcinogenic properties of vitamin D against breast cancer risk, but the epidemiological evidence to date is inconsistent.\nMETHODS: We searched MEDLINE and EMBASE databases along with a hand search for eligible studies to examine the association between vitamin D status (based on diet and blood 25-hydroxyvitamin D (25(OH)D)) and breast cancer risk or mortality in a meta-analysis. A random-effect model was used to calculate a pooled adjusted relative risk (RR).\nRESULTS: A total of 30 prospective studies (nested case-control or cohort) were included for breast cancer incidence (n=24 studies; 31 867 cases) or mortality (n=6 studies; 870 deaths) among 6092 breast cancer patients. The pooled RRs of breast cancer incidence for the highest vs the lowest vitamin D intake and blood 25(OH)D levels were 0.95 (95% CI: 0.88-1.01) and 0.92 (95% CI: 0.83-1.02), respectively. Among breast cancer patients, high blood 25(OH)D levels were significantly associated with lower breast cancer mortality (pooled RR=0.58, 95% CI: 0.40-0.85) and overall mortality (pooled RR=0.61, 95% CI: 0.48-0.79). There was no evidence of heterogeneity and publication bias.\nCONCLUSIONS: Our findings suggest that high vitamin D status is weakly associated with low breast cancer risk but strongly associated with better breast cancer survival.","DOI":"10.1038/bjc.2014.175","ISSN":"1532-1827","note":"PMID: 24714744\nPMCID: PMC4037823","shortTitle":"Vitamin D intake, blood 25(OH)D levels, and breast cancer risk or mortality","journalAbbreviation":"Br. J. Cancer","language":"eng","author":[{"family":"Kim","given":"Y."},{"family":"Je","given":"Y."}],"issued":{"date-parts":[["2014",5,27]]}}}],"schema":"https://github.com/citation-style-language/schema/raw/master/csl-citation.json"} </w:instrText>
      </w:r>
      <w:r w:rsidRPr="001F1589">
        <w:rPr>
          <w:color w:val="000000" w:themeColor="text1"/>
        </w:rPr>
        <w:fldChar w:fldCharType="separate"/>
      </w:r>
      <w:r w:rsidR="00A31D70" w:rsidRPr="00A31D70">
        <w:rPr>
          <w:color w:val="000000"/>
          <w:vertAlign w:val="superscript"/>
        </w:rPr>
        <w:t>3</w:t>
      </w:r>
      <w:r w:rsidRPr="001F1589">
        <w:rPr>
          <w:color w:val="000000" w:themeColor="text1"/>
        </w:rPr>
        <w:fldChar w:fldCharType="end"/>
      </w:r>
      <w:r w:rsidRPr="001F1589">
        <w:rPr>
          <w:color w:val="000000" w:themeColor="text1"/>
        </w:rPr>
        <w:t xml:space="preserve"> In agreement with these findings, the Women’s Health Initiative (WHI) trial of vitamin D in postmenopausal women did not supp</w:t>
      </w:r>
      <w:r>
        <w:rPr>
          <w:color w:val="000000" w:themeColor="text1"/>
        </w:rPr>
        <w:t>ort a role in breast cancer [HR</w:t>
      </w:r>
      <w:r w:rsidRPr="004C181D">
        <w:rPr>
          <w:color w:val="000000" w:themeColor="text1"/>
          <w:vertAlign w:val="subscript"/>
        </w:rPr>
        <w:t xml:space="preserve">taker </w:t>
      </w:r>
      <w:r w:rsidRPr="004C181D">
        <w:rPr>
          <w:i/>
          <w:color w:val="000000" w:themeColor="text1"/>
          <w:vertAlign w:val="subscript"/>
        </w:rPr>
        <w:t>vs.</w:t>
      </w:r>
      <w:r w:rsidRPr="004C181D">
        <w:rPr>
          <w:color w:val="000000" w:themeColor="text1"/>
          <w:vertAlign w:val="subscript"/>
        </w:rPr>
        <w:t xml:space="preserve"> non-taker</w:t>
      </w:r>
      <w:r w:rsidRPr="001F1589">
        <w:rPr>
          <w:color w:val="000000" w:themeColor="text1"/>
        </w:rPr>
        <w:t xml:space="preserve"> 0.96 (95%CI: 0.85-1.09)].</w:t>
      </w:r>
      <w:r w:rsidRPr="001F1589">
        <w:rPr>
          <w:color w:val="000000" w:themeColor="text1"/>
        </w:rPr>
        <w:fldChar w:fldCharType="begin"/>
      </w:r>
      <w:r w:rsidRPr="001F1589">
        <w:rPr>
          <w:color w:val="000000" w:themeColor="text1"/>
        </w:rPr>
        <w:instrText xml:space="preserve"> ADDIN ZOTERO_ITEM CSL_CITATION {"citationID":"5eZs3DUn","properties":{"formattedCitation":"\\super 5\\nosupersub{}","plainCitation":"5","noteIndex":0},"citationItems":[{"id":2816,"uris":["http://zotero.org/users/local/6qce9xwG/items/QW5Q6A5J"],"uri":["http://zotero.org/users/local/6qce9xwG/items/QW5Q6A5J"],"itemData":{"id":2816,"type":"article-journal","title":"The Effect of Calcium plus Vitamin D on Risk for Invasive Cancer: Results of the Women's Health Initiative (WHI) Calcium Plus Vitamin D Randomized Clinical Trial","container-title":"Nutrition and Cancer","page":"827-841","volume":"63","issue":"6","source":"Taylor and Francis+NEJM","abstract":"In the Women's Health Initiative (WHI) trial of calcium plus vitamin D (CaD), we examined the treatment effect on incidence and mortality for all invasive cancers. Postmenopausal women (N = 36,282) were randomized to 1,000 mg of elemental calcium with 400 IU vitamin D3 or placebo. Cox models estimated risk of cancer incidence and mortality. After 7.0 yr, 1,306 invasive cancers were diagnosed in the supplement and 1,333 in the placebo group [hazard ratio (HR) = 0.98; CI = 0.90, 1.05, unweighted P = 0.54]. Mortality did not differ between supplement (315, annualized% = .26) and placebo [(347, 0.28%; P = 0.17; HR = 0.90 (0.77, 1.05)]. Significant treatment interactions on incident cancer were found for family history of cancer, personal total intake of vitamin D, smoking, and WHI dietary trial randomized group. Calcium/vitamin D supplementation did not reduce invasive cancer incidence or mortality. Supplementation lowered cancer risk in the WHI healthy diet trial arm and in women without a first-degree relative with cancer. The interactions are only suggestive given multiple testing considerations. The low vitamin D dose provided, limited adherence, and lack of serum 25(OH)D values should be considered when interpreting these findings.","DOI":"10.1080/01635581.2011.594208","ISSN":"0163-5581","note":"PMID: 21774589","shortTitle":"The Effect of Calcium plus Vitamin D on Risk for Invasive Cancer","author":[{"family":"Brunner","given":"Robert L."},{"family":"Wactawski-Wende","given":"Jean"},{"family":"Caan","given":"Bette J."},{"family":"Cochrane","given":"Barbara B."},{"family":"Chlebowski","given":"Rowan T."},{"family":"Gass","given":"Margery L. S."},{"family":"Jacobs","given":"Elizabeth T."},{"family":"LaCroix","given":"Andrea Z."},{"family":"Lane","given":"Dorothy"},{"family":"Larson","given":"Joseph"},{"family":"Margolis","given":"Karen L."},{"family":"Millen","given":"Amy E."},{"family":"Sarto","given":"Gloria E."},{"family":"Vitolins","given":"Mara Z."},{"family":"Wallace","given":"Robert B."}],"issued":{"date-parts":[["2011",8,1]]}}}],"schema":"https://github.com/citation-style-language/schema/raw/master/csl-citation.json"} </w:instrText>
      </w:r>
      <w:r w:rsidRPr="001F1589">
        <w:rPr>
          <w:color w:val="000000" w:themeColor="text1"/>
        </w:rPr>
        <w:fldChar w:fldCharType="separate"/>
      </w:r>
      <w:r w:rsidR="00A31D70" w:rsidRPr="00A31D70">
        <w:rPr>
          <w:color w:val="000000"/>
          <w:vertAlign w:val="superscript"/>
        </w:rPr>
        <w:t>5</w:t>
      </w:r>
      <w:r w:rsidRPr="001F1589">
        <w:rPr>
          <w:color w:val="000000" w:themeColor="text1"/>
        </w:rPr>
        <w:fldChar w:fldCharType="end"/>
      </w:r>
      <w:r w:rsidRPr="001F1589">
        <w:rPr>
          <w:color w:val="000000" w:themeColor="text1"/>
        </w:rPr>
        <w:t xml:space="preserve"> </w:t>
      </w:r>
      <w:r w:rsidRPr="00CC4C03">
        <w:rPr>
          <w:color w:val="0432FF"/>
        </w:rPr>
        <w:t>However, it has been argued that personal use of vitamin D supplements (outside of the trial</w:t>
      </w:r>
      <w:r w:rsidR="00CC4C03" w:rsidRPr="00CC4C03">
        <w:rPr>
          <w:color w:val="0432FF"/>
        </w:rPr>
        <w:t>) may have obscured the effect. A</w:t>
      </w:r>
      <w:r w:rsidRPr="00CC4C03">
        <w:rPr>
          <w:color w:val="0432FF"/>
        </w:rPr>
        <w:t xml:space="preserve">mong the 43% of WHI women who were not taking personal vitamin D at randomization, a reduced risk of breast cancer was observed </w:t>
      </w:r>
      <w:r w:rsidR="006368E9">
        <w:rPr>
          <w:color w:val="0432FF"/>
        </w:rPr>
        <w:t xml:space="preserve">comparing calcium and vitamin D supplementation to placebo </w:t>
      </w:r>
      <w:r w:rsidRPr="00CC4C03">
        <w:rPr>
          <w:color w:val="0432FF"/>
        </w:rPr>
        <w:t>[HR 0.82 (95%CI: 0.70-0.97)].</w:t>
      </w:r>
      <w:r w:rsidRPr="001F1589">
        <w:rPr>
          <w:color w:val="000000" w:themeColor="text1"/>
        </w:rPr>
        <w:fldChar w:fldCharType="begin"/>
      </w:r>
      <w:r w:rsidR="00A0460F">
        <w:rPr>
          <w:color w:val="000000" w:themeColor="text1"/>
        </w:rPr>
        <w:instrText xml:space="preserve"> ADDIN ZOTERO_ITEM CSL_CITATION {"citationID":"OS4Uiw3m","properties":{"formattedCitation":"\\super 29\\nosupersub{}","plainCitation":"29","noteIndex":0},"citationItems":[{"id":2828,"uris":["http://zotero.org/users/local/6qce9xwG/items/VFGUAPXJ"],"uri":["http://zotero.org/users/local/6qce9xwG/items/VFGUAPXJ"],"itemData":{"id":2828,"type":"article-journal","title":"Calcium and vitamin D supplements and health outcomes: a reanalysis of the Women's Health Initiative (WHI) limited-access data set","container-title":"The American Journal of Clinical Nutrition","page":"1144-1149","volume":"94","issue":"4","source":"PubMed","abstract":"BACKGROUND: Frequent use of personal, nonprotocol calcium supplements obscured an adverse effect of coadministered calcium and vitamin D (CaD) on cardiovascular risk in the Women's Health Initiative (WHI).\nOBJECTIVE: We investigated the effects of the use of personal calcium or vitamin D supplements on other outcomes in the WHI CaD Study (WHI CaD) by using the WHI limited-access clinical trials data set.\nDESIGN: The WHI CaD was a 7-y, randomized, placebo-controlled trial of CaD (1 g Ca/400 IU vitamin D daily) in 36,282 community-dwelling, postmenopausal women. The incidence of total cancer (excluding nonmelanoma skin cancers), breast and colorectal cancers, hip and total fracture, and mortality was assessed by using Cox proportional hazards models.\nRESULTS: In the WHI CaD, interactions between the use of either personal calcium or vitamin D supplements and CaD were found for total, breast, and colorectal cancers but not for fracture or mortality. In 15,646 women (43%) who were not taking personal calcium or vitamin D supplements at randomization, CaD significantly decreased the risk of total, breast, and invasive breast cancers by 14-20% and nonsignificantly reduced the risk of colorectal cancer by 17%. In women taking personal calcium or vitamin D supplements, CaD did not alter cancer risk (HR: 1.06-1.26).\nCONCLUSIONS: For women in the WHI CaD who were not taking personal calcium or vitamin D supplements at randomization, CaD decreased the risk of total, breast, and colorectal cancers and did not change the risk of fractures or total mortality. The nonskeletal effects of CaD may be more important than the skeletal effects and should be considered when evaluating these supplements. The WHI CaD trial is registered at clinicaltrials.gov as NCT00000611.","DOI":"10.3945/ajcn.111.015032","ISSN":"1938-3207","note":"PMID: 21880848\nPMCID: PMC3173029","shortTitle":"Calcium and vitamin D supplements and health outcomes","journalAbbreviation":"Am. J. Clin. Nutr.","language":"eng","author":[{"family":"Bolland","given":"Mark J."},{"family":"Grey","given":"Andrew"},{"family":"Gamble","given":"Greg D."},{"family":"Reid","given":"Ian R."}],"issued":{"date-parts":[["2011",10]]}}}],"schema":"https://github.com/citation-style-language/schema/raw/master/csl-citation.json"} </w:instrText>
      </w:r>
      <w:r w:rsidRPr="001F1589">
        <w:rPr>
          <w:color w:val="000000" w:themeColor="text1"/>
        </w:rPr>
        <w:fldChar w:fldCharType="separate"/>
      </w:r>
      <w:r w:rsidR="00A0460F" w:rsidRPr="00A0460F">
        <w:rPr>
          <w:color w:val="000000"/>
          <w:vertAlign w:val="superscript"/>
        </w:rPr>
        <w:t>29</w:t>
      </w:r>
      <w:r w:rsidRPr="001F1589">
        <w:rPr>
          <w:color w:val="000000" w:themeColor="text1"/>
        </w:rPr>
        <w:fldChar w:fldCharType="end"/>
      </w:r>
      <w:r w:rsidRPr="001F1589">
        <w:rPr>
          <w:color w:val="000000" w:themeColor="text1"/>
        </w:rPr>
        <w:t xml:space="preserve"> Although our study had 80% power to detect even smaller effect sizes, ranging from 0.89 to 0.95</w:t>
      </w:r>
      <w:r w:rsidRPr="001F1589">
        <w:rPr>
          <w:color w:val="000000" w:themeColor="text1"/>
          <w:lang w:val="en-GB"/>
        </w:rPr>
        <w:t xml:space="preserve"> </w:t>
      </w:r>
      <w:r>
        <w:rPr>
          <w:color w:val="000000" w:themeColor="text1"/>
        </w:rPr>
        <w:t>per 25</w:t>
      </w:r>
      <w:r w:rsidRPr="001F1589">
        <w:rPr>
          <w:color w:val="000000" w:themeColor="text1"/>
        </w:rPr>
        <w:t>nmol/L change, we did not find evidence of an association between genetically determined 25(OH)D concentration and risk of breast cancer.</w:t>
      </w:r>
    </w:p>
    <w:p w14:paraId="733005D8" w14:textId="1A8787F6" w:rsidR="00737DF9" w:rsidRPr="001F1589" w:rsidRDefault="00737DF9" w:rsidP="00737DF9">
      <w:pPr>
        <w:spacing w:after="120" w:line="480" w:lineRule="auto"/>
        <w:jc w:val="both"/>
        <w:rPr>
          <w:color w:val="000000" w:themeColor="text1"/>
        </w:rPr>
      </w:pPr>
      <w:r w:rsidRPr="001F1589">
        <w:rPr>
          <w:color w:val="000000" w:themeColor="text1"/>
        </w:rPr>
        <w:t xml:space="preserve">Results of observational studies investigating 25(OH)D with prostate cancer risk are relatively consistent. Xu </w:t>
      </w:r>
      <w:r w:rsidRPr="001F1589">
        <w:rPr>
          <w:i/>
          <w:color w:val="000000" w:themeColor="text1"/>
        </w:rPr>
        <w:t>et al.</w:t>
      </w:r>
      <w:r w:rsidRPr="001F1589">
        <w:rPr>
          <w:color w:val="000000" w:themeColor="text1"/>
        </w:rPr>
        <w:t xml:space="preserve"> performed a meta-analysis of 17 nested case-control studies (N</w:t>
      </w:r>
      <w:r w:rsidRPr="001F1589">
        <w:rPr>
          <w:color w:val="000000" w:themeColor="text1"/>
          <w:vertAlign w:val="subscript"/>
        </w:rPr>
        <w:t>case</w:t>
      </w:r>
      <w:r w:rsidRPr="001F1589">
        <w:rPr>
          <w:color w:val="000000" w:themeColor="text1"/>
        </w:rPr>
        <w:t>=11,380) and observed an increa</w:t>
      </w:r>
      <w:r>
        <w:rPr>
          <w:color w:val="000000" w:themeColor="text1"/>
        </w:rPr>
        <w:t>sed risk of prostate cancer [RR</w:t>
      </w:r>
      <w:r w:rsidRPr="004D1F48">
        <w:rPr>
          <w:color w:val="000000" w:themeColor="text1"/>
          <w:vertAlign w:val="subscript"/>
        </w:rPr>
        <w:t xml:space="preserve">highest </w:t>
      </w:r>
      <w:r w:rsidRPr="004D1F48">
        <w:rPr>
          <w:i/>
          <w:color w:val="000000" w:themeColor="text1"/>
          <w:vertAlign w:val="subscript"/>
        </w:rPr>
        <w:t>vs.</w:t>
      </w:r>
      <w:r w:rsidRPr="004D1F48">
        <w:rPr>
          <w:color w:val="000000" w:themeColor="text1"/>
          <w:vertAlign w:val="subscript"/>
        </w:rPr>
        <w:t xml:space="preserve"> lowest category</w:t>
      </w:r>
      <w:r>
        <w:rPr>
          <w:color w:val="000000" w:themeColor="text1"/>
        </w:rPr>
        <w:t xml:space="preserve"> 1.18 (95%</w:t>
      </w:r>
      <w:r w:rsidRPr="001F1589">
        <w:rPr>
          <w:color w:val="000000" w:themeColor="text1"/>
        </w:rPr>
        <w:t>CI: 1.07-1.30), I-square=20.8%].</w:t>
      </w:r>
      <w:r w:rsidRPr="001F1589">
        <w:rPr>
          <w:color w:val="000000" w:themeColor="text1"/>
        </w:rPr>
        <w:fldChar w:fldCharType="begin"/>
      </w:r>
      <w:r w:rsidR="00A0460F">
        <w:rPr>
          <w:color w:val="000000" w:themeColor="text1"/>
        </w:rPr>
        <w:instrText xml:space="preserve"> ADDIN ZOTERO_ITEM CSL_CITATION {"citationID":"UdH2nsQM","properties":{"formattedCitation":"\\super 30\\nosupersub{}","plainCitation":"30","noteIndex":0},"citationItems":[{"id":2838,"uris":["http://zotero.org/users/local/6qce9xwG/items/L9TGNXA2"],"uri":["http://zotero.org/users/local/6qce9xwG/items/L9TGNXA2"],"itemData":{"id":2838,"type":"article-journal","title":"Positive association between circulating 25-hydroxyvitamin D levels and prostate cancer risk: new findings from an updated meta-analysis","container-title":"Journal of Cancer Research and Clinical Oncology","page":"1465-1477","volume":"140","issue":"9","source":"PubMed","abstract":"PURPOSE: To investigate and clarify the relationship between circulating 25-hydroxyvitamin D level and prostate cancer risk.\nMETHODS: We conducted the meta-analysis to better evaluate the association. Terms \"25-Hydroxyvitamin D\"/\"vitamin D\" and \"prostate cancer\" were used for literature search.\nRESULTS: We identified 21 relevant publications from databases of PubMed and MEDLINE and included 11,941 cases and 13,870 controls in the meta-analysis. Overall studies revealed a significant 17 % elevated risk of prostate cancer for individuals with higher level of 25-hydroxyvitamin D (OR = 1.17, 95 % CI = 1.05-1.30, P  = 0.004), and no publication bias was found in the calculations (P  = 0.629). Subgroup analysis confirmed the association from nested case-control study group, studies from USA group and studies using serum samples group (nested case-control studies: OR = 1.17, 95 % CI = 1.08-1.27, P &lt; 0.001; USA: OR = 1.15, 95 % CI = 1.03-1.29, P = 0.017; serum: OR = 1.20, 95 % CI = 1.01-1.42, P = 0.042); moreover, sensitivity tests also indicated significant results in studies from Europe and studies conducting with plasma samples after exclusion of some influential single study from the analysis, respectively (Europe: OR = 1.21, 95 % CI = 1.04-1.40, P = 0.014; plasma: OR = 1.13, 95 % CI = 1.00-1.27, P = 0.05).\nCONCLUSIONS: Our meta-analysis, for the first time, suggested significant positive relationship between high level of 25-hydroxyvitamin D and increased risk of prostate cancer, reminding us that more concern should be taken into account during assessing the effect of 25-hydroxyvitamin D.","DOI":"10.1007/s00432-014-1706-3","ISSN":"1432-1335","note":"PMID: 24838848","shortTitle":"Positive association between circulating 25-hydroxyvitamin D levels and prostate cancer risk","journalAbbreviation":"J. Cancer Res. Clin. Oncol.","language":"eng","author":[{"family":"Xu","given":"Yonghua"},{"family":"Shao","given":"Xiaoping"},{"family":"Yao","given":"Yacheng"},{"family":"Xu","given":"Lijian"},{"family":"Chang","given":"Liang"},{"family":"Jiang","given":"Zhuojuan"},{"family":"Lin","given":"Zhaofen"}],"issued":{"date-parts":[["2014",9]]}}}],"schema":"https://github.com/citation-style-language/schema/raw/master/csl-citation.json"} </w:instrText>
      </w:r>
      <w:r w:rsidRPr="001F1589">
        <w:rPr>
          <w:color w:val="000000" w:themeColor="text1"/>
        </w:rPr>
        <w:fldChar w:fldCharType="separate"/>
      </w:r>
      <w:r w:rsidR="00A0460F" w:rsidRPr="00A0460F">
        <w:rPr>
          <w:color w:val="000000"/>
          <w:vertAlign w:val="superscript"/>
        </w:rPr>
        <w:t>30</w:t>
      </w:r>
      <w:r w:rsidRPr="001F1589">
        <w:rPr>
          <w:color w:val="000000" w:themeColor="text1"/>
        </w:rPr>
        <w:fldChar w:fldCharType="end"/>
      </w:r>
      <w:r w:rsidRPr="001F1589">
        <w:rPr>
          <w:color w:val="000000" w:themeColor="text1"/>
        </w:rPr>
        <w:t xml:space="preserve"> A similar effect-estimate was reported by Gao </w:t>
      </w:r>
      <w:r w:rsidRPr="001F1589">
        <w:rPr>
          <w:i/>
          <w:color w:val="000000" w:themeColor="text1"/>
        </w:rPr>
        <w:t>et al.</w:t>
      </w:r>
      <w:r w:rsidRPr="001F1589">
        <w:rPr>
          <w:color w:val="000000" w:themeColor="text1"/>
        </w:rPr>
        <w:t xml:space="preserve"> with improved precision in a meta-analysis comprising 19 prospective studies (N</w:t>
      </w:r>
      <w:r w:rsidRPr="001F1589">
        <w:rPr>
          <w:color w:val="000000" w:themeColor="text1"/>
          <w:vertAlign w:val="subscript"/>
        </w:rPr>
        <w:t>case</w:t>
      </w:r>
      <w:r>
        <w:rPr>
          <w:color w:val="000000" w:themeColor="text1"/>
        </w:rPr>
        <w:t>=12,824) [RR</w:t>
      </w:r>
      <w:r w:rsidRPr="004D1F48">
        <w:rPr>
          <w:color w:val="000000" w:themeColor="text1"/>
          <w:vertAlign w:val="subscript"/>
        </w:rPr>
        <w:t xml:space="preserve">highest </w:t>
      </w:r>
      <w:r w:rsidRPr="004D1F48">
        <w:rPr>
          <w:i/>
          <w:color w:val="000000" w:themeColor="text1"/>
          <w:vertAlign w:val="subscript"/>
        </w:rPr>
        <w:t>vs.</w:t>
      </w:r>
      <w:r w:rsidRPr="004D1F48">
        <w:rPr>
          <w:color w:val="000000" w:themeColor="text1"/>
          <w:vertAlign w:val="subscript"/>
        </w:rPr>
        <w:t xml:space="preserve"> lowest category</w:t>
      </w:r>
      <w:r>
        <w:rPr>
          <w:color w:val="000000" w:themeColor="text1"/>
        </w:rPr>
        <w:t xml:space="preserve"> 1.15 (95%</w:t>
      </w:r>
      <w:r w:rsidRPr="001F1589">
        <w:rPr>
          <w:color w:val="000000" w:themeColor="text1"/>
        </w:rPr>
        <w:t>CI: 1.06-1.24), I-square=0%].</w:t>
      </w:r>
      <w:r w:rsidRPr="001F1589">
        <w:rPr>
          <w:color w:val="000000" w:themeColor="text1"/>
        </w:rPr>
        <w:fldChar w:fldCharType="begin"/>
      </w:r>
      <w:r w:rsidRPr="001F1589">
        <w:rPr>
          <w:color w:val="000000" w:themeColor="text1"/>
        </w:rPr>
        <w:instrText xml:space="preserve"> ADDIN ZOTERO_ITEM CSL_CITATION {"citationID":"JYu1kvf7","properties":{"formattedCitation":"\\super 4\\nosupersub{}","plainCitation":"4","noteIndex":0},"citationItems":[{"id":2812,"uris":["http://zotero.org/users/local/6qce9xwG/items/5U3QPCDV"],"uri":["http://zotero.org/users/local/6qce9xwG/items/5U3QPCDV"],"itemData":{"id":2812,"type":"article-journal","title":"Circulating vitamin D concentration and risk of prostate cancer: a dose-response meta-analysis of prospective studies","container-title":"Therapeutics and Clinical Risk Management","page":"95-104","volume":"14","source":"PubMed","abstract":"Background: Though many studies have been performed to elucidate the association between circulating vitamin D and prostate cancer, no conclusive result is available. We carried out a dose-response meta-analysis to quantitatively examine the association of circulating 25-hydroxyvitamin D (25[OH]D) concentration with prostate cancer.\nMethods: Only prospective studies examining the associations of circulating 25[OH]D concentration with prostate cancer were eligible for the meta-analysis. A random-effect meta-analysis was done first, to calculate the summary relative risk (RR) and 95% confidence intervals (CIs) comparing the higher concentration with the lower concentration of 25[OH]D. A dose-response meta-analysis using random-effects model was then carried out to evaluate the nonlinearity and calculate the summary RR caused per 10 ng/mL increment.\nResults: Nineteen prospective cohort or nested case-control studies were included. Higher 25[OH]D concentration was significantly correlated with elevated risk of prostate cancer (RR =1.15, 95% CI 1.06-1.24). No nonlinear relationship was found between 25[OH]D concentration and risk of prostate cancer (P=0.654). Dose-response meta-analysis showed that the summary RR caused per 10 ng/mL increment in circulating 25[OH]D concentration was 1.04 (95% CI 1.02-1.06). Subgroup analysis also found a modest dose-response relationship. Funnel plot and Egger's test did not detect publication bias.\nConclusion: The findings suggest that highest 25[OH]D concentration is correlated with elevated risk of prostate cancer and a modest dose-response effect exists in this association; however, more studies are needed.","DOI":"10.2147/TCRM.S149325","ISSN":"1176-6336","note":"PMID: 29386901\nPMCID: PMC5767091","shortTitle":"Circulating vitamin D concentration and risk of prostate cancer","journalAbbreviation":"Ther Clin Risk Manag","language":"eng","author":[{"family":"Gao","given":"Jialin"},{"family":"Wei","given":"Wei"},{"family":"Wang","given":"Gang"},{"family":"Zhou","given":"Honglan"},{"family":"Fu","given":"Yaowen"},{"family":"Liu","given":"Nian"}],"issued":{"date-parts":[["2018"]]}}}],"schema":"https://github.com/citation-style-language/schema/raw/master/csl-citation.json"} </w:instrText>
      </w:r>
      <w:r w:rsidRPr="001F1589">
        <w:rPr>
          <w:color w:val="000000" w:themeColor="text1"/>
        </w:rPr>
        <w:fldChar w:fldCharType="separate"/>
      </w:r>
      <w:r w:rsidR="00A31D70" w:rsidRPr="00A31D70">
        <w:rPr>
          <w:color w:val="000000"/>
          <w:vertAlign w:val="superscript"/>
        </w:rPr>
        <w:t>4</w:t>
      </w:r>
      <w:r w:rsidRPr="001F1589">
        <w:rPr>
          <w:color w:val="000000" w:themeColor="text1"/>
        </w:rPr>
        <w:fldChar w:fldCharType="end"/>
      </w:r>
      <w:r w:rsidRPr="001F1589">
        <w:rPr>
          <w:color w:val="000000" w:themeColor="text1"/>
        </w:rPr>
        <w:t xml:space="preserve"> In line with those findings, a large cohort consortium of 10,018 cases and 11,052 controls examined an unweighted polygenic risk score based on four 25(OH)D associated SNPs (rs2282679 at </w:t>
      </w:r>
      <w:r w:rsidRPr="001F1589">
        <w:rPr>
          <w:i/>
          <w:color w:val="000000" w:themeColor="text1"/>
        </w:rPr>
        <w:t>GC</w:t>
      </w:r>
      <w:r w:rsidRPr="001F1589">
        <w:rPr>
          <w:color w:val="000000" w:themeColor="text1"/>
        </w:rPr>
        <w:t xml:space="preserve">, rs6013897 at </w:t>
      </w:r>
      <w:r w:rsidRPr="001F1589">
        <w:rPr>
          <w:i/>
          <w:color w:val="000000" w:themeColor="text1"/>
        </w:rPr>
        <w:t>CYP24A1</w:t>
      </w:r>
      <w:r w:rsidRPr="001F1589">
        <w:rPr>
          <w:color w:val="000000" w:themeColor="text1"/>
        </w:rPr>
        <w:t xml:space="preserve">, rs10741657 at </w:t>
      </w:r>
      <w:r w:rsidRPr="001F1589">
        <w:rPr>
          <w:i/>
          <w:color w:val="000000" w:themeColor="text1"/>
        </w:rPr>
        <w:t>CYP2R1</w:t>
      </w:r>
      <w:r w:rsidRPr="001F1589">
        <w:rPr>
          <w:color w:val="000000" w:themeColor="text1"/>
        </w:rPr>
        <w:t xml:space="preserve">, rs12785878 at </w:t>
      </w:r>
      <w:r w:rsidRPr="001F1589">
        <w:rPr>
          <w:i/>
          <w:color w:val="000000" w:themeColor="text1"/>
        </w:rPr>
        <w:t>DHCR7</w:t>
      </w:r>
      <w:r w:rsidRPr="001F1589">
        <w:rPr>
          <w:color w:val="000000" w:themeColor="text1"/>
        </w:rPr>
        <w:t>). This analysis found that a greater number of high vitamin D increasing alleles was associated with an increased risk of aggressive prostate cancer</w:t>
      </w:r>
      <w:r>
        <w:rPr>
          <w:color w:val="000000" w:themeColor="text1"/>
        </w:rPr>
        <w:t>,</w:t>
      </w:r>
      <w:r w:rsidRPr="001F1589">
        <w:rPr>
          <w:color w:val="000000" w:themeColor="text1"/>
        </w:rPr>
        <w:fldChar w:fldCharType="begin"/>
      </w:r>
      <w:r w:rsidR="00A0460F">
        <w:rPr>
          <w:color w:val="000000" w:themeColor="text1"/>
        </w:rPr>
        <w:instrText xml:space="preserve"> ADDIN ZOTERO_ITEM CSL_CITATION {"citationID":"gpbNYUyN","properties":{"formattedCitation":"\\super 31\\nosupersub{}","plainCitation":"31","noteIndex":0},"citationItems":[{"id":2840,"uris":["http://zotero.org/users/local/6qce9xwG/items/8NDPNAYY"],"uri":["http://zotero.org/users/local/6qce9xwG/items/8NDPNAYY"],"itemData":{"id":2840,"type":"article-journal","title":"Genetic variation in the vitamin d pathway in relation to risk of prostate cancer--results from the breast and prostate cancer cohort consortium","container-title":"Cancer Epidemiology, Biomarkers &amp; Prevention: A Publication of the American Association for Cancer Research, Cosponsored by the American Society of Preventive Oncology","page":"688-696","volume":"22","issue":"4","source":"PubMed","abstract":"BACKGROUND: Studies suggest that vitamin D status may be associated with prostate cancer risk although the direction and strength of this association differs between experimental and observational studies. Genome-wide association studies have identified genetic variants associated with 25-hydroxyvitamin D [25(OH)D] status. We examined prostate cancer risk in relation to single-nucleotide polymorphisms (SNP) in four genes shown to predict circulating levels of 25(OH)D.\nMETHODS: SNP markers localized to each of four genes (GC, CYP24A1, CYP2R1, and DHCR7) previously associated with 25(OH)D were genotyped in 10,018 cases and 11,052 controls from the National Cancer Institute (NCI) Breast and Prostate Cancer Cohort Consortium. Logistic regression was used to estimate the individual and cumulative association between genetic variants and risk of overall and aggressive prostate cancer.\nRESULTS: We observed a decreased risk of aggressive prostate cancer among men with the allele in rs6013897 near CYP24A1 associated with lower serum 25(OH)D [per A allele, OR, 0.86; 95% confidence interval (CI), 0.80-0.93; Ptrend = 0.0002) but an increased risk for nonaggressive disease (per A allele: OR, 1.10; 95% CI, 1.04-1.17; Ptrend = 0.002). Examination of a polygenic score of the four SNPs revealed statistically significantly lower risk of aggressive prostate cancer among men with a greater number of low vitamin D alleles (OR for 6-8 vs. 0-1 alleles, 0.66; 95% CI, 0.44-0.98; Ptrend = 0.003).\nCONCLUSIONS: In this large, pooled analysis, genetic variants related to lower 25(OH)D levels were associated with a decreased risk of aggressive prostate cancer.\nIMPACT: Our genetic findings do not support a protective association between loci known to influence vitamin D levels and prostate cancer risk.","DOI":"10.1158/1055-9965.EPI-13-0007-T","ISSN":"1538-7755","note":"PMID: 23377224\nPMCID: PMC3617077","journalAbbreviation":"Cancer Epidemiol. Biomarkers Prev.","language":"eng","author":[{"family":"Mondul","given":"Alison M."},{"family":"Shui","given":"Irene M."},{"family":"Yu","given":"Kai"},{"family":"Travis","given":"Ruth C."},{"family":"Stevens","given":"Victoria L."},{"family":"Campa","given":"Daniele"},{"family":"Schumacher","given":"Frederick R."},{"family":"Ziegler","given":"Regina G."},{"family":"Bueno-de-Mesquita","given":"H. Bas"},{"family":"Berndt","given":"Sonja"},{"family":"Crawford","given":"E. D."},{"family":"Gapstur","given":"Susan M."},{"family":"Gaziano","given":"J. Michael"},{"family":"Giovannucci","given":"Edward"},{"family":"Haiman","given":"Christopher A."},{"family":"Henderson","given":"Brian E."},{"family":"Hunter","given":"David J."},{"family":"Johansson","given":"Mattias"},{"family":"Key","given":"Timothy J."},{"family":"Le Marchand","given":"Loïc"},{"family":"Lindström","given":"Sara"},{"family":"McCullough","given":"Marjorie L."},{"family":"Navarro","given":"Carmen"},{"family":"Overvad","given":"Kim"},{"family":"Palli","given":"Domenico"},{"family":"Purdue","given":"Mark"},{"family":"Stampfer","given":"Meir J."},{"family":"Weinstein","given":"Stephanie J."},{"family":"Willett","given":"Walter C."},{"family":"Yeager","given":"Meredith"},{"family":"Chanock","given":"Stephen J."},{"family":"Trichopoulos","given":"Dimitrios"},{"family":"Kolonel","given":"Laurence N."},{"family":"Kraft","given":"Peter"},{"family":"Albanes","given":"Demetrius"}],"issued":{"date-parts":[["2013",4]]}}}],"schema":"https://github.com/citation-style-language/schema/raw/master/csl-citation.json"} </w:instrText>
      </w:r>
      <w:r w:rsidRPr="001F1589">
        <w:rPr>
          <w:color w:val="000000" w:themeColor="text1"/>
        </w:rPr>
        <w:fldChar w:fldCharType="separate"/>
      </w:r>
      <w:r w:rsidR="00A0460F" w:rsidRPr="00A0460F">
        <w:rPr>
          <w:color w:val="000000"/>
          <w:vertAlign w:val="superscript"/>
        </w:rPr>
        <w:t>31</w:t>
      </w:r>
      <w:r w:rsidRPr="001F1589">
        <w:rPr>
          <w:color w:val="000000" w:themeColor="text1"/>
        </w:rPr>
        <w:fldChar w:fldCharType="end"/>
      </w:r>
      <w:r w:rsidRPr="001F1589">
        <w:rPr>
          <w:color w:val="000000" w:themeColor="text1"/>
        </w:rPr>
        <w:t xml:space="preserve"> </w:t>
      </w:r>
      <w:r>
        <w:rPr>
          <w:color w:val="000000" w:themeColor="text1"/>
        </w:rPr>
        <w:t xml:space="preserve">which might </w:t>
      </w:r>
      <w:r w:rsidRPr="001F1589">
        <w:rPr>
          <w:color w:val="000000" w:themeColor="text1"/>
        </w:rPr>
        <w:t>merely reflect metabolic events, molecular or immunological alterations relevant to prostate cancer risk.</w:t>
      </w:r>
      <w:r w:rsidRPr="001F1589">
        <w:rPr>
          <w:color w:val="000000" w:themeColor="text1"/>
          <w:lang w:val="en-GB"/>
        </w:rPr>
        <w:t xml:space="preserve"> </w:t>
      </w:r>
      <w:r w:rsidR="00B3500F">
        <w:rPr>
          <w:color w:val="000000" w:themeColor="text1"/>
        </w:rPr>
        <w:lastRenderedPageBreak/>
        <w:t xml:space="preserve">Our MR found no </w:t>
      </w:r>
      <w:r w:rsidRPr="001F1589">
        <w:rPr>
          <w:color w:val="000000" w:themeColor="text1"/>
        </w:rPr>
        <w:t>evidence of an association between genetically predicated 25(OH)D concentration and risk of overall or advanced prostate cancer.</w:t>
      </w:r>
    </w:p>
    <w:p w14:paraId="145D343F" w14:textId="02A84C46" w:rsidR="00737DF9" w:rsidRPr="001F1589" w:rsidRDefault="00737DF9" w:rsidP="00737DF9">
      <w:pPr>
        <w:spacing w:after="120" w:line="480" w:lineRule="auto"/>
        <w:jc w:val="both"/>
        <w:rPr>
          <w:color w:val="000000" w:themeColor="text1"/>
        </w:rPr>
      </w:pPr>
      <w:r w:rsidRPr="001F1589">
        <w:rPr>
          <w:color w:val="000000" w:themeColor="text1"/>
        </w:rPr>
        <w:t>Our previous MR study did not provide strong evidence of a causal link be</w:t>
      </w:r>
      <w:r>
        <w:rPr>
          <w:color w:val="000000" w:themeColor="text1"/>
        </w:rPr>
        <w:t>tween 25(OH)D and seven cancers</w:t>
      </w:r>
      <w:r w:rsidRPr="001F1589">
        <w:rPr>
          <w:color w:val="000000" w:themeColor="text1"/>
        </w:rPr>
        <w:t>. That study might have been underpowered to identify small effects for some cancers o</w:t>
      </w:r>
      <w:r>
        <w:rPr>
          <w:color w:val="000000" w:themeColor="text1"/>
        </w:rPr>
        <w:t>r</w:t>
      </w:r>
      <w:r w:rsidRPr="001F1589">
        <w:rPr>
          <w:color w:val="000000" w:themeColor="text1"/>
        </w:rPr>
        <w:t xml:space="preserve"> subgroups,</w:t>
      </w:r>
      <w:r w:rsidRPr="001F1589">
        <w:rPr>
          <w:color w:val="000000" w:themeColor="text1"/>
        </w:rPr>
        <w:fldChar w:fldCharType="begin"/>
      </w:r>
      <w:r w:rsidR="00A0460F">
        <w:rPr>
          <w:color w:val="000000" w:themeColor="text1"/>
        </w:rPr>
        <w:instrText xml:space="preserve"> ADDIN ZOTERO_ITEM CSL_CITATION {"citationID":"d8p4qlxZ","properties":{"formattedCitation":"\\super 32\\nosupersub{}","plainCitation":"32","noteIndex":0},"citationItems":[{"id":2843,"uris":["http://zotero.org/users/local/6qce9xwG/items/HXX95ZDD"],"uri":["http://zotero.org/users/local/6qce9xwG/items/HXX95ZDD"],"itemData":{"id":2843,"type":"article-journal","title":"Low vitamin D levels as a risk factor for cancer","container-title":"BMJ (Clinical research ed.)","page":"j4952","volume":"359","source":"PubMed","ISSN":"1756-1833","note":"PMID: 29089329","journalAbbreviation":"BMJ","language":"eng","author":[{"family":"Manousaki","given":"Despoina"},{"family":"Richards","given":"J. Brent"}],"issued":{"date-parts":[["2017"]],"season":"31"}}}],"schema":"https://github.com/citation-style-language/schema/raw/master/csl-citation.json"} </w:instrText>
      </w:r>
      <w:r w:rsidRPr="001F1589">
        <w:rPr>
          <w:color w:val="000000" w:themeColor="text1"/>
        </w:rPr>
        <w:fldChar w:fldCharType="separate"/>
      </w:r>
      <w:r w:rsidR="00A0460F" w:rsidRPr="00A0460F">
        <w:rPr>
          <w:color w:val="000000"/>
          <w:vertAlign w:val="superscript"/>
        </w:rPr>
        <w:t>32</w:t>
      </w:r>
      <w:r w:rsidRPr="001F1589">
        <w:rPr>
          <w:color w:val="000000" w:themeColor="text1"/>
        </w:rPr>
        <w:fldChar w:fldCharType="end"/>
      </w:r>
      <w:r w:rsidRPr="001F1589">
        <w:rPr>
          <w:color w:val="000000" w:themeColor="text1"/>
        </w:rPr>
        <w:t xml:space="preserve"> as a positive association for ovarian cancer was shown in an independent MR with larger sample size.</w:t>
      </w:r>
      <w:r w:rsidRPr="001F1589">
        <w:rPr>
          <w:color w:val="000000" w:themeColor="text1"/>
        </w:rPr>
        <w:fldChar w:fldCharType="begin"/>
      </w:r>
      <w:r w:rsidR="00A0460F">
        <w:rPr>
          <w:color w:val="000000" w:themeColor="text1"/>
        </w:rPr>
        <w:instrText xml:space="preserve"> ADDIN ZOTERO_ITEM CSL_CITATION {"citationID":"fpwp6BIa","properties":{"formattedCitation":"\\super 33\\nosupersub{}","plainCitation":"33","noteIndex":0},"citationItems":[{"id":2761,"uris":["http://zotero.org/users/local/6qce9xwG/items/A2Q67RXU"],"uri":["http://zotero.org/users/local/6qce9xwG/items/A2Q67RXU"],"itemData":{"id":2761,"type":"article-journal","title":"Association of vitamin D levels and risk of ovarian cancer: a Mendelian randomization study","container-title":"International Journal of Epidemiology","page":"1619-1630","volume":"45","issue":"5","source":"PubMed","abstract":"BACKGROUND: In vitro and observational epidemiological studies suggest that vitamin D may play a role in cancer prevention. However, the relationship between vitamin D and ovarian cancer is uncertain, with observational studies generating conflicting findings. A potential limitation of observational studies is inadequate control of confounding. To overcome this problem, we used Mendelian randomization (MR) to evaluate the association between single nucleotide polymorphisms (SNPs) associated with circulating 25-hydroxyvitamin D [25(OH)D] concentration and risk of ovarian cancer.\nMETHODS: We employed SNPs with well-established associations with 25(OH)D concentration as instrumental variables for MR: rs7944926 (DHCR7), rs12794714 (CYP2R1) and rs2282679 (GC). We included 31 719 women of European ancestry (10 065 cases, 21 654 controls) from the Ovarian Cancer Association Consortium, who were genotyped using customized Illumina Infinium iSelect (iCOGS) arrays. A two-sample (summary data) MR approach was used and analyses were performed separately for all ovarian cancer (10 065 cases) and for high-grade serous ovarian cancer (4121 cases).\nRESULTS: The odds ratio for epithelial ovarian cancer risk (10 065 cases) estimated by combining the individual SNP associations using inverse variance weighting was 1.27 (95% confidence interval: 1.06 to 1.51) per 20 nmol/L decrease in 25(OH)D concentration. The estimated odds ratio for high-grade serous epithelial ovarian cancer (4121 cases) was 1.54 (1.19, 2.01).\nCONCLUSIONS: Genetically lowered 25-hydroxyvitamin D concentrations were associated with higher ovarian cancer susceptibility in Europeans. These findings suggest that increasing plasma vitamin D levels may reduce risk of ovarian cancer.","DOI":"10.1093/ije/dyw207","ISSN":"1464-3685","note":"PMID: 27594614\nPMCID: PMC5100621","shortTitle":"Association of vitamin D levels and risk of ovarian cancer","journalAbbreviation":"Int J Epidemiol","language":"eng","author":[{"family":"Ong","given":"Jue-Sheng"},{"family":"Cuellar-Partida","given":"Gabriel"},{"family":"Lu","given":"Yi"},{"literal":"Australian Ovarian Cancer Study"},{"family":"Fasching","given":"Peter A."},{"family":"Hein","given":"Alexander"},{"family":"Burghaus","given":"Stefanie"},{"family":"Beckmann","given":"Matthias W."},{"family":"Lambrechts","given":"Diether"},{"family":"Van Nieuwenhuysen","given":"Els"},{"family":"Vergote","given":"Ignace"},{"family":"Vanderstichele","given":"Adriaan"},{"family":"Anne Doherty","given":"Jennifer"},{"family":"Anne Rossing","given":"Mary"},{"family":"Chang-Claude","given":"Jenny"},{"family":"Eilber","given":"Ursula"},{"family":"Rudolph","given":"Anja"},{"family":"Wang-Gohrke","given":"Shan"},{"family":"Goodman","given":"Marc T."},{"family":"Bogdanova","given":"Natalia"},{"family":"Dörk","given":"Thilo"},{"family":"Dürst","given":"Matthias"},{"family":"Hillemanns","given":"Peter"},{"family":"Runnebaum","given":"Ingo B."},{"family":"Antonenkova","given":"Natalia"},{"family":"Butzow","given":"Ralf"},{"family":"Leminen","given":"Arto"},{"family":"Nevanlinna","given":"Heli"},{"family":"Pelttari","given":"Liisa M."},{"family":"Edwards","given":"Robert P."},{"family":"Kelley","given":"Joseph L."},{"family":"Modugno","given":"Francesmary"},{"family":"Moysich","given":"Kirsten B."},{"family":"Ness","given":"Roberta B."},{"family":"Cannioto","given":"Rikki"},{"family":"Høgdall","given":"Estrid"},{"family":"Høgdall","given":"Claus K."},{"family":"Jensen","given":"Allan"},{"family":"Giles","given":"Graham G."},{"family":"Bruinsma","given":"Fiona"},{"family":"Kjaer","given":"Susanne K."},{"family":"Hildebrandt","given":"Michelle At"},{"family":"Liang","given":"Dong"},{"family":"Lu","given":"Karen H."},{"family":"Wu","given":"Xifeng"},{"family":"Bisogna","given":"Maria"},{"family":"Dao","given":"Fanny"},{"family":"Levine","given":"Douglas A."},{"family":"Cramer","given":"Daniel W."},{"family":"Terry","given":"Kathryn L."},{"family":"Tworoger","given":"Shelley S."},{"family":"Stampfer","given":"Meir"},{"family":"Missmer","given":"Stacey"},{"family":"Bjorge","given":"Line"},{"family":"Salvesen","given":"Helga B."},{"family":"Kopperud","given":"Reidun K."},{"family":"Bischof","given":"Katharina"},{"family":"Aben","given":"Katja Kh"},{"family":"Kiemeney","given":"Lambertus A."},{"family":"Massuger","given":"Leon Fag"},{"family":"Brooks-Wilson","given":"Angela"},{"family":"Olson","given":"Sara H."},{"family":"McGuire","given":"Valerie"},{"family":"Rothstein","given":"Joseph H."},{"family":"Sieh","given":"Weiva"},{"family":"Whittemore","given":"Alice S."},{"family":"Cook","given":"Linda S."},{"family":"Le","given":"Nhu D."},{"family":"Gilks","given":"C. Blake"},{"family":"Gronwald","given":"Jacek"},{"family":"Jakubowska","given":"Anna"},{"family":"Lubiński","given":"Jan"},{"family":"Kluz","given":"Tomasz"},{"family":"Song","given":"Honglin"},{"family":"Tyrer","given":"Jonathan P."},{"family":"Wentzensen","given":"Nicolas"},{"family":"Brinton","given":"Louise"},{"family":"Trabert","given":"Britton"},{"family":"Lissowska","given":"Jolanta"},{"family":"McLaughlin","given":"John R."},{"family":"Narod","given":"Steven A."},{"family":"Phelan","given":"Catherine"},{"family":"Anton-Culver","given":"Hoda"},{"family":"Ziogas","given":"Argyrios"},{"family":"Eccles","given":"Diana"},{"family":"Campbell","given":"Ian"},{"family":"Gayther","given":"Simon A."},{"family":"Gentry-Maharaj","given":"Aleksandra"},{"family":"Menon","given":"Usha"},{"family":"Ramus","given":"Susan J."},{"family":"Wu","given":"Anna H."},{"family":"Dansonka-Mieszkowska","given":"Agnieszka"},{"family":"Kupryjanczyk","given":"Jolanta"},{"family":"Timorek","given":"Agnieszka"},{"family":"Szafron","given":"Lukasz"},{"family":"Cunningham","given":"Julie M."},{"family":"Fridley","given":"Brooke L."},{"family":"Winham","given":"Stacey J."},{"family":"Bandera","given":"Elisa V."},{"family":"Poole","given":"Elizabeth M."},{"family":"Morgan","given":"Terry K."},{"family":"Risch","given":"Harvey A."},{"family":"Goode","given":"Ellen L."},{"family":"Schildkraut","given":"Joellen M."},{"family":"Pearce","given":"Celeste L."},{"family":"Berchuck","given":"Andrew"},{"family":"Pharoah","given":"Paul Dp"},{"family":"Chenevix-Trench","given":"Georgia"},{"family":"Gharahkhani","given":"Puya"},{"family":"Neale","given":"Rachel E."},{"family":"Webb","given":"Penelope M."},{"family":"MacGregor","given":"Stuart"}],"issued":{"date-parts":[["2016"]]}}}],"schema":"https://github.com/citation-style-language/schema/raw/master/csl-citation.json"} </w:instrText>
      </w:r>
      <w:r w:rsidRPr="001F1589">
        <w:rPr>
          <w:color w:val="000000" w:themeColor="text1"/>
        </w:rPr>
        <w:fldChar w:fldCharType="separate"/>
      </w:r>
      <w:r w:rsidR="00A0460F" w:rsidRPr="00A0460F">
        <w:rPr>
          <w:color w:val="000000"/>
          <w:vertAlign w:val="superscript"/>
        </w:rPr>
        <w:t>33</w:t>
      </w:r>
      <w:r w:rsidRPr="001F1589">
        <w:rPr>
          <w:color w:val="000000" w:themeColor="text1"/>
        </w:rPr>
        <w:fldChar w:fldCharType="end"/>
      </w:r>
      <w:r w:rsidRPr="001F1589">
        <w:rPr>
          <w:color w:val="000000" w:themeColor="text1"/>
        </w:rPr>
        <w:t xml:space="preserve"> Insufficient power is a common limitation of MR studies, because the genetic variants usually explain a modest proportion of phenotypic variance. The four previously reported vitamin D associated SNPs could only explain 3.6%-5.2% of the variance of 25(OH)D;</w:t>
      </w:r>
      <w:r w:rsidRPr="001F1589">
        <w:rPr>
          <w:color w:val="000000" w:themeColor="text1"/>
        </w:rPr>
        <w:fldChar w:fldCharType="begin"/>
      </w:r>
      <w:r w:rsidR="00A0460F">
        <w:rPr>
          <w:color w:val="000000" w:themeColor="text1"/>
        </w:rPr>
        <w:instrText xml:space="preserve"> ADDIN ZOTERO_ITEM CSL_CITATION {"citationID":"J3FkoFnO","properties":{"formattedCitation":"\\super 10,34\\nosupersub{}","plainCitation":"10,34","noteIndex":0},"citationItems":[{"id":223,"uris":["http://zotero.org/users/local/6qce9xwG/items/VM226DBE"],"uri":["http://zotero.org/users/local/6qce9xwG/items/VM226DBE"],"itemData":{"id":223,"type":"article-journal","title":"Common genetic determinants of vitamin D insufficiency: a genome-wide association study","container-title":"Lancet (London, England)","page":"180-188","volume":"376","issue":"9736","source":"PubMed","abstract":"BACKGROUND: Vitamin D is crucial for maintenance of musculoskeletal health, and might also have a role in extraskeletal tissues. Determinants of circulating 25-hydroxyvitamin D concentrations include sun exposure and diet, but high heritability suggests that genetic factors could also play a part. We aimed to identify common genetic variants affecting vitamin D concentrations and risk of insufficiency.\nMETHODS: We undertook a genome-wide association study of 25-hydroxyvitamin D concentrations in 33 996 individuals of European descent from 15 cohorts. Five epidemiological cohorts were designated as discovery cohorts (n=16 125), five as in-silico replication cohorts (n=9367), and five as de-novo replication cohorts (n=8504). 25-hydroxyvitamin D concentrations were measured by radioimmunoassay, chemiluminescent assay, ELISA, or mass spectrometry. Vitamin D insufficiency was defined as concentrations lower than 75 nmol/L or 50 nmol/L. We combined results of genome-wide analyses across cohorts using Z-score-weighted meta-analysis. Genotype scores were constructed for confirmed variants.\nFINDINGS: Variants at three loci reached genome-wide significance in discovery cohorts for association with 25-hydroxyvitamin D concentrations, and were confirmed in replication cohorts: 4p12 (overall p=1.9x10(-109) for rs2282679, in GC); 11q12 (p=2.1x10(-27) for rs12785878, near DHCR7); and 11p15 (p=3.3x10(-20) for rs10741657, near CYP2R1). Variants at an additional locus (20q13, CYP24A1) were genome-wide significant in the pooled sample (p=6.0x10(-10) for rs6013897). Participants with a genotype score (combining the three confirmed variants) in the highest quartile were at increased risk of having 25-hydroxyvitamin D concentrations lower than 75 nmol/L (OR 2.47, 95% CI 2.20-2.78, p=2.3x10(-48)) or lower than 50 nmol/L (1.92, 1.70-2.16, p=1.0x10(-26)) compared with those in the lowest quartile.\nINTERPRETATION: Variants near genes involved in cholesterol synthesis, hydroxylation, and vitamin D transport affect vitamin D status. Genetic variation at these loci identifies individuals who have substantially raised risk of vitamin D insufficiency.\nFUNDING: Full funding sources listed at end of paper (see Acknowledgments).","DOI":"10.1016/S0140-6736(10)60588-0","ISSN":"1474-547X","note":"PMID: 20541252\nPMCID: PMC3086761","shortTitle":"Common genetic determinants of vitamin D insufficiency","journalAbbreviation":"Lancet","language":"ENG","author":[{"family":"Wang","given":"Thomas J."},{"family":"Zhang","given":"Feng"},{"family":"Richards","given":"J. Brent"},{"family":"Kestenbaum","given":"Bryan"},{"family":"Meurs","given":"Joyce B.","non-dropping-particle":"van"},{"family":"Berry","given":"Diane"},{"family":"Kiel","given":"Douglas P."},{"family":"Streeten","given":"Elizabeth A."},{"family":"Ohlsson","given":"Claes"},{"family":"Koller","given":"Daniel L."},{"family":"Peltonen","given":"Leena"},{"family":"Cooper","given":"Jason D."},{"family":"O'Reilly","given":"Paul F."},{"family":"Houston","given":"Denise K."},{"family":"Glazer","given":"Nicole L."},{"family":"Vandenput","given":"Liesbeth"},{"family":"Peacock","given":"Munro"},{"family":"Shi","given":"Julia"},{"family":"Rivadeneira","given":"Fernando"},{"family":"McCarthy","given":"Mark I."},{"family":"Anneli","given":"Pouta"},{"family":"Boer","given":"Ian H.","non-dropping-particle":"de"},{"family":"Mangino","given":"Massimo"},{"family":"Kato","given":"Bernet"},{"family":"Smyth","given":"Deborah J."},{"family":"Booth","given":"Sarah L."},{"family":"Jacques","given":"Paul F."},{"family":"Burke","given":"Greg L."},{"family":"Goodarzi","given":"Mark"},{"family":"Cheung","given":"Ching-Lung"},{"family":"Wolf","given":"Myles"},{"family":"Rice","given":"Kenneth"},{"family":"Goltzman","given":"David"},{"family":"Hidiroglou","given":"Nick"},{"family":"Ladouceur","given":"Martin"},{"family":"Wareham","given":"Nicholas J."},{"family":"Hocking","given":"Lynne J."},{"family":"Hart","given":"Deborah"},{"family":"Arden","given":"Nigel K."},{"family":"Cooper","given":"Cyrus"},{"family":"Malik","given":"Suneil"},{"family":"Fraser","given":"William D."},{"family":"Hartikainen","given":"Anna-Liisa"},{"family":"Zhai","given":"Guangju"},{"family":"Macdonald","given":"Helen M."},{"family":"Forouhi","given":"Nita G."},{"family":"Loos","given":"Ruth J. F."},{"family":"Reid","given":"David M."},{"family":"Hakim","given":"Alan"},{"family":"Dennison","given":"Elaine"},{"family":"Liu","given":"Yongmei"},{"family":"Power","given":"Chris"},{"family":"Stevens","given":"Helen E."},{"family":"Jaana","given":"Laitinen"},{"family":"Vasan","given":"Ramachandran S."},{"family":"Soranzo","given":"Nicole"},{"family":"Bojunga","given":"Jörg"},{"family":"Psaty","given":"Bruce M."},{"family":"Lorentzon","given":"Mattias"},{"family":"Foroud","given":"Tatiana"},{"family":"Harris","given":"Tamara B."},{"family":"Hofman","given":"Albert"},{"family":"Jansson","given":"John-Olov"},{"family":"Cauley","given":"Jane A."},{"family":"Uitterlinden","given":"Andre G."},{"family":"Gibson","given":"Quince"},{"family":"Järvelin","given":"Marjo-Riitta"},{"family":"Karasik","given":"David"},{"family":"Siscovick","given":"David S."},{"family":"Econs","given":"Michael J."},{"family":"Kritchevsky","given":"Stephen B."},{"family":"Florez","given":"Jose C."},{"family":"Todd","given":"John A."},{"family":"Dupuis","given":"Josee"},{"family":"Hyppönen","given":"Elina"},{"family":"Spector","given":"Timothy D."}],"issued":{"date-parts":[["2010",7,17]]}}},{"id":229,"uris":["http://zotero.org/users/local/6qce9xwG/items/Z4UHATWA"],"uri":["http://zotero.org/users/local/6qce9xwG/items/Z4UHATWA"],"itemData":{"id":229,"type":"article-journal","title":"Genome-wide association study of circulating vitamin D levels","container-title":"Human Molecular Genetics","page":"2739-2745","volume":"19","issue":"13","source":"PubMed","abstract":"The primary circulating form of vitamin D, 25-hydroxy-vitamin D [25(OH)D], is associated with multiple medical outcomes, including rickets, osteoporosis, multiple sclerosis and cancer. In a genome-wide association study (GWAS) of 4501 persons of European ancestry drawn from five cohorts, we identified single-nucleotide polymorphisms (SNPs) in the gene encoding group-specific component (vitamin D binding) protein, GC, on chromosome 4q12-13 that were associated with 25(OH)D concentrations: rs2282679 (P=2.0x10(-30)), in linkage disequilibrium (LD) with rs7041, a non-synonymous SNP (D432E; P=4.1x10(-22)) and rs1155563 (P=3.8x10(-25)). Suggestive signals for association with 25(OH)D were also observed for SNPs in or near three other genes involved in vitamin D synthesis or activation: rs3829251 on chromosome 11q13.4 in NADSYN1 [encoding nicotinamide adenine dinucleotide (NAD) synthetase; P=8.8x10(-7)], which was in high LD with rs1790349, located in DHCR7, the gene encoding 7-dehydrocholesterol reductase that synthesizes cholesterol from 7-dehydrocholesterol; rs6599638 in the region harboring the open-reading frame 88 (C10orf88) on chromosome 10q26.13 in the vicinity of ACADSB (acyl-Coenzyme A dehydrogenase), involved in cholesterol and vitamin D synthesis (P=3.3x10(-7)); and rs2060793 on chromosome 11p15.2 in CYP2R1 (cytochrome P450, family 2, subfamily R, polypeptide 1, encoding a key C-25 hydroxylase that converts vitamin D3 to an active vitamin D receptor ligand; P=1.4x10(-5)). We genotyped SNPs in these four regions in 2221 additional samples and confirmed strong genome-wide significant associations with 25(OH)D through meta-analysis with the GWAS data for GC (P=1.8x10(-49)), NADSYN1/DHCR7 (P=3.4x10(-9)) and CYP2R1 (P=2.9x10(-17)), but not C10orf88 (P=2.4x10(-5)).","DOI":"10.1093/hmg/ddq155","ISSN":"1460-2083","note":"PMID: 20418485\nPMCID: PMC2883344","journalAbbreviation":"Hum. Mol. Genet.","language":"ENG","author":[{"family":"Ahn","given":"Jiyoung"},{"family":"Yu","given":"Kai"},{"family":"Stolzenberg-Solomon","given":"Rachael"},{"family":"Simon","given":"K. Claire"},{"family":"McCullough","given":"Marjorie L."},{"family":"Gallicchio","given":"Lisa"},{"family":"Jacobs","given":"Eric J."},{"family":"Ascherio","given":"Alberto"},{"family":"Helzlsouer","given":"Kathy"},{"family":"Jacobs","given":"Kevin B."},{"family":"Li","given":"Qizhai"},{"family":"Weinstein","given":"Stephanie J."},{"family":"Purdue","given":"Mark"},{"family":"Virtamo","given":"Jarmo"},{"family":"Horst","given":"Ronald"},{"family":"Wheeler","given":"William"},{"family":"Chanock","given":"Stephen"},{"family":"Hunter","given":"David J."},{"family":"Hayes","given":"Richard B."},{"family":"Kraft","given":"Peter"},{"family":"Albanes","given":"Demetrius"}],"issued":{"date-parts":[["2010",7,1]]}}}],"schema":"https://github.com/citation-style-language/schema/raw/master/csl-citation.json"} </w:instrText>
      </w:r>
      <w:r w:rsidRPr="001F1589">
        <w:rPr>
          <w:color w:val="000000" w:themeColor="text1"/>
        </w:rPr>
        <w:fldChar w:fldCharType="separate"/>
      </w:r>
      <w:r w:rsidR="00A0460F" w:rsidRPr="00A0460F">
        <w:rPr>
          <w:color w:val="000000"/>
          <w:vertAlign w:val="superscript"/>
        </w:rPr>
        <w:t>10,34</w:t>
      </w:r>
      <w:r w:rsidRPr="001F1589">
        <w:rPr>
          <w:color w:val="000000" w:themeColor="text1"/>
        </w:rPr>
        <w:fldChar w:fldCharType="end"/>
      </w:r>
      <w:r w:rsidRPr="001F1589">
        <w:rPr>
          <w:color w:val="000000" w:themeColor="text1"/>
        </w:rPr>
        <w:t xml:space="preserve"> and the six vitamin D associated SNPs identified by us, could only explain 2.84% out of the 7.5% overall SNP-heritability calculated using the linkage disequilibrium score regression analysis.</w:t>
      </w:r>
      <w:r w:rsidRPr="001F1589">
        <w:rPr>
          <w:color w:val="000000" w:themeColor="text1"/>
        </w:rPr>
        <w:fldChar w:fldCharType="begin"/>
      </w:r>
      <w:r w:rsidRPr="001F1589">
        <w:rPr>
          <w:color w:val="000000" w:themeColor="text1"/>
        </w:rPr>
        <w:instrText xml:space="preserve"> ADDIN ZOTERO_ITEM CSL_CITATION {"citationID":"c939jDs3","properties":{"formattedCitation":"\\super 11\\nosupersub{}","plainCitation":"11","noteIndex":0},"citationItems":[{"id":2703,"uris":["http://zotero.org/users/local/6qce9xwG/items/LXC6GV3P"],"uri":["http://zotero.org/users/local/6qce9xwG/items/LXC6GV3P"],"itemData":{"id":2703,"type":"article-journal","title":"Genome-wide association study in 79,366 European-ancestry individuals informs the genetic architecture of 25-hydroxyvitamin D levels","container-title":"Nature Communications","page":"260","volume":"9","issue":"1","source":"PubMed","abstract":"Vitamin D is a steroid hormone precursor that is associated with a range of human traits and diseases. Previous GWAS of serum 25-hydroxyvitamin D concentrations have identified four genome-wide significant loci (GC, NADSYN1/DHCR7, CYP2R1, CYP24A1). In this study, we expand the previous SUNLIGHT Consortium GWAS discovery sample size from 16,125 to 79,366 (all European descent). This larger GWAS yields two additional loci harboring genome-wide significant variants (P = 4.7×10-9 at rs8018720 in SEC23A, and P = 1.9×10-14 at rs10745742 in AMDHD1). The overall estimate of heritability of 25-hydroxyvitamin D serum concentrations attributable to GWAS common SNPs is 7.5%, with statistically significant loci explaining 38% of this total. Further investigation identifies signal enrichment in immune and hematopoietic tissues, and clustering with autoimmune diseases in cell-type-specific analysis. Larger studies are required to identify additional common SNPs, and to explore the role of rare or structural variants and gene-gene interactions in the heritability of circulating 25-hydroxyvitamin D levels.","DOI":"10.1038/s41467-017-02662-2","ISSN":"2041-1723","note":"PMID: 29343764\nPMCID: PMC5772647","journalAbbreviation":"Nat Commun","language":"eng","author":[{"family":"Jiang","given":"Xia"},{"family":"O'Reilly","given":"Paul F."},{"family":"Aschard","given":"Hugues"},{"family":"Hsu","given":"Yi-Hsiang"},{"family":"Richards","given":"J. Brent"},{"family":"Dupuis","given":"Josée"},{"family":"Ingelsson","given":"Erik"},{"family":"Karasik","given":"David"},{"family":"Pilz","given":"Stefan"},{"family":"Berry","given":"Diane"},{"family":"Kestenbaum","given":"Bryan"},{"family":"Zheng","given":"Jusheng"},{"family":"Luan","given":"Jianan"},{"family":"Sofianopoulou","given":"Eleni"},{"family":"Streeten","given":"Elizabeth A."},{"family":"Albanes","given":"Demetrius"},{"family":"Lutsey","given":"Pamela L."},{"family":"Yao","given":"Lu"},{"family":"Tang","given":"Weihong"},{"family":"Econs","given":"Michael J."},{"family":"Wallaschofski","given":"Henri"},{"family":"Völzke","given":"Henry"},{"family":"Zhou","given":"Ang"},{"family":"Power","given":"Chris"},{"family":"McCarthy","given":"Mark I."},{"family":"Michos","given":"Erin D."},{"family":"Boerwinkle","given":"Eric"},{"family":"Weinstein","given":"Stephanie J."},{"family":"Freedman","given":"Neal D."},{"family":"Huang","given":"Wen-Yi"},{"family":"Van Schoor","given":"Natasja M."},{"family":"Velde","given":"Nathalie","non-dropping-particle":"van der"},{"family":"Groot","given":"Lisette C. P. G. M.","dropping-particle":"de"},{"family":"Enneman","given":"Anke"},{"family":"Cupples","given":"L. Adrienne"},{"family":"Booth","given":"Sarah L."},{"family":"Vasan","given":"Ramachandran S."},{"family":"Liu","given":"Ching-Ti"},{"family":"Zhou","given":"Yanhua"},{"family":"Ripatti","given":"Samuli"},{"family":"Ohlsson","given":"Claes"},{"family":"Vandenput","given":"Liesbeth"},{"family":"Lorentzon","given":"Mattias"},{"family":"Eriksson","given":"Johan G."},{"family":"Shea","given":"M. Kyla"},{"family":"Houston","given":"Denise K."},{"family":"Kritchevsky","given":"Stephen B."},{"family":"Liu","given":"Yongmei"},{"family":"Lohman","given":"Kurt K."},{"family":"Ferrucci","given":"Luigi"},{"family":"Peacock","given":"Munro"},{"family":"Gieger","given":"Christian"},{"family":"Beekman","given":"Marian"},{"family":"Slagboom","given":"Eline"},{"family":"Deelen","given":"Joris"},{"family":"Heemst","given":"Diana","dropping-particle":"van"},{"family":"Kleber","given":"Marcus E."},{"family":"März","given":"Winfried"},{"family":"Boer","given":"Ian H.","non-dropping-particle":"de"},{"family":"Wood","given":"Alexis C."},{"family":"Rotter","given":"Jerome I."},{"family":"Rich","given":"Stephen S."},{"family":"Robinson-Cohen","given":"Cassianne"},{"family":"Heijer","given":"Martin","non-dropping-particle":"den"},{"family":"Jarvelin","given":"Marjo-Riitta"},{"family":"Cavadino","given":"Alana"},{"family":"Joshi","given":"Peter K."},{"family":"Wilson","given":"James F."},{"family":"Hayward","given":"Caroline"},{"family":"Lind","given":"Lars"},{"family":"Michaëlsson","given":"Karl"},{"family":"Trompet","given":"Stella"},{"family":"Zillikens","given":"M. Carola"},{"family":"Uitterlinden","given":"Andre G."},{"family":"Rivadeneira","given":"Fernando"},{"family":"Broer","given":"Linda"},{"family":"Zgaga","given":"Lina"},{"family":"Campbell","given":"Harry"},{"family":"Theodoratou","given":"Evropi"},{"family":"Farrington","given":"Susan M."},{"family":"Timofeeva","given":"Maria"},{"family":"Dunlop","given":"Malcolm G."},{"family":"Valdes","given":"Ana M."},{"family":"Tikkanen","given":"Emmi"},{"family":"Lehtimäki","given":"Terho"},{"family":"Lyytikäinen","given":"Leo-Pekka"},{"family":"Kähönen","given":"Mika"},{"family":"Raitakari","given":"Olli T."},{"family":"Mikkilä","given":"Vera"},{"family":"Ikram","given":"M. Arfan"},{"family":"Sattar","given":"Naveed"},{"family":"Jukema","given":"J. Wouter"},{"family":"Wareham","given":"Nicholas J."},{"family":"Langenberg","given":"Claudia"},{"family":"Forouhi","given":"Nita G."},{"family":"Gundersen","given":"Thomas E."},{"family":"Khaw","given":"Kay-Tee"},{"family":"Butterworth","given":"Adam S."},{"family":"Danesh","given":"John"},{"family":"Spector","given":"Timothy"},{"family":"Wang","given":"Thomas J."},{"family":"Hyppönen","given":"Elina"},{"family":"Kraft","given":"Peter"},{"family":"Kiel","given":"Douglas P."}],"issued":{"date-parts":[["2018",1,17]]}}}],"schema":"https://github.com/citation-style-language/schema/raw/master/csl-citation.json"} </w:instrText>
      </w:r>
      <w:r w:rsidRPr="001F1589">
        <w:rPr>
          <w:color w:val="000000" w:themeColor="text1"/>
        </w:rPr>
        <w:fldChar w:fldCharType="separate"/>
      </w:r>
      <w:r w:rsidR="00A31D70" w:rsidRPr="00A31D70">
        <w:rPr>
          <w:color w:val="000000"/>
          <w:vertAlign w:val="superscript"/>
        </w:rPr>
        <w:t>11</w:t>
      </w:r>
      <w:r w:rsidRPr="001F1589">
        <w:rPr>
          <w:color w:val="000000" w:themeColor="text1"/>
        </w:rPr>
        <w:fldChar w:fldCharType="end"/>
      </w:r>
      <w:r w:rsidRPr="001F1589">
        <w:rPr>
          <w:color w:val="000000" w:themeColor="text1"/>
        </w:rPr>
        <w:t xml:space="preserve"> Although improvement in the proportion of variability explained by </w:t>
      </w:r>
      <w:r>
        <w:rPr>
          <w:color w:val="000000" w:themeColor="text1"/>
        </w:rPr>
        <w:t>IVs</w:t>
      </w:r>
      <w:r w:rsidRPr="001F1589">
        <w:rPr>
          <w:color w:val="000000" w:themeColor="text1"/>
        </w:rPr>
        <w:t xml:space="preserve"> was minimal, our overall statistical power was considerably raised, using data from substantially augmented GWASs</w:t>
      </w:r>
      <w:r w:rsidRPr="001F1589">
        <w:rPr>
          <w:color w:val="000000" w:themeColor="text1"/>
          <w:lang w:val="en-GB"/>
        </w:rPr>
        <w:t xml:space="preserve"> </w:t>
      </w:r>
      <w:r w:rsidRPr="001F1589">
        <w:rPr>
          <w:color w:val="000000" w:themeColor="text1"/>
        </w:rPr>
        <w:t xml:space="preserve">of breast and prostate cancer. We had 80% power at an alpha level of 0.05 to identify a 7% relative decreased breast cancer risk (i.e. an OR of 0.93) and an </w:t>
      </w:r>
      <w:r w:rsidRPr="001F1589">
        <w:rPr>
          <w:color w:val="000000" w:themeColor="text1"/>
          <w:lang w:val="en-GB"/>
        </w:rPr>
        <w:t>8</w:t>
      </w:r>
      <w:r w:rsidRPr="001F1589">
        <w:rPr>
          <w:color w:val="000000" w:themeColor="text1"/>
        </w:rPr>
        <w:t>% relative decreased prostate cancer risk (i.e. an OR of 0.9</w:t>
      </w:r>
      <w:r w:rsidRPr="001F1589">
        <w:rPr>
          <w:color w:val="000000" w:themeColor="text1"/>
          <w:lang w:val="en-GB"/>
        </w:rPr>
        <w:t>2</w:t>
      </w:r>
      <w:r>
        <w:rPr>
          <w:color w:val="000000" w:themeColor="text1"/>
        </w:rPr>
        <w:t>) per 25</w:t>
      </w:r>
      <w:r w:rsidRPr="001F1589">
        <w:rPr>
          <w:color w:val="000000" w:themeColor="text1"/>
        </w:rPr>
        <w:t>nmol/L increase in 25(OH)D. These effect sizes</w:t>
      </w:r>
      <w:r w:rsidRPr="001F1589">
        <w:rPr>
          <w:color w:val="000000" w:themeColor="text1"/>
          <w:lang w:val="en-GB"/>
        </w:rPr>
        <w:t xml:space="preserve"> </w:t>
      </w:r>
      <w:r w:rsidRPr="001F1589">
        <w:rPr>
          <w:color w:val="000000" w:themeColor="text1"/>
        </w:rPr>
        <w:t>are comparable to the effects observed in meta-analyses of prospective studies for both cancers. However, it is likely that the true causal effect of 25(OH)D is even weaker – if the true causal effect was less than 3%, a magnitude that is probably of limited clinical relevance – we only had a power of 23% for breast cancer, and 15% for prostate cancer, with our current sample size.</w:t>
      </w:r>
    </w:p>
    <w:p w14:paraId="63A2A0E7" w14:textId="595A3878" w:rsidR="00AD30BB" w:rsidRDefault="00737DF9" w:rsidP="00737DF9">
      <w:pPr>
        <w:spacing w:after="120" w:line="480" w:lineRule="auto"/>
        <w:jc w:val="both"/>
        <w:rPr>
          <w:color w:val="000000" w:themeColor="text1"/>
        </w:rPr>
      </w:pPr>
      <w:r>
        <w:rPr>
          <w:color w:val="000000" w:themeColor="text1"/>
        </w:rPr>
        <w:t xml:space="preserve">MR </w:t>
      </w:r>
      <w:r w:rsidRPr="001F1589">
        <w:rPr>
          <w:color w:val="000000" w:themeColor="text1"/>
        </w:rPr>
        <w:t>provides the opportunity to make causal inference between an exposure and an outcome using observational data. The validity of causal estimates requires several assumptions</w:t>
      </w:r>
      <w:r>
        <w:rPr>
          <w:color w:val="000000" w:themeColor="text1"/>
        </w:rPr>
        <w:t xml:space="preserve"> to be satisfied. W</w:t>
      </w:r>
      <w:r w:rsidRPr="001F1589">
        <w:rPr>
          <w:color w:val="000000" w:themeColor="text1"/>
        </w:rPr>
        <w:t xml:space="preserve">e selected the most significant independent SNPs identified by the largest 25(OH)D GWAS, so all were robustly associated with the exposure of interest. The six variants combined constitute a </w:t>
      </w:r>
      <w:r w:rsidRPr="001F1589">
        <w:rPr>
          <w:color w:val="000000" w:themeColor="text1"/>
        </w:rPr>
        <w:lastRenderedPageBreak/>
        <w:t>strong instrument, with an</w:t>
      </w:r>
      <w:r w:rsidRPr="001F1589">
        <w:rPr>
          <w:i/>
          <w:color w:val="000000" w:themeColor="text1"/>
        </w:rPr>
        <w:t xml:space="preserve"> F</w:t>
      </w:r>
      <w:r w:rsidRPr="001F1589">
        <w:rPr>
          <w:color w:val="000000" w:themeColor="text1"/>
        </w:rPr>
        <w:t xml:space="preserve"> statistic of 387. </w:t>
      </w:r>
      <w:r w:rsidRPr="001F1589">
        <w:rPr>
          <w:color w:val="000000" w:themeColor="text1"/>
          <w:lang w:val="en-GB"/>
        </w:rPr>
        <w:t xml:space="preserve">This would </w:t>
      </w:r>
      <w:r w:rsidRPr="001F1589">
        <w:rPr>
          <w:color w:val="000000" w:themeColor="text1"/>
        </w:rPr>
        <w:t xml:space="preserve">minimize any bias due to using a weak instrument in the analysis. Secondly, none of the six instrumental variables </w:t>
      </w:r>
      <w:r w:rsidR="00EA5DAE" w:rsidRPr="00EA5DAE">
        <w:rPr>
          <w:color w:val="0432FF"/>
        </w:rPr>
        <w:t>(or the proxy SNPs in high linkage disequilibrium with the six IVs at r</w:t>
      </w:r>
      <w:r w:rsidR="00EA5DAE" w:rsidRPr="00EA5DAE">
        <w:rPr>
          <w:color w:val="0432FF"/>
          <w:vertAlign w:val="superscript"/>
        </w:rPr>
        <w:t>2</w:t>
      </w:r>
      <w:r w:rsidR="00EA5DAE">
        <w:rPr>
          <w:color w:val="0432FF"/>
        </w:rPr>
        <w:sym w:font="Symbol" w:char="F0B3"/>
      </w:r>
      <w:r w:rsidR="00EA5DAE" w:rsidRPr="00EA5DAE">
        <w:rPr>
          <w:color w:val="0432FF"/>
        </w:rPr>
        <w:t>0.8)</w:t>
      </w:r>
      <w:r w:rsidR="00EA5DAE">
        <w:rPr>
          <w:color w:val="000000" w:themeColor="text1"/>
        </w:rPr>
        <w:t xml:space="preserve"> </w:t>
      </w:r>
      <w:r w:rsidRPr="001F1589">
        <w:rPr>
          <w:color w:val="000000" w:themeColor="text1"/>
        </w:rPr>
        <w:t>used in our analysis were cited by the NHGRI-EBI Catalog of published GWAS as associated with known confounders of cancer risk, such as BMI, smoking, alcohol co</w:t>
      </w:r>
      <w:r w:rsidR="00A80E42">
        <w:rPr>
          <w:color w:val="000000" w:themeColor="text1"/>
        </w:rPr>
        <w:t>nsumption, mammographic density</w:t>
      </w:r>
      <w:r w:rsidRPr="001F1589">
        <w:rPr>
          <w:color w:val="000000" w:themeColor="text1"/>
        </w:rPr>
        <w:t xml:space="preserve"> or inflammation at </w:t>
      </w:r>
      <w:r w:rsidRPr="001F1589">
        <w:rPr>
          <w:i/>
          <w:color w:val="000000" w:themeColor="text1"/>
        </w:rPr>
        <w:sym w:font="Symbol" w:char="F061"/>
      </w:r>
      <w:r w:rsidRPr="001F1589">
        <w:rPr>
          <w:color w:val="000000" w:themeColor="text1"/>
        </w:rPr>
        <w:t>=10</w:t>
      </w:r>
      <w:r w:rsidRPr="001F1589">
        <w:rPr>
          <w:color w:val="000000" w:themeColor="text1"/>
          <w:vertAlign w:val="superscript"/>
        </w:rPr>
        <w:t>-5</w:t>
      </w:r>
      <w:r w:rsidRPr="001F1589">
        <w:rPr>
          <w:color w:val="000000" w:themeColor="text1"/>
        </w:rPr>
        <w:t xml:space="preserve"> level. However, due to the lack of individual data, we were not able to test the association of genetic instruments with other confounders such as physical activity, hormonal and lifestyle related factors, which are usually collected by questionnaires. Finally, the major assumption is the exclusion restriction that the genetic determinants affect cancer only through vitamin D levels. Violation of this assumption is unlikely as we employed a range </w:t>
      </w:r>
      <w:r w:rsidR="00004BE1">
        <w:rPr>
          <w:color w:val="000000" w:themeColor="text1"/>
        </w:rPr>
        <w:t xml:space="preserve">of methods known to control for pleiotropy, </w:t>
      </w:r>
      <w:r w:rsidRPr="001F1589">
        <w:rPr>
          <w:color w:val="000000" w:themeColor="text1"/>
        </w:rPr>
        <w:t>and obtained highly consistent results. However, we are also aware that MR-Egger regression with only six SNPs could be underpowered to identify pleiotropy. All MR studies so far have only tested the linear effe</w:t>
      </w:r>
      <w:bookmarkStart w:id="0" w:name="_GoBack"/>
      <w:bookmarkEnd w:id="0"/>
      <w:r w:rsidRPr="001F1589">
        <w:rPr>
          <w:color w:val="000000" w:themeColor="text1"/>
        </w:rPr>
        <w:t>ct of vitamin D levels in the general population. Future studies may be designed to understand the effect of vitamin D in subpopulations with a profound d</w:t>
      </w:r>
      <w:r>
        <w:rPr>
          <w:color w:val="000000" w:themeColor="text1"/>
        </w:rPr>
        <w:t xml:space="preserve">eficiency (non-linear effects), as well as to </w:t>
      </w:r>
      <w:r w:rsidRPr="001F1589">
        <w:rPr>
          <w:color w:val="000000" w:themeColor="text1"/>
        </w:rPr>
        <w:t>investigate the causal role of vitamin D in cancer progress or death.</w:t>
      </w:r>
    </w:p>
    <w:p w14:paraId="534C3240" w14:textId="6D76943C" w:rsidR="00737DF9" w:rsidRPr="001F1589" w:rsidRDefault="00737DF9" w:rsidP="00737DF9">
      <w:pPr>
        <w:spacing w:after="120" w:line="480" w:lineRule="auto"/>
        <w:jc w:val="both"/>
        <w:rPr>
          <w:color w:val="000000" w:themeColor="text1"/>
        </w:rPr>
      </w:pPr>
      <w:r w:rsidRPr="001F1589">
        <w:rPr>
          <w:color w:val="000000" w:themeColor="text1"/>
        </w:rPr>
        <w:t>In conclusion, although a very small causal effect of 25(OH)D on breast and prostate cancers cannot be ruled out, our updated analysis,</w:t>
      </w:r>
      <w:r w:rsidRPr="001F1589">
        <w:rPr>
          <w:color w:val="000000" w:themeColor="text1"/>
          <w:lang w:val="en-GB"/>
        </w:rPr>
        <w:t xml:space="preserve"> </w:t>
      </w:r>
      <w:r w:rsidRPr="001F1589">
        <w:rPr>
          <w:color w:val="000000" w:themeColor="text1"/>
        </w:rPr>
        <w:t>despite its almost five-fold augmented sample size and substantially improved over</w:t>
      </w:r>
      <w:r w:rsidR="00AD30BB">
        <w:rPr>
          <w:color w:val="000000" w:themeColor="text1"/>
        </w:rPr>
        <w:t xml:space="preserve">all statistical power, </w:t>
      </w:r>
      <w:r w:rsidR="00AD30BB" w:rsidRPr="00AD30BB">
        <w:rPr>
          <w:color w:val="0432FF"/>
        </w:rPr>
        <w:t xml:space="preserve">provide no </w:t>
      </w:r>
      <w:r w:rsidRPr="00AD30BB">
        <w:rPr>
          <w:color w:val="0432FF"/>
        </w:rPr>
        <w:t>evidence in support of a causal relationship between circulating levels of 25(OH)D and the risk of breast or prostate cancer</w:t>
      </w:r>
      <w:r w:rsidRPr="001F1589">
        <w:rPr>
          <w:color w:val="000000" w:themeColor="text1"/>
        </w:rPr>
        <w:t>.</w:t>
      </w:r>
    </w:p>
    <w:p w14:paraId="2D30A654" w14:textId="77777777" w:rsidR="00737DF9" w:rsidRPr="001F1589" w:rsidRDefault="00737DF9" w:rsidP="00737DF9">
      <w:pPr>
        <w:spacing w:after="120" w:line="480" w:lineRule="auto"/>
        <w:jc w:val="both"/>
        <w:rPr>
          <w:b/>
          <w:color w:val="000000" w:themeColor="text1"/>
        </w:rPr>
      </w:pPr>
      <w:r w:rsidRPr="001F1589">
        <w:rPr>
          <w:b/>
          <w:color w:val="000000" w:themeColor="text1"/>
        </w:rPr>
        <w:t>Funding</w:t>
      </w:r>
    </w:p>
    <w:p w14:paraId="06B15650" w14:textId="3B3D49FB" w:rsidR="00A91EB7" w:rsidRPr="007A399D" w:rsidRDefault="001302A9" w:rsidP="00737DF9">
      <w:pPr>
        <w:spacing w:line="360" w:lineRule="auto"/>
        <w:jc w:val="both"/>
        <w:rPr>
          <w:rFonts w:eastAsia="Calibri"/>
          <w:color w:val="000000" w:themeColor="text1"/>
          <w:lang w:eastAsia="en-US"/>
        </w:rPr>
      </w:pPr>
      <w:r>
        <w:rPr>
          <w:color w:val="000000" w:themeColor="text1"/>
        </w:rPr>
        <w:t>This</w:t>
      </w:r>
      <w:r w:rsidR="00BB685E">
        <w:rPr>
          <w:color w:val="000000" w:themeColor="text1"/>
        </w:rPr>
        <w:t xml:space="preserve"> work was supported </w:t>
      </w:r>
      <w:r w:rsidR="00737DF9" w:rsidRPr="001F1589">
        <w:rPr>
          <w:color w:val="000000" w:themeColor="text1"/>
        </w:rPr>
        <w:t>by the Veteskapsrådet International Postdoc grant</w:t>
      </w:r>
      <w:r w:rsidR="00BB685E">
        <w:rPr>
          <w:color w:val="000000" w:themeColor="text1"/>
        </w:rPr>
        <w:t xml:space="preserve"> (XJ),</w:t>
      </w:r>
      <w:r w:rsidR="00737DF9" w:rsidRPr="001F1589">
        <w:rPr>
          <w:color w:val="000000" w:themeColor="text1"/>
        </w:rPr>
        <w:t xml:space="preserve"> the World Cancer Research Fund International Regular Grant Programme (WCRF 2014/1180)</w:t>
      </w:r>
      <w:r w:rsidR="00BB685E">
        <w:rPr>
          <w:color w:val="000000" w:themeColor="text1"/>
        </w:rPr>
        <w:t xml:space="preserve"> (KKT), the</w:t>
      </w:r>
      <w:r w:rsidR="00737DF9" w:rsidRPr="001F1589">
        <w:rPr>
          <w:color w:val="000000" w:themeColor="text1"/>
        </w:rPr>
        <w:t xml:space="preserve"> </w:t>
      </w:r>
      <w:r w:rsidR="00737DF9" w:rsidRPr="001F1589">
        <w:rPr>
          <w:color w:val="000000" w:themeColor="text1"/>
        </w:rPr>
        <w:lastRenderedPageBreak/>
        <w:t xml:space="preserve">World Cancer Research Fund International </w:t>
      </w:r>
      <w:r w:rsidR="00BB685E">
        <w:rPr>
          <w:color w:val="000000" w:themeColor="text1"/>
        </w:rPr>
        <w:t xml:space="preserve">grant </w:t>
      </w:r>
      <w:r w:rsidR="00737DF9" w:rsidRPr="001F1589">
        <w:rPr>
          <w:color w:val="000000" w:themeColor="text1"/>
        </w:rPr>
        <w:t>(</w:t>
      </w:r>
      <w:r w:rsidR="006D42EB" w:rsidRPr="001F1589">
        <w:rPr>
          <w:color w:val="000000" w:themeColor="text1"/>
        </w:rPr>
        <w:t xml:space="preserve">WCRF </w:t>
      </w:r>
      <w:r w:rsidR="00737DF9" w:rsidRPr="001F1589">
        <w:rPr>
          <w:color w:val="000000" w:themeColor="text1"/>
        </w:rPr>
        <w:t>2015/1421</w:t>
      </w:r>
      <w:r w:rsidR="00BB685E">
        <w:rPr>
          <w:color w:val="000000" w:themeColor="text1"/>
        </w:rPr>
        <w:t xml:space="preserve">) (SL), </w:t>
      </w:r>
      <w:r w:rsidR="00BB685E">
        <w:rPr>
          <w:rFonts w:eastAsia="Calibri"/>
          <w:color w:val="000000" w:themeColor="text1"/>
          <w:lang w:eastAsia="en-US"/>
        </w:rPr>
        <w:t xml:space="preserve">the National Cancer Institute Grant </w:t>
      </w:r>
      <w:r w:rsidR="00ED36AA">
        <w:rPr>
          <w:rFonts w:eastAsia="Calibri"/>
          <w:color w:val="000000" w:themeColor="text1"/>
          <w:lang w:eastAsia="en-US"/>
        </w:rPr>
        <w:t>(</w:t>
      </w:r>
      <w:r w:rsidR="00BB685E">
        <w:rPr>
          <w:rFonts w:eastAsia="Calibri"/>
          <w:color w:val="000000" w:themeColor="text1"/>
          <w:lang w:eastAsia="en-US"/>
        </w:rPr>
        <w:t>R00 CA207848</w:t>
      </w:r>
      <w:r w:rsidR="00ED36AA">
        <w:rPr>
          <w:rFonts w:eastAsia="Calibri"/>
          <w:color w:val="000000" w:themeColor="text1"/>
          <w:lang w:eastAsia="en-US"/>
        </w:rPr>
        <w:t>)</w:t>
      </w:r>
      <w:r w:rsidR="00BB685E">
        <w:rPr>
          <w:rFonts w:eastAsia="Calibri"/>
          <w:color w:val="000000" w:themeColor="text1"/>
          <w:lang w:eastAsia="en-US"/>
        </w:rPr>
        <w:t xml:space="preserve"> (SWA), </w:t>
      </w:r>
      <w:r w:rsidR="00BB685E">
        <w:rPr>
          <w:color w:val="000000" w:themeColor="text1"/>
        </w:rPr>
        <w:t>the</w:t>
      </w:r>
      <w:r w:rsidR="00737DF9" w:rsidRPr="001F1589">
        <w:rPr>
          <w:color w:val="000000" w:themeColor="text1"/>
          <w:lang w:val="en-GB"/>
        </w:rPr>
        <w:t xml:space="preserve"> Cancer Research UK Programme Grant, the Integrative Cancer Epidemiology Programme (C18281/A19169)</w:t>
      </w:r>
      <w:r w:rsidR="00F31284">
        <w:rPr>
          <w:color w:val="000000" w:themeColor="text1"/>
          <w:lang w:val="en-GB"/>
        </w:rPr>
        <w:t xml:space="preserve"> (RMM)</w:t>
      </w:r>
      <w:r w:rsidR="00737DF9" w:rsidRPr="001F1589">
        <w:rPr>
          <w:color w:val="000000" w:themeColor="text1"/>
          <w:lang w:val="en-GB"/>
        </w:rPr>
        <w:t>, and t</w:t>
      </w:r>
      <w:r w:rsidR="00737DF9" w:rsidRPr="001F1589">
        <w:rPr>
          <w:color w:val="000000" w:themeColor="text1"/>
        </w:rPr>
        <w:t xml:space="preserve">he National Institute for Health Research (NIHR) Bristol Biomedical Research Centre at University Hospitals Bristol NHS Foundation Trust and the University of Bristol. </w:t>
      </w:r>
      <w:r w:rsidR="00737DF9" w:rsidRPr="001F1589">
        <w:rPr>
          <w:rFonts w:eastAsia="Calibri"/>
          <w:color w:val="000000" w:themeColor="text1"/>
          <w:lang w:eastAsia="en-US"/>
        </w:rPr>
        <w:t>The views expressed in this publication are those of the author(s) and not necessarily those of the NHS, the National Institute for Health Research or the Department of Health.</w:t>
      </w:r>
    </w:p>
    <w:p w14:paraId="07F63978" w14:textId="77777777" w:rsidR="00737DF9" w:rsidRPr="00356BE5" w:rsidRDefault="00737DF9" w:rsidP="00737DF9">
      <w:pPr>
        <w:pStyle w:val="NormalWeb"/>
        <w:spacing w:before="0" w:beforeAutospacing="0" w:after="120" w:afterAutospacing="0" w:line="480" w:lineRule="auto"/>
        <w:jc w:val="both"/>
        <w:rPr>
          <w:rFonts w:ascii="Times New Roman" w:hAnsi="Times New Roman"/>
          <w:b/>
          <w:color w:val="000000" w:themeColor="text1"/>
          <w:sz w:val="24"/>
          <w:szCs w:val="24"/>
        </w:rPr>
      </w:pPr>
      <w:r w:rsidRPr="001F1589">
        <w:rPr>
          <w:rFonts w:ascii="Times New Roman" w:hAnsi="Times New Roman"/>
          <w:b/>
          <w:color w:val="000000" w:themeColor="text1"/>
          <w:sz w:val="24"/>
          <w:szCs w:val="24"/>
        </w:rPr>
        <w:t>Conflict of interest</w:t>
      </w:r>
      <w:r>
        <w:rPr>
          <w:rFonts w:ascii="Times New Roman" w:hAnsi="Times New Roman"/>
          <w:b/>
          <w:color w:val="000000" w:themeColor="text1"/>
          <w:sz w:val="24"/>
          <w:szCs w:val="24"/>
        </w:rPr>
        <w:t xml:space="preserve"> </w:t>
      </w:r>
      <w:r w:rsidRPr="001F1589">
        <w:rPr>
          <w:rFonts w:ascii="Times New Roman" w:hAnsi="Times New Roman"/>
          <w:color w:val="000000" w:themeColor="text1"/>
          <w:sz w:val="24"/>
          <w:szCs w:val="24"/>
        </w:rPr>
        <w:t>None declared.</w:t>
      </w:r>
    </w:p>
    <w:p w14:paraId="0C075EFA" w14:textId="77777777" w:rsidR="00737DF9" w:rsidRPr="00132845" w:rsidRDefault="00737DF9" w:rsidP="00A0460F">
      <w:pPr>
        <w:jc w:val="both"/>
        <w:rPr>
          <w:b/>
          <w:sz w:val="28"/>
        </w:rPr>
      </w:pPr>
      <w:r w:rsidRPr="00132845">
        <w:rPr>
          <w:b/>
          <w:sz w:val="28"/>
        </w:rPr>
        <w:t>References</w:t>
      </w:r>
    </w:p>
    <w:p w14:paraId="44CAF881" w14:textId="77777777" w:rsidR="00A0460F" w:rsidRPr="00A0460F" w:rsidRDefault="00737DF9" w:rsidP="00A0460F">
      <w:pPr>
        <w:pStyle w:val="Bibliography"/>
        <w:spacing w:after="0"/>
        <w:jc w:val="both"/>
      </w:pPr>
      <w:r>
        <w:fldChar w:fldCharType="begin"/>
      </w:r>
      <w:r w:rsidR="00A31D70">
        <w:instrText xml:space="preserve"> ADDIN ZOTERO_BIBL {"uncited":[],"omitted":[],"custom":[]} CSL_BIBLIOGRAPHY </w:instrText>
      </w:r>
      <w:r>
        <w:fldChar w:fldCharType="separate"/>
      </w:r>
      <w:r w:rsidR="00A0460F" w:rsidRPr="00A0460F">
        <w:t xml:space="preserve">1. </w:t>
      </w:r>
      <w:r w:rsidR="00A0460F" w:rsidRPr="00A0460F">
        <w:tab/>
        <w:t xml:space="preserve">Doppelt SH. Vitamin D, rickets, and osteomalacia. </w:t>
      </w:r>
      <w:r w:rsidR="00A0460F" w:rsidRPr="00A0460F">
        <w:rPr>
          <w:i/>
          <w:iCs/>
        </w:rPr>
        <w:t>Orthop Clin North Am</w:t>
      </w:r>
      <w:r w:rsidR="00A0460F" w:rsidRPr="00A0460F">
        <w:t>. 1984 Oct;</w:t>
      </w:r>
      <w:r w:rsidR="00A0460F" w:rsidRPr="00A0460F">
        <w:rPr>
          <w:b/>
          <w:bCs/>
        </w:rPr>
        <w:t>15</w:t>
      </w:r>
      <w:r w:rsidR="00A0460F" w:rsidRPr="00A0460F">
        <w:t xml:space="preserve">(4):671–686. </w:t>
      </w:r>
    </w:p>
    <w:p w14:paraId="39AC3D69" w14:textId="77777777" w:rsidR="00A0460F" w:rsidRPr="00A0460F" w:rsidRDefault="00A0460F" w:rsidP="00A0460F">
      <w:pPr>
        <w:pStyle w:val="Bibliography"/>
        <w:spacing w:after="0"/>
        <w:jc w:val="both"/>
      </w:pPr>
      <w:r w:rsidRPr="00A0460F">
        <w:t xml:space="preserve">2. </w:t>
      </w:r>
      <w:r w:rsidRPr="00A0460F">
        <w:tab/>
        <w:t xml:space="preserve">Feldman D, Krishnan AV, Swami S, Giovannucci E, Feldman BJ. The role of vitamin D in reducing cancer risk and progression. </w:t>
      </w:r>
      <w:r w:rsidRPr="00A0460F">
        <w:rPr>
          <w:i/>
          <w:iCs/>
        </w:rPr>
        <w:t>Nat Rev Cancer</w:t>
      </w:r>
      <w:r w:rsidRPr="00A0460F">
        <w:t>. 2014 May;</w:t>
      </w:r>
      <w:r w:rsidRPr="00A0460F">
        <w:rPr>
          <w:b/>
          <w:bCs/>
        </w:rPr>
        <w:t>14</w:t>
      </w:r>
      <w:r w:rsidRPr="00A0460F">
        <w:t xml:space="preserve">(5):342–357. </w:t>
      </w:r>
    </w:p>
    <w:p w14:paraId="1FBCC91A" w14:textId="77777777" w:rsidR="00A0460F" w:rsidRPr="00A0460F" w:rsidRDefault="00A0460F" w:rsidP="00A0460F">
      <w:pPr>
        <w:pStyle w:val="Bibliography"/>
        <w:spacing w:after="0"/>
        <w:jc w:val="both"/>
      </w:pPr>
      <w:r w:rsidRPr="00A0460F">
        <w:t xml:space="preserve">3. </w:t>
      </w:r>
      <w:r w:rsidRPr="00A0460F">
        <w:tab/>
        <w:t xml:space="preserve">Kim Y, Je Y. Vitamin D intake, blood 25(OH)D levels, and breast cancer risk or mortality: a meta-analysis. </w:t>
      </w:r>
      <w:r w:rsidRPr="00A0460F">
        <w:rPr>
          <w:i/>
          <w:iCs/>
        </w:rPr>
        <w:t>Br J Cancer</w:t>
      </w:r>
      <w:r w:rsidRPr="00A0460F">
        <w:t>. 2014 May 27;</w:t>
      </w:r>
      <w:r w:rsidRPr="00A0460F">
        <w:rPr>
          <w:b/>
          <w:bCs/>
        </w:rPr>
        <w:t>110</w:t>
      </w:r>
      <w:r w:rsidRPr="00A0460F">
        <w:t xml:space="preserve">(11):2772–2784. </w:t>
      </w:r>
    </w:p>
    <w:p w14:paraId="287BA9C3" w14:textId="77777777" w:rsidR="00A0460F" w:rsidRPr="00A0460F" w:rsidRDefault="00A0460F" w:rsidP="00A0460F">
      <w:pPr>
        <w:pStyle w:val="Bibliography"/>
        <w:spacing w:after="0"/>
        <w:jc w:val="both"/>
      </w:pPr>
      <w:r w:rsidRPr="00A0460F">
        <w:t xml:space="preserve">4. </w:t>
      </w:r>
      <w:r w:rsidRPr="00A0460F">
        <w:tab/>
        <w:t xml:space="preserve">Gao J, Wei W, Wang G, Zhou H, Fu Y, Liu N. Circulating vitamin D concentration and risk of prostate cancer: a dose-response meta-analysis of prospective studies. </w:t>
      </w:r>
      <w:r w:rsidRPr="00A0460F">
        <w:rPr>
          <w:i/>
          <w:iCs/>
        </w:rPr>
        <w:t>Ther Clin Risk Manag</w:t>
      </w:r>
      <w:r w:rsidRPr="00A0460F">
        <w:t>. 2018;</w:t>
      </w:r>
      <w:r w:rsidRPr="00A0460F">
        <w:rPr>
          <w:b/>
          <w:bCs/>
        </w:rPr>
        <w:t>14</w:t>
      </w:r>
      <w:r w:rsidRPr="00A0460F">
        <w:t xml:space="preserve">:95–104. </w:t>
      </w:r>
    </w:p>
    <w:p w14:paraId="2B2C63F9" w14:textId="77777777" w:rsidR="00A0460F" w:rsidRPr="00A0460F" w:rsidRDefault="00A0460F" w:rsidP="00A0460F">
      <w:pPr>
        <w:pStyle w:val="Bibliography"/>
        <w:spacing w:after="0"/>
        <w:jc w:val="both"/>
      </w:pPr>
      <w:r w:rsidRPr="00A0460F">
        <w:t xml:space="preserve">5. </w:t>
      </w:r>
      <w:r w:rsidRPr="00A0460F">
        <w:tab/>
        <w:t xml:space="preserve">Brunner RL, Wactawski-Wende J, Caan BJ, et al. The Effect of Calcium plus Vitamin D on Risk for Invasive Cancer: Results of the Women’s Health Initiative (WHI) Calcium Plus Vitamin D Randomized Clinical Trial. </w:t>
      </w:r>
      <w:r w:rsidRPr="00A0460F">
        <w:rPr>
          <w:i/>
          <w:iCs/>
        </w:rPr>
        <w:t>Nutrition and Cancer</w:t>
      </w:r>
      <w:r w:rsidRPr="00A0460F">
        <w:t>. 2011 Aug 1;</w:t>
      </w:r>
      <w:r w:rsidRPr="00A0460F">
        <w:rPr>
          <w:b/>
          <w:bCs/>
        </w:rPr>
        <w:t>63</w:t>
      </w:r>
      <w:r w:rsidRPr="00A0460F">
        <w:t xml:space="preserve">(6):827–841. </w:t>
      </w:r>
    </w:p>
    <w:p w14:paraId="610421E5" w14:textId="77777777" w:rsidR="00A0460F" w:rsidRPr="00A0460F" w:rsidRDefault="00A0460F" w:rsidP="00A0460F">
      <w:pPr>
        <w:pStyle w:val="Bibliography"/>
        <w:spacing w:after="0"/>
        <w:jc w:val="both"/>
      </w:pPr>
      <w:r w:rsidRPr="00A0460F">
        <w:t xml:space="preserve">6. </w:t>
      </w:r>
      <w:r w:rsidRPr="00A0460F">
        <w:tab/>
        <w:t xml:space="preserve">Manson JE, Bassuk SS, Lee I-M, et al. The VITamin D and OmegA-3 TriaL (VITAL): rationale and design of a large randomized controlled trial of vitamin D and marine omega-3 fatty acid supplements for the primary prevention of cancer and cardiovascular disease. </w:t>
      </w:r>
      <w:r w:rsidRPr="00A0460F">
        <w:rPr>
          <w:i/>
          <w:iCs/>
        </w:rPr>
        <w:t>Contemp Clin Trials</w:t>
      </w:r>
      <w:r w:rsidRPr="00A0460F">
        <w:t>. 2012 Jan;</w:t>
      </w:r>
      <w:r w:rsidRPr="00A0460F">
        <w:rPr>
          <w:b/>
          <w:bCs/>
        </w:rPr>
        <w:t>33</w:t>
      </w:r>
      <w:r w:rsidRPr="00A0460F">
        <w:t xml:space="preserve">(1):159–171. </w:t>
      </w:r>
    </w:p>
    <w:p w14:paraId="7695313E" w14:textId="77777777" w:rsidR="00A0460F" w:rsidRPr="00A0460F" w:rsidRDefault="00A0460F" w:rsidP="00A0460F">
      <w:pPr>
        <w:pStyle w:val="Bibliography"/>
        <w:spacing w:after="0"/>
        <w:jc w:val="both"/>
      </w:pPr>
      <w:r w:rsidRPr="00A0460F">
        <w:t xml:space="preserve">7. </w:t>
      </w:r>
      <w:r w:rsidRPr="00A0460F">
        <w:tab/>
        <w:t xml:space="preserve">Neale RE, Armstrong BK, Baxter C, et al. The D-Health Trial: A randomized trial of vitamin D for prevention of mortality and cancer. </w:t>
      </w:r>
      <w:r w:rsidRPr="00A0460F">
        <w:rPr>
          <w:i/>
          <w:iCs/>
        </w:rPr>
        <w:t>Contemp Clin Trials</w:t>
      </w:r>
      <w:r w:rsidRPr="00A0460F">
        <w:t>. 2016;</w:t>
      </w:r>
      <w:r w:rsidRPr="00A0460F">
        <w:rPr>
          <w:b/>
          <w:bCs/>
        </w:rPr>
        <w:t>48</w:t>
      </w:r>
      <w:r w:rsidRPr="00A0460F">
        <w:t xml:space="preserve">:83–90. </w:t>
      </w:r>
    </w:p>
    <w:p w14:paraId="548F1CAC" w14:textId="77777777" w:rsidR="00A0460F" w:rsidRPr="00A0460F" w:rsidRDefault="00A0460F" w:rsidP="00A0460F">
      <w:pPr>
        <w:pStyle w:val="Bibliography"/>
        <w:spacing w:after="0"/>
        <w:jc w:val="both"/>
      </w:pPr>
      <w:r w:rsidRPr="00A0460F">
        <w:t xml:space="preserve">8. </w:t>
      </w:r>
      <w:r w:rsidRPr="00A0460F">
        <w:tab/>
        <w:t xml:space="preserve">Davey Smith G, Ebrahim S. ‘Mendelian randomization’: can genetic epidemiology contribute to understanding environmental determinants of disease? </w:t>
      </w:r>
      <w:r w:rsidRPr="00A0460F">
        <w:rPr>
          <w:i/>
          <w:iCs/>
        </w:rPr>
        <w:t>Int J Epidemiol</w:t>
      </w:r>
      <w:r w:rsidRPr="00A0460F">
        <w:t>. 2003 Feb 1;</w:t>
      </w:r>
      <w:r w:rsidRPr="00A0460F">
        <w:rPr>
          <w:b/>
          <w:bCs/>
        </w:rPr>
        <w:t>32</w:t>
      </w:r>
      <w:r w:rsidRPr="00A0460F">
        <w:t xml:space="preserve">(1):1–22. </w:t>
      </w:r>
    </w:p>
    <w:p w14:paraId="114BC3C9" w14:textId="77777777" w:rsidR="00A0460F" w:rsidRPr="00A0460F" w:rsidRDefault="00A0460F" w:rsidP="00A0460F">
      <w:pPr>
        <w:pStyle w:val="Bibliography"/>
        <w:spacing w:after="0"/>
        <w:jc w:val="both"/>
      </w:pPr>
      <w:r w:rsidRPr="00A0460F">
        <w:t xml:space="preserve">9. </w:t>
      </w:r>
      <w:r w:rsidRPr="00A0460F">
        <w:tab/>
        <w:t xml:space="preserve">Dimitrakopoulou VI, Tsilidis KK, Haycock PC, et al. Circulating vitamin D concentration and risk of seven cancers: Mendelian randomisation study. </w:t>
      </w:r>
      <w:r w:rsidRPr="00A0460F">
        <w:rPr>
          <w:i/>
          <w:iCs/>
        </w:rPr>
        <w:t>BMJ</w:t>
      </w:r>
      <w:r w:rsidRPr="00A0460F">
        <w:t>. 2017 31;</w:t>
      </w:r>
      <w:r w:rsidRPr="00A0460F">
        <w:rPr>
          <w:b/>
          <w:bCs/>
        </w:rPr>
        <w:t>359</w:t>
      </w:r>
      <w:r w:rsidRPr="00A0460F">
        <w:t xml:space="preserve">:j4761. </w:t>
      </w:r>
    </w:p>
    <w:p w14:paraId="22A2AC92" w14:textId="77777777" w:rsidR="00A0460F" w:rsidRPr="00A0460F" w:rsidRDefault="00A0460F" w:rsidP="00A0460F">
      <w:pPr>
        <w:pStyle w:val="Bibliography"/>
        <w:spacing w:after="0"/>
        <w:jc w:val="both"/>
      </w:pPr>
      <w:r w:rsidRPr="00A0460F">
        <w:t xml:space="preserve">10. </w:t>
      </w:r>
      <w:r w:rsidRPr="00A0460F">
        <w:tab/>
        <w:t xml:space="preserve">Wang TJ, Zhang F, Richards JB, et al. Common genetic determinants of vitamin D insufficiency: a genome-wide association study. </w:t>
      </w:r>
      <w:r w:rsidRPr="00A0460F">
        <w:rPr>
          <w:i/>
          <w:iCs/>
        </w:rPr>
        <w:t>Lancet</w:t>
      </w:r>
      <w:r w:rsidRPr="00A0460F">
        <w:t>. 2010 Jul 17;</w:t>
      </w:r>
      <w:r w:rsidRPr="00A0460F">
        <w:rPr>
          <w:b/>
          <w:bCs/>
        </w:rPr>
        <w:t>376</w:t>
      </w:r>
      <w:r w:rsidRPr="00A0460F">
        <w:t xml:space="preserve">(9736):180–188. </w:t>
      </w:r>
    </w:p>
    <w:p w14:paraId="55C31981" w14:textId="77777777" w:rsidR="00A0460F" w:rsidRPr="00A0460F" w:rsidRDefault="00A0460F" w:rsidP="00A0460F">
      <w:pPr>
        <w:pStyle w:val="Bibliography"/>
        <w:spacing w:after="0"/>
        <w:jc w:val="both"/>
      </w:pPr>
      <w:r w:rsidRPr="00A0460F">
        <w:t xml:space="preserve">11. </w:t>
      </w:r>
      <w:r w:rsidRPr="00A0460F">
        <w:tab/>
        <w:t xml:space="preserve">Jiang X, O’Reilly PF, Aschard H, et al. Genome-wide association study in 79,366 European-ancestry individuals informs the genetic architecture of 25-hydroxyvitamin D levels. </w:t>
      </w:r>
      <w:r w:rsidRPr="00A0460F">
        <w:rPr>
          <w:i/>
          <w:iCs/>
        </w:rPr>
        <w:t>Nat Commun</w:t>
      </w:r>
      <w:r w:rsidRPr="00A0460F">
        <w:t>. 2018 Jan 17;</w:t>
      </w:r>
      <w:r w:rsidRPr="00A0460F">
        <w:rPr>
          <w:b/>
          <w:bCs/>
        </w:rPr>
        <w:t>9</w:t>
      </w:r>
      <w:r w:rsidRPr="00A0460F">
        <w:t xml:space="preserve">(1):260. </w:t>
      </w:r>
    </w:p>
    <w:p w14:paraId="38B65A1B" w14:textId="77777777" w:rsidR="00A0460F" w:rsidRPr="00A0460F" w:rsidRDefault="00A0460F" w:rsidP="00A0460F">
      <w:pPr>
        <w:pStyle w:val="Bibliography"/>
        <w:spacing w:after="0"/>
        <w:jc w:val="both"/>
      </w:pPr>
      <w:r w:rsidRPr="00A0460F">
        <w:t xml:space="preserve">12. </w:t>
      </w:r>
      <w:r w:rsidRPr="00A0460F">
        <w:tab/>
        <w:t xml:space="preserve">Michailidou K, Lindström S, Dennis J, et al. Association analysis identifies 65 new breast cancer risk loci. </w:t>
      </w:r>
      <w:r w:rsidRPr="00A0460F">
        <w:rPr>
          <w:i/>
          <w:iCs/>
        </w:rPr>
        <w:t>Nature</w:t>
      </w:r>
      <w:r w:rsidRPr="00A0460F">
        <w:t xml:space="preserve">. 2017 Oct 23; </w:t>
      </w:r>
    </w:p>
    <w:p w14:paraId="46AB9B65" w14:textId="77777777" w:rsidR="00A0460F" w:rsidRPr="00A0460F" w:rsidRDefault="00A0460F" w:rsidP="00A0460F">
      <w:pPr>
        <w:pStyle w:val="Bibliography"/>
        <w:spacing w:after="0"/>
        <w:jc w:val="both"/>
      </w:pPr>
      <w:r w:rsidRPr="00A0460F">
        <w:lastRenderedPageBreak/>
        <w:t xml:space="preserve">13. </w:t>
      </w:r>
      <w:r w:rsidRPr="00A0460F">
        <w:tab/>
        <w:t xml:space="preserve">Milne RL, Kuchenbaecker KB, Michailidou K, et al. Identification of ten variants associated with risk of estrogen-receptor-negative breast cancer. </w:t>
      </w:r>
      <w:r w:rsidRPr="00A0460F">
        <w:rPr>
          <w:i/>
          <w:iCs/>
        </w:rPr>
        <w:t>Nat Genet</w:t>
      </w:r>
      <w:r w:rsidRPr="00A0460F">
        <w:t xml:space="preserve">. 2017 Oct 23; </w:t>
      </w:r>
    </w:p>
    <w:p w14:paraId="40754683" w14:textId="77777777" w:rsidR="00A0460F" w:rsidRPr="00A0460F" w:rsidRDefault="00A0460F" w:rsidP="00A0460F">
      <w:pPr>
        <w:pStyle w:val="Bibliography"/>
        <w:spacing w:after="0"/>
        <w:jc w:val="both"/>
      </w:pPr>
      <w:r w:rsidRPr="00A0460F">
        <w:t xml:space="preserve">14. </w:t>
      </w:r>
      <w:r w:rsidRPr="00A0460F">
        <w:tab/>
        <w:t xml:space="preserve">Schumacher F, Al Olama A, Berndt S. Association analyses of more than 140,000 men identify 63 new prostate cancer susceptibility loci. </w:t>
      </w:r>
      <w:r w:rsidRPr="00A0460F">
        <w:rPr>
          <w:i/>
          <w:iCs/>
        </w:rPr>
        <w:t>Nature Genetics</w:t>
      </w:r>
      <w:r w:rsidRPr="00A0460F">
        <w:t xml:space="preserve">. </w:t>
      </w:r>
      <w:r w:rsidRPr="00A0460F">
        <w:rPr>
          <w:b/>
          <w:bCs/>
        </w:rPr>
        <w:t>In press</w:t>
      </w:r>
      <w:r w:rsidRPr="00A0460F">
        <w:t xml:space="preserve">. </w:t>
      </w:r>
    </w:p>
    <w:p w14:paraId="6E1EDABE" w14:textId="77777777" w:rsidR="00A0460F" w:rsidRPr="00A0460F" w:rsidRDefault="00A0460F" w:rsidP="00A0460F">
      <w:pPr>
        <w:pStyle w:val="Bibliography"/>
        <w:spacing w:after="0"/>
        <w:jc w:val="both"/>
      </w:pPr>
      <w:r w:rsidRPr="00A0460F">
        <w:t xml:space="preserve">15. </w:t>
      </w:r>
      <w:r w:rsidRPr="00A0460F">
        <w:tab/>
        <w:t xml:space="preserve">Amos CI, Dennis J, Wang Z, et al. The OncoArray Consortium: a Network for Understanding the Genetic Architecture of Common Cancers. </w:t>
      </w:r>
      <w:r w:rsidRPr="00A0460F">
        <w:rPr>
          <w:i/>
          <w:iCs/>
        </w:rPr>
        <w:t>Cancer Epidemiol Biomarkers Prev</w:t>
      </w:r>
      <w:r w:rsidRPr="00A0460F">
        <w:t xml:space="preserve">. 2016 Oct 3; </w:t>
      </w:r>
    </w:p>
    <w:p w14:paraId="30BA8BFB" w14:textId="77777777" w:rsidR="00A0460F" w:rsidRPr="00A0460F" w:rsidRDefault="00A0460F" w:rsidP="00A0460F">
      <w:pPr>
        <w:pStyle w:val="Bibliography"/>
        <w:spacing w:after="0"/>
        <w:jc w:val="both"/>
      </w:pPr>
      <w:r w:rsidRPr="00A0460F">
        <w:t xml:space="preserve">16. </w:t>
      </w:r>
      <w:r w:rsidRPr="00A0460F">
        <w:tab/>
        <w:t xml:space="preserve">Zheng J, Baird D, Borges M-C, et al. Recent Developments in Mendelian Randomization Studies. </w:t>
      </w:r>
      <w:r w:rsidRPr="00A0460F">
        <w:rPr>
          <w:i/>
          <w:iCs/>
        </w:rPr>
        <w:t>Curr Epidemiol Rep</w:t>
      </w:r>
      <w:r w:rsidRPr="00A0460F">
        <w:t>. 2017;</w:t>
      </w:r>
      <w:r w:rsidRPr="00A0460F">
        <w:rPr>
          <w:b/>
          <w:bCs/>
        </w:rPr>
        <w:t>4</w:t>
      </w:r>
      <w:r w:rsidRPr="00A0460F">
        <w:t xml:space="preserve">(4):330–345. </w:t>
      </w:r>
    </w:p>
    <w:p w14:paraId="7F98F7D1" w14:textId="77777777" w:rsidR="00A0460F" w:rsidRPr="00A0460F" w:rsidRDefault="00A0460F" w:rsidP="00A0460F">
      <w:pPr>
        <w:pStyle w:val="Bibliography"/>
        <w:spacing w:after="0"/>
        <w:jc w:val="both"/>
      </w:pPr>
      <w:r w:rsidRPr="00A0460F">
        <w:t xml:space="preserve">17. </w:t>
      </w:r>
      <w:r w:rsidRPr="00A0460F">
        <w:tab/>
        <w:t xml:space="preserve">Burgess S, Scott RA, Timpson NJ, Davey Smith G, Thompson SG, EPIC- InterAct Consortium. Using published data in Mendelian randomization: a blueprint for efficient identification of causal risk factors. </w:t>
      </w:r>
      <w:r w:rsidRPr="00A0460F">
        <w:rPr>
          <w:i/>
          <w:iCs/>
        </w:rPr>
        <w:t>Eur J Epidemiol</w:t>
      </w:r>
      <w:r w:rsidRPr="00A0460F">
        <w:t>. 2015 Jul;</w:t>
      </w:r>
      <w:r w:rsidRPr="00A0460F">
        <w:rPr>
          <w:b/>
          <w:bCs/>
        </w:rPr>
        <w:t>30</w:t>
      </w:r>
      <w:r w:rsidRPr="00A0460F">
        <w:t xml:space="preserve">(7):543–552. </w:t>
      </w:r>
    </w:p>
    <w:p w14:paraId="2A6812C0" w14:textId="77777777" w:rsidR="00A0460F" w:rsidRPr="00A0460F" w:rsidRDefault="00A0460F" w:rsidP="00A0460F">
      <w:pPr>
        <w:pStyle w:val="Bibliography"/>
        <w:spacing w:after="0"/>
        <w:jc w:val="both"/>
      </w:pPr>
      <w:r w:rsidRPr="00A0460F">
        <w:t xml:space="preserve">18. </w:t>
      </w:r>
      <w:r w:rsidRPr="00A0460F">
        <w:tab/>
        <w:t xml:space="preserve">Burgess S, Butterworth A, Thompson SG. Mendelian randomization analysis with multiple genetic variants using summarized data. </w:t>
      </w:r>
      <w:r w:rsidRPr="00A0460F">
        <w:rPr>
          <w:i/>
          <w:iCs/>
        </w:rPr>
        <w:t>Genet Epidemiol</w:t>
      </w:r>
      <w:r w:rsidRPr="00A0460F">
        <w:t>. 2013 Nov;</w:t>
      </w:r>
      <w:r w:rsidRPr="00A0460F">
        <w:rPr>
          <w:b/>
          <w:bCs/>
        </w:rPr>
        <w:t>37</w:t>
      </w:r>
      <w:r w:rsidRPr="00A0460F">
        <w:t xml:space="preserve">(7):658–665. </w:t>
      </w:r>
    </w:p>
    <w:p w14:paraId="75A4131C" w14:textId="77777777" w:rsidR="00A0460F" w:rsidRPr="00A0460F" w:rsidRDefault="00A0460F" w:rsidP="00A0460F">
      <w:pPr>
        <w:pStyle w:val="Bibliography"/>
        <w:spacing w:after="0"/>
        <w:jc w:val="both"/>
      </w:pPr>
      <w:r w:rsidRPr="00A0460F">
        <w:t xml:space="preserve">19. </w:t>
      </w:r>
      <w:r w:rsidRPr="00A0460F">
        <w:tab/>
        <w:t xml:space="preserve">Bowden J, Davey Smith G, Burgess S. Mendelian randomization with invalid instruments: effect estimation and bias detection through Egger regression. </w:t>
      </w:r>
      <w:r w:rsidRPr="00A0460F">
        <w:rPr>
          <w:i/>
          <w:iCs/>
        </w:rPr>
        <w:t>Int J Epidemiol</w:t>
      </w:r>
      <w:r w:rsidRPr="00A0460F">
        <w:t>. 2015 Apr;</w:t>
      </w:r>
      <w:r w:rsidRPr="00A0460F">
        <w:rPr>
          <w:b/>
          <w:bCs/>
        </w:rPr>
        <w:t>44</w:t>
      </w:r>
      <w:r w:rsidRPr="00A0460F">
        <w:t xml:space="preserve">(2):512–525. </w:t>
      </w:r>
    </w:p>
    <w:p w14:paraId="327DFE54" w14:textId="77777777" w:rsidR="00A0460F" w:rsidRPr="00A0460F" w:rsidRDefault="00A0460F" w:rsidP="00A0460F">
      <w:pPr>
        <w:pStyle w:val="Bibliography"/>
        <w:spacing w:after="0"/>
        <w:jc w:val="both"/>
      </w:pPr>
      <w:r w:rsidRPr="00A0460F">
        <w:t xml:space="preserve">20. </w:t>
      </w:r>
      <w:r w:rsidRPr="00A0460F">
        <w:tab/>
        <w:t xml:space="preserve">Bowden J, Davey Smith G, Haycock PC, Burgess S. Consistent Estimation in Mendelian Randomization with Some Invalid Instruments Using a Weighted Median Estimator. </w:t>
      </w:r>
      <w:r w:rsidRPr="00A0460F">
        <w:rPr>
          <w:i/>
          <w:iCs/>
        </w:rPr>
        <w:t>Genet Epidemiol</w:t>
      </w:r>
      <w:r w:rsidRPr="00A0460F">
        <w:t>. 2016 May;</w:t>
      </w:r>
      <w:r w:rsidRPr="00A0460F">
        <w:rPr>
          <w:b/>
          <w:bCs/>
        </w:rPr>
        <w:t>40</w:t>
      </w:r>
      <w:r w:rsidRPr="00A0460F">
        <w:t xml:space="preserve">(4):304–314. </w:t>
      </w:r>
    </w:p>
    <w:p w14:paraId="26929863" w14:textId="77777777" w:rsidR="00A0460F" w:rsidRPr="00A0460F" w:rsidRDefault="00A0460F" w:rsidP="00A0460F">
      <w:pPr>
        <w:pStyle w:val="Bibliography"/>
        <w:spacing w:after="0"/>
        <w:jc w:val="both"/>
      </w:pPr>
      <w:r w:rsidRPr="00A0460F">
        <w:t xml:space="preserve">21. </w:t>
      </w:r>
      <w:r w:rsidRPr="00A0460F">
        <w:tab/>
        <w:t xml:space="preserve">Burgess S, Thompson SG. Interpreting findings from Mendelian randomization using the MR-Egger method. </w:t>
      </w:r>
      <w:r w:rsidRPr="00A0460F">
        <w:rPr>
          <w:i/>
          <w:iCs/>
        </w:rPr>
        <w:t>Eur J Epidemiol</w:t>
      </w:r>
      <w:r w:rsidRPr="00A0460F">
        <w:t>. 2017;</w:t>
      </w:r>
      <w:r w:rsidRPr="00A0460F">
        <w:rPr>
          <w:b/>
          <w:bCs/>
        </w:rPr>
        <w:t>32</w:t>
      </w:r>
      <w:r w:rsidRPr="00A0460F">
        <w:t xml:space="preserve">(5):377–389. </w:t>
      </w:r>
    </w:p>
    <w:p w14:paraId="60ECC676" w14:textId="77777777" w:rsidR="00A0460F" w:rsidRPr="00A0460F" w:rsidRDefault="00A0460F" w:rsidP="00A0460F">
      <w:pPr>
        <w:pStyle w:val="Bibliography"/>
        <w:spacing w:after="0"/>
        <w:jc w:val="both"/>
      </w:pPr>
      <w:r w:rsidRPr="00A0460F">
        <w:t xml:space="preserve">22. </w:t>
      </w:r>
      <w:r w:rsidRPr="00A0460F">
        <w:tab/>
        <w:t xml:space="preserve">Burgess S, Thompson SG. Multivariable Mendelian randomization: the use of pleiotropic genetic variants to estimate causal effects. </w:t>
      </w:r>
      <w:r w:rsidRPr="00A0460F">
        <w:rPr>
          <w:i/>
          <w:iCs/>
        </w:rPr>
        <w:t>Am J Epidemiol</w:t>
      </w:r>
      <w:r w:rsidRPr="00A0460F">
        <w:t>. 2015 Feb 15;</w:t>
      </w:r>
      <w:r w:rsidRPr="00A0460F">
        <w:rPr>
          <w:b/>
          <w:bCs/>
        </w:rPr>
        <w:t>181</w:t>
      </w:r>
      <w:r w:rsidRPr="00A0460F">
        <w:t xml:space="preserve">(4):251–260. </w:t>
      </w:r>
    </w:p>
    <w:p w14:paraId="7686750E" w14:textId="77777777" w:rsidR="00A0460F" w:rsidRPr="00A0460F" w:rsidRDefault="00A0460F" w:rsidP="00A0460F">
      <w:pPr>
        <w:pStyle w:val="Bibliography"/>
        <w:spacing w:after="0"/>
        <w:jc w:val="both"/>
      </w:pPr>
      <w:r w:rsidRPr="00A0460F">
        <w:t xml:space="preserve">23. </w:t>
      </w:r>
      <w:r w:rsidRPr="00A0460F">
        <w:tab/>
        <w:t xml:space="preserve">Pourshahidi LK. Vitamin D and obesity: current perspectives and future directions. </w:t>
      </w:r>
      <w:r w:rsidRPr="00A0460F">
        <w:rPr>
          <w:i/>
          <w:iCs/>
        </w:rPr>
        <w:t>Proc Nutr Soc</w:t>
      </w:r>
      <w:r w:rsidRPr="00A0460F">
        <w:t>. 2015 May;</w:t>
      </w:r>
      <w:r w:rsidRPr="00A0460F">
        <w:rPr>
          <w:b/>
          <w:bCs/>
        </w:rPr>
        <w:t>74</w:t>
      </w:r>
      <w:r w:rsidRPr="00A0460F">
        <w:t xml:space="preserve">(2):115–124. </w:t>
      </w:r>
    </w:p>
    <w:p w14:paraId="1F459246" w14:textId="77777777" w:rsidR="00A0460F" w:rsidRPr="00A0460F" w:rsidRDefault="00A0460F" w:rsidP="00A0460F">
      <w:pPr>
        <w:pStyle w:val="Bibliography"/>
        <w:spacing w:after="0"/>
        <w:jc w:val="both"/>
      </w:pPr>
      <w:r w:rsidRPr="00A0460F">
        <w:t xml:space="preserve">24. </w:t>
      </w:r>
      <w:r w:rsidRPr="00A0460F">
        <w:tab/>
        <w:t xml:space="preserve">Guo Y, Warren Andersen S, Shu X-O, et al. Genetically Predicted Body Mass Index and Breast Cancer Risk: Mendelian Randomization Analyses of Data from 145,000 Women of European Descent. </w:t>
      </w:r>
      <w:r w:rsidRPr="00A0460F">
        <w:rPr>
          <w:i/>
          <w:iCs/>
        </w:rPr>
        <w:t>PLoS Med</w:t>
      </w:r>
      <w:r w:rsidRPr="00A0460F">
        <w:t>. 2016 Aug;</w:t>
      </w:r>
      <w:r w:rsidRPr="00A0460F">
        <w:rPr>
          <w:b/>
          <w:bCs/>
        </w:rPr>
        <w:t>13</w:t>
      </w:r>
      <w:r w:rsidRPr="00A0460F">
        <w:t xml:space="preserve">(8):e1002105. </w:t>
      </w:r>
    </w:p>
    <w:p w14:paraId="4B094864" w14:textId="77777777" w:rsidR="00A0460F" w:rsidRPr="00A0460F" w:rsidRDefault="00A0460F" w:rsidP="00A0460F">
      <w:pPr>
        <w:pStyle w:val="Bibliography"/>
        <w:spacing w:after="0"/>
        <w:jc w:val="both"/>
      </w:pPr>
      <w:r w:rsidRPr="00A0460F">
        <w:t xml:space="preserve">25. </w:t>
      </w:r>
      <w:r w:rsidRPr="00A0460F">
        <w:tab/>
        <w:t xml:space="preserve">Locke AE, Kahali B, Berndt SI, et al. Genetic studies of body mass index yield new insights for obesity biology. </w:t>
      </w:r>
      <w:r w:rsidRPr="00A0460F">
        <w:rPr>
          <w:i/>
          <w:iCs/>
        </w:rPr>
        <w:t>Nature</w:t>
      </w:r>
      <w:r w:rsidRPr="00A0460F">
        <w:t>. 2015 Feb 12;</w:t>
      </w:r>
      <w:r w:rsidRPr="00A0460F">
        <w:rPr>
          <w:b/>
          <w:bCs/>
        </w:rPr>
        <w:t>518</w:t>
      </w:r>
      <w:r w:rsidRPr="00A0460F">
        <w:t xml:space="preserve">(7538):197–206. </w:t>
      </w:r>
    </w:p>
    <w:p w14:paraId="3E2B10AD" w14:textId="77777777" w:rsidR="00A0460F" w:rsidRPr="00A0460F" w:rsidRDefault="00A0460F" w:rsidP="00A0460F">
      <w:pPr>
        <w:pStyle w:val="Bibliography"/>
        <w:spacing w:after="0"/>
        <w:jc w:val="both"/>
      </w:pPr>
      <w:r w:rsidRPr="00A0460F">
        <w:t xml:space="preserve">26. </w:t>
      </w:r>
      <w:r w:rsidRPr="00A0460F">
        <w:tab/>
        <w:t xml:space="preserve">Brion M-JA, Shakhbazov K, Visscher PM. Calculating statistical power in Mendelian randomization studies. </w:t>
      </w:r>
      <w:r w:rsidRPr="00A0460F">
        <w:rPr>
          <w:i/>
          <w:iCs/>
        </w:rPr>
        <w:t>Int J Epidemiol</w:t>
      </w:r>
      <w:r w:rsidRPr="00A0460F">
        <w:t>. 2013 Oct 1;</w:t>
      </w:r>
      <w:r w:rsidRPr="00A0460F">
        <w:rPr>
          <w:b/>
          <w:bCs/>
        </w:rPr>
        <w:t>42</w:t>
      </w:r>
      <w:r w:rsidRPr="00A0460F">
        <w:t xml:space="preserve">(5):1497–1501. </w:t>
      </w:r>
    </w:p>
    <w:p w14:paraId="152B895A" w14:textId="77777777" w:rsidR="00A0460F" w:rsidRPr="00DD1B74" w:rsidRDefault="00A0460F" w:rsidP="00A0460F">
      <w:pPr>
        <w:pStyle w:val="Bibliography"/>
        <w:spacing w:after="0"/>
        <w:jc w:val="both"/>
        <w:rPr>
          <w:lang w:val="es-ES"/>
        </w:rPr>
      </w:pPr>
      <w:r w:rsidRPr="00A0460F">
        <w:t xml:space="preserve">27. </w:t>
      </w:r>
      <w:r w:rsidRPr="00A0460F">
        <w:tab/>
        <w:t xml:space="preserve">Bauer SR, Hankinson SE, Bertone-Johnson ER, Ding EL. Plasma vitamin D levels, menopause, and risk of breast cancer: dose-response meta-analysis of prospective studies. </w:t>
      </w:r>
      <w:r w:rsidRPr="00DD1B74">
        <w:rPr>
          <w:i/>
          <w:iCs/>
          <w:lang w:val="es-ES"/>
        </w:rPr>
        <w:t>Medicine (Baltimore)</w:t>
      </w:r>
      <w:r w:rsidRPr="00DD1B74">
        <w:rPr>
          <w:lang w:val="es-ES"/>
        </w:rPr>
        <w:t>. 2013 May;</w:t>
      </w:r>
      <w:r w:rsidRPr="00DD1B74">
        <w:rPr>
          <w:b/>
          <w:bCs/>
          <w:lang w:val="es-ES"/>
        </w:rPr>
        <w:t>92</w:t>
      </w:r>
      <w:r w:rsidRPr="00DD1B74">
        <w:rPr>
          <w:lang w:val="es-ES"/>
        </w:rPr>
        <w:t xml:space="preserve">(3):123–131. </w:t>
      </w:r>
    </w:p>
    <w:p w14:paraId="424106A1" w14:textId="77777777" w:rsidR="00A0460F" w:rsidRPr="00A0460F" w:rsidRDefault="00A0460F" w:rsidP="00A0460F">
      <w:pPr>
        <w:pStyle w:val="Bibliography"/>
        <w:spacing w:after="0"/>
        <w:jc w:val="both"/>
      </w:pPr>
      <w:r w:rsidRPr="00A0460F">
        <w:rPr>
          <w:lang w:val="es-ES"/>
        </w:rPr>
        <w:t xml:space="preserve">28. </w:t>
      </w:r>
      <w:r w:rsidRPr="00A0460F">
        <w:rPr>
          <w:lang w:val="es-ES"/>
        </w:rPr>
        <w:tab/>
        <w:t xml:space="preserve">Wang D, Vélez de-la-Paz OI, Zhai J-X, Liu D-W. </w:t>
      </w:r>
      <w:r w:rsidRPr="00A0460F">
        <w:t xml:space="preserve">Serum 25-hydroxyvitamin D and breast cancer risk: a meta-analysis of prospective studies. </w:t>
      </w:r>
      <w:r w:rsidRPr="00A0460F">
        <w:rPr>
          <w:i/>
          <w:iCs/>
        </w:rPr>
        <w:t>Tumour Biol</w:t>
      </w:r>
      <w:r w:rsidRPr="00A0460F">
        <w:t>. 2013 Dec;</w:t>
      </w:r>
      <w:r w:rsidRPr="00A0460F">
        <w:rPr>
          <w:b/>
          <w:bCs/>
        </w:rPr>
        <w:t>34</w:t>
      </w:r>
      <w:r w:rsidRPr="00A0460F">
        <w:t xml:space="preserve">(6):3509–3517. </w:t>
      </w:r>
    </w:p>
    <w:p w14:paraId="53A82C86" w14:textId="77777777" w:rsidR="00A0460F" w:rsidRPr="00A0460F" w:rsidRDefault="00A0460F" w:rsidP="00A0460F">
      <w:pPr>
        <w:pStyle w:val="Bibliography"/>
        <w:spacing w:after="0"/>
        <w:jc w:val="both"/>
      </w:pPr>
      <w:r w:rsidRPr="00A0460F">
        <w:t xml:space="preserve">29. </w:t>
      </w:r>
      <w:r w:rsidRPr="00A0460F">
        <w:tab/>
        <w:t xml:space="preserve">Bolland MJ, Grey A, Gamble GD, Reid IR. Calcium and vitamin D supplements and health outcomes: a reanalysis of the Women’s Health Initiative (WHI) limited-access data set. </w:t>
      </w:r>
      <w:r w:rsidRPr="00A0460F">
        <w:rPr>
          <w:i/>
          <w:iCs/>
        </w:rPr>
        <w:t>Am J Clin Nutr</w:t>
      </w:r>
      <w:r w:rsidRPr="00A0460F">
        <w:t>. 2011 Oct;</w:t>
      </w:r>
      <w:r w:rsidRPr="00A0460F">
        <w:rPr>
          <w:b/>
          <w:bCs/>
        </w:rPr>
        <w:t>94</w:t>
      </w:r>
      <w:r w:rsidRPr="00A0460F">
        <w:t xml:space="preserve">(4):1144–1149. </w:t>
      </w:r>
    </w:p>
    <w:p w14:paraId="75C0E8F1" w14:textId="77777777" w:rsidR="00A0460F" w:rsidRPr="00A0460F" w:rsidRDefault="00A0460F" w:rsidP="00A0460F">
      <w:pPr>
        <w:pStyle w:val="Bibliography"/>
        <w:spacing w:after="0"/>
        <w:jc w:val="both"/>
      </w:pPr>
      <w:r w:rsidRPr="00A0460F">
        <w:t xml:space="preserve">30. </w:t>
      </w:r>
      <w:r w:rsidRPr="00A0460F">
        <w:tab/>
        <w:t xml:space="preserve">Xu Y, Shao X, Yao Y, et al. Positive association between circulating 25-hydroxyvitamin D levels and prostate cancer risk: new findings from an updated meta-analysis. </w:t>
      </w:r>
      <w:r w:rsidRPr="00A0460F">
        <w:rPr>
          <w:i/>
          <w:iCs/>
        </w:rPr>
        <w:t>J Cancer Res Clin Oncol</w:t>
      </w:r>
      <w:r w:rsidRPr="00A0460F">
        <w:t>. 2014 Sep;</w:t>
      </w:r>
      <w:r w:rsidRPr="00A0460F">
        <w:rPr>
          <w:b/>
          <w:bCs/>
        </w:rPr>
        <w:t>140</w:t>
      </w:r>
      <w:r w:rsidRPr="00A0460F">
        <w:t xml:space="preserve">(9):1465–1477. </w:t>
      </w:r>
    </w:p>
    <w:p w14:paraId="04B564B5" w14:textId="77777777" w:rsidR="00A0460F" w:rsidRPr="00A0460F" w:rsidRDefault="00A0460F" w:rsidP="00A0460F">
      <w:pPr>
        <w:pStyle w:val="Bibliography"/>
        <w:spacing w:after="0"/>
        <w:jc w:val="both"/>
      </w:pPr>
      <w:r w:rsidRPr="00A0460F">
        <w:lastRenderedPageBreak/>
        <w:t xml:space="preserve">31. </w:t>
      </w:r>
      <w:r w:rsidRPr="00A0460F">
        <w:tab/>
        <w:t xml:space="preserve">Mondul AM, Shui IM, Yu K, et al. Genetic variation in the vitamin d pathway in relation to risk of prostate cancer--results from the breast and prostate cancer cohort consortium. </w:t>
      </w:r>
      <w:r w:rsidRPr="00A0460F">
        <w:rPr>
          <w:i/>
          <w:iCs/>
        </w:rPr>
        <w:t>Cancer Epidemiol Biomarkers Prev</w:t>
      </w:r>
      <w:r w:rsidRPr="00A0460F">
        <w:t>. 2013 Apr;</w:t>
      </w:r>
      <w:r w:rsidRPr="00A0460F">
        <w:rPr>
          <w:b/>
          <w:bCs/>
        </w:rPr>
        <w:t>22</w:t>
      </w:r>
      <w:r w:rsidRPr="00A0460F">
        <w:t xml:space="preserve">(4):688–696. </w:t>
      </w:r>
    </w:p>
    <w:p w14:paraId="3DE530AC" w14:textId="77777777" w:rsidR="00A0460F" w:rsidRPr="00C7676B" w:rsidRDefault="00A0460F" w:rsidP="00A0460F">
      <w:pPr>
        <w:pStyle w:val="Bibliography"/>
        <w:spacing w:after="0"/>
        <w:jc w:val="both"/>
        <w:rPr>
          <w:lang w:val="es-ES"/>
        </w:rPr>
      </w:pPr>
      <w:r w:rsidRPr="00A0460F">
        <w:t xml:space="preserve">32. </w:t>
      </w:r>
      <w:r w:rsidRPr="00A0460F">
        <w:tab/>
        <w:t xml:space="preserve">Manousaki D, Richards JB. Low vitamin D levels as a risk factor for cancer. </w:t>
      </w:r>
      <w:r w:rsidRPr="00C7676B">
        <w:rPr>
          <w:i/>
          <w:iCs/>
          <w:lang w:val="es-ES"/>
        </w:rPr>
        <w:t>BMJ</w:t>
      </w:r>
      <w:r w:rsidRPr="00C7676B">
        <w:rPr>
          <w:lang w:val="es-ES"/>
        </w:rPr>
        <w:t>. 2017 31;</w:t>
      </w:r>
      <w:r w:rsidRPr="00C7676B">
        <w:rPr>
          <w:b/>
          <w:bCs/>
          <w:lang w:val="es-ES"/>
        </w:rPr>
        <w:t>359</w:t>
      </w:r>
      <w:r w:rsidRPr="00C7676B">
        <w:rPr>
          <w:lang w:val="es-ES"/>
        </w:rPr>
        <w:t xml:space="preserve">:j4952. </w:t>
      </w:r>
    </w:p>
    <w:p w14:paraId="1C8903D0" w14:textId="77777777" w:rsidR="00A0460F" w:rsidRPr="00A0460F" w:rsidRDefault="00A0460F" w:rsidP="00A0460F">
      <w:pPr>
        <w:pStyle w:val="Bibliography"/>
        <w:spacing w:after="0"/>
        <w:jc w:val="both"/>
      </w:pPr>
      <w:r w:rsidRPr="00C7676B">
        <w:rPr>
          <w:lang w:val="es-ES"/>
        </w:rPr>
        <w:t xml:space="preserve">33. </w:t>
      </w:r>
      <w:r w:rsidRPr="00C7676B">
        <w:rPr>
          <w:lang w:val="es-ES"/>
        </w:rPr>
        <w:tab/>
        <w:t xml:space="preserve">Ong J-S, Cuellar-Partida G, Lu Y, et al. </w:t>
      </w:r>
      <w:r w:rsidRPr="00A0460F">
        <w:t xml:space="preserve">Association of vitamin D levels and risk of ovarian cancer: a Mendelian randomization study. </w:t>
      </w:r>
      <w:r w:rsidRPr="00A0460F">
        <w:rPr>
          <w:i/>
          <w:iCs/>
        </w:rPr>
        <w:t>Int J Epidemiol</w:t>
      </w:r>
      <w:r w:rsidRPr="00A0460F">
        <w:t>. 2016;</w:t>
      </w:r>
      <w:r w:rsidRPr="00A0460F">
        <w:rPr>
          <w:b/>
          <w:bCs/>
        </w:rPr>
        <w:t>45</w:t>
      </w:r>
      <w:r w:rsidRPr="00A0460F">
        <w:t xml:space="preserve">(5):1619–1630. </w:t>
      </w:r>
    </w:p>
    <w:p w14:paraId="4F64076C" w14:textId="77777777" w:rsidR="00A0460F" w:rsidRPr="00A0460F" w:rsidRDefault="00A0460F" w:rsidP="00A0460F">
      <w:pPr>
        <w:pStyle w:val="Bibliography"/>
        <w:spacing w:after="0"/>
        <w:jc w:val="both"/>
      </w:pPr>
      <w:r w:rsidRPr="00A0460F">
        <w:t xml:space="preserve">34. </w:t>
      </w:r>
      <w:r w:rsidRPr="00A0460F">
        <w:tab/>
        <w:t xml:space="preserve">Ahn J, Yu K, Stolzenberg-Solomon R, et al. Genome-wide association study of circulating vitamin D levels. </w:t>
      </w:r>
      <w:r w:rsidRPr="00A0460F">
        <w:rPr>
          <w:i/>
          <w:iCs/>
        </w:rPr>
        <w:t>Hum Mol Genet</w:t>
      </w:r>
      <w:r w:rsidRPr="00A0460F">
        <w:t>. 2010 Jul 1;</w:t>
      </w:r>
      <w:r w:rsidRPr="00A0460F">
        <w:rPr>
          <w:b/>
          <w:bCs/>
        </w:rPr>
        <w:t>19</w:t>
      </w:r>
      <w:r w:rsidRPr="00A0460F">
        <w:t xml:space="preserve">(13):2739–2745. </w:t>
      </w:r>
    </w:p>
    <w:p w14:paraId="49AD5484" w14:textId="0D82BCA6" w:rsidR="00565564" w:rsidRPr="00737DF9" w:rsidRDefault="00737DF9" w:rsidP="00A0460F">
      <w:pPr>
        <w:jc w:val="both"/>
        <w:sectPr w:rsidR="00565564" w:rsidRPr="00737DF9" w:rsidSect="00B7739B">
          <w:footerReference w:type="even" r:id="rId26"/>
          <w:footerReference w:type="default" r:id="rId27"/>
          <w:type w:val="continuous"/>
          <w:pgSz w:w="12240" w:h="15840"/>
          <w:pgMar w:top="1440" w:right="1440" w:bottom="1440" w:left="1440" w:header="720" w:footer="720" w:gutter="0"/>
          <w:cols w:space="720"/>
          <w:docGrid w:linePitch="360"/>
        </w:sectPr>
      </w:pPr>
      <w:r>
        <w:fldChar w:fldCharType="end"/>
      </w:r>
    </w:p>
    <w:p w14:paraId="52FBDF2A" w14:textId="77777777" w:rsidR="001F760F" w:rsidRPr="001F1589" w:rsidRDefault="001F760F" w:rsidP="00CA2EAE">
      <w:pPr>
        <w:spacing w:after="120" w:line="480" w:lineRule="auto"/>
        <w:jc w:val="both"/>
        <w:rPr>
          <w:color w:val="000000" w:themeColor="text1"/>
        </w:rPr>
      </w:pPr>
    </w:p>
    <w:tbl>
      <w:tblPr>
        <w:tblW w:w="10783" w:type="dxa"/>
        <w:tblInd w:w="99" w:type="dxa"/>
        <w:tblLook w:val="04A0" w:firstRow="1" w:lastRow="0" w:firstColumn="1" w:lastColumn="0" w:noHBand="0" w:noVBand="1"/>
      </w:tblPr>
      <w:tblGrid>
        <w:gridCol w:w="1300"/>
        <w:gridCol w:w="832"/>
        <w:gridCol w:w="900"/>
        <w:gridCol w:w="825"/>
        <w:gridCol w:w="1099"/>
        <w:gridCol w:w="1003"/>
        <w:gridCol w:w="1206"/>
        <w:gridCol w:w="1206"/>
        <w:gridCol w:w="1206"/>
        <w:gridCol w:w="1206"/>
      </w:tblGrid>
      <w:tr w:rsidR="001F1589" w:rsidRPr="001F1589" w14:paraId="03AA82C7" w14:textId="77777777" w:rsidTr="00C86FF5">
        <w:trPr>
          <w:trHeight w:val="20"/>
        </w:trPr>
        <w:tc>
          <w:tcPr>
            <w:tcW w:w="10783" w:type="dxa"/>
            <w:gridSpan w:val="10"/>
            <w:tcBorders>
              <w:top w:val="nil"/>
              <w:left w:val="nil"/>
              <w:bottom w:val="single" w:sz="8" w:space="0" w:color="auto"/>
              <w:right w:val="nil"/>
            </w:tcBorders>
            <w:shd w:val="clear" w:color="auto" w:fill="auto"/>
            <w:vAlign w:val="center"/>
            <w:hideMark/>
          </w:tcPr>
          <w:p w14:paraId="7F6C9559" w14:textId="77777777" w:rsidR="0047098B" w:rsidRPr="001F1589" w:rsidRDefault="0047098B" w:rsidP="0047098B">
            <w:pPr>
              <w:rPr>
                <w:rFonts w:ascii="Calibri" w:eastAsia="Times New Roman" w:hAnsi="Calibri"/>
                <w:b/>
                <w:bCs/>
                <w:color w:val="000000" w:themeColor="text1"/>
                <w:lang w:val="en-GB" w:eastAsia="el-GR"/>
              </w:rPr>
            </w:pPr>
            <w:r w:rsidRPr="001F1589">
              <w:rPr>
                <w:rFonts w:ascii="Calibri" w:eastAsia="Times New Roman" w:hAnsi="Calibri"/>
                <w:b/>
                <w:bCs/>
                <w:color w:val="000000" w:themeColor="text1"/>
                <w:lang w:val="en-GB" w:eastAsia="el-GR"/>
              </w:rPr>
              <w:t>Table1. Number of cancer cases and controls and statistical power in Mendelian randomization study of circulating vitamin D concentration and risk of breast and prostate cancer.</w:t>
            </w:r>
          </w:p>
        </w:tc>
      </w:tr>
      <w:tr w:rsidR="001F1589" w:rsidRPr="001F1589" w14:paraId="6D935543" w14:textId="77777777" w:rsidTr="00C86FF5">
        <w:trPr>
          <w:trHeight w:val="20"/>
        </w:trPr>
        <w:tc>
          <w:tcPr>
            <w:tcW w:w="1300" w:type="dxa"/>
            <w:vMerge w:val="restart"/>
            <w:tcBorders>
              <w:top w:val="nil"/>
              <w:left w:val="nil"/>
              <w:bottom w:val="single" w:sz="8" w:space="0" w:color="000000"/>
              <w:right w:val="nil"/>
            </w:tcBorders>
            <w:shd w:val="clear" w:color="auto" w:fill="auto"/>
            <w:vAlign w:val="center"/>
            <w:hideMark/>
          </w:tcPr>
          <w:p w14:paraId="3F67C11E"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Cancer type</w:t>
            </w:r>
          </w:p>
        </w:tc>
        <w:tc>
          <w:tcPr>
            <w:tcW w:w="832" w:type="dxa"/>
            <w:vMerge w:val="restart"/>
            <w:tcBorders>
              <w:top w:val="nil"/>
              <w:left w:val="nil"/>
              <w:bottom w:val="single" w:sz="8" w:space="0" w:color="000000"/>
              <w:right w:val="nil"/>
            </w:tcBorders>
            <w:shd w:val="clear" w:color="auto" w:fill="auto"/>
            <w:vAlign w:val="center"/>
            <w:hideMark/>
          </w:tcPr>
          <w:p w14:paraId="0A6877EA"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Cases</w:t>
            </w:r>
          </w:p>
        </w:tc>
        <w:tc>
          <w:tcPr>
            <w:tcW w:w="900" w:type="dxa"/>
            <w:vMerge w:val="restart"/>
            <w:tcBorders>
              <w:top w:val="nil"/>
              <w:left w:val="nil"/>
              <w:bottom w:val="single" w:sz="8" w:space="0" w:color="000000"/>
              <w:right w:val="nil"/>
            </w:tcBorders>
            <w:shd w:val="clear" w:color="auto" w:fill="auto"/>
            <w:vAlign w:val="center"/>
            <w:hideMark/>
          </w:tcPr>
          <w:p w14:paraId="64CD0194"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Controls</w:t>
            </w:r>
          </w:p>
        </w:tc>
        <w:tc>
          <w:tcPr>
            <w:tcW w:w="825" w:type="dxa"/>
            <w:vMerge w:val="restart"/>
            <w:tcBorders>
              <w:top w:val="nil"/>
              <w:left w:val="nil"/>
              <w:bottom w:val="single" w:sz="8" w:space="0" w:color="000000"/>
              <w:right w:val="nil"/>
            </w:tcBorders>
            <w:shd w:val="clear" w:color="auto" w:fill="auto"/>
            <w:vAlign w:val="center"/>
            <w:hideMark/>
          </w:tcPr>
          <w:p w14:paraId="27C28619"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Total</w:t>
            </w:r>
          </w:p>
        </w:tc>
        <w:tc>
          <w:tcPr>
            <w:tcW w:w="1099" w:type="dxa"/>
            <w:vMerge w:val="restart"/>
            <w:tcBorders>
              <w:top w:val="nil"/>
              <w:left w:val="nil"/>
              <w:bottom w:val="single" w:sz="8" w:space="0" w:color="000000"/>
              <w:right w:val="nil"/>
            </w:tcBorders>
            <w:shd w:val="clear" w:color="auto" w:fill="auto"/>
            <w:vAlign w:val="center"/>
            <w:hideMark/>
          </w:tcPr>
          <w:p w14:paraId="6C9F462B"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Proportion of cases</w:t>
            </w:r>
          </w:p>
        </w:tc>
        <w:tc>
          <w:tcPr>
            <w:tcW w:w="5827" w:type="dxa"/>
            <w:gridSpan w:val="5"/>
            <w:tcBorders>
              <w:top w:val="single" w:sz="8" w:space="0" w:color="auto"/>
              <w:left w:val="nil"/>
              <w:bottom w:val="single" w:sz="4" w:space="0" w:color="auto"/>
              <w:right w:val="nil"/>
            </w:tcBorders>
            <w:shd w:val="clear" w:color="auto" w:fill="auto"/>
            <w:vAlign w:val="center"/>
            <w:hideMark/>
          </w:tcPr>
          <w:p w14:paraId="3553DEB3"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Minimum detectable odds ratio</w:t>
            </w:r>
          </w:p>
        </w:tc>
      </w:tr>
      <w:tr w:rsidR="001F1589" w:rsidRPr="001F1589" w14:paraId="0C1CCAF3" w14:textId="77777777" w:rsidTr="00C86FF5">
        <w:trPr>
          <w:trHeight w:val="20"/>
        </w:trPr>
        <w:tc>
          <w:tcPr>
            <w:tcW w:w="1300" w:type="dxa"/>
            <w:vMerge/>
            <w:tcBorders>
              <w:top w:val="nil"/>
              <w:left w:val="nil"/>
              <w:bottom w:val="single" w:sz="8" w:space="0" w:color="000000"/>
              <w:right w:val="nil"/>
            </w:tcBorders>
            <w:vAlign w:val="center"/>
            <w:hideMark/>
          </w:tcPr>
          <w:p w14:paraId="483ADC2F" w14:textId="77777777" w:rsidR="0047098B" w:rsidRPr="001F1589" w:rsidRDefault="0047098B" w:rsidP="0047098B">
            <w:pPr>
              <w:rPr>
                <w:rFonts w:ascii="Calibri" w:eastAsia="Times New Roman" w:hAnsi="Calibri"/>
                <w:color w:val="000000" w:themeColor="text1"/>
                <w:sz w:val="20"/>
                <w:szCs w:val="20"/>
                <w:lang w:val="el-GR" w:eastAsia="el-GR"/>
              </w:rPr>
            </w:pPr>
          </w:p>
        </w:tc>
        <w:tc>
          <w:tcPr>
            <w:tcW w:w="832" w:type="dxa"/>
            <w:vMerge/>
            <w:tcBorders>
              <w:top w:val="nil"/>
              <w:left w:val="nil"/>
              <w:bottom w:val="single" w:sz="8" w:space="0" w:color="000000"/>
              <w:right w:val="nil"/>
            </w:tcBorders>
            <w:vAlign w:val="center"/>
            <w:hideMark/>
          </w:tcPr>
          <w:p w14:paraId="151DBFD5" w14:textId="77777777" w:rsidR="0047098B" w:rsidRPr="001F1589" w:rsidRDefault="0047098B" w:rsidP="0047098B">
            <w:pPr>
              <w:rPr>
                <w:rFonts w:ascii="Calibri" w:eastAsia="Times New Roman" w:hAnsi="Calibri"/>
                <w:color w:val="000000" w:themeColor="text1"/>
                <w:sz w:val="20"/>
                <w:szCs w:val="20"/>
                <w:lang w:val="el-GR" w:eastAsia="el-GR"/>
              </w:rPr>
            </w:pPr>
          </w:p>
        </w:tc>
        <w:tc>
          <w:tcPr>
            <w:tcW w:w="900" w:type="dxa"/>
            <w:vMerge/>
            <w:tcBorders>
              <w:top w:val="nil"/>
              <w:left w:val="nil"/>
              <w:bottom w:val="single" w:sz="8" w:space="0" w:color="000000"/>
              <w:right w:val="nil"/>
            </w:tcBorders>
            <w:vAlign w:val="center"/>
            <w:hideMark/>
          </w:tcPr>
          <w:p w14:paraId="3155102B" w14:textId="77777777" w:rsidR="0047098B" w:rsidRPr="001F1589" w:rsidRDefault="0047098B" w:rsidP="0047098B">
            <w:pPr>
              <w:rPr>
                <w:rFonts w:ascii="Calibri" w:eastAsia="Times New Roman" w:hAnsi="Calibri"/>
                <w:color w:val="000000" w:themeColor="text1"/>
                <w:sz w:val="20"/>
                <w:szCs w:val="20"/>
                <w:lang w:val="el-GR" w:eastAsia="el-GR"/>
              </w:rPr>
            </w:pPr>
          </w:p>
        </w:tc>
        <w:tc>
          <w:tcPr>
            <w:tcW w:w="825" w:type="dxa"/>
            <w:vMerge/>
            <w:tcBorders>
              <w:top w:val="nil"/>
              <w:left w:val="nil"/>
              <w:bottom w:val="single" w:sz="8" w:space="0" w:color="000000"/>
              <w:right w:val="nil"/>
            </w:tcBorders>
            <w:vAlign w:val="center"/>
            <w:hideMark/>
          </w:tcPr>
          <w:p w14:paraId="275A0788" w14:textId="77777777" w:rsidR="0047098B" w:rsidRPr="001F1589" w:rsidRDefault="0047098B" w:rsidP="0047098B">
            <w:pPr>
              <w:rPr>
                <w:rFonts w:ascii="Calibri" w:eastAsia="Times New Roman" w:hAnsi="Calibri"/>
                <w:color w:val="000000" w:themeColor="text1"/>
                <w:sz w:val="20"/>
                <w:szCs w:val="20"/>
                <w:lang w:val="el-GR" w:eastAsia="el-GR"/>
              </w:rPr>
            </w:pPr>
          </w:p>
        </w:tc>
        <w:tc>
          <w:tcPr>
            <w:tcW w:w="1099" w:type="dxa"/>
            <w:vMerge/>
            <w:tcBorders>
              <w:top w:val="nil"/>
              <w:left w:val="nil"/>
              <w:bottom w:val="single" w:sz="8" w:space="0" w:color="000000"/>
              <w:right w:val="nil"/>
            </w:tcBorders>
            <w:vAlign w:val="center"/>
            <w:hideMark/>
          </w:tcPr>
          <w:p w14:paraId="43DFB1F1" w14:textId="77777777" w:rsidR="0047098B" w:rsidRPr="001F1589" w:rsidRDefault="0047098B" w:rsidP="0047098B">
            <w:pPr>
              <w:rPr>
                <w:rFonts w:ascii="Calibri" w:eastAsia="Times New Roman" w:hAnsi="Calibri"/>
                <w:color w:val="000000" w:themeColor="text1"/>
                <w:sz w:val="20"/>
                <w:szCs w:val="20"/>
                <w:lang w:val="el-GR" w:eastAsia="el-GR"/>
              </w:rPr>
            </w:pPr>
          </w:p>
        </w:tc>
        <w:tc>
          <w:tcPr>
            <w:tcW w:w="1003" w:type="dxa"/>
            <w:tcBorders>
              <w:top w:val="nil"/>
              <w:left w:val="nil"/>
              <w:bottom w:val="single" w:sz="8" w:space="0" w:color="auto"/>
              <w:right w:val="nil"/>
            </w:tcBorders>
            <w:shd w:val="clear" w:color="auto" w:fill="auto"/>
            <w:noWrap/>
            <w:vAlign w:val="center"/>
            <w:hideMark/>
          </w:tcPr>
          <w:p w14:paraId="77BA339A"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R</w:t>
            </w:r>
            <w:r w:rsidRPr="001F1589">
              <w:rPr>
                <w:rFonts w:ascii="Calibri (Body)" w:eastAsia="Times New Roman" w:hAnsi="Calibri (Body)"/>
                <w:color w:val="000000" w:themeColor="text1"/>
                <w:sz w:val="20"/>
                <w:szCs w:val="20"/>
                <w:vertAlign w:val="superscript"/>
                <w:lang w:val="el-GR" w:eastAsia="el-GR"/>
              </w:rPr>
              <w:t>2</w:t>
            </w:r>
            <w:r w:rsidRPr="001F1589">
              <w:rPr>
                <w:rFonts w:ascii="Calibri" w:eastAsia="Times New Roman" w:hAnsi="Calibri"/>
                <w:color w:val="000000" w:themeColor="text1"/>
                <w:sz w:val="20"/>
                <w:szCs w:val="20"/>
                <w:lang w:val="el-GR" w:eastAsia="el-GR"/>
              </w:rPr>
              <w:t>=0.01</w:t>
            </w:r>
          </w:p>
        </w:tc>
        <w:tc>
          <w:tcPr>
            <w:tcW w:w="1206" w:type="dxa"/>
            <w:tcBorders>
              <w:top w:val="nil"/>
              <w:left w:val="nil"/>
              <w:bottom w:val="single" w:sz="8" w:space="0" w:color="auto"/>
              <w:right w:val="nil"/>
            </w:tcBorders>
            <w:shd w:val="clear" w:color="auto" w:fill="auto"/>
            <w:noWrap/>
            <w:vAlign w:val="center"/>
            <w:hideMark/>
          </w:tcPr>
          <w:p w14:paraId="3D5A9EF8"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R</w:t>
            </w:r>
            <w:r w:rsidRPr="001F1589">
              <w:rPr>
                <w:rFonts w:ascii="Calibri (Body)" w:eastAsia="Times New Roman" w:hAnsi="Calibri (Body)"/>
                <w:color w:val="000000" w:themeColor="text1"/>
                <w:sz w:val="20"/>
                <w:szCs w:val="20"/>
                <w:vertAlign w:val="superscript"/>
                <w:lang w:val="el-GR" w:eastAsia="el-GR"/>
              </w:rPr>
              <w:t>2</w:t>
            </w:r>
            <w:r w:rsidRPr="001F1589">
              <w:rPr>
                <w:rFonts w:ascii="Calibri" w:eastAsia="Times New Roman" w:hAnsi="Calibri"/>
                <w:color w:val="000000" w:themeColor="text1"/>
                <w:sz w:val="20"/>
                <w:szCs w:val="20"/>
                <w:lang w:val="el-GR" w:eastAsia="el-GR"/>
              </w:rPr>
              <w:t>=0.02</w:t>
            </w:r>
          </w:p>
        </w:tc>
        <w:tc>
          <w:tcPr>
            <w:tcW w:w="1206" w:type="dxa"/>
            <w:tcBorders>
              <w:top w:val="nil"/>
              <w:left w:val="nil"/>
              <w:bottom w:val="single" w:sz="8" w:space="0" w:color="auto"/>
              <w:right w:val="nil"/>
            </w:tcBorders>
            <w:shd w:val="clear" w:color="auto" w:fill="auto"/>
            <w:noWrap/>
            <w:vAlign w:val="center"/>
            <w:hideMark/>
          </w:tcPr>
          <w:p w14:paraId="58916C08"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R</w:t>
            </w:r>
            <w:r w:rsidRPr="001F1589">
              <w:rPr>
                <w:rFonts w:ascii="Calibri (Body)" w:eastAsia="Times New Roman" w:hAnsi="Calibri (Body)"/>
                <w:color w:val="000000" w:themeColor="text1"/>
                <w:sz w:val="20"/>
                <w:szCs w:val="20"/>
                <w:vertAlign w:val="superscript"/>
                <w:lang w:val="el-GR" w:eastAsia="el-GR"/>
              </w:rPr>
              <w:t>2</w:t>
            </w:r>
            <w:r w:rsidRPr="001F1589">
              <w:rPr>
                <w:rFonts w:ascii="Calibri" w:eastAsia="Times New Roman" w:hAnsi="Calibri"/>
                <w:color w:val="000000" w:themeColor="text1"/>
                <w:sz w:val="20"/>
                <w:szCs w:val="20"/>
                <w:lang w:val="el-GR" w:eastAsia="el-GR"/>
              </w:rPr>
              <w:t>=0.03</w:t>
            </w:r>
          </w:p>
        </w:tc>
        <w:tc>
          <w:tcPr>
            <w:tcW w:w="1206" w:type="dxa"/>
            <w:tcBorders>
              <w:top w:val="nil"/>
              <w:left w:val="nil"/>
              <w:bottom w:val="single" w:sz="8" w:space="0" w:color="auto"/>
              <w:right w:val="nil"/>
            </w:tcBorders>
            <w:shd w:val="clear" w:color="auto" w:fill="auto"/>
            <w:noWrap/>
            <w:vAlign w:val="center"/>
            <w:hideMark/>
          </w:tcPr>
          <w:p w14:paraId="5DEA43E0"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R</w:t>
            </w:r>
            <w:r w:rsidRPr="001F1589">
              <w:rPr>
                <w:rFonts w:ascii="Calibri (Body)" w:eastAsia="Times New Roman" w:hAnsi="Calibri (Body)"/>
                <w:color w:val="000000" w:themeColor="text1"/>
                <w:sz w:val="20"/>
                <w:szCs w:val="20"/>
                <w:vertAlign w:val="superscript"/>
                <w:lang w:val="el-GR" w:eastAsia="el-GR"/>
              </w:rPr>
              <w:t>2</w:t>
            </w:r>
            <w:r w:rsidRPr="001F1589">
              <w:rPr>
                <w:rFonts w:ascii="Calibri" w:eastAsia="Times New Roman" w:hAnsi="Calibri"/>
                <w:color w:val="000000" w:themeColor="text1"/>
                <w:sz w:val="20"/>
                <w:szCs w:val="20"/>
                <w:lang w:val="el-GR" w:eastAsia="el-GR"/>
              </w:rPr>
              <w:t>=0.04</w:t>
            </w:r>
          </w:p>
        </w:tc>
        <w:tc>
          <w:tcPr>
            <w:tcW w:w="1206" w:type="dxa"/>
            <w:tcBorders>
              <w:top w:val="nil"/>
              <w:left w:val="nil"/>
              <w:bottom w:val="single" w:sz="8" w:space="0" w:color="auto"/>
              <w:right w:val="nil"/>
            </w:tcBorders>
            <w:shd w:val="clear" w:color="auto" w:fill="auto"/>
            <w:noWrap/>
            <w:vAlign w:val="center"/>
            <w:hideMark/>
          </w:tcPr>
          <w:p w14:paraId="7F3AC176"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R</w:t>
            </w:r>
            <w:r w:rsidRPr="001F1589">
              <w:rPr>
                <w:rFonts w:ascii="Calibri (Body)" w:eastAsia="Times New Roman" w:hAnsi="Calibri (Body)"/>
                <w:color w:val="000000" w:themeColor="text1"/>
                <w:sz w:val="20"/>
                <w:szCs w:val="20"/>
                <w:vertAlign w:val="superscript"/>
                <w:lang w:val="el-GR" w:eastAsia="el-GR"/>
              </w:rPr>
              <w:t>2</w:t>
            </w:r>
            <w:r w:rsidRPr="001F1589">
              <w:rPr>
                <w:rFonts w:ascii="Calibri" w:eastAsia="Times New Roman" w:hAnsi="Calibri"/>
                <w:color w:val="000000" w:themeColor="text1"/>
                <w:sz w:val="20"/>
                <w:szCs w:val="20"/>
                <w:lang w:val="el-GR" w:eastAsia="el-GR"/>
              </w:rPr>
              <w:t>=0.05</w:t>
            </w:r>
          </w:p>
        </w:tc>
      </w:tr>
      <w:tr w:rsidR="001F1589" w:rsidRPr="001F1589" w14:paraId="4067DCA6" w14:textId="77777777" w:rsidTr="00C86FF5">
        <w:trPr>
          <w:trHeight w:val="20"/>
        </w:trPr>
        <w:tc>
          <w:tcPr>
            <w:tcW w:w="10783" w:type="dxa"/>
            <w:gridSpan w:val="10"/>
            <w:tcBorders>
              <w:top w:val="single" w:sz="8" w:space="0" w:color="auto"/>
              <w:left w:val="nil"/>
              <w:bottom w:val="nil"/>
              <w:right w:val="nil"/>
            </w:tcBorders>
            <w:shd w:val="clear" w:color="auto" w:fill="auto"/>
            <w:noWrap/>
            <w:vAlign w:val="center"/>
            <w:hideMark/>
          </w:tcPr>
          <w:p w14:paraId="47A28227" w14:textId="77777777" w:rsidR="0047098B" w:rsidRPr="001F1589" w:rsidRDefault="0047098B" w:rsidP="0047098B">
            <w:pPr>
              <w:rPr>
                <w:rFonts w:ascii="Calibri" w:eastAsia="Times New Roman" w:hAnsi="Calibri"/>
                <w:b/>
                <w:bCs/>
                <w:color w:val="000000" w:themeColor="text1"/>
                <w:sz w:val="20"/>
                <w:szCs w:val="20"/>
                <w:lang w:val="el-GR" w:eastAsia="el-GR"/>
              </w:rPr>
            </w:pPr>
            <w:r w:rsidRPr="001F1589">
              <w:rPr>
                <w:rFonts w:ascii="Calibri" w:eastAsia="Times New Roman" w:hAnsi="Calibri"/>
                <w:b/>
                <w:bCs/>
                <w:color w:val="000000" w:themeColor="text1"/>
                <w:sz w:val="20"/>
                <w:szCs w:val="20"/>
                <w:lang w:val="el-GR" w:eastAsia="el-GR"/>
              </w:rPr>
              <w:t>Breast cancer</w:t>
            </w:r>
          </w:p>
        </w:tc>
      </w:tr>
      <w:tr w:rsidR="001F1589" w:rsidRPr="001F1589" w14:paraId="47938E5C" w14:textId="77777777" w:rsidTr="00C86FF5">
        <w:trPr>
          <w:trHeight w:val="20"/>
        </w:trPr>
        <w:tc>
          <w:tcPr>
            <w:tcW w:w="1300" w:type="dxa"/>
            <w:tcBorders>
              <w:top w:val="nil"/>
              <w:left w:val="nil"/>
              <w:bottom w:val="nil"/>
              <w:right w:val="nil"/>
            </w:tcBorders>
            <w:shd w:val="clear" w:color="auto" w:fill="auto"/>
            <w:noWrap/>
            <w:vAlign w:val="center"/>
            <w:hideMark/>
          </w:tcPr>
          <w:p w14:paraId="6B8894E8" w14:textId="77777777" w:rsidR="0047098B" w:rsidRPr="001F1589" w:rsidRDefault="0047098B" w:rsidP="0047098B">
            <w:pP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Overall</w:t>
            </w:r>
          </w:p>
        </w:tc>
        <w:tc>
          <w:tcPr>
            <w:tcW w:w="832" w:type="dxa"/>
            <w:tcBorders>
              <w:top w:val="nil"/>
              <w:left w:val="nil"/>
              <w:bottom w:val="nil"/>
              <w:right w:val="nil"/>
            </w:tcBorders>
            <w:shd w:val="clear" w:color="auto" w:fill="auto"/>
            <w:noWrap/>
            <w:vAlign w:val="center"/>
            <w:hideMark/>
          </w:tcPr>
          <w:p w14:paraId="71C588DB"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122977</w:t>
            </w:r>
          </w:p>
        </w:tc>
        <w:tc>
          <w:tcPr>
            <w:tcW w:w="900" w:type="dxa"/>
            <w:tcBorders>
              <w:top w:val="nil"/>
              <w:left w:val="nil"/>
              <w:bottom w:val="nil"/>
              <w:right w:val="nil"/>
            </w:tcBorders>
            <w:shd w:val="clear" w:color="auto" w:fill="auto"/>
            <w:noWrap/>
            <w:vAlign w:val="center"/>
            <w:hideMark/>
          </w:tcPr>
          <w:p w14:paraId="42202E13"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105974</w:t>
            </w:r>
          </w:p>
        </w:tc>
        <w:tc>
          <w:tcPr>
            <w:tcW w:w="825" w:type="dxa"/>
            <w:tcBorders>
              <w:top w:val="nil"/>
              <w:left w:val="nil"/>
              <w:bottom w:val="nil"/>
              <w:right w:val="nil"/>
            </w:tcBorders>
            <w:shd w:val="clear" w:color="auto" w:fill="auto"/>
            <w:noWrap/>
            <w:vAlign w:val="center"/>
            <w:hideMark/>
          </w:tcPr>
          <w:p w14:paraId="679453C2"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228951</w:t>
            </w:r>
          </w:p>
        </w:tc>
        <w:tc>
          <w:tcPr>
            <w:tcW w:w="1099" w:type="dxa"/>
            <w:tcBorders>
              <w:top w:val="nil"/>
              <w:left w:val="nil"/>
              <w:bottom w:val="nil"/>
              <w:right w:val="nil"/>
            </w:tcBorders>
            <w:shd w:val="clear" w:color="auto" w:fill="auto"/>
            <w:noWrap/>
            <w:vAlign w:val="center"/>
            <w:hideMark/>
          </w:tcPr>
          <w:p w14:paraId="405E36E8"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0.54</w:t>
            </w:r>
          </w:p>
        </w:tc>
        <w:tc>
          <w:tcPr>
            <w:tcW w:w="1003" w:type="dxa"/>
            <w:tcBorders>
              <w:top w:val="nil"/>
              <w:left w:val="nil"/>
              <w:bottom w:val="nil"/>
              <w:right w:val="nil"/>
            </w:tcBorders>
            <w:shd w:val="clear" w:color="auto" w:fill="auto"/>
            <w:noWrap/>
            <w:vAlign w:val="center"/>
            <w:hideMark/>
          </w:tcPr>
          <w:p w14:paraId="796D3EAA"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0.89/1.12</w:t>
            </w:r>
          </w:p>
        </w:tc>
        <w:tc>
          <w:tcPr>
            <w:tcW w:w="1206" w:type="dxa"/>
            <w:tcBorders>
              <w:top w:val="nil"/>
              <w:left w:val="nil"/>
              <w:bottom w:val="nil"/>
              <w:right w:val="nil"/>
            </w:tcBorders>
            <w:shd w:val="clear" w:color="auto" w:fill="auto"/>
            <w:noWrap/>
            <w:vAlign w:val="center"/>
            <w:hideMark/>
          </w:tcPr>
          <w:p w14:paraId="6F09FE89"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0.92/1.09</w:t>
            </w:r>
          </w:p>
        </w:tc>
        <w:tc>
          <w:tcPr>
            <w:tcW w:w="1206" w:type="dxa"/>
            <w:tcBorders>
              <w:top w:val="nil"/>
              <w:left w:val="nil"/>
              <w:bottom w:val="nil"/>
              <w:right w:val="nil"/>
            </w:tcBorders>
            <w:shd w:val="clear" w:color="auto" w:fill="auto"/>
            <w:noWrap/>
            <w:vAlign w:val="center"/>
            <w:hideMark/>
          </w:tcPr>
          <w:p w14:paraId="6D76B47E"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0.935/1.069</w:t>
            </w:r>
          </w:p>
        </w:tc>
        <w:tc>
          <w:tcPr>
            <w:tcW w:w="1206" w:type="dxa"/>
            <w:tcBorders>
              <w:top w:val="nil"/>
              <w:left w:val="nil"/>
              <w:bottom w:val="nil"/>
              <w:right w:val="nil"/>
            </w:tcBorders>
            <w:shd w:val="clear" w:color="auto" w:fill="auto"/>
            <w:noWrap/>
            <w:vAlign w:val="center"/>
            <w:hideMark/>
          </w:tcPr>
          <w:p w14:paraId="7DF7472C"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0.943/1.06</w:t>
            </w:r>
          </w:p>
        </w:tc>
        <w:tc>
          <w:tcPr>
            <w:tcW w:w="1206" w:type="dxa"/>
            <w:tcBorders>
              <w:top w:val="nil"/>
              <w:left w:val="nil"/>
              <w:bottom w:val="nil"/>
              <w:right w:val="nil"/>
            </w:tcBorders>
            <w:shd w:val="clear" w:color="auto" w:fill="auto"/>
            <w:noWrap/>
            <w:vAlign w:val="center"/>
            <w:hideMark/>
          </w:tcPr>
          <w:p w14:paraId="12725780"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0.948/1.05</w:t>
            </w:r>
          </w:p>
        </w:tc>
      </w:tr>
      <w:tr w:rsidR="001F1589" w:rsidRPr="001F1589" w14:paraId="232BEC97" w14:textId="77777777" w:rsidTr="00C86FF5">
        <w:trPr>
          <w:trHeight w:val="20"/>
        </w:trPr>
        <w:tc>
          <w:tcPr>
            <w:tcW w:w="1300" w:type="dxa"/>
            <w:tcBorders>
              <w:top w:val="nil"/>
              <w:left w:val="nil"/>
              <w:bottom w:val="nil"/>
              <w:right w:val="nil"/>
            </w:tcBorders>
            <w:shd w:val="clear" w:color="auto" w:fill="auto"/>
            <w:noWrap/>
            <w:vAlign w:val="center"/>
            <w:hideMark/>
          </w:tcPr>
          <w:p w14:paraId="02C9367E" w14:textId="77777777" w:rsidR="0047098B" w:rsidRPr="001F1589" w:rsidRDefault="0047098B" w:rsidP="0047098B">
            <w:pP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ER-positive</w:t>
            </w:r>
          </w:p>
        </w:tc>
        <w:tc>
          <w:tcPr>
            <w:tcW w:w="832" w:type="dxa"/>
            <w:tcBorders>
              <w:top w:val="nil"/>
              <w:left w:val="nil"/>
              <w:bottom w:val="nil"/>
              <w:right w:val="nil"/>
            </w:tcBorders>
            <w:shd w:val="clear" w:color="auto" w:fill="auto"/>
            <w:noWrap/>
            <w:vAlign w:val="center"/>
            <w:hideMark/>
          </w:tcPr>
          <w:p w14:paraId="7C3C35CB"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69501</w:t>
            </w:r>
          </w:p>
        </w:tc>
        <w:tc>
          <w:tcPr>
            <w:tcW w:w="900" w:type="dxa"/>
            <w:tcBorders>
              <w:top w:val="nil"/>
              <w:left w:val="nil"/>
              <w:bottom w:val="nil"/>
              <w:right w:val="nil"/>
            </w:tcBorders>
            <w:shd w:val="clear" w:color="auto" w:fill="auto"/>
            <w:noWrap/>
            <w:vAlign w:val="center"/>
            <w:hideMark/>
          </w:tcPr>
          <w:p w14:paraId="2CE8AB87"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95042</w:t>
            </w:r>
          </w:p>
        </w:tc>
        <w:tc>
          <w:tcPr>
            <w:tcW w:w="825" w:type="dxa"/>
            <w:tcBorders>
              <w:top w:val="nil"/>
              <w:left w:val="nil"/>
              <w:bottom w:val="nil"/>
              <w:right w:val="nil"/>
            </w:tcBorders>
            <w:shd w:val="clear" w:color="auto" w:fill="auto"/>
            <w:noWrap/>
            <w:vAlign w:val="center"/>
            <w:hideMark/>
          </w:tcPr>
          <w:p w14:paraId="7509317B"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164543</w:t>
            </w:r>
          </w:p>
        </w:tc>
        <w:tc>
          <w:tcPr>
            <w:tcW w:w="1099" w:type="dxa"/>
            <w:tcBorders>
              <w:top w:val="nil"/>
              <w:left w:val="nil"/>
              <w:bottom w:val="nil"/>
              <w:right w:val="nil"/>
            </w:tcBorders>
            <w:shd w:val="clear" w:color="auto" w:fill="auto"/>
            <w:noWrap/>
            <w:vAlign w:val="center"/>
            <w:hideMark/>
          </w:tcPr>
          <w:p w14:paraId="7CBC3AE9"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0.42</w:t>
            </w:r>
          </w:p>
        </w:tc>
        <w:tc>
          <w:tcPr>
            <w:tcW w:w="1003" w:type="dxa"/>
            <w:tcBorders>
              <w:top w:val="nil"/>
              <w:left w:val="nil"/>
              <w:bottom w:val="nil"/>
              <w:right w:val="nil"/>
            </w:tcBorders>
            <w:shd w:val="clear" w:color="auto" w:fill="auto"/>
            <w:noWrap/>
            <w:vAlign w:val="center"/>
            <w:hideMark/>
          </w:tcPr>
          <w:p w14:paraId="5C2CE6F7"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0.87/1.15</w:t>
            </w:r>
          </w:p>
        </w:tc>
        <w:tc>
          <w:tcPr>
            <w:tcW w:w="1206" w:type="dxa"/>
            <w:tcBorders>
              <w:top w:val="nil"/>
              <w:left w:val="nil"/>
              <w:bottom w:val="nil"/>
              <w:right w:val="nil"/>
            </w:tcBorders>
            <w:shd w:val="clear" w:color="auto" w:fill="auto"/>
            <w:noWrap/>
            <w:vAlign w:val="center"/>
            <w:hideMark/>
          </w:tcPr>
          <w:p w14:paraId="41A58858"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0.905/1.104</w:t>
            </w:r>
          </w:p>
        </w:tc>
        <w:tc>
          <w:tcPr>
            <w:tcW w:w="1206" w:type="dxa"/>
            <w:tcBorders>
              <w:top w:val="nil"/>
              <w:left w:val="nil"/>
              <w:bottom w:val="nil"/>
              <w:right w:val="nil"/>
            </w:tcBorders>
            <w:shd w:val="clear" w:color="auto" w:fill="auto"/>
            <w:noWrap/>
            <w:vAlign w:val="center"/>
            <w:hideMark/>
          </w:tcPr>
          <w:p w14:paraId="066C600E"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0.922/1.085</w:t>
            </w:r>
          </w:p>
        </w:tc>
        <w:tc>
          <w:tcPr>
            <w:tcW w:w="1206" w:type="dxa"/>
            <w:tcBorders>
              <w:top w:val="nil"/>
              <w:left w:val="nil"/>
              <w:bottom w:val="nil"/>
              <w:right w:val="nil"/>
            </w:tcBorders>
            <w:shd w:val="clear" w:color="auto" w:fill="auto"/>
            <w:noWrap/>
            <w:vAlign w:val="center"/>
            <w:hideMark/>
          </w:tcPr>
          <w:p w14:paraId="06ADA286"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0.932/1.073</w:t>
            </w:r>
          </w:p>
        </w:tc>
        <w:tc>
          <w:tcPr>
            <w:tcW w:w="1206" w:type="dxa"/>
            <w:tcBorders>
              <w:top w:val="nil"/>
              <w:left w:val="nil"/>
              <w:bottom w:val="nil"/>
              <w:right w:val="nil"/>
            </w:tcBorders>
            <w:shd w:val="clear" w:color="auto" w:fill="auto"/>
            <w:noWrap/>
            <w:vAlign w:val="center"/>
            <w:hideMark/>
          </w:tcPr>
          <w:p w14:paraId="4E40B350"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0.939/1.065</w:t>
            </w:r>
          </w:p>
        </w:tc>
      </w:tr>
      <w:tr w:rsidR="001F1589" w:rsidRPr="001F1589" w14:paraId="06ACDCED" w14:textId="77777777" w:rsidTr="00C86FF5">
        <w:trPr>
          <w:trHeight w:val="20"/>
        </w:trPr>
        <w:tc>
          <w:tcPr>
            <w:tcW w:w="1300" w:type="dxa"/>
            <w:tcBorders>
              <w:top w:val="nil"/>
              <w:left w:val="nil"/>
              <w:bottom w:val="nil"/>
              <w:right w:val="nil"/>
            </w:tcBorders>
            <w:shd w:val="clear" w:color="auto" w:fill="auto"/>
            <w:noWrap/>
            <w:vAlign w:val="center"/>
            <w:hideMark/>
          </w:tcPr>
          <w:p w14:paraId="67201F3D" w14:textId="77777777" w:rsidR="0047098B" w:rsidRPr="001F1589" w:rsidRDefault="0047098B" w:rsidP="0047098B">
            <w:pP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ER-negative</w:t>
            </w:r>
          </w:p>
        </w:tc>
        <w:tc>
          <w:tcPr>
            <w:tcW w:w="832" w:type="dxa"/>
            <w:tcBorders>
              <w:top w:val="nil"/>
              <w:left w:val="nil"/>
              <w:bottom w:val="nil"/>
              <w:right w:val="nil"/>
            </w:tcBorders>
            <w:shd w:val="clear" w:color="auto" w:fill="auto"/>
            <w:noWrap/>
            <w:vAlign w:val="center"/>
            <w:hideMark/>
          </w:tcPr>
          <w:p w14:paraId="565B64D0"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21468</w:t>
            </w:r>
          </w:p>
        </w:tc>
        <w:tc>
          <w:tcPr>
            <w:tcW w:w="900" w:type="dxa"/>
            <w:tcBorders>
              <w:top w:val="nil"/>
              <w:left w:val="nil"/>
              <w:bottom w:val="nil"/>
              <w:right w:val="nil"/>
            </w:tcBorders>
            <w:shd w:val="clear" w:color="auto" w:fill="auto"/>
            <w:noWrap/>
            <w:vAlign w:val="center"/>
            <w:hideMark/>
          </w:tcPr>
          <w:p w14:paraId="0B3770DC"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100594</w:t>
            </w:r>
          </w:p>
        </w:tc>
        <w:tc>
          <w:tcPr>
            <w:tcW w:w="825" w:type="dxa"/>
            <w:tcBorders>
              <w:top w:val="nil"/>
              <w:left w:val="nil"/>
              <w:bottom w:val="nil"/>
              <w:right w:val="nil"/>
            </w:tcBorders>
            <w:shd w:val="clear" w:color="auto" w:fill="auto"/>
            <w:noWrap/>
            <w:vAlign w:val="center"/>
            <w:hideMark/>
          </w:tcPr>
          <w:p w14:paraId="68F14D9C"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122062</w:t>
            </w:r>
          </w:p>
        </w:tc>
        <w:tc>
          <w:tcPr>
            <w:tcW w:w="1099" w:type="dxa"/>
            <w:tcBorders>
              <w:top w:val="nil"/>
              <w:left w:val="nil"/>
              <w:bottom w:val="nil"/>
              <w:right w:val="nil"/>
            </w:tcBorders>
            <w:shd w:val="clear" w:color="auto" w:fill="auto"/>
            <w:noWrap/>
            <w:vAlign w:val="center"/>
            <w:hideMark/>
          </w:tcPr>
          <w:p w14:paraId="0C3B4187"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0.18</w:t>
            </w:r>
          </w:p>
        </w:tc>
        <w:tc>
          <w:tcPr>
            <w:tcW w:w="1003" w:type="dxa"/>
            <w:tcBorders>
              <w:top w:val="nil"/>
              <w:left w:val="nil"/>
              <w:bottom w:val="nil"/>
              <w:right w:val="nil"/>
            </w:tcBorders>
            <w:shd w:val="clear" w:color="auto" w:fill="auto"/>
            <w:noWrap/>
            <w:vAlign w:val="center"/>
            <w:hideMark/>
          </w:tcPr>
          <w:p w14:paraId="584D8214"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0.80/1.25</w:t>
            </w:r>
          </w:p>
        </w:tc>
        <w:tc>
          <w:tcPr>
            <w:tcW w:w="1206" w:type="dxa"/>
            <w:tcBorders>
              <w:top w:val="nil"/>
              <w:left w:val="nil"/>
              <w:bottom w:val="nil"/>
              <w:right w:val="nil"/>
            </w:tcBorders>
            <w:shd w:val="clear" w:color="auto" w:fill="auto"/>
            <w:noWrap/>
            <w:vAlign w:val="center"/>
            <w:hideMark/>
          </w:tcPr>
          <w:p w14:paraId="30840F49"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0.855/1.169</w:t>
            </w:r>
          </w:p>
        </w:tc>
        <w:tc>
          <w:tcPr>
            <w:tcW w:w="1206" w:type="dxa"/>
            <w:tcBorders>
              <w:top w:val="nil"/>
              <w:left w:val="nil"/>
              <w:bottom w:val="nil"/>
              <w:right w:val="nil"/>
            </w:tcBorders>
            <w:shd w:val="clear" w:color="auto" w:fill="auto"/>
            <w:noWrap/>
            <w:vAlign w:val="center"/>
            <w:hideMark/>
          </w:tcPr>
          <w:p w14:paraId="554B2B13"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0.882/1.134</w:t>
            </w:r>
          </w:p>
        </w:tc>
        <w:tc>
          <w:tcPr>
            <w:tcW w:w="1206" w:type="dxa"/>
            <w:tcBorders>
              <w:top w:val="nil"/>
              <w:left w:val="nil"/>
              <w:bottom w:val="nil"/>
              <w:right w:val="nil"/>
            </w:tcBorders>
            <w:shd w:val="clear" w:color="auto" w:fill="auto"/>
            <w:noWrap/>
            <w:vAlign w:val="center"/>
            <w:hideMark/>
          </w:tcPr>
          <w:p w14:paraId="3FC063A6"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0.897/1.11</w:t>
            </w:r>
          </w:p>
        </w:tc>
        <w:tc>
          <w:tcPr>
            <w:tcW w:w="1206" w:type="dxa"/>
            <w:tcBorders>
              <w:top w:val="nil"/>
              <w:left w:val="nil"/>
              <w:bottom w:val="nil"/>
              <w:right w:val="nil"/>
            </w:tcBorders>
            <w:shd w:val="clear" w:color="auto" w:fill="auto"/>
            <w:noWrap/>
            <w:vAlign w:val="center"/>
            <w:hideMark/>
          </w:tcPr>
          <w:p w14:paraId="52BBB8C9"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0.908/1.10</w:t>
            </w:r>
          </w:p>
        </w:tc>
      </w:tr>
      <w:tr w:rsidR="001F1589" w:rsidRPr="001F1589" w14:paraId="24238E02" w14:textId="77777777" w:rsidTr="00C86FF5">
        <w:trPr>
          <w:trHeight w:val="20"/>
        </w:trPr>
        <w:tc>
          <w:tcPr>
            <w:tcW w:w="10783" w:type="dxa"/>
            <w:gridSpan w:val="10"/>
            <w:tcBorders>
              <w:top w:val="nil"/>
              <w:left w:val="nil"/>
              <w:bottom w:val="nil"/>
              <w:right w:val="nil"/>
            </w:tcBorders>
            <w:shd w:val="clear" w:color="auto" w:fill="auto"/>
            <w:noWrap/>
            <w:vAlign w:val="center"/>
            <w:hideMark/>
          </w:tcPr>
          <w:p w14:paraId="30A424C6" w14:textId="77777777" w:rsidR="0047098B" w:rsidRPr="001F1589" w:rsidRDefault="0047098B" w:rsidP="0047098B">
            <w:pPr>
              <w:rPr>
                <w:rFonts w:ascii="Calibri" w:eastAsia="Times New Roman" w:hAnsi="Calibri"/>
                <w:b/>
                <w:bCs/>
                <w:color w:val="000000" w:themeColor="text1"/>
                <w:sz w:val="20"/>
                <w:szCs w:val="20"/>
                <w:lang w:val="el-GR" w:eastAsia="el-GR"/>
              </w:rPr>
            </w:pPr>
            <w:r w:rsidRPr="001F1589">
              <w:rPr>
                <w:rFonts w:ascii="Calibri" w:eastAsia="Times New Roman" w:hAnsi="Calibri"/>
                <w:b/>
                <w:bCs/>
                <w:color w:val="000000" w:themeColor="text1"/>
                <w:sz w:val="20"/>
                <w:szCs w:val="20"/>
                <w:lang w:val="el-GR" w:eastAsia="el-GR"/>
              </w:rPr>
              <w:t>Prostate cancer</w:t>
            </w:r>
          </w:p>
        </w:tc>
      </w:tr>
      <w:tr w:rsidR="001F1589" w:rsidRPr="001F1589" w14:paraId="1C519C68" w14:textId="77777777" w:rsidTr="00C86FF5">
        <w:trPr>
          <w:trHeight w:val="20"/>
        </w:trPr>
        <w:tc>
          <w:tcPr>
            <w:tcW w:w="1300" w:type="dxa"/>
            <w:tcBorders>
              <w:top w:val="nil"/>
              <w:left w:val="nil"/>
              <w:bottom w:val="nil"/>
              <w:right w:val="nil"/>
            </w:tcBorders>
            <w:shd w:val="clear" w:color="auto" w:fill="auto"/>
            <w:noWrap/>
            <w:vAlign w:val="center"/>
            <w:hideMark/>
          </w:tcPr>
          <w:p w14:paraId="030BA08C" w14:textId="77777777" w:rsidR="0047098B" w:rsidRPr="001F1589" w:rsidRDefault="0047098B" w:rsidP="0047098B">
            <w:pP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Overall</w:t>
            </w:r>
          </w:p>
        </w:tc>
        <w:tc>
          <w:tcPr>
            <w:tcW w:w="832" w:type="dxa"/>
            <w:tcBorders>
              <w:top w:val="nil"/>
              <w:left w:val="nil"/>
              <w:bottom w:val="nil"/>
              <w:right w:val="nil"/>
            </w:tcBorders>
            <w:shd w:val="clear" w:color="auto" w:fill="auto"/>
            <w:noWrap/>
            <w:vAlign w:val="center"/>
            <w:hideMark/>
          </w:tcPr>
          <w:p w14:paraId="701AC8B6"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79148</w:t>
            </w:r>
          </w:p>
        </w:tc>
        <w:tc>
          <w:tcPr>
            <w:tcW w:w="900" w:type="dxa"/>
            <w:tcBorders>
              <w:top w:val="nil"/>
              <w:left w:val="nil"/>
              <w:bottom w:val="nil"/>
              <w:right w:val="nil"/>
            </w:tcBorders>
            <w:shd w:val="clear" w:color="auto" w:fill="auto"/>
            <w:noWrap/>
            <w:vAlign w:val="center"/>
            <w:hideMark/>
          </w:tcPr>
          <w:p w14:paraId="4E92F49E"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61106</w:t>
            </w:r>
          </w:p>
        </w:tc>
        <w:tc>
          <w:tcPr>
            <w:tcW w:w="825" w:type="dxa"/>
            <w:tcBorders>
              <w:top w:val="nil"/>
              <w:left w:val="nil"/>
              <w:bottom w:val="nil"/>
              <w:right w:val="nil"/>
            </w:tcBorders>
            <w:shd w:val="clear" w:color="auto" w:fill="auto"/>
            <w:noWrap/>
            <w:vAlign w:val="center"/>
            <w:hideMark/>
          </w:tcPr>
          <w:p w14:paraId="76BF1D99"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140254</w:t>
            </w:r>
          </w:p>
        </w:tc>
        <w:tc>
          <w:tcPr>
            <w:tcW w:w="1099" w:type="dxa"/>
            <w:tcBorders>
              <w:top w:val="nil"/>
              <w:left w:val="nil"/>
              <w:bottom w:val="nil"/>
              <w:right w:val="nil"/>
            </w:tcBorders>
            <w:shd w:val="clear" w:color="auto" w:fill="auto"/>
            <w:noWrap/>
            <w:vAlign w:val="center"/>
            <w:hideMark/>
          </w:tcPr>
          <w:p w14:paraId="1CDF6C5F"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0.56</w:t>
            </w:r>
          </w:p>
        </w:tc>
        <w:tc>
          <w:tcPr>
            <w:tcW w:w="1003" w:type="dxa"/>
            <w:tcBorders>
              <w:top w:val="nil"/>
              <w:left w:val="nil"/>
              <w:bottom w:val="nil"/>
              <w:right w:val="nil"/>
            </w:tcBorders>
            <w:shd w:val="clear" w:color="auto" w:fill="auto"/>
            <w:noWrap/>
            <w:vAlign w:val="center"/>
            <w:hideMark/>
          </w:tcPr>
          <w:p w14:paraId="424D40AB"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0.86/1.16</w:t>
            </w:r>
          </w:p>
        </w:tc>
        <w:tc>
          <w:tcPr>
            <w:tcW w:w="1206" w:type="dxa"/>
            <w:tcBorders>
              <w:top w:val="nil"/>
              <w:left w:val="nil"/>
              <w:bottom w:val="nil"/>
              <w:right w:val="nil"/>
            </w:tcBorders>
            <w:shd w:val="clear" w:color="auto" w:fill="auto"/>
            <w:noWrap/>
            <w:vAlign w:val="center"/>
            <w:hideMark/>
          </w:tcPr>
          <w:p w14:paraId="28B6B6E4"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0.90/1.11</w:t>
            </w:r>
          </w:p>
        </w:tc>
        <w:tc>
          <w:tcPr>
            <w:tcW w:w="1206" w:type="dxa"/>
            <w:tcBorders>
              <w:top w:val="nil"/>
              <w:left w:val="nil"/>
              <w:bottom w:val="nil"/>
              <w:right w:val="nil"/>
            </w:tcBorders>
            <w:shd w:val="clear" w:color="auto" w:fill="auto"/>
            <w:noWrap/>
            <w:vAlign w:val="center"/>
            <w:hideMark/>
          </w:tcPr>
          <w:p w14:paraId="04930958"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0.92/1.09</w:t>
            </w:r>
          </w:p>
        </w:tc>
        <w:tc>
          <w:tcPr>
            <w:tcW w:w="1206" w:type="dxa"/>
            <w:tcBorders>
              <w:top w:val="nil"/>
              <w:left w:val="nil"/>
              <w:bottom w:val="nil"/>
              <w:right w:val="nil"/>
            </w:tcBorders>
            <w:shd w:val="clear" w:color="auto" w:fill="auto"/>
            <w:noWrap/>
            <w:vAlign w:val="center"/>
            <w:hideMark/>
          </w:tcPr>
          <w:p w14:paraId="17DA3782"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0.93/1.08</w:t>
            </w:r>
          </w:p>
        </w:tc>
        <w:tc>
          <w:tcPr>
            <w:tcW w:w="1206" w:type="dxa"/>
            <w:tcBorders>
              <w:top w:val="nil"/>
              <w:left w:val="nil"/>
              <w:bottom w:val="nil"/>
              <w:right w:val="nil"/>
            </w:tcBorders>
            <w:shd w:val="clear" w:color="auto" w:fill="auto"/>
            <w:noWrap/>
            <w:vAlign w:val="center"/>
            <w:hideMark/>
          </w:tcPr>
          <w:p w14:paraId="29903518"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0.94/1.07</w:t>
            </w:r>
          </w:p>
        </w:tc>
      </w:tr>
      <w:tr w:rsidR="001F1589" w:rsidRPr="001F1589" w14:paraId="5FB96EDB" w14:textId="77777777" w:rsidTr="00C86FF5">
        <w:trPr>
          <w:trHeight w:val="20"/>
        </w:trPr>
        <w:tc>
          <w:tcPr>
            <w:tcW w:w="1300" w:type="dxa"/>
            <w:tcBorders>
              <w:top w:val="nil"/>
              <w:left w:val="nil"/>
              <w:bottom w:val="nil"/>
              <w:right w:val="nil"/>
            </w:tcBorders>
            <w:shd w:val="clear" w:color="auto" w:fill="auto"/>
            <w:noWrap/>
            <w:vAlign w:val="center"/>
            <w:hideMark/>
          </w:tcPr>
          <w:p w14:paraId="01EA0E96" w14:textId="77777777" w:rsidR="0047098B" w:rsidRPr="001F1589" w:rsidRDefault="0047098B" w:rsidP="0047098B">
            <w:pP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Advanced</w:t>
            </w:r>
          </w:p>
        </w:tc>
        <w:tc>
          <w:tcPr>
            <w:tcW w:w="832" w:type="dxa"/>
            <w:tcBorders>
              <w:top w:val="nil"/>
              <w:left w:val="nil"/>
              <w:bottom w:val="nil"/>
              <w:right w:val="nil"/>
            </w:tcBorders>
            <w:shd w:val="clear" w:color="auto" w:fill="auto"/>
            <w:noWrap/>
            <w:vAlign w:val="center"/>
            <w:hideMark/>
          </w:tcPr>
          <w:p w14:paraId="0B3E4AF1"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15167</w:t>
            </w:r>
          </w:p>
        </w:tc>
        <w:tc>
          <w:tcPr>
            <w:tcW w:w="900" w:type="dxa"/>
            <w:tcBorders>
              <w:top w:val="nil"/>
              <w:left w:val="nil"/>
              <w:bottom w:val="nil"/>
              <w:right w:val="nil"/>
            </w:tcBorders>
            <w:shd w:val="clear" w:color="auto" w:fill="auto"/>
            <w:noWrap/>
            <w:vAlign w:val="center"/>
            <w:hideMark/>
          </w:tcPr>
          <w:p w14:paraId="6FCDA6BD"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58308</w:t>
            </w:r>
          </w:p>
        </w:tc>
        <w:tc>
          <w:tcPr>
            <w:tcW w:w="825" w:type="dxa"/>
            <w:tcBorders>
              <w:top w:val="nil"/>
              <w:left w:val="nil"/>
              <w:bottom w:val="nil"/>
              <w:right w:val="nil"/>
            </w:tcBorders>
            <w:shd w:val="clear" w:color="auto" w:fill="auto"/>
            <w:noWrap/>
            <w:vAlign w:val="center"/>
            <w:hideMark/>
          </w:tcPr>
          <w:p w14:paraId="3F82916B"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73475</w:t>
            </w:r>
          </w:p>
        </w:tc>
        <w:tc>
          <w:tcPr>
            <w:tcW w:w="1099" w:type="dxa"/>
            <w:tcBorders>
              <w:top w:val="nil"/>
              <w:left w:val="nil"/>
              <w:bottom w:val="nil"/>
              <w:right w:val="nil"/>
            </w:tcBorders>
            <w:shd w:val="clear" w:color="auto" w:fill="auto"/>
            <w:noWrap/>
            <w:vAlign w:val="center"/>
            <w:hideMark/>
          </w:tcPr>
          <w:p w14:paraId="0F118EAA"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0.21</w:t>
            </w:r>
          </w:p>
        </w:tc>
        <w:tc>
          <w:tcPr>
            <w:tcW w:w="1003" w:type="dxa"/>
            <w:tcBorders>
              <w:top w:val="nil"/>
              <w:left w:val="nil"/>
              <w:bottom w:val="nil"/>
              <w:right w:val="nil"/>
            </w:tcBorders>
            <w:shd w:val="clear" w:color="auto" w:fill="auto"/>
            <w:noWrap/>
            <w:vAlign w:val="center"/>
            <w:hideMark/>
          </w:tcPr>
          <w:p w14:paraId="2F9ACC9A"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0.79/1.26</w:t>
            </w:r>
          </w:p>
        </w:tc>
        <w:tc>
          <w:tcPr>
            <w:tcW w:w="1206" w:type="dxa"/>
            <w:tcBorders>
              <w:top w:val="nil"/>
              <w:left w:val="nil"/>
              <w:bottom w:val="nil"/>
              <w:right w:val="nil"/>
            </w:tcBorders>
            <w:shd w:val="clear" w:color="auto" w:fill="auto"/>
            <w:noWrap/>
            <w:vAlign w:val="center"/>
            <w:hideMark/>
          </w:tcPr>
          <w:p w14:paraId="60A7F64D"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0.85/1.18</w:t>
            </w:r>
          </w:p>
        </w:tc>
        <w:tc>
          <w:tcPr>
            <w:tcW w:w="1206" w:type="dxa"/>
            <w:tcBorders>
              <w:top w:val="nil"/>
              <w:left w:val="nil"/>
              <w:bottom w:val="nil"/>
              <w:right w:val="nil"/>
            </w:tcBorders>
            <w:shd w:val="clear" w:color="auto" w:fill="auto"/>
            <w:noWrap/>
            <w:vAlign w:val="center"/>
            <w:hideMark/>
          </w:tcPr>
          <w:p w14:paraId="26A0D751"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0.87/1.15</w:t>
            </w:r>
          </w:p>
        </w:tc>
        <w:tc>
          <w:tcPr>
            <w:tcW w:w="1206" w:type="dxa"/>
            <w:tcBorders>
              <w:top w:val="nil"/>
              <w:left w:val="nil"/>
              <w:bottom w:val="nil"/>
              <w:right w:val="nil"/>
            </w:tcBorders>
            <w:shd w:val="clear" w:color="auto" w:fill="auto"/>
            <w:noWrap/>
            <w:vAlign w:val="center"/>
            <w:hideMark/>
          </w:tcPr>
          <w:p w14:paraId="0371151F"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0.88/1.13</w:t>
            </w:r>
          </w:p>
        </w:tc>
        <w:tc>
          <w:tcPr>
            <w:tcW w:w="1206" w:type="dxa"/>
            <w:tcBorders>
              <w:top w:val="nil"/>
              <w:left w:val="nil"/>
              <w:bottom w:val="nil"/>
              <w:right w:val="nil"/>
            </w:tcBorders>
            <w:shd w:val="clear" w:color="auto" w:fill="auto"/>
            <w:noWrap/>
            <w:vAlign w:val="center"/>
            <w:hideMark/>
          </w:tcPr>
          <w:p w14:paraId="2443FFCF" w14:textId="77777777" w:rsidR="0047098B" w:rsidRPr="001F1589" w:rsidRDefault="0047098B" w:rsidP="0047098B">
            <w:pPr>
              <w:jc w:val="center"/>
              <w:rPr>
                <w:rFonts w:ascii="Calibri" w:eastAsia="Times New Roman" w:hAnsi="Calibri"/>
                <w:color w:val="000000" w:themeColor="text1"/>
                <w:sz w:val="20"/>
                <w:szCs w:val="20"/>
                <w:lang w:val="el-GR" w:eastAsia="el-GR"/>
              </w:rPr>
            </w:pPr>
            <w:r w:rsidRPr="001F1589">
              <w:rPr>
                <w:rFonts w:ascii="Calibri" w:eastAsia="Times New Roman" w:hAnsi="Calibri"/>
                <w:color w:val="000000" w:themeColor="text1"/>
                <w:sz w:val="20"/>
                <w:szCs w:val="20"/>
                <w:lang w:val="el-GR" w:eastAsia="el-GR"/>
              </w:rPr>
              <w:t>0.90/1.11</w:t>
            </w:r>
          </w:p>
        </w:tc>
      </w:tr>
      <w:tr w:rsidR="0047098B" w:rsidRPr="001F1589" w14:paraId="648924B7" w14:textId="77777777" w:rsidTr="00C86FF5">
        <w:trPr>
          <w:trHeight w:val="20"/>
        </w:trPr>
        <w:tc>
          <w:tcPr>
            <w:tcW w:w="10783" w:type="dxa"/>
            <w:gridSpan w:val="10"/>
            <w:tcBorders>
              <w:top w:val="single" w:sz="8" w:space="0" w:color="auto"/>
              <w:left w:val="nil"/>
              <w:bottom w:val="nil"/>
              <w:right w:val="nil"/>
            </w:tcBorders>
            <w:shd w:val="clear" w:color="auto" w:fill="auto"/>
            <w:vAlign w:val="center"/>
            <w:hideMark/>
          </w:tcPr>
          <w:p w14:paraId="67DEAC69" w14:textId="42ECD410" w:rsidR="0047098B" w:rsidRPr="001F1589" w:rsidRDefault="0047098B" w:rsidP="006C3C1A">
            <w:pPr>
              <w:rPr>
                <w:rFonts w:ascii="Calibri" w:eastAsia="Times New Roman" w:hAnsi="Calibri"/>
                <w:color w:val="000000" w:themeColor="text1"/>
                <w:lang w:val="en-GB" w:eastAsia="el-GR"/>
              </w:rPr>
            </w:pPr>
            <w:r w:rsidRPr="001F1589">
              <w:rPr>
                <w:rFonts w:ascii="Calibri" w:eastAsia="Times New Roman" w:hAnsi="Calibri"/>
                <w:color w:val="000000" w:themeColor="text1"/>
                <w:lang w:val="en-GB" w:eastAsia="el-GR"/>
              </w:rPr>
              <w:t xml:space="preserve">ER: estrogen receptor. Minimum detectable odds ratio per </w:t>
            </w:r>
            <w:r w:rsidR="006C3C1A" w:rsidRPr="001F1589">
              <w:rPr>
                <w:rFonts w:ascii="Calibri" w:eastAsia="Times New Roman" w:hAnsi="Calibri"/>
                <w:color w:val="000000" w:themeColor="text1"/>
                <w:lang w:val="en-GB" w:eastAsia="el-GR"/>
              </w:rPr>
              <w:t>25nmol/L</w:t>
            </w:r>
            <w:r w:rsidRPr="001F1589">
              <w:rPr>
                <w:rFonts w:ascii="Calibri" w:eastAsia="Times New Roman" w:hAnsi="Calibri"/>
                <w:color w:val="000000" w:themeColor="text1"/>
                <w:lang w:val="en-GB" w:eastAsia="el-GR"/>
              </w:rPr>
              <w:t xml:space="preserve"> increase/decrease in 25(OH)D concentration: assume 80% power, 5% alpha level, and that 1% to 5% of 25(OH)D variance is explained by the six SNPs used in the current paper.</w:t>
            </w:r>
          </w:p>
        </w:tc>
      </w:tr>
    </w:tbl>
    <w:p w14:paraId="7C5261E2" w14:textId="77777777" w:rsidR="0047098B" w:rsidRPr="001F1589" w:rsidRDefault="0047098B" w:rsidP="00F74DB3">
      <w:pPr>
        <w:spacing w:after="120"/>
        <w:jc w:val="both"/>
        <w:rPr>
          <w:color w:val="000000" w:themeColor="text1"/>
          <w:lang w:val="en-GB"/>
        </w:rPr>
      </w:pPr>
    </w:p>
    <w:p w14:paraId="3E21C84A" w14:textId="3684929B" w:rsidR="0019652D" w:rsidRPr="001F1589" w:rsidRDefault="0019652D" w:rsidP="005F7BB1">
      <w:pPr>
        <w:spacing w:after="120" w:line="480" w:lineRule="auto"/>
        <w:jc w:val="both"/>
        <w:rPr>
          <w:color w:val="000000" w:themeColor="text1"/>
        </w:rPr>
        <w:sectPr w:rsidR="0019652D" w:rsidRPr="001F1589" w:rsidSect="00B7739B">
          <w:footerReference w:type="even" r:id="rId28"/>
          <w:footerReference w:type="default" r:id="rId29"/>
          <w:pgSz w:w="12240" w:h="15840"/>
          <w:pgMar w:top="720" w:right="720" w:bottom="720" w:left="720" w:header="720" w:footer="720" w:gutter="0"/>
          <w:cols w:space="720"/>
          <w:docGrid w:linePitch="360"/>
        </w:sectPr>
      </w:pPr>
    </w:p>
    <w:p w14:paraId="2794EA91" w14:textId="77777777" w:rsidR="009079F4" w:rsidRPr="001F1589" w:rsidRDefault="009079F4" w:rsidP="00F74DB3">
      <w:pPr>
        <w:spacing w:after="120"/>
        <w:jc w:val="both"/>
        <w:rPr>
          <w:color w:val="000000" w:themeColor="text1"/>
        </w:rPr>
      </w:pPr>
    </w:p>
    <w:tbl>
      <w:tblPr>
        <w:tblW w:w="14374" w:type="dxa"/>
        <w:tblInd w:w="99" w:type="dxa"/>
        <w:tblLayout w:type="fixed"/>
        <w:tblLook w:val="04A0" w:firstRow="1" w:lastRow="0" w:firstColumn="1" w:lastColumn="0" w:noHBand="0" w:noVBand="1"/>
      </w:tblPr>
      <w:tblGrid>
        <w:gridCol w:w="1217"/>
        <w:gridCol w:w="1202"/>
        <w:gridCol w:w="992"/>
        <w:gridCol w:w="709"/>
        <w:gridCol w:w="839"/>
        <w:gridCol w:w="960"/>
        <w:gridCol w:w="839"/>
        <w:gridCol w:w="843"/>
        <w:gridCol w:w="839"/>
        <w:gridCol w:w="824"/>
        <w:gridCol w:w="839"/>
        <w:gridCol w:w="807"/>
        <w:gridCol w:w="827"/>
        <w:gridCol w:w="880"/>
        <w:gridCol w:w="951"/>
        <w:gridCol w:w="806"/>
      </w:tblGrid>
      <w:tr w:rsidR="001F1589" w:rsidRPr="001F1589" w14:paraId="2DCA1783" w14:textId="77777777" w:rsidTr="00C86FF5">
        <w:trPr>
          <w:trHeight w:val="20"/>
        </w:trPr>
        <w:tc>
          <w:tcPr>
            <w:tcW w:w="14374" w:type="dxa"/>
            <w:gridSpan w:val="16"/>
            <w:tcBorders>
              <w:top w:val="nil"/>
              <w:left w:val="nil"/>
              <w:bottom w:val="single" w:sz="8" w:space="0" w:color="auto"/>
              <w:right w:val="nil"/>
            </w:tcBorders>
            <w:shd w:val="clear" w:color="auto" w:fill="auto"/>
            <w:vAlign w:val="center"/>
            <w:hideMark/>
          </w:tcPr>
          <w:p w14:paraId="16F77181" w14:textId="77777777" w:rsidR="009079F4" w:rsidRPr="001F1589" w:rsidRDefault="009079F4" w:rsidP="009079F4">
            <w:pPr>
              <w:rPr>
                <w:rFonts w:ascii="Calibri" w:eastAsia="Times New Roman" w:hAnsi="Calibri"/>
                <w:b/>
                <w:bCs/>
                <w:color w:val="000000" w:themeColor="text1"/>
                <w:sz w:val="18"/>
                <w:lang w:val="en-GB" w:eastAsia="el-GR"/>
              </w:rPr>
            </w:pPr>
            <w:r w:rsidRPr="001F1589">
              <w:rPr>
                <w:rFonts w:ascii="Calibri" w:eastAsia="Times New Roman" w:hAnsi="Calibri"/>
                <w:b/>
                <w:bCs/>
                <w:color w:val="000000" w:themeColor="text1"/>
                <w:sz w:val="18"/>
                <w:lang w:val="en-GB" w:eastAsia="el-GR"/>
              </w:rPr>
              <w:t>Table2. Characteristics of GWAS-identified genetic variants associated with circulating 25(OH)D concentrations and their effects in the breast and prostate cancer.</w:t>
            </w:r>
          </w:p>
        </w:tc>
      </w:tr>
      <w:tr w:rsidR="001F1589" w:rsidRPr="001F1589" w14:paraId="0ECBF2BD" w14:textId="77777777" w:rsidTr="00C86FF5">
        <w:trPr>
          <w:trHeight w:val="20"/>
        </w:trPr>
        <w:tc>
          <w:tcPr>
            <w:tcW w:w="1217" w:type="dxa"/>
            <w:vMerge w:val="restart"/>
            <w:tcBorders>
              <w:top w:val="nil"/>
              <w:left w:val="nil"/>
              <w:bottom w:val="single" w:sz="8" w:space="0" w:color="000000"/>
              <w:right w:val="nil"/>
            </w:tcBorders>
            <w:shd w:val="clear" w:color="auto" w:fill="auto"/>
            <w:vAlign w:val="center"/>
            <w:hideMark/>
          </w:tcPr>
          <w:p w14:paraId="3CF4D887"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SNPs</w:t>
            </w:r>
          </w:p>
        </w:tc>
        <w:tc>
          <w:tcPr>
            <w:tcW w:w="1202" w:type="dxa"/>
            <w:vMerge w:val="restart"/>
            <w:tcBorders>
              <w:top w:val="nil"/>
              <w:left w:val="nil"/>
              <w:bottom w:val="single" w:sz="8" w:space="0" w:color="000000"/>
              <w:right w:val="nil"/>
            </w:tcBorders>
            <w:shd w:val="clear" w:color="auto" w:fill="auto"/>
            <w:vAlign w:val="center"/>
            <w:hideMark/>
          </w:tcPr>
          <w:p w14:paraId="18238804"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Chr: pos (hg19)</w:t>
            </w:r>
          </w:p>
        </w:tc>
        <w:tc>
          <w:tcPr>
            <w:tcW w:w="992" w:type="dxa"/>
            <w:vMerge w:val="restart"/>
            <w:tcBorders>
              <w:top w:val="nil"/>
              <w:left w:val="nil"/>
              <w:bottom w:val="single" w:sz="8" w:space="0" w:color="000000"/>
              <w:right w:val="nil"/>
            </w:tcBorders>
            <w:shd w:val="clear" w:color="auto" w:fill="auto"/>
            <w:vAlign w:val="center"/>
            <w:hideMark/>
          </w:tcPr>
          <w:p w14:paraId="2625B42E"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Locus</w:t>
            </w:r>
          </w:p>
        </w:tc>
        <w:tc>
          <w:tcPr>
            <w:tcW w:w="709" w:type="dxa"/>
            <w:vMerge w:val="restart"/>
            <w:tcBorders>
              <w:top w:val="nil"/>
              <w:left w:val="nil"/>
              <w:bottom w:val="single" w:sz="8" w:space="0" w:color="000000"/>
              <w:right w:val="nil"/>
            </w:tcBorders>
            <w:shd w:val="clear" w:color="auto" w:fill="auto"/>
            <w:vAlign w:val="center"/>
            <w:hideMark/>
          </w:tcPr>
          <w:p w14:paraId="0F7E216E"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Effect/ Other allele</w:t>
            </w:r>
          </w:p>
        </w:tc>
        <w:tc>
          <w:tcPr>
            <w:tcW w:w="1799" w:type="dxa"/>
            <w:gridSpan w:val="2"/>
            <w:tcBorders>
              <w:top w:val="nil"/>
              <w:left w:val="nil"/>
              <w:bottom w:val="single" w:sz="4" w:space="0" w:color="auto"/>
              <w:right w:val="nil"/>
            </w:tcBorders>
            <w:shd w:val="clear" w:color="auto" w:fill="auto"/>
            <w:vAlign w:val="center"/>
            <w:hideMark/>
          </w:tcPr>
          <w:p w14:paraId="74D52ED5"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Circulating Vitamin D Levels</w:t>
            </w:r>
          </w:p>
        </w:tc>
        <w:tc>
          <w:tcPr>
            <w:tcW w:w="1682" w:type="dxa"/>
            <w:gridSpan w:val="2"/>
            <w:tcBorders>
              <w:top w:val="nil"/>
              <w:left w:val="nil"/>
              <w:bottom w:val="single" w:sz="4" w:space="0" w:color="auto"/>
              <w:right w:val="nil"/>
            </w:tcBorders>
            <w:shd w:val="clear" w:color="auto" w:fill="auto"/>
            <w:vAlign w:val="center"/>
            <w:hideMark/>
          </w:tcPr>
          <w:p w14:paraId="31729239"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Overall Breast Cancer</w:t>
            </w:r>
          </w:p>
        </w:tc>
        <w:tc>
          <w:tcPr>
            <w:tcW w:w="1663" w:type="dxa"/>
            <w:gridSpan w:val="2"/>
            <w:tcBorders>
              <w:top w:val="nil"/>
              <w:left w:val="nil"/>
              <w:bottom w:val="single" w:sz="4" w:space="0" w:color="auto"/>
              <w:right w:val="nil"/>
            </w:tcBorders>
            <w:shd w:val="clear" w:color="auto" w:fill="auto"/>
            <w:vAlign w:val="center"/>
            <w:hideMark/>
          </w:tcPr>
          <w:p w14:paraId="13605D77"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ER-positive Breast Cancer</w:t>
            </w:r>
          </w:p>
        </w:tc>
        <w:tc>
          <w:tcPr>
            <w:tcW w:w="1646" w:type="dxa"/>
            <w:gridSpan w:val="2"/>
            <w:tcBorders>
              <w:top w:val="nil"/>
              <w:left w:val="nil"/>
              <w:bottom w:val="single" w:sz="4" w:space="0" w:color="auto"/>
              <w:right w:val="nil"/>
            </w:tcBorders>
            <w:shd w:val="clear" w:color="auto" w:fill="auto"/>
            <w:vAlign w:val="center"/>
            <w:hideMark/>
          </w:tcPr>
          <w:p w14:paraId="72EE6004"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ER-negative Breast Cancer</w:t>
            </w:r>
          </w:p>
        </w:tc>
        <w:tc>
          <w:tcPr>
            <w:tcW w:w="1707" w:type="dxa"/>
            <w:gridSpan w:val="2"/>
            <w:tcBorders>
              <w:top w:val="single" w:sz="8" w:space="0" w:color="auto"/>
              <w:left w:val="nil"/>
              <w:bottom w:val="single" w:sz="4" w:space="0" w:color="auto"/>
              <w:right w:val="nil"/>
            </w:tcBorders>
            <w:shd w:val="clear" w:color="auto" w:fill="auto"/>
            <w:vAlign w:val="center"/>
            <w:hideMark/>
          </w:tcPr>
          <w:p w14:paraId="3DE665BA"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Prostate Cancer</w:t>
            </w:r>
          </w:p>
        </w:tc>
        <w:tc>
          <w:tcPr>
            <w:tcW w:w="1757" w:type="dxa"/>
            <w:gridSpan w:val="2"/>
            <w:tcBorders>
              <w:top w:val="single" w:sz="8" w:space="0" w:color="auto"/>
              <w:left w:val="nil"/>
              <w:bottom w:val="single" w:sz="4" w:space="0" w:color="auto"/>
              <w:right w:val="nil"/>
            </w:tcBorders>
            <w:shd w:val="clear" w:color="auto" w:fill="auto"/>
            <w:vAlign w:val="center"/>
            <w:hideMark/>
          </w:tcPr>
          <w:p w14:paraId="4AD9562E"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Advanced Prostate Cancer</w:t>
            </w:r>
          </w:p>
        </w:tc>
      </w:tr>
      <w:tr w:rsidR="001F1589" w:rsidRPr="001F1589" w14:paraId="0BA278E7" w14:textId="77777777" w:rsidTr="00C86FF5">
        <w:trPr>
          <w:trHeight w:val="20"/>
        </w:trPr>
        <w:tc>
          <w:tcPr>
            <w:tcW w:w="1217" w:type="dxa"/>
            <w:vMerge/>
            <w:tcBorders>
              <w:top w:val="nil"/>
              <w:left w:val="nil"/>
              <w:bottom w:val="single" w:sz="8" w:space="0" w:color="000000"/>
              <w:right w:val="nil"/>
            </w:tcBorders>
            <w:vAlign w:val="center"/>
            <w:hideMark/>
          </w:tcPr>
          <w:p w14:paraId="412BEFD6" w14:textId="77777777" w:rsidR="009079F4" w:rsidRPr="001F1589" w:rsidRDefault="009079F4" w:rsidP="009079F4">
            <w:pPr>
              <w:rPr>
                <w:rFonts w:ascii="Calibri" w:eastAsia="Times New Roman" w:hAnsi="Calibri"/>
                <w:color w:val="000000" w:themeColor="text1"/>
                <w:sz w:val="18"/>
                <w:lang w:val="el-GR" w:eastAsia="el-GR"/>
              </w:rPr>
            </w:pPr>
          </w:p>
        </w:tc>
        <w:tc>
          <w:tcPr>
            <w:tcW w:w="1202" w:type="dxa"/>
            <w:vMerge/>
            <w:tcBorders>
              <w:top w:val="nil"/>
              <w:left w:val="nil"/>
              <w:bottom w:val="single" w:sz="8" w:space="0" w:color="000000"/>
              <w:right w:val="nil"/>
            </w:tcBorders>
            <w:vAlign w:val="center"/>
            <w:hideMark/>
          </w:tcPr>
          <w:p w14:paraId="4D9CC0E7" w14:textId="77777777" w:rsidR="009079F4" w:rsidRPr="001F1589" w:rsidRDefault="009079F4" w:rsidP="009079F4">
            <w:pPr>
              <w:rPr>
                <w:rFonts w:ascii="Calibri" w:eastAsia="Times New Roman" w:hAnsi="Calibri"/>
                <w:color w:val="000000" w:themeColor="text1"/>
                <w:sz w:val="18"/>
                <w:lang w:val="el-GR" w:eastAsia="el-GR"/>
              </w:rPr>
            </w:pPr>
          </w:p>
        </w:tc>
        <w:tc>
          <w:tcPr>
            <w:tcW w:w="992" w:type="dxa"/>
            <w:vMerge/>
            <w:tcBorders>
              <w:top w:val="nil"/>
              <w:left w:val="nil"/>
              <w:bottom w:val="single" w:sz="8" w:space="0" w:color="000000"/>
              <w:right w:val="nil"/>
            </w:tcBorders>
            <w:vAlign w:val="center"/>
            <w:hideMark/>
          </w:tcPr>
          <w:p w14:paraId="11A147CB" w14:textId="77777777" w:rsidR="009079F4" w:rsidRPr="001F1589" w:rsidRDefault="009079F4" w:rsidP="009079F4">
            <w:pPr>
              <w:rPr>
                <w:rFonts w:ascii="Calibri" w:eastAsia="Times New Roman" w:hAnsi="Calibri"/>
                <w:color w:val="000000" w:themeColor="text1"/>
                <w:sz w:val="18"/>
                <w:lang w:val="el-GR" w:eastAsia="el-GR"/>
              </w:rPr>
            </w:pPr>
          </w:p>
        </w:tc>
        <w:tc>
          <w:tcPr>
            <w:tcW w:w="709" w:type="dxa"/>
            <w:vMerge/>
            <w:tcBorders>
              <w:top w:val="nil"/>
              <w:left w:val="nil"/>
              <w:bottom w:val="single" w:sz="8" w:space="0" w:color="000000"/>
              <w:right w:val="nil"/>
            </w:tcBorders>
            <w:vAlign w:val="center"/>
            <w:hideMark/>
          </w:tcPr>
          <w:p w14:paraId="734C0378" w14:textId="77777777" w:rsidR="009079F4" w:rsidRPr="001F1589" w:rsidRDefault="009079F4" w:rsidP="009079F4">
            <w:pPr>
              <w:rPr>
                <w:rFonts w:ascii="Calibri" w:eastAsia="Times New Roman" w:hAnsi="Calibri"/>
                <w:color w:val="000000" w:themeColor="text1"/>
                <w:sz w:val="18"/>
                <w:lang w:val="el-GR" w:eastAsia="el-GR"/>
              </w:rPr>
            </w:pPr>
          </w:p>
        </w:tc>
        <w:tc>
          <w:tcPr>
            <w:tcW w:w="839" w:type="dxa"/>
            <w:tcBorders>
              <w:top w:val="nil"/>
              <w:left w:val="nil"/>
              <w:bottom w:val="single" w:sz="8" w:space="0" w:color="auto"/>
              <w:right w:val="nil"/>
            </w:tcBorders>
            <w:shd w:val="clear" w:color="auto" w:fill="auto"/>
            <w:vAlign w:val="center"/>
            <w:hideMark/>
          </w:tcPr>
          <w:p w14:paraId="462E12CC"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Beta (SE)</w:t>
            </w:r>
          </w:p>
        </w:tc>
        <w:tc>
          <w:tcPr>
            <w:tcW w:w="960" w:type="dxa"/>
            <w:tcBorders>
              <w:top w:val="nil"/>
              <w:left w:val="nil"/>
              <w:bottom w:val="single" w:sz="8" w:space="0" w:color="auto"/>
              <w:right w:val="nil"/>
            </w:tcBorders>
            <w:shd w:val="clear" w:color="auto" w:fill="auto"/>
            <w:vAlign w:val="center"/>
            <w:hideMark/>
          </w:tcPr>
          <w:p w14:paraId="7093EDDA"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P-value</w:t>
            </w:r>
          </w:p>
        </w:tc>
        <w:tc>
          <w:tcPr>
            <w:tcW w:w="839" w:type="dxa"/>
            <w:tcBorders>
              <w:top w:val="nil"/>
              <w:left w:val="nil"/>
              <w:bottom w:val="single" w:sz="8" w:space="0" w:color="auto"/>
              <w:right w:val="nil"/>
            </w:tcBorders>
            <w:shd w:val="clear" w:color="auto" w:fill="auto"/>
            <w:vAlign w:val="center"/>
            <w:hideMark/>
          </w:tcPr>
          <w:p w14:paraId="7618CAEA"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Beta (SE)</w:t>
            </w:r>
          </w:p>
        </w:tc>
        <w:tc>
          <w:tcPr>
            <w:tcW w:w="843" w:type="dxa"/>
            <w:tcBorders>
              <w:top w:val="nil"/>
              <w:left w:val="nil"/>
              <w:bottom w:val="single" w:sz="8" w:space="0" w:color="auto"/>
              <w:right w:val="nil"/>
            </w:tcBorders>
            <w:shd w:val="clear" w:color="auto" w:fill="auto"/>
            <w:vAlign w:val="center"/>
            <w:hideMark/>
          </w:tcPr>
          <w:p w14:paraId="302D63A0"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P-value</w:t>
            </w:r>
          </w:p>
        </w:tc>
        <w:tc>
          <w:tcPr>
            <w:tcW w:w="839" w:type="dxa"/>
            <w:tcBorders>
              <w:top w:val="nil"/>
              <w:left w:val="nil"/>
              <w:bottom w:val="single" w:sz="8" w:space="0" w:color="auto"/>
              <w:right w:val="nil"/>
            </w:tcBorders>
            <w:shd w:val="clear" w:color="auto" w:fill="auto"/>
            <w:vAlign w:val="center"/>
            <w:hideMark/>
          </w:tcPr>
          <w:p w14:paraId="5853CB43"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Beta (SE)</w:t>
            </w:r>
          </w:p>
        </w:tc>
        <w:tc>
          <w:tcPr>
            <w:tcW w:w="824" w:type="dxa"/>
            <w:tcBorders>
              <w:top w:val="nil"/>
              <w:left w:val="nil"/>
              <w:bottom w:val="single" w:sz="8" w:space="0" w:color="auto"/>
              <w:right w:val="nil"/>
            </w:tcBorders>
            <w:shd w:val="clear" w:color="auto" w:fill="auto"/>
            <w:vAlign w:val="center"/>
            <w:hideMark/>
          </w:tcPr>
          <w:p w14:paraId="21A9B6E3"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P-value</w:t>
            </w:r>
          </w:p>
        </w:tc>
        <w:tc>
          <w:tcPr>
            <w:tcW w:w="839" w:type="dxa"/>
            <w:tcBorders>
              <w:top w:val="nil"/>
              <w:left w:val="nil"/>
              <w:bottom w:val="single" w:sz="8" w:space="0" w:color="auto"/>
              <w:right w:val="nil"/>
            </w:tcBorders>
            <w:shd w:val="clear" w:color="auto" w:fill="auto"/>
            <w:vAlign w:val="center"/>
            <w:hideMark/>
          </w:tcPr>
          <w:p w14:paraId="06D9EB60"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Beta (SE)</w:t>
            </w:r>
          </w:p>
        </w:tc>
        <w:tc>
          <w:tcPr>
            <w:tcW w:w="807" w:type="dxa"/>
            <w:tcBorders>
              <w:top w:val="nil"/>
              <w:left w:val="nil"/>
              <w:bottom w:val="single" w:sz="8" w:space="0" w:color="auto"/>
              <w:right w:val="nil"/>
            </w:tcBorders>
            <w:shd w:val="clear" w:color="auto" w:fill="auto"/>
            <w:vAlign w:val="center"/>
            <w:hideMark/>
          </w:tcPr>
          <w:p w14:paraId="71276B3C"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P-value</w:t>
            </w:r>
          </w:p>
        </w:tc>
        <w:tc>
          <w:tcPr>
            <w:tcW w:w="827" w:type="dxa"/>
            <w:tcBorders>
              <w:top w:val="nil"/>
              <w:left w:val="nil"/>
              <w:bottom w:val="single" w:sz="8" w:space="0" w:color="auto"/>
              <w:right w:val="nil"/>
            </w:tcBorders>
            <w:shd w:val="clear" w:color="auto" w:fill="auto"/>
            <w:vAlign w:val="center"/>
            <w:hideMark/>
          </w:tcPr>
          <w:p w14:paraId="1049C0D4"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Beta (SE)</w:t>
            </w:r>
          </w:p>
        </w:tc>
        <w:tc>
          <w:tcPr>
            <w:tcW w:w="880" w:type="dxa"/>
            <w:tcBorders>
              <w:top w:val="nil"/>
              <w:left w:val="nil"/>
              <w:bottom w:val="single" w:sz="8" w:space="0" w:color="auto"/>
              <w:right w:val="nil"/>
            </w:tcBorders>
            <w:shd w:val="clear" w:color="auto" w:fill="auto"/>
            <w:vAlign w:val="center"/>
            <w:hideMark/>
          </w:tcPr>
          <w:p w14:paraId="78774B5F"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P-value</w:t>
            </w:r>
          </w:p>
        </w:tc>
        <w:tc>
          <w:tcPr>
            <w:tcW w:w="951" w:type="dxa"/>
            <w:tcBorders>
              <w:top w:val="nil"/>
              <w:left w:val="nil"/>
              <w:bottom w:val="single" w:sz="8" w:space="0" w:color="auto"/>
              <w:right w:val="nil"/>
            </w:tcBorders>
            <w:shd w:val="clear" w:color="auto" w:fill="auto"/>
            <w:vAlign w:val="center"/>
            <w:hideMark/>
          </w:tcPr>
          <w:p w14:paraId="13936ADC"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Beta (SE)</w:t>
            </w:r>
          </w:p>
        </w:tc>
        <w:tc>
          <w:tcPr>
            <w:tcW w:w="806" w:type="dxa"/>
            <w:tcBorders>
              <w:top w:val="nil"/>
              <w:left w:val="nil"/>
              <w:bottom w:val="single" w:sz="8" w:space="0" w:color="auto"/>
              <w:right w:val="nil"/>
            </w:tcBorders>
            <w:shd w:val="clear" w:color="auto" w:fill="auto"/>
            <w:vAlign w:val="center"/>
            <w:hideMark/>
          </w:tcPr>
          <w:p w14:paraId="19772A67" w14:textId="77777777" w:rsidR="009079F4" w:rsidRPr="001F1589" w:rsidRDefault="009079F4" w:rsidP="009079F4">
            <w:pPr>
              <w:jc w:val="center"/>
              <w:rPr>
                <w:rFonts w:ascii="Calibri" w:eastAsia="Times New Roman" w:hAnsi="Calibri"/>
                <w:color w:val="000000" w:themeColor="text1"/>
                <w:sz w:val="18"/>
                <w:lang w:val="el-GR" w:eastAsia="el-GR"/>
              </w:rPr>
            </w:pPr>
            <w:r w:rsidRPr="001F1589">
              <w:rPr>
                <w:rFonts w:ascii="Calibri" w:eastAsia="Times New Roman" w:hAnsi="Calibri"/>
                <w:color w:val="000000" w:themeColor="text1"/>
                <w:sz w:val="18"/>
                <w:lang w:val="el-GR" w:eastAsia="el-GR"/>
              </w:rPr>
              <w:t>P-value</w:t>
            </w:r>
          </w:p>
        </w:tc>
      </w:tr>
      <w:tr w:rsidR="001F1589" w:rsidRPr="001F1589" w14:paraId="099FD84B" w14:textId="77777777" w:rsidTr="00C86FF5">
        <w:trPr>
          <w:trHeight w:val="20"/>
        </w:trPr>
        <w:tc>
          <w:tcPr>
            <w:tcW w:w="1217" w:type="dxa"/>
            <w:tcBorders>
              <w:top w:val="nil"/>
              <w:left w:val="nil"/>
              <w:bottom w:val="nil"/>
              <w:right w:val="nil"/>
            </w:tcBorders>
            <w:shd w:val="clear" w:color="auto" w:fill="auto"/>
            <w:vAlign w:val="center"/>
            <w:hideMark/>
          </w:tcPr>
          <w:p w14:paraId="7304F455"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rs3755967</w:t>
            </w:r>
          </w:p>
        </w:tc>
        <w:tc>
          <w:tcPr>
            <w:tcW w:w="1202" w:type="dxa"/>
            <w:tcBorders>
              <w:top w:val="nil"/>
              <w:left w:val="nil"/>
              <w:bottom w:val="nil"/>
              <w:right w:val="nil"/>
            </w:tcBorders>
            <w:shd w:val="clear" w:color="auto" w:fill="auto"/>
            <w:vAlign w:val="center"/>
            <w:hideMark/>
          </w:tcPr>
          <w:p w14:paraId="201E467C"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4:72609398</w:t>
            </w:r>
          </w:p>
        </w:tc>
        <w:tc>
          <w:tcPr>
            <w:tcW w:w="992" w:type="dxa"/>
            <w:tcBorders>
              <w:top w:val="nil"/>
              <w:left w:val="nil"/>
              <w:bottom w:val="nil"/>
              <w:right w:val="nil"/>
            </w:tcBorders>
            <w:shd w:val="clear" w:color="auto" w:fill="auto"/>
            <w:vAlign w:val="center"/>
            <w:hideMark/>
          </w:tcPr>
          <w:p w14:paraId="4482C23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GC</w:t>
            </w:r>
          </w:p>
        </w:tc>
        <w:tc>
          <w:tcPr>
            <w:tcW w:w="709" w:type="dxa"/>
            <w:tcBorders>
              <w:top w:val="nil"/>
              <w:left w:val="nil"/>
              <w:bottom w:val="nil"/>
              <w:right w:val="nil"/>
            </w:tcBorders>
            <w:shd w:val="clear" w:color="auto" w:fill="auto"/>
            <w:vAlign w:val="center"/>
            <w:hideMark/>
          </w:tcPr>
          <w:p w14:paraId="6761702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T/C</w:t>
            </w:r>
          </w:p>
        </w:tc>
        <w:tc>
          <w:tcPr>
            <w:tcW w:w="839" w:type="dxa"/>
            <w:tcBorders>
              <w:top w:val="nil"/>
              <w:left w:val="nil"/>
              <w:bottom w:val="nil"/>
              <w:right w:val="nil"/>
            </w:tcBorders>
            <w:shd w:val="clear" w:color="auto" w:fill="auto"/>
            <w:vAlign w:val="center"/>
            <w:hideMark/>
          </w:tcPr>
          <w:p w14:paraId="2019510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-0.089 (0.0023)</w:t>
            </w:r>
          </w:p>
        </w:tc>
        <w:tc>
          <w:tcPr>
            <w:tcW w:w="960" w:type="dxa"/>
            <w:tcBorders>
              <w:top w:val="nil"/>
              <w:left w:val="nil"/>
              <w:bottom w:val="nil"/>
              <w:right w:val="nil"/>
            </w:tcBorders>
            <w:shd w:val="clear" w:color="auto" w:fill="auto"/>
            <w:vAlign w:val="center"/>
            <w:hideMark/>
          </w:tcPr>
          <w:p w14:paraId="06465BD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4.74E-343</w:t>
            </w:r>
          </w:p>
        </w:tc>
        <w:tc>
          <w:tcPr>
            <w:tcW w:w="839" w:type="dxa"/>
            <w:tcBorders>
              <w:top w:val="nil"/>
              <w:left w:val="nil"/>
              <w:bottom w:val="nil"/>
              <w:right w:val="nil"/>
            </w:tcBorders>
            <w:shd w:val="clear" w:color="auto" w:fill="auto"/>
            <w:vAlign w:val="center"/>
            <w:hideMark/>
          </w:tcPr>
          <w:p w14:paraId="543E79A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-0.0031 (0.0069)</w:t>
            </w:r>
          </w:p>
        </w:tc>
        <w:tc>
          <w:tcPr>
            <w:tcW w:w="843" w:type="dxa"/>
            <w:tcBorders>
              <w:top w:val="nil"/>
              <w:left w:val="nil"/>
              <w:bottom w:val="nil"/>
              <w:right w:val="nil"/>
            </w:tcBorders>
            <w:shd w:val="clear" w:color="auto" w:fill="auto"/>
            <w:vAlign w:val="center"/>
            <w:hideMark/>
          </w:tcPr>
          <w:p w14:paraId="7BCE1C7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0.65</w:t>
            </w:r>
          </w:p>
        </w:tc>
        <w:tc>
          <w:tcPr>
            <w:tcW w:w="839" w:type="dxa"/>
            <w:tcBorders>
              <w:top w:val="nil"/>
              <w:left w:val="nil"/>
              <w:bottom w:val="nil"/>
              <w:right w:val="nil"/>
            </w:tcBorders>
            <w:shd w:val="clear" w:color="auto" w:fill="auto"/>
            <w:vAlign w:val="center"/>
            <w:hideMark/>
          </w:tcPr>
          <w:p w14:paraId="2D26D36E"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0.0012 (0.0082)</w:t>
            </w:r>
          </w:p>
        </w:tc>
        <w:tc>
          <w:tcPr>
            <w:tcW w:w="824" w:type="dxa"/>
            <w:tcBorders>
              <w:top w:val="nil"/>
              <w:left w:val="nil"/>
              <w:bottom w:val="nil"/>
              <w:right w:val="nil"/>
            </w:tcBorders>
            <w:shd w:val="clear" w:color="auto" w:fill="auto"/>
            <w:vAlign w:val="center"/>
            <w:hideMark/>
          </w:tcPr>
          <w:p w14:paraId="4589E07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0.89</w:t>
            </w:r>
          </w:p>
        </w:tc>
        <w:tc>
          <w:tcPr>
            <w:tcW w:w="839" w:type="dxa"/>
            <w:tcBorders>
              <w:top w:val="nil"/>
              <w:left w:val="nil"/>
              <w:bottom w:val="nil"/>
              <w:right w:val="nil"/>
            </w:tcBorders>
            <w:shd w:val="clear" w:color="auto" w:fill="auto"/>
            <w:vAlign w:val="center"/>
            <w:hideMark/>
          </w:tcPr>
          <w:p w14:paraId="55758707"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-0.0103 (0.0125)</w:t>
            </w:r>
          </w:p>
        </w:tc>
        <w:tc>
          <w:tcPr>
            <w:tcW w:w="807" w:type="dxa"/>
            <w:tcBorders>
              <w:top w:val="nil"/>
              <w:left w:val="nil"/>
              <w:bottom w:val="nil"/>
              <w:right w:val="nil"/>
            </w:tcBorders>
            <w:shd w:val="clear" w:color="auto" w:fill="auto"/>
            <w:vAlign w:val="center"/>
            <w:hideMark/>
          </w:tcPr>
          <w:p w14:paraId="18CA082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0.41</w:t>
            </w:r>
          </w:p>
        </w:tc>
        <w:tc>
          <w:tcPr>
            <w:tcW w:w="827" w:type="dxa"/>
            <w:tcBorders>
              <w:top w:val="nil"/>
              <w:left w:val="nil"/>
              <w:bottom w:val="nil"/>
              <w:right w:val="nil"/>
            </w:tcBorders>
            <w:shd w:val="clear" w:color="auto" w:fill="auto"/>
            <w:vAlign w:val="center"/>
            <w:hideMark/>
          </w:tcPr>
          <w:p w14:paraId="19A7E6F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-0.0029 (0.0091)</w:t>
            </w:r>
          </w:p>
        </w:tc>
        <w:tc>
          <w:tcPr>
            <w:tcW w:w="880" w:type="dxa"/>
            <w:tcBorders>
              <w:top w:val="nil"/>
              <w:left w:val="nil"/>
              <w:bottom w:val="nil"/>
              <w:right w:val="nil"/>
            </w:tcBorders>
            <w:shd w:val="clear" w:color="auto" w:fill="auto"/>
            <w:vAlign w:val="center"/>
            <w:hideMark/>
          </w:tcPr>
          <w:p w14:paraId="59542B94"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0.75</w:t>
            </w:r>
          </w:p>
        </w:tc>
        <w:tc>
          <w:tcPr>
            <w:tcW w:w="951" w:type="dxa"/>
            <w:tcBorders>
              <w:top w:val="nil"/>
              <w:left w:val="nil"/>
              <w:bottom w:val="nil"/>
              <w:right w:val="nil"/>
            </w:tcBorders>
            <w:shd w:val="clear" w:color="auto" w:fill="auto"/>
            <w:vAlign w:val="center"/>
            <w:hideMark/>
          </w:tcPr>
          <w:p w14:paraId="0D18C02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-0.0114 (0.0158)</w:t>
            </w:r>
          </w:p>
        </w:tc>
        <w:tc>
          <w:tcPr>
            <w:tcW w:w="806" w:type="dxa"/>
            <w:tcBorders>
              <w:top w:val="nil"/>
              <w:left w:val="nil"/>
              <w:bottom w:val="nil"/>
              <w:right w:val="nil"/>
            </w:tcBorders>
            <w:shd w:val="clear" w:color="auto" w:fill="auto"/>
            <w:vAlign w:val="center"/>
            <w:hideMark/>
          </w:tcPr>
          <w:p w14:paraId="09908DE2"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0.47</w:t>
            </w:r>
          </w:p>
        </w:tc>
      </w:tr>
      <w:tr w:rsidR="001F1589" w:rsidRPr="001F1589" w14:paraId="1B1DF2C4" w14:textId="77777777" w:rsidTr="00C86FF5">
        <w:trPr>
          <w:trHeight w:val="20"/>
        </w:trPr>
        <w:tc>
          <w:tcPr>
            <w:tcW w:w="1217" w:type="dxa"/>
            <w:tcBorders>
              <w:top w:val="nil"/>
              <w:left w:val="nil"/>
              <w:bottom w:val="nil"/>
              <w:right w:val="nil"/>
            </w:tcBorders>
            <w:shd w:val="clear" w:color="auto" w:fill="auto"/>
            <w:vAlign w:val="center"/>
            <w:hideMark/>
          </w:tcPr>
          <w:p w14:paraId="543969C5"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rs10741657</w:t>
            </w:r>
          </w:p>
        </w:tc>
        <w:tc>
          <w:tcPr>
            <w:tcW w:w="1202" w:type="dxa"/>
            <w:tcBorders>
              <w:top w:val="nil"/>
              <w:left w:val="nil"/>
              <w:bottom w:val="nil"/>
              <w:right w:val="nil"/>
            </w:tcBorders>
            <w:shd w:val="clear" w:color="auto" w:fill="auto"/>
            <w:vAlign w:val="center"/>
            <w:hideMark/>
          </w:tcPr>
          <w:p w14:paraId="399B9112"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11:14914878</w:t>
            </w:r>
          </w:p>
        </w:tc>
        <w:tc>
          <w:tcPr>
            <w:tcW w:w="992" w:type="dxa"/>
            <w:tcBorders>
              <w:top w:val="nil"/>
              <w:left w:val="nil"/>
              <w:bottom w:val="nil"/>
              <w:right w:val="nil"/>
            </w:tcBorders>
            <w:shd w:val="clear" w:color="auto" w:fill="auto"/>
            <w:vAlign w:val="center"/>
            <w:hideMark/>
          </w:tcPr>
          <w:p w14:paraId="2019259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CYP2R1</w:t>
            </w:r>
          </w:p>
        </w:tc>
        <w:tc>
          <w:tcPr>
            <w:tcW w:w="709" w:type="dxa"/>
            <w:tcBorders>
              <w:top w:val="nil"/>
              <w:left w:val="nil"/>
              <w:bottom w:val="nil"/>
              <w:right w:val="nil"/>
            </w:tcBorders>
            <w:shd w:val="clear" w:color="auto" w:fill="auto"/>
            <w:vAlign w:val="center"/>
            <w:hideMark/>
          </w:tcPr>
          <w:p w14:paraId="7FC4320C"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A/G</w:t>
            </w:r>
          </w:p>
        </w:tc>
        <w:tc>
          <w:tcPr>
            <w:tcW w:w="839" w:type="dxa"/>
            <w:tcBorders>
              <w:top w:val="nil"/>
              <w:left w:val="nil"/>
              <w:bottom w:val="nil"/>
              <w:right w:val="nil"/>
            </w:tcBorders>
            <w:shd w:val="clear" w:color="auto" w:fill="auto"/>
            <w:vAlign w:val="center"/>
            <w:hideMark/>
          </w:tcPr>
          <w:p w14:paraId="24C103E7"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0.031 (0.0022)</w:t>
            </w:r>
          </w:p>
        </w:tc>
        <w:tc>
          <w:tcPr>
            <w:tcW w:w="960" w:type="dxa"/>
            <w:tcBorders>
              <w:top w:val="nil"/>
              <w:left w:val="nil"/>
              <w:bottom w:val="nil"/>
              <w:right w:val="nil"/>
            </w:tcBorders>
            <w:shd w:val="clear" w:color="auto" w:fill="auto"/>
            <w:vAlign w:val="center"/>
            <w:hideMark/>
          </w:tcPr>
          <w:p w14:paraId="1BBF6D0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2.05E-46</w:t>
            </w:r>
          </w:p>
        </w:tc>
        <w:tc>
          <w:tcPr>
            <w:tcW w:w="839" w:type="dxa"/>
            <w:tcBorders>
              <w:top w:val="nil"/>
              <w:left w:val="nil"/>
              <w:bottom w:val="nil"/>
              <w:right w:val="nil"/>
            </w:tcBorders>
            <w:shd w:val="clear" w:color="auto" w:fill="auto"/>
            <w:vAlign w:val="center"/>
            <w:hideMark/>
          </w:tcPr>
          <w:p w14:paraId="19C6F45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0.0075 (0.0063)</w:t>
            </w:r>
          </w:p>
        </w:tc>
        <w:tc>
          <w:tcPr>
            <w:tcW w:w="843" w:type="dxa"/>
            <w:tcBorders>
              <w:top w:val="nil"/>
              <w:left w:val="nil"/>
              <w:bottom w:val="nil"/>
              <w:right w:val="nil"/>
            </w:tcBorders>
            <w:shd w:val="clear" w:color="auto" w:fill="auto"/>
            <w:vAlign w:val="center"/>
            <w:hideMark/>
          </w:tcPr>
          <w:p w14:paraId="0098BA6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0.23</w:t>
            </w:r>
          </w:p>
        </w:tc>
        <w:tc>
          <w:tcPr>
            <w:tcW w:w="839" w:type="dxa"/>
            <w:tcBorders>
              <w:top w:val="nil"/>
              <w:left w:val="nil"/>
              <w:bottom w:val="nil"/>
              <w:right w:val="nil"/>
            </w:tcBorders>
            <w:shd w:val="clear" w:color="auto" w:fill="auto"/>
            <w:vAlign w:val="center"/>
            <w:hideMark/>
          </w:tcPr>
          <w:p w14:paraId="7E339A24"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0.0015 (0.0075)</w:t>
            </w:r>
          </w:p>
        </w:tc>
        <w:tc>
          <w:tcPr>
            <w:tcW w:w="824" w:type="dxa"/>
            <w:tcBorders>
              <w:top w:val="nil"/>
              <w:left w:val="nil"/>
              <w:bottom w:val="nil"/>
              <w:right w:val="nil"/>
            </w:tcBorders>
            <w:shd w:val="clear" w:color="auto" w:fill="auto"/>
            <w:vAlign w:val="center"/>
            <w:hideMark/>
          </w:tcPr>
          <w:p w14:paraId="1CAD550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0.84</w:t>
            </w:r>
          </w:p>
        </w:tc>
        <w:tc>
          <w:tcPr>
            <w:tcW w:w="839" w:type="dxa"/>
            <w:tcBorders>
              <w:top w:val="nil"/>
              <w:left w:val="nil"/>
              <w:bottom w:val="nil"/>
              <w:right w:val="nil"/>
            </w:tcBorders>
            <w:shd w:val="clear" w:color="auto" w:fill="auto"/>
            <w:vAlign w:val="center"/>
            <w:hideMark/>
          </w:tcPr>
          <w:p w14:paraId="40A40652"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0.012 (0.0115)</w:t>
            </w:r>
          </w:p>
        </w:tc>
        <w:tc>
          <w:tcPr>
            <w:tcW w:w="807" w:type="dxa"/>
            <w:tcBorders>
              <w:top w:val="nil"/>
              <w:left w:val="nil"/>
              <w:bottom w:val="nil"/>
              <w:right w:val="nil"/>
            </w:tcBorders>
            <w:shd w:val="clear" w:color="auto" w:fill="auto"/>
            <w:vAlign w:val="center"/>
            <w:hideMark/>
          </w:tcPr>
          <w:p w14:paraId="6F935FA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0.30</w:t>
            </w:r>
          </w:p>
        </w:tc>
        <w:tc>
          <w:tcPr>
            <w:tcW w:w="827" w:type="dxa"/>
            <w:tcBorders>
              <w:top w:val="nil"/>
              <w:left w:val="nil"/>
              <w:bottom w:val="nil"/>
              <w:right w:val="nil"/>
            </w:tcBorders>
            <w:shd w:val="clear" w:color="auto" w:fill="auto"/>
            <w:vAlign w:val="center"/>
            <w:hideMark/>
          </w:tcPr>
          <w:p w14:paraId="03C8E6F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0.0031 (0.0082)</w:t>
            </w:r>
          </w:p>
        </w:tc>
        <w:tc>
          <w:tcPr>
            <w:tcW w:w="880" w:type="dxa"/>
            <w:tcBorders>
              <w:top w:val="nil"/>
              <w:left w:val="nil"/>
              <w:bottom w:val="nil"/>
              <w:right w:val="nil"/>
            </w:tcBorders>
            <w:shd w:val="clear" w:color="auto" w:fill="auto"/>
            <w:vAlign w:val="center"/>
            <w:hideMark/>
          </w:tcPr>
          <w:p w14:paraId="4D51DAE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0.71</w:t>
            </w:r>
          </w:p>
        </w:tc>
        <w:tc>
          <w:tcPr>
            <w:tcW w:w="951" w:type="dxa"/>
            <w:tcBorders>
              <w:top w:val="nil"/>
              <w:left w:val="nil"/>
              <w:bottom w:val="nil"/>
              <w:right w:val="nil"/>
            </w:tcBorders>
            <w:shd w:val="clear" w:color="auto" w:fill="auto"/>
            <w:vAlign w:val="center"/>
            <w:hideMark/>
          </w:tcPr>
          <w:p w14:paraId="5848118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0.0122 (0.0142)</w:t>
            </w:r>
          </w:p>
        </w:tc>
        <w:tc>
          <w:tcPr>
            <w:tcW w:w="806" w:type="dxa"/>
            <w:tcBorders>
              <w:top w:val="nil"/>
              <w:left w:val="nil"/>
              <w:bottom w:val="nil"/>
              <w:right w:val="nil"/>
            </w:tcBorders>
            <w:shd w:val="clear" w:color="auto" w:fill="auto"/>
            <w:vAlign w:val="center"/>
            <w:hideMark/>
          </w:tcPr>
          <w:p w14:paraId="5FD5760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0.39</w:t>
            </w:r>
          </w:p>
        </w:tc>
      </w:tr>
      <w:tr w:rsidR="001F1589" w:rsidRPr="001F1589" w14:paraId="63EE57DB" w14:textId="77777777" w:rsidTr="00C86FF5">
        <w:trPr>
          <w:trHeight w:val="20"/>
        </w:trPr>
        <w:tc>
          <w:tcPr>
            <w:tcW w:w="1217" w:type="dxa"/>
            <w:tcBorders>
              <w:top w:val="nil"/>
              <w:left w:val="nil"/>
              <w:bottom w:val="nil"/>
              <w:right w:val="nil"/>
            </w:tcBorders>
            <w:shd w:val="clear" w:color="auto" w:fill="auto"/>
            <w:vAlign w:val="center"/>
            <w:hideMark/>
          </w:tcPr>
          <w:p w14:paraId="66F7053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rs12785878</w:t>
            </w:r>
          </w:p>
        </w:tc>
        <w:tc>
          <w:tcPr>
            <w:tcW w:w="1202" w:type="dxa"/>
            <w:tcBorders>
              <w:top w:val="nil"/>
              <w:left w:val="nil"/>
              <w:bottom w:val="nil"/>
              <w:right w:val="nil"/>
            </w:tcBorders>
            <w:shd w:val="clear" w:color="auto" w:fill="auto"/>
            <w:vAlign w:val="center"/>
            <w:hideMark/>
          </w:tcPr>
          <w:p w14:paraId="2D902224"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11:71167449</w:t>
            </w:r>
          </w:p>
        </w:tc>
        <w:tc>
          <w:tcPr>
            <w:tcW w:w="992" w:type="dxa"/>
            <w:tcBorders>
              <w:top w:val="nil"/>
              <w:left w:val="nil"/>
              <w:bottom w:val="nil"/>
              <w:right w:val="nil"/>
            </w:tcBorders>
            <w:shd w:val="clear" w:color="auto" w:fill="auto"/>
            <w:vAlign w:val="center"/>
            <w:hideMark/>
          </w:tcPr>
          <w:p w14:paraId="0D7A8F0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NADSYN1/ DHCR7</w:t>
            </w:r>
          </w:p>
        </w:tc>
        <w:tc>
          <w:tcPr>
            <w:tcW w:w="709" w:type="dxa"/>
            <w:tcBorders>
              <w:top w:val="nil"/>
              <w:left w:val="nil"/>
              <w:bottom w:val="nil"/>
              <w:right w:val="nil"/>
            </w:tcBorders>
            <w:shd w:val="clear" w:color="auto" w:fill="auto"/>
            <w:vAlign w:val="center"/>
            <w:hideMark/>
          </w:tcPr>
          <w:p w14:paraId="31CDD21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T/G</w:t>
            </w:r>
          </w:p>
        </w:tc>
        <w:tc>
          <w:tcPr>
            <w:tcW w:w="839" w:type="dxa"/>
            <w:tcBorders>
              <w:top w:val="nil"/>
              <w:left w:val="nil"/>
              <w:bottom w:val="nil"/>
              <w:right w:val="nil"/>
            </w:tcBorders>
            <w:shd w:val="clear" w:color="auto" w:fill="auto"/>
            <w:vAlign w:val="center"/>
            <w:hideMark/>
          </w:tcPr>
          <w:p w14:paraId="400282D1"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0.036 (0.0022)</w:t>
            </w:r>
          </w:p>
        </w:tc>
        <w:tc>
          <w:tcPr>
            <w:tcW w:w="960" w:type="dxa"/>
            <w:tcBorders>
              <w:top w:val="nil"/>
              <w:left w:val="nil"/>
              <w:bottom w:val="nil"/>
              <w:right w:val="nil"/>
            </w:tcBorders>
            <w:shd w:val="clear" w:color="auto" w:fill="auto"/>
            <w:vAlign w:val="center"/>
            <w:hideMark/>
          </w:tcPr>
          <w:p w14:paraId="3B61756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3.80E-62</w:t>
            </w:r>
          </w:p>
        </w:tc>
        <w:tc>
          <w:tcPr>
            <w:tcW w:w="839" w:type="dxa"/>
            <w:tcBorders>
              <w:top w:val="nil"/>
              <w:left w:val="nil"/>
              <w:bottom w:val="nil"/>
              <w:right w:val="nil"/>
            </w:tcBorders>
            <w:shd w:val="clear" w:color="auto" w:fill="auto"/>
            <w:vAlign w:val="center"/>
            <w:hideMark/>
          </w:tcPr>
          <w:p w14:paraId="24E2A6D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-0.0016 (0.0070)</w:t>
            </w:r>
          </w:p>
        </w:tc>
        <w:tc>
          <w:tcPr>
            <w:tcW w:w="843" w:type="dxa"/>
            <w:tcBorders>
              <w:top w:val="nil"/>
              <w:left w:val="nil"/>
              <w:bottom w:val="nil"/>
              <w:right w:val="nil"/>
            </w:tcBorders>
            <w:shd w:val="clear" w:color="auto" w:fill="auto"/>
            <w:vAlign w:val="center"/>
            <w:hideMark/>
          </w:tcPr>
          <w:p w14:paraId="26279AE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0.82</w:t>
            </w:r>
          </w:p>
        </w:tc>
        <w:tc>
          <w:tcPr>
            <w:tcW w:w="839" w:type="dxa"/>
            <w:tcBorders>
              <w:top w:val="nil"/>
              <w:left w:val="nil"/>
              <w:bottom w:val="nil"/>
              <w:right w:val="nil"/>
            </w:tcBorders>
            <w:shd w:val="clear" w:color="auto" w:fill="auto"/>
            <w:vAlign w:val="center"/>
            <w:hideMark/>
          </w:tcPr>
          <w:p w14:paraId="586ED2CE"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0.0054 (0.0083)</w:t>
            </w:r>
          </w:p>
        </w:tc>
        <w:tc>
          <w:tcPr>
            <w:tcW w:w="824" w:type="dxa"/>
            <w:tcBorders>
              <w:top w:val="nil"/>
              <w:left w:val="nil"/>
              <w:bottom w:val="nil"/>
              <w:right w:val="nil"/>
            </w:tcBorders>
            <w:shd w:val="clear" w:color="auto" w:fill="auto"/>
            <w:vAlign w:val="center"/>
            <w:hideMark/>
          </w:tcPr>
          <w:p w14:paraId="2E9A13D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0.52</w:t>
            </w:r>
          </w:p>
        </w:tc>
        <w:tc>
          <w:tcPr>
            <w:tcW w:w="839" w:type="dxa"/>
            <w:tcBorders>
              <w:top w:val="nil"/>
              <w:left w:val="nil"/>
              <w:bottom w:val="nil"/>
              <w:right w:val="nil"/>
            </w:tcBorders>
            <w:shd w:val="clear" w:color="auto" w:fill="auto"/>
            <w:vAlign w:val="center"/>
            <w:hideMark/>
          </w:tcPr>
          <w:p w14:paraId="67F7BAE7"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-0.0245 (0.0127)</w:t>
            </w:r>
          </w:p>
        </w:tc>
        <w:tc>
          <w:tcPr>
            <w:tcW w:w="807" w:type="dxa"/>
            <w:tcBorders>
              <w:top w:val="nil"/>
              <w:left w:val="nil"/>
              <w:bottom w:val="nil"/>
              <w:right w:val="nil"/>
            </w:tcBorders>
            <w:shd w:val="clear" w:color="auto" w:fill="auto"/>
            <w:vAlign w:val="center"/>
            <w:hideMark/>
          </w:tcPr>
          <w:p w14:paraId="25CA18A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0.054</w:t>
            </w:r>
          </w:p>
        </w:tc>
        <w:tc>
          <w:tcPr>
            <w:tcW w:w="827" w:type="dxa"/>
            <w:tcBorders>
              <w:top w:val="nil"/>
              <w:left w:val="nil"/>
              <w:bottom w:val="nil"/>
              <w:right w:val="nil"/>
            </w:tcBorders>
            <w:shd w:val="clear" w:color="auto" w:fill="auto"/>
            <w:vAlign w:val="center"/>
            <w:hideMark/>
          </w:tcPr>
          <w:p w14:paraId="55212F6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-0.0111 (0.0090)</w:t>
            </w:r>
          </w:p>
        </w:tc>
        <w:tc>
          <w:tcPr>
            <w:tcW w:w="880" w:type="dxa"/>
            <w:tcBorders>
              <w:top w:val="nil"/>
              <w:left w:val="nil"/>
              <w:bottom w:val="nil"/>
              <w:right w:val="nil"/>
            </w:tcBorders>
            <w:shd w:val="clear" w:color="auto" w:fill="auto"/>
            <w:vAlign w:val="center"/>
            <w:hideMark/>
          </w:tcPr>
          <w:p w14:paraId="7524C06F"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0.22</w:t>
            </w:r>
          </w:p>
        </w:tc>
        <w:tc>
          <w:tcPr>
            <w:tcW w:w="951" w:type="dxa"/>
            <w:tcBorders>
              <w:top w:val="nil"/>
              <w:left w:val="nil"/>
              <w:bottom w:val="nil"/>
              <w:right w:val="nil"/>
            </w:tcBorders>
            <w:shd w:val="clear" w:color="auto" w:fill="auto"/>
            <w:vAlign w:val="center"/>
            <w:hideMark/>
          </w:tcPr>
          <w:p w14:paraId="1DF754BE"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-0.0243 (0.0154)</w:t>
            </w:r>
          </w:p>
        </w:tc>
        <w:tc>
          <w:tcPr>
            <w:tcW w:w="806" w:type="dxa"/>
            <w:tcBorders>
              <w:top w:val="nil"/>
              <w:left w:val="nil"/>
              <w:bottom w:val="nil"/>
              <w:right w:val="nil"/>
            </w:tcBorders>
            <w:shd w:val="clear" w:color="auto" w:fill="auto"/>
            <w:vAlign w:val="center"/>
            <w:hideMark/>
          </w:tcPr>
          <w:p w14:paraId="347ABE9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0.12</w:t>
            </w:r>
          </w:p>
        </w:tc>
      </w:tr>
      <w:tr w:rsidR="001F1589" w:rsidRPr="001F1589" w14:paraId="1496211D" w14:textId="77777777" w:rsidTr="00C86FF5">
        <w:trPr>
          <w:trHeight w:val="20"/>
        </w:trPr>
        <w:tc>
          <w:tcPr>
            <w:tcW w:w="1217" w:type="dxa"/>
            <w:tcBorders>
              <w:top w:val="nil"/>
              <w:left w:val="nil"/>
              <w:bottom w:val="nil"/>
              <w:right w:val="nil"/>
            </w:tcBorders>
            <w:shd w:val="clear" w:color="auto" w:fill="auto"/>
            <w:vAlign w:val="center"/>
            <w:hideMark/>
          </w:tcPr>
          <w:p w14:paraId="49AD64D1"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rs10745742*</w:t>
            </w:r>
          </w:p>
        </w:tc>
        <w:tc>
          <w:tcPr>
            <w:tcW w:w="1202" w:type="dxa"/>
            <w:tcBorders>
              <w:top w:val="nil"/>
              <w:left w:val="nil"/>
              <w:bottom w:val="nil"/>
              <w:right w:val="nil"/>
            </w:tcBorders>
            <w:shd w:val="clear" w:color="auto" w:fill="auto"/>
            <w:vAlign w:val="center"/>
            <w:hideMark/>
          </w:tcPr>
          <w:p w14:paraId="1C01943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12:96358529</w:t>
            </w:r>
          </w:p>
        </w:tc>
        <w:tc>
          <w:tcPr>
            <w:tcW w:w="992" w:type="dxa"/>
            <w:tcBorders>
              <w:top w:val="nil"/>
              <w:left w:val="nil"/>
              <w:bottom w:val="nil"/>
              <w:right w:val="nil"/>
            </w:tcBorders>
            <w:shd w:val="clear" w:color="auto" w:fill="auto"/>
            <w:vAlign w:val="center"/>
            <w:hideMark/>
          </w:tcPr>
          <w:p w14:paraId="03A0109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AMDHD1</w:t>
            </w:r>
          </w:p>
        </w:tc>
        <w:tc>
          <w:tcPr>
            <w:tcW w:w="709" w:type="dxa"/>
            <w:tcBorders>
              <w:top w:val="nil"/>
              <w:left w:val="nil"/>
              <w:bottom w:val="nil"/>
              <w:right w:val="nil"/>
            </w:tcBorders>
            <w:shd w:val="clear" w:color="auto" w:fill="auto"/>
            <w:vAlign w:val="center"/>
            <w:hideMark/>
          </w:tcPr>
          <w:p w14:paraId="2EA87DE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T/C</w:t>
            </w:r>
          </w:p>
        </w:tc>
        <w:tc>
          <w:tcPr>
            <w:tcW w:w="839" w:type="dxa"/>
            <w:tcBorders>
              <w:top w:val="nil"/>
              <w:left w:val="nil"/>
              <w:bottom w:val="nil"/>
              <w:right w:val="nil"/>
            </w:tcBorders>
            <w:shd w:val="clear" w:color="auto" w:fill="auto"/>
            <w:vAlign w:val="center"/>
            <w:hideMark/>
          </w:tcPr>
          <w:p w14:paraId="10F361C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0.0190 (0.0020)</w:t>
            </w:r>
          </w:p>
        </w:tc>
        <w:tc>
          <w:tcPr>
            <w:tcW w:w="960" w:type="dxa"/>
            <w:tcBorders>
              <w:top w:val="nil"/>
              <w:left w:val="nil"/>
              <w:bottom w:val="nil"/>
              <w:right w:val="nil"/>
            </w:tcBorders>
            <w:shd w:val="clear" w:color="auto" w:fill="auto"/>
            <w:vAlign w:val="center"/>
            <w:hideMark/>
          </w:tcPr>
          <w:p w14:paraId="63FB257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2.10E-20</w:t>
            </w:r>
          </w:p>
        </w:tc>
        <w:tc>
          <w:tcPr>
            <w:tcW w:w="839" w:type="dxa"/>
            <w:tcBorders>
              <w:top w:val="nil"/>
              <w:left w:val="nil"/>
              <w:bottom w:val="nil"/>
              <w:right w:val="nil"/>
            </w:tcBorders>
            <w:shd w:val="clear" w:color="auto" w:fill="auto"/>
            <w:vAlign w:val="center"/>
            <w:hideMark/>
          </w:tcPr>
          <w:p w14:paraId="34D886E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0.0044 (0.0063)</w:t>
            </w:r>
          </w:p>
        </w:tc>
        <w:tc>
          <w:tcPr>
            <w:tcW w:w="843" w:type="dxa"/>
            <w:tcBorders>
              <w:top w:val="nil"/>
              <w:left w:val="nil"/>
              <w:bottom w:val="nil"/>
              <w:right w:val="nil"/>
            </w:tcBorders>
            <w:shd w:val="clear" w:color="auto" w:fill="auto"/>
            <w:vAlign w:val="center"/>
            <w:hideMark/>
          </w:tcPr>
          <w:p w14:paraId="71BCAC8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0.49</w:t>
            </w:r>
          </w:p>
        </w:tc>
        <w:tc>
          <w:tcPr>
            <w:tcW w:w="839" w:type="dxa"/>
            <w:tcBorders>
              <w:top w:val="nil"/>
              <w:left w:val="nil"/>
              <w:bottom w:val="nil"/>
              <w:right w:val="nil"/>
            </w:tcBorders>
            <w:shd w:val="clear" w:color="auto" w:fill="auto"/>
            <w:vAlign w:val="center"/>
            <w:hideMark/>
          </w:tcPr>
          <w:p w14:paraId="6E348C7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-0.0011 (0.0075)</w:t>
            </w:r>
          </w:p>
        </w:tc>
        <w:tc>
          <w:tcPr>
            <w:tcW w:w="824" w:type="dxa"/>
            <w:tcBorders>
              <w:top w:val="nil"/>
              <w:left w:val="nil"/>
              <w:bottom w:val="nil"/>
              <w:right w:val="nil"/>
            </w:tcBorders>
            <w:shd w:val="clear" w:color="auto" w:fill="auto"/>
            <w:vAlign w:val="center"/>
            <w:hideMark/>
          </w:tcPr>
          <w:p w14:paraId="70FE8D92"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0.88</w:t>
            </w:r>
          </w:p>
        </w:tc>
        <w:tc>
          <w:tcPr>
            <w:tcW w:w="839" w:type="dxa"/>
            <w:tcBorders>
              <w:top w:val="nil"/>
              <w:left w:val="nil"/>
              <w:bottom w:val="nil"/>
              <w:right w:val="nil"/>
            </w:tcBorders>
            <w:shd w:val="clear" w:color="auto" w:fill="auto"/>
            <w:vAlign w:val="center"/>
            <w:hideMark/>
          </w:tcPr>
          <w:p w14:paraId="708A051C"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0.0097 (0.0115)</w:t>
            </w:r>
          </w:p>
        </w:tc>
        <w:tc>
          <w:tcPr>
            <w:tcW w:w="807" w:type="dxa"/>
            <w:tcBorders>
              <w:top w:val="nil"/>
              <w:left w:val="nil"/>
              <w:bottom w:val="nil"/>
              <w:right w:val="nil"/>
            </w:tcBorders>
            <w:shd w:val="clear" w:color="auto" w:fill="auto"/>
            <w:vAlign w:val="center"/>
            <w:hideMark/>
          </w:tcPr>
          <w:p w14:paraId="79F2F2B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0.40</w:t>
            </w:r>
          </w:p>
        </w:tc>
        <w:tc>
          <w:tcPr>
            <w:tcW w:w="827" w:type="dxa"/>
            <w:tcBorders>
              <w:top w:val="nil"/>
              <w:left w:val="nil"/>
              <w:bottom w:val="nil"/>
              <w:right w:val="nil"/>
            </w:tcBorders>
            <w:shd w:val="clear" w:color="auto" w:fill="auto"/>
            <w:vAlign w:val="center"/>
            <w:hideMark/>
          </w:tcPr>
          <w:p w14:paraId="78572854"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0.0006 (0.0082)</w:t>
            </w:r>
          </w:p>
        </w:tc>
        <w:tc>
          <w:tcPr>
            <w:tcW w:w="880" w:type="dxa"/>
            <w:tcBorders>
              <w:top w:val="nil"/>
              <w:left w:val="nil"/>
              <w:bottom w:val="nil"/>
              <w:right w:val="nil"/>
            </w:tcBorders>
            <w:shd w:val="clear" w:color="auto" w:fill="auto"/>
            <w:vAlign w:val="center"/>
            <w:hideMark/>
          </w:tcPr>
          <w:p w14:paraId="42B31F7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0.94</w:t>
            </w:r>
          </w:p>
        </w:tc>
        <w:tc>
          <w:tcPr>
            <w:tcW w:w="951" w:type="dxa"/>
            <w:tcBorders>
              <w:top w:val="nil"/>
              <w:left w:val="nil"/>
              <w:bottom w:val="nil"/>
              <w:right w:val="nil"/>
            </w:tcBorders>
            <w:shd w:val="clear" w:color="auto" w:fill="auto"/>
            <w:vAlign w:val="center"/>
            <w:hideMark/>
          </w:tcPr>
          <w:p w14:paraId="6CCB094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0.0000 (0.0142)</w:t>
            </w:r>
          </w:p>
        </w:tc>
        <w:tc>
          <w:tcPr>
            <w:tcW w:w="806" w:type="dxa"/>
            <w:tcBorders>
              <w:top w:val="nil"/>
              <w:left w:val="nil"/>
              <w:bottom w:val="nil"/>
              <w:right w:val="nil"/>
            </w:tcBorders>
            <w:shd w:val="clear" w:color="auto" w:fill="auto"/>
            <w:vAlign w:val="center"/>
            <w:hideMark/>
          </w:tcPr>
          <w:p w14:paraId="4430861F"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0.99</w:t>
            </w:r>
          </w:p>
        </w:tc>
      </w:tr>
      <w:tr w:rsidR="001F1589" w:rsidRPr="001F1589" w14:paraId="4EDE5690" w14:textId="77777777" w:rsidTr="00C86FF5">
        <w:trPr>
          <w:trHeight w:val="20"/>
        </w:trPr>
        <w:tc>
          <w:tcPr>
            <w:tcW w:w="1217" w:type="dxa"/>
            <w:tcBorders>
              <w:top w:val="nil"/>
              <w:left w:val="nil"/>
              <w:bottom w:val="nil"/>
              <w:right w:val="nil"/>
            </w:tcBorders>
            <w:shd w:val="clear" w:color="auto" w:fill="auto"/>
            <w:vAlign w:val="center"/>
            <w:hideMark/>
          </w:tcPr>
          <w:p w14:paraId="5E8124CF"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rs8018720*</w:t>
            </w:r>
          </w:p>
        </w:tc>
        <w:tc>
          <w:tcPr>
            <w:tcW w:w="1202" w:type="dxa"/>
            <w:tcBorders>
              <w:top w:val="nil"/>
              <w:left w:val="nil"/>
              <w:bottom w:val="nil"/>
              <w:right w:val="nil"/>
            </w:tcBorders>
            <w:shd w:val="clear" w:color="auto" w:fill="auto"/>
            <w:vAlign w:val="center"/>
            <w:hideMark/>
          </w:tcPr>
          <w:p w14:paraId="1B6DF9C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14:39556185</w:t>
            </w:r>
          </w:p>
        </w:tc>
        <w:tc>
          <w:tcPr>
            <w:tcW w:w="992" w:type="dxa"/>
            <w:tcBorders>
              <w:top w:val="nil"/>
              <w:left w:val="nil"/>
              <w:bottom w:val="nil"/>
              <w:right w:val="nil"/>
            </w:tcBorders>
            <w:shd w:val="clear" w:color="auto" w:fill="auto"/>
            <w:vAlign w:val="center"/>
            <w:hideMark/>
          </w:tcPr>
          <w:p w14:paraId="65144CA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SEC23A</w:t>
            </w:r>
          </w:p>
        </w:tc>
        <w:tc>
          <w:tcPr>
            <w:tcW w:w="709" w:type="dxa"/>
            <w:tcBorders>
              <w:top w:val="nil"/>
              <w:left w:val="nil"/>
              <w:bottom w:val="nil"/>
              <w:right w:val="nil"/>
            </w:tcBorders>
            <w:shd w:val="clear" w:color="auto" w:fill="auto"/>
            <w:vAlign w:val="center"/>
            <w:hideMark/>
          </w:tcPr>
          <w:p w14:paraId="56CDFBE2"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C/G</w:t>
            </w:r>
          </w:p>
        </w:tc>
        <w:tc>
          <w:tcPr>
            <w:tcW w:w="839" w:type="dxa"/>
            <w:tcBorders>
              <w:top w:val="nil"/>
              <w:left w:val="nil"/>
              <w:bottom w:val="nil"/>
              <w:right w:val="nil"/>
            </w:tcBorders>
            <w:shd w:val="clear" w:color="auto" w:fill="auto"/>
            <w:vAlign w:val="center"/>
            <w:hideMark/>
          </w:tcPr>
          <w:p w14:paraId="3744FD0C"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-0.019 (0.0027)</w:t>
            </w:r>
          </w:p>
        </w:tc>
        <w:tc>
          <w:tcPr>
            <w:tcW w:w="960" w:type="dxa"/>
            <w:tcBorders>
              <w:top w:val="nil"/>
              <w:left w:val="nil"/>
              <w:bottom w:val="nil"/>
              <w:right w:val="nil"/>
            </w:tcBorders>
            <w:shd w:val="clear" w:color="auto" w:fill="auto"/>
            <w:vAlign w:val="center"/>
            <w:hideMark/>
          </w:tcPr>
          <w:p w14:paraId="6CAC7712"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1.11E-11</w:t>
            </w:r>
          </w:p>
        </w:tc>
        <w:tc>
          <w:tcPr>
            <w:tcW w:w="839" w:type="dxa"/>
            <w:tcBorders>
              <w:top w:val="nil"/>
              <w:left w:val="nil"/>
              <w:bottom w:val="nil"/>
              <w:right w:val="nil"/>
            </w:tcBorders>
            <w:shd w:val="clear" w:color="auto" w:fill="auto"/>
            <w:vAlign w:val="center"/>
            <w:hideMark/>
          </w:tcPr>
          <w:p w14:paraId="2F60D2D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0.0132 (0.0083)</w:t>
            </w:r>
          </w:p>
        </w:tc>
        <w:tc>
          <w:tcPr>
            <w:tcW w:w="843" w:type="dxa"/>
            <w:tcBorders>
              <w:top w:val="nil"/>
              <w:left w:val="nil"/>
              <w:bottom w:val="nil"/>
              <w:right w:val="nil"/>
            </w:tcBorders>
            <w:shd w:val="clear" w:color="auto" w:fill="auto"/>
            <w:vAlign w:val="center"/>
            <w:hideMark/>
          </w:tcPr>
          <w:p w14:paraId="30857220"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0.11</w:t>
            </w:r>
          </w:p>
        </w:tc>
        <w:tc>
          <w:tcPr>
            <w:tcW w:w="839" w:type="dxa"/>
            <w:tcBorders>
              <w:top w:val="nil"/>
              <w:left w:val="nil"/>
              <w:bottom w:val="nil"/>
              <w:right w:val="nil"/>
            </w:tcBorders>
            <w:shd w:val="clear" w:color="auto" w:fill="auto"/>
            <w:vAlign w:val="center"/>
            <w:hideMark/>
          </w:tcPr>
          <w:p w14:paraId="0A77FE4F"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0.0162 (0.0099)</w:t>
            </w:r>
          </w:p>
        </w:tc>
        <w:tc>
          <w:tcPr>
            <w:tcW w:w="824" w:type="dxa"/>
            <w:tcBorders>
              <w:top w:val="nil"/>
              <w:left w:val="nil"/>
              <w:bottom w:val="nil"/>
              <w:right w:val="nil"/>
            </w:tcBorders>
            <w:shd w:val="clear" w:color="auto" w:fill="auto"/>
            <w:vAlign w:val="center"/>
            <w:hideMark/>
          </w:tcPr>
          <w:p w14:paraId="3863D785"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0.10</w:t>
            </w:r>
          </w:p>
        </w:tc>
        <w:tc>
          <w:tcPr>
            <w:tcW w:w="839" w:type="dxa"/>
            <w:tcBorders>
              <w:top w:val="nil"/>
              <w:left w:val="nil"/>
              <w:bottom w:val="nil"/>
              <w:right w:val="nil"/>
            </w:tcBorders>
            <w:shd w:val="clear" w:color="auto" w:fill="auto"/>
            <w:vAlign w:val="center"/>
            <w:hideMark/>
          </w:tcPr>
          <w:p w14:paraId="694FD358"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0.0222 (0.0152)</w:t>
            </w:r>
          </w:p>
        </w:tc>
        <w:tc>
          <w:tcPr>
            <w:tcW w:w="807" w:type="dxa"/>
            <w:tcBorders>
              <w:top w:val="nil"/>
              <w:left w:val="nil"/>
              <w:bottom w:val="nil"/>
              <w:right w:val="nil"/>
            </w:tcBorders>
            <w:shd w:val="clear" w:color="auto" w:fill="auto"/>
            <w:vAlign w:val="center"/>
            <w:hideMark/>
          </w:tcPr>
          <w:p w14:paraId="366BC27E"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0.14</w:t>
            </w:r>
          </w:p>
        </w:tc>
        <w:tc>
          <w:tcPr>
            <w:tcW w:w="827" w:type="dxa"/>
            <w:tcBorders>
              <w:top w:val="nil"/>
              <w:left w:val="nil"/>
              <w:bottom w:val="nil"/>
              <w:right w:val="nil"/>
            </w:tcBorders>
            <w:shd w:val="clear" w:color="auto" w:fill="auto"/>
            <w:vAlign w:val="center"/>
            <w:hideMark/>
          </w:tcPr>
          <w:p w14:paraId="5F11285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-0.0071 (0.0108)</w:t>
            </w:r>
          </w:p>
        </w:tc>
        <w:tc>
          <w:tcPr>
            <w:tcW w:w="880" w:type="dxa"/>
            <w:tcBorders>
              <w:top w:val="nil"/>
              <w:left w:val="nil"/>
              <w:bottom w:val="nil"/>
              <w:right w:val="nil"/>
            </w:tcBorders>
            <w:shd w:val="clear" w:color="auto" w:fill="auto"/>
            <w:vAlign w:val="center"/>
            <w:hideMark/>
          </w:tcPr>
          <w:p w14:paraId="3045D09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0.51</w:t>
            </w:r>
          </w:p>
        </w:tc>
        <w:tc>
          <w:tcPr>
            <w:tcW w:w="951" w:type="dxa"/>
            <w:tcBorders>
              <w:top w:val="nil"/>
              <w:left w:val="nil"/>
              <w:bottom w:val="nil"/>
              <w:right w:val="nil"/>
            </w:tcBorders>
            <w:shd w:val="clear" w:color="auto" w:fill="auto"/>
            <w:vAlign w:val="center"/>
            <w:hideMark/>
          </w:tcPr>
          <w:p w14:paraId="01605780"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-0.0065 (0.0186)</w:t>
            </w:r>
          </w:p>
        </w:tc>
        <w:tc>
          <w:tcPr>
            <w:tcW w:w="806" w:type="dxa"/>
            <w:tcBorders>
              <w:top w:val="nil"/>
              <w:left w:val="nil"/>
              <w:bottom w:val="nil"/>
              <w:right w:val="nil"/>
            </w:tcBorders>
            <w:shd w:val="clear" w:color="auto" w:fill="auto"/>
            <w:vAlign w:val="center"/>
            <w:hideMark/>
          </w:tcPr>
          <w:p w14:paraId="68097BC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0.73</w:t>
            </w:r>
          </w:p>
        </w:tc>
      </w:tr>
      <w:tr w:rsidR="001F1589" w:rsidRPr="001F1589" w14:paraId="44B2C17F" w14:textId="77777777" w:rsidTr="00C86FF5">
        <w:trPr>
          <w:trHeight w:val="20"/>
        </w:trPr>
        <w:tc>
          <w:tcPr>
            <w:tcW w:w="1217" w:type="dxa"/>
            <w:tcBorders>
              <w:top w:val="nil"/>
              <w:left w:val="nil"/>
              <w:bottom w:val="nil"/>
              <w:right w:val="nil"/>
            </w:tcBorders>
            <w:shd w:val="clear" w:color="auto" w:fill="auto"/>
            <w:vAlign w:val="center"/>
            <w:hideMark/>
          </w:tcPr>
          <w:p w14:paraId="42ABAC60"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rs17216707</w:t>
            </w:r>
          </w:p>
        </w:tc>
        <w:tc>
          <w:tcPr>
            <w:tcW w:w="1202" w:type="dxa"/>
            <w:tcBorders>
              <w:top w:val="nil"/>
              <w:left w:val="nil"/>
              <w:bottom w:val="nil"/>
              <w:right w:val="nil"/>
            </w:tcBorders>
            <w:shd w:val="clear" w:color="auto" w:fill="auto"/>
            <w:vAlign w:val="center"/>
            <w:hideMark/>
          </w:tcPr>
          <w:p w14:paraId="4F00C574"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20:52732362</w:t>
            </w:r>
          </w:p>
        </w:tc>
        <w:tc>
          <w:tcPr>
            <w:tcW w:w="992" w:type="dxa"/>
            <w:tcBorders>
              <w:top w:val="nil"/>
              <w:left w:val="nil"/>
              <w:bottom w:val="nil"/>
              <w:right w:val="nil"/>
            </w:tcBorders>
            <w:shd w:val="clear" w:color="auto" w:fill="auto"/>
            <w:vAlign w:val="center"/>
            <w:hideMark/>
          </w:tcPr>
          <w:p w14:paraId="6BA3C02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CYP24A1</w:t>
            </w:r>
          </w:p>
        </w:tc>
        <w:tc>
          <w:tcPr>
            <w:tcW w:w="709" w:type="dxa"/>
            <w:tcBorders>
              <w:top w:val="nil"/>
              <w:left w:val="nil"/>
              <w:bottom w:val="nil"/>
              <w:right w:val="nil"/>
            </w:tcBorders>
            <w:shd w:val="clear" w:color="auto" w:fill="auto"/>
            <w:vAlign w:val="center"/>
            <w:hideMark/>
          </w:tcPr>
          <w:p w14:paraId="041000F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T/C</w:t>
            </w:r>
          </w:p>
        </w:tc>
        <w:tc>
          <w:tcPr>
            <w:tcW w:w="839" w:type="dxa"/>
            <w:tcBorders>
              <w:top w:val="nil"/>
              <w:left w:val="nil"/>
              <w:bottom w:val="nil"/>
              <w:right w:val="nil"/>
            </w:tcBorders>
            <w:shd w:val="clear" w:color="auto" w:fill="auto"/>
            <w:vAlign w:val="center"/>
            <w:hideMark/>
          </w:tcPr>
          <w:p w14:paraId="750211B7"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0.026 (0.0027)</w:t>
            </w:r>
          </w:p>
        </w:tc>
        <w:tc>
          <w:tcPr>
            <w:tcW w:w="960" w:type="dxa"/>
            <w:tcBorders>
              <w:top w:val="nil"/>
              <w:left w:val="nil"/>
              <w:bottom w:val="nil"/>
              <w:right w:val="nil"/>
            </w:tcBorders>
            <w:shd w:val="clear" w:color="auto" w:fill="auto"/>
            <w:vAlign w:val="center"/>
            <w:hideMark/>
          </w:tcPr>
          <w:p w14:paraId="6B6EA1B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8.14E-23</w:t>
            </w:r>
          </w:p>
        </w:tc>
        <w:tc>
          <w:tcPr>
            <w:tcW w:w="839" w:type="dxa"/>
            <w:tcBorders>
              <w:top w:val="nil"/>
              <w:left w:val="nil"/>
              <w:bottom w:val="nil"/>
              <w:right w:val="nil"/>
            </w:tcBorders>
            <w:shd w:val="clear" w:color="auto" w:fill="auto"/>
            <w:vAlign w:val="center"/>
            <w:hideMark/>
          </w:tcPr>
          <w:p w14:paraId="0E3E3290"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0.0062 (0.0082)</w:t>
            </w:r>
          </w:p>
        </w:tc>
        <w:tc>
          <w:tcPr>
            <w:tcW w:w="843" w:type="dxa"/>
            <w:tcBorders>
              <w:top w:val="nil"/>
              <w:left w:val="nil"/>
              <w:bottom w:val="nil"/>
              <w:right w:val="nil"/>
            </w:tcBorders>
            <w:shd w:val="clear" w:color="auto" w:fill="auto"/>
            <w:vAlign w:val="center"/>
            <w:hideMark/>
          </w:tcPr>
          <w:p w14:paraId="03266C66"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0.45</w:t>
            </w:r>
          </w:p>
        </w:tc>
        <w:tc>
          <w:tcPr>
            <w:tcW w:w="839" w:type="dxa"/>
            <w:tcBorders>
              <w:top w:val="nil"/>
              <w:left w:val="nil"/>
              <w:bottom w:val="nil"/>
              <w:right w:val="nil"/>
            </w:tcBorders>
            <w:shd w:val="clear" w:color="auto" w:fill="auto"/>
            <w:vAlign w:val="center"/>
            <w:hideMark/>
          </w:tcPr>
          <w:p w14:paraId="74192D5D"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0.0063 (0.0098)</w:t>
            </w:r>
          </w:p>
        </w:tc>
        <w:tc>
          <w:tcPr>
            <w:tcW w:w="824" w:type="dxa"/>
            <w:tcBorders>
              <w:top w:val="nil"/>
              <w:left w:val="nil"/>
              <w:bottom w:val="nil"/>
              <w:right w:val="nil"/>
            </w:tcBorders>
            <w:shd w:val="clear" w:color="auto" w:fill="auto"/>
            <w:vAlign w:val="center"/>
            <w:hideMark/>
          </w:tcPr>
          <w:p w14:paraId="04EE3E5B"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0.53</w:t>
            </w:r>
          </w:p>
        </w:tc>
        <w:tc>
          <w:tcPr>
            <w:tcW w:w="839" w:type="dxa"/>
            <w:tcBorders>
              <w:top w:val="nil"/>
              <w:left w:val="nil"/>
              <w:bottom w:val="nil"/>
              <w:right w:val="nil"/>
            </w:tcBorders>
            <w:shd w:val="clear" w:color="auto" w:fill="auto"/>
            <w:vAlign w:val="center"/>
            <w:hideMark/>
          </w:tcPr>
          <w:p w14:paraId="42DACCF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0.0055 (0.0150)</w:t>
            </w:r>
          </w:p>
        </w:tc>
        <w:tc>
          <w:tcPr>
            <w:tcW w:w="807" w:type="dxa"/>
            <w:tcBorders>
              <w:top w:val="nil"/>
              <w:left w:val="nil"/>
              <w:bottom w:val="nil"/>
              <w:right w:val="nil"/>
            </w:tcBorders>
            <w:shd w:val="clear" w:color="auto" w:fill="auto"/>
            <w:vAlign w:val="center"/>
            <w:hideMark/>
          </w:tcPr>
          <w:p w14:paraId="5EF56057"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0.71</w:t>
            </w:r>
          </w:p>
        </w:tc>
        <w:tc>
          <w:tcPr>
            <w:tcW w:w="827" w:type="dxa"/>
            <w:tcBorders>
              <w:top w:val="nil"/>
              <w:left w:val="nil"/>
              <w:bottom w:val="nil"/>
              <w:right w:val="nil"/>
            </w:tcBorders>
            <w:shd w:val="clear" w:color="auto" w:fill="auto"/>
            <w:vAlign w:val="center"/>
            <w:hideMark/>
          </w:tcPr>
          <w:p w14:paraId="067DD030"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-0.0040 (0.0106)</w:t>
            </w:r>
          </w:p>
        </w:tc>
        <w:tc>
          <w:tcPr>
            <w:tcW w:w="880" w:type="dxa"/>
            <w:tcBorders>
              <w:top w:val="nil"/>
              <w:left w:val="nil"/>
              <w:bottom w:val="nil"/>
              <w:right w:val="nil"/>
            </w:tcBorders>
            <w:shd w:val="clear" w:color="auto" w:fill="auto"/>
            <w:vAlign w:val="center"/>
            <w:hideMark/>
          </w:tcPr>
          <w:p w14:paraId="23A8681A"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0.70</w:t>
            </w:r>
          </w:p>
        </w:tc>
        <w:tc>
          <w:tcPr>
            <w:tcW w:w="951" w:type="dxa"/>
            <w:tcBorders>
              <w:top w:val="nil"/>
              <w:left w:val="nil"/>
              <w:bottom w:val="nil"/>
              <w:right w:val="nil"/>
            </w:tcBorders>
            <w:shd w:val="clear" w:color="auto" w:fill="auto"/>
            <w:vAlign w:val="center"/>
            <w:hideMark/>
          </w:tcPr>
          <w:p w14:paraId="0EAE7CCC"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 xml:space="preserve"> -0.0026 (0.0182)</w:t>
            </w:r>
          </w:p>
        </w:tc>
        <w:tc>
          <w:tcPr>
            <w:tcW w:w="806" w:type="dxa"/>
            <w:tcBorders>
              <w:top w:val="nil"/>
              <w:left w:val="nil"/>
              <w:bottom w:val="nil"/>
              <w:right w:val="nil"/>
            </w:tcBorders>
            <w:shd w:val="clear" w:color="auto" w:fill="auto"/>
            <w:vAlign w:val="center"/>
            <w:hideMark/>
          </w:tcPr>
          <w:p w14:paraId="56F65F4C"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0.88</w:t>
            </w:r>
          </w:p>
        </w:tc>
      </w:tr>
      <w:tr w:rsidR="001F1589" w:rsidRPr="001F1589" w14:paraId="1EE66612" w14:textId="77777777" w:rsidTr="00C86FF5">
        <w:trPr>
          <w:trHeight w:val="20"/>
        </w:trPr>
        <w:tc>
          <w:tcPr>
            <w:tcW w:w="4120" w:type="dxa"/>
            <w:gridSpan w:val="4"/>
            <w:tcBorders>
              <w:top w:val="nil"/>
              <w:left w:val="nil"/>
              <w:bottom w:val="single" w:sz="8" w:space="0" w:color="auto"/>
              <w:right w:val="nil"/>
            </w:tcBorders>
            <w:shd w:val="clear" w:color="auto" w:fill="auto"/>
            <w:vAlign w:val="center"/>
            <w:hideMark/>
          </w:tcPr>
          <w:p w14:paraId="18B60BA4"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Reference</w:t>
            </w:r>
          </w:p>
        </w:tc>
        <w:tc>
          <w:tcPr>
            <w:tcW w:w="1799" w:type="dxa"/>
            <w:gridSpan w:val="2"/>
            <w:tcBorders>
              <w:top w:val="nil"/>
              <w:left w:val="nil"/>
              <w:bottom w:val="single" w:sz="8" w:space="0" w:color="auto"/>
              <w:right w:val="nil"/>
            </w:tcBorders>
            <w:shd w:val="clear" w:color="auto" w:fill="auto"/>
            <w:vAlign w:val="center"/>
            <w:hideMark/>
          </w:tcPr>
          <w:p w14:paraId="1AE958A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Jiang, et al. 2018</w:t>
            </w:r>
          </w:p>
        </w:tc>
        <w:tc>
          <w:tcPr>
            <w:tcW w:w="1682" w:type="dxa"/>
            <w:gridSpan w:val="2"/>
            <w:tcBorders>
              <w:top w:val="nil"/>
              <w:left w:val="nil"/>
              <w:bottom w:val="single" w:sz="8" w:space="0" w:color="auto"/>
              <w:right w:val="nil"/>
            </w:tcBorders>
            <w:shd w:val="clear" w:color="auto" w:fill="auto"/>
            <w:vAlign w:val="center"/>
            <w:hideMark/>
          </w:tcPr>
          <w:p w14:paraId="04FA38B0"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Michailidou, et al. 2017</w:t>
            </w:r>
          </w:p>
        </w:tc>
        <w:tc>
          <w:tcPr>
            <w:tcW w:w="1663" w:type="dxa"/>
            <w:gridSpan w:val="2"/>
            <w:tcBorders>
              <w:top w:val="nil"/>
              <w:left w:val="nil"/>
              <w:bottom w:val="single" w:sz="8" w:space="0" w:color="auto"/>
              <w:right w:val="nil"/>
            </w:tcBorders>
            <w:shd w:val="clear" w:color="auto" w:fill="auto"/>
            <w:vAlign w:val="center"/>
            <w:hideMark/>
          </w:tcPr>
          <w:p w14:paraId="0E5D78C1"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Michailidou, et al. 2017</w:t>
            </w:r>
          </w:p>
        </w:tc>
        <w:tc>
          <w:tcPr>
            <w:tcW w:w="1646" w:type="dxa"/>
            <w:gridSpan w:val="2"/>
            <w:tcBorders>
              <w:top w:val="nil"/>
              <w:left w:val="nil"/>
              <w:bottom w:val="single" w:sz="8" w:space="0" w:color="auto"/>
              <w:right w:val="nil"/>
            </w:tcBorders>
            <w:shd w:val="clear" w:color="auto" w:fill="auto"/>
            <w:vAlign w:val="center"/>
            <w:hideMark/>
          </w:tcPr>
          <w:p w14:paraId="32EE3C29"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Milne, et al. 2017</w:t>
            </w:r>
          </w:p>
        </w:tc>
        <w:tc>
          <w:tcPr>
            <w:tcW w:w="1707" w:type="dxa"/>
            <w:gridSpan w:val="2"/>
            <w:tcBorders>
              <w:top w:val="nil"/>
              <w:left w:val="nil"/>
              <w:bottom w:val="single" w:sz="8" w:space="0" w:color="auto"/>
              <w:right w:val="nil"/>
            </w:tcBorders>
            <w:shd w:val="clear" w:color="auto" w:fill="auto"/>
            <w:vAlign w:val="center"/>
            <w:hideMark/>
          </w:tcPr>
          <w:p w14:paraId="7886C5A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Schumacher, et al. 2018</w:t>
            </w:r>
          </w:p>
        </w:tc>
        <w:tc>
          <w:tcPr>
            <w:tcW w:w="1757" w:type="dxa"/>
            <w:gridSpan w:val="2"/>
            <w:tcBorders>
              <w:top w:val="nil"/>
              <w:left w:val="nil"/>
              <w:bottom w:val="single" w:sz="8" w:space="0" w:color="auto"/>
              <w:right w:val="nil"/>
            </w:tcBorders>
            <w:shd w:val="clear" w:color="auto" w:fill="auto"/>
            <w:vAlign w:val="center"/>
            <w:hideMark/>
          </w:tcPr>
          <w:p w14:paraId="6558E8C3" w14:textId="77777777" w:rsidR="009079F4" w:rsidRPr="001F1589" w:rsidRDefault="009079F4" w:rsidP="009079F4">
            <w:pPr>
              <w:jc w:val="center"/>
              <w:rPr>
                <w:rFonts w:ascii="Calibri" w:eastAsia="Times New Roman" w:hAnsi="Calibri"/>
                <w:color w:val="000000" w:themeColor="text1"/>
                <w:sz w:val="18"/>
                <w:szCs w:val="20"/>
                <w:lang w:val="el-GR" w:eastAsia="el-GR"/>
              </w:rPr>
            </w:pPr>
            <w:r w:rsidRPr="001F1589">
              <w:rPr>
                <w:rFonts w:ascii="Calibri" w:eastAsia="Times New Roman" w:hAnsi="Calibri"/>
                <w:color w:val="000000" w:themeColor="text1"/>
                <w:sz w:val="18"/>
                <w:szCs w:val="20"/>
                <w:lang w:val="el-GR" w:eastAsia="el-GR"/>
              </w:rPr>
              <w:t>Schumacher, et al. 2018</w:t>
            </w:r>
          </w:p>
        </w:tc>
      </w:tr>
      <w:tr w:rsidR="009079F4" w:rsidRPr="001F1589" w14:paraId="314514DF" w14:textId="77777777" w:rsidTr="00C86FF5">
        <w:trPr>
          <w:trHeight w:val="20"/>
        </w:trPr>
        <w:tc>
          <w:tcPr>
            <w:tcW w:w="14374" w:type="dxa"/>
            <w:gridSpan w:val="16"/>
            <w:tcBorders>
              <w:top w:val="single" w:sz="8" w:space="0" w:color="auto"/>
              <w:left w:val="nil"/>
              <w:bottom w:val="nil"/>
              <w:right w:val="nil"/>
            </w:tcBorders>
            <w:shd w:val="clear" w:color="auto" w:fill="auto"/>
            <w:vAlign w:val="center"/>
            <w:hideMark/>
          </w:tcPr>
          <w:p w14:paraId="625F4E84" w14:textId="77777777" w:rsidR="00ED4AFE" w:rsidRPr="001F1589" w:rsidRDefault="009079F4" w:rsidP="009079F4">
            <w:pPr>
              <w:rPr>
                <w:rFonts w:ascii="Calibri" w:eastAsia="Times New Roman" w:hAnsi="Calibri"/>
                <w:color w:val="000000" w:themeColor="text1"/>
                <w:sz w:val="18"/>
                <w:lang w:val="en-GB" w:eastAsia="el-GR"/>
              </w:rPr>
            </w:pPr>
            <w:r w:rsidRPr="001F1589">
              <w:rPr>
                <w:rFonts w:ascii="Calibri" w:eastAsia="Times New Roman" w:hAnsi="Calibri"/>
                <w:color w:val="000000" w:themeColor="text1"/>
                <w:sz w:val="18"/>
                <w:lang w:val="en-GB" w:eastAsia="el-GR"/>
              </w:rPr>
              <w:t>*Novel vitamin D GWAS-identified SNPs, beta-coefficients were extracted from the pooled analysis (discovery datas</w:t>
            </w:r>
            <w:r w:rsidR="00BA6FB9" w:rsidRPr="001F1589">
              <w:rPr>
                <w:rFonts w:ascii="Calibri" w:eastAsia="Times New Roman" w:hAnsi="Calibri"/>
                <w:color w:val="000000" w:themeColor="text1"/>
                <w:sz w:val="18"/>
                <w:lang w:val="en-GB" w:eastAsia="el-GR"/>
              </w:rPr>
              <w:t>et + replication dataset). ER: e</w:t>
            </w:r>
            <w:r w:rsidRPr="001F1589">
              <w:rPr>
                <w:rFonts w:ascii="Calibri" w:eastAsia="Times New Roman" w:hAnsi="Calibri"/>
                <w:color w:val="000000" w:themeColor="text1"/>
                <w:sz w:val="18"/>
                <w:lang w:val="en-GB" w:eastAsia="el-GR"/>
              </w:rPr>
              <w:t>strogen receptor.</w:t>
            </w:r>
          </w:p>
          <w:p w14:paraId="07E6833B" w14:textId="7D53F697" w:rsidR="00ED169C" w:rsidRPr="001F1589" w:rsidRDefault="00ED4AFE" w:rsidP="009079F4">
            <w:pPr>
              <w:rPr>
                <w:rFonts w:ascii="Calibri" w:eastAsia="Times New Roman" w:hAnsi="Calibri"/>
                <w:color w:val="000000" w:themeColor="text1"/>
                <w:sz w:val="18"/>
                <w:lang w:val="en-GB" w:eastAsia="el-GR"/>
              </w:rPr>
            </w:pPr>
            <w:r w:rsidRPr="001F1589">
              <w:rPr>
                <w:rFonts w:ascii="Calibri" w:eastAsia="Times New Roman" w:hAnsi="Calibri"/>
                <w:color w:val="000000" w:themeColor="text1"/>
                <w:sz w:val="18"/>
                <w:lang w:val="en-GB" w:eastAsia="el-GR"/>
              </w:rPr>
              <w:t>The beta coefficients for the association between SNPs and circulating vitamin D are based on per effect allele per unit change in log 25(OH)D. To enable better comparison with results from observational studies, we run MR analyses after transforming these beta coefficients into the natural scale (nmol/L) using a formula suggested by Rodriguez-Barranco et al. BMC Med Res Methodol 2017 Mar 17;17(1):44.</w:t>
            </w:r>
          </w:p>
        </w:tc>
      </w:tr>
    </w:tbl>
    <w:p w14:paraId="423E8FD2" w14:textId="77777777" w:rsidR="0061635E" w:rsidRPr="001F1589" w:rsidRDefault="0061635E" w:rsidP="00F74DB3">
      <w:pPr>
        <w:spacing w:after="120"/>
        <w:jc w:val="both"/>
        <w:rPr>
          <w:color w:val="000000" w:themeColor="text1"/>
        </w:rPr>
      </w:pPr>
    </w:p>
    <w:p w14:paraId="752038D6" w14:textId="77777777" w:rsidR="00897A60" w:rsidRPr="001F1589" w:rsidRDefault="00897A60" w:rsidP="00F74DB3">
      <w:pPr>
        <w:spacing w:after="120"/>
        <w:jc w:val="both"/>
        <w:rPr>
          <w:color w:val="000000" w:themeColor="text1"/>
        </w:rPr>
      </w:pPr>
    </w:p>
    <w:p w14:paraId="703169DE" w14:textId="77777777" w:rsidR="009079F4" w:rsidRPr="001F1589" w:rsidRDefault="009079F4" w:rsidP="00F74DB3">
      <w:pPr>
        <w:spacing w:after="120"/>
        <w:jc w:val="both"/>
        <w:rPr>
          <w:color w:val="000000" w:themeColor="text1"/>
        </w:rPr>
      </w:pPr>
    </w:p>
    <w:p w14:paraId="3F25BBCF" w14:textId="77777777" w:rsidR="0019652D" w:rsidRPr="001F1589" w:rsidRDefault="0019652D" w:rsidP="00F74DB3">
      <w:pPr>
        <w:spacing w:after="120"/>
        <w:jc w:val="both"/>
        <w:rPr>
          <w:color w:val="000000" w:themeColor="text1"/>
        </w:rPr>
        <w:sectPr w:rsidR="0019652D" w:rsidRPr="001F1589" w:rsidSect="0019652D">
          <w:pgSz w:w="15840" w:h="12240" w:orient="landscape"/>
          <w:pgMar w:top="720" w:right="720" w:bottom="720" w:left="720" w:header="720" w:footer="720" w:gutter="0"/>
          <w:cols w:space="720"/>
          <w:docGrid w:linePitch="360"/>
        </w:sectPr>
      </w:pPr>
    </w:p>
    <w:p w14:paraId="22D29437" w14:textId="219ECF57" w:rsidR="00554364" w:rsidRPr="001F1589" w:rsidRDefault="00554364" w:rsidP="00DE0FDF">
      <w:pPr>
        <w:spacing w:after="120" w:line="480" w:lineRule="auto"/>
        <w:jc w:val="both"/>
        <w:rPr>
          <w:color w:val="000000" w:themeColor="text1"/>
        </w:rPr>
      </w:pPr>
    </w:p>
    <w:tbl>
      <w:tblPr>
        <w:tblW w:w="9450" w:type="dxa"/>
        <w:tblLook w:val="04A0" w:firstRow="1" w:lastRow="0" w:firstColumn="1" w:lastColumn="0" w:noHBand="0" w:noVBand="1"/>
      </w:tblPr>
      <w:tblGrid>
        <w:gridCol w:w="1369"/>
        <w:gridCol w:w="2659"/>
        <w:gridCol w:w="1012"/>
        <w:gridCol w:w="1995"/>
        <w:gridCol w:w="1065"/>
        <w:gridCol w:w="1350"/>
      </w:tblGrid>
      <w:tr w:rsidR="001F1589" w:rsidRPr="001F1589" w14:paraId="119690E4" w14:textId="77777777" w:rsidTr="00DF752E">
        <w:trPr>
          <w:trHeight w:val="20"/>
        </w:trPr>
        <w:tc>
          <w:tcPr>
            <w:tcW w:w="9450" w:type="dxa"/>
            <w:gridSpan w:val="6"/>
            <w:tcBorders>
              <w:top w:val="nil"/>
              <w:left w:val="nil"/>
              <w:bottom w:val="single" w:sz="8" w:space="0" w:color="auto"/>
              <w:right w:val="nil"/>
            </w:tcBorders>
            <w:shd w:val="clear" w:color="auto" w:fill="auto"/>
            <w:hideMark/>
          </w:tcPr>
          <w:p w14:paraId="06A8B78F" w14:textId="77777777" w:rsidR="00DF752E" w:rsidRPr="001F1589" w:rsidRDefault="00DF752E">
            <w:pPr>
              <w:rPr>
                <w:rFonts w:ascii="Calibri" w:eastAsia="Times New Roman" w:hAnsi="Calibri"/>
                <w:b/>
                <w:bCs/>
                <w:color w:val="000000" w:themeColor="text1"/>
                <w:sz w:val="22"/>
              </w:rPr>
            </w:pPr>
            <w:r w:rsidRPr="001F1589">
              <w:rPr>
                <w:rFonts w:ascii="Calibri" w:eastAsia="Times New Roman" w:hAnsi="Calibri"/>
                <w:b/>
                <w:bCs/>
                <w:color w:val="000000" w:themeColor="text1"/>
                <w:sz w:val="22"/>
              </w:rPr>
              <w:t>Table 3. Mendelian Randomization estimates between genetically predicted 25(OH)D concentrations and cancer risk using multiple 25(OH)D GWAS-identified variants.</w:t>
            </w:r>
          </w:p>
        </w:tc>
      </w:tr>
      <w:tr w:rsidR="001F1589" w:rsidRPr="001F1589" w14:paraId="49A29F30" w14:textId="77777777" w:rsidTr="00DF752E">
        <w:trPr>
          <w:trHeight w:val="20"/>
        </w:trPr>
        <w:tc>
          <w:tcPr>
            <w:tcW w:w="1369" w:type="dxa"/>
            <w:tcBorders>
              <w:top w:val="nil"/>
              <w:left w:val="nil"/>
              <w:bottom w:val="single" w:sz="8" w:space="0" w:color="auto"/>
              <w:right w:val="nil"/>
            </w:tcBorders>
            <w:shd w:val="clear" w:color="auto" w:fill="auto"/>
            <w:hideMark/>
          </w:tcPr>
          <w:p w14:paraId="5841272F" w14:textId="77777777" w:rsidR="00DF752E" w:rsidRPr="001F1589" w:rsidRDefault="00DF752E">
            <w:pPr>
              <w:jc w:val="center"/>
              <w:rPr>
                <w:rFonts w:ascii="Calibri" w:eastAsia="Times New Roman" w:hAnsi="Calibri"/>
                <w:color w:val="000000" w:themeColor="text1"/>
                <w:sz w:val="22"/>
              </w:rPr>
            </w:pPr>
            <w:r w:rsidRPr="001F1589">
              <w:rPr>
                <w:rFonts w:ascii="Calibri" w:eastAsia="Times New Roman" w:hAnsi="Calibri"/>
                <w:color w:val="000000" w:themeColor="text1"/>
                <w:sz w:val="22"/>
              </w:rPr>
              <w:t>Cancer type</w:t>
            </w:r>
          </w:p>
        </w:tc>
        <w:tc>
          <w:tcPr>
            <w:tcW w:w="2659" w:type="dxa"/>
            <w:tcBorders>
              <w:top w:val="nil"/>
              <w:left w:val="nil"/>
              <w:bottom w:val="single" w:sz="8" w:space="0" w:color="auto"/>
              <w:right w:val="nil"/>
            </w:tcBorders>
            <w:shd w:val="clear" w:color="auto" w:fill="auto"/>
            <w:hideMark/>
          </w:tcPr>
          <w:p w14:paraId="5689244B" w14:textId="77777777" w:rsidR="00DF752E" w:rsidRPr="001F1589" w:rsidRDefault="00DF752E">
            <w:pPr>
              <w:jc w:val="center"/>
              <w:rPr>
                <w:rFonts w:ascii="Calibri" w:eastAsia="Times New Roman" w:hAnsi="Calibri"/>
                <w:color w:val="000000" w:themeColor="text1"/>
                <w:sz w:val="22"/>
              </w:rPr>
            </w:pPr>
            <w:r w:rsidRPr="001F1589">
              <w:rPr>
                <w:rFonts w:ascii="Calibri" w:eastAsia="Times New Roman" w:hAnsi="Calibri"/>
                <w:color w:val="000000" w:themeColor="text1"/>
                <w:sz w:val="22"/>
              </w:rPr>
              <w:t>Method</w:t>
            </w:r>
          </w:p>
        </w:tc>
        <w:tc>
          <w:tcPr>
            <w:tcW w:w="1012" w:type="dxa"/>
            <w:tcBorders>
              <w:top w:val="nil"/>
              <w:left w:val="nil"/>
              <w:bottom w:val="single" w:sz="8" w:space="0" w:color="auto"/>
              <w:right w:val="nil"/>
            </w:tcBorders>
            <w:shd w:val="clear" w:color="auto" w:fill="auto"/>
            <w:hideMark/>
          </w:tcPr>
          <w:p w14:paraId="66423280" w14:textId="77777777" w:rsidR="00DF752E" w:rsidRPr="001F1589" w:rsidRDefault="00DF752E">
            <w:pPr>
              <w:jc w:val="center"/>
              <w:rPr>
                <w:rFonts w:ascii="Calibri" w:eastAsia="Times New Roman" w:hAnsi="Calibri"/>
                <w:color w:val="000000" w:themeColor="text1"/>
                <w:sz w:val="22"/>
              </w:rPr>
            </w:pPr>
            <w:r w:rsidRPr="001F1589">
              <w:rPr>
                <w:rFonts w:ascii="Calibri" w:eastAsia="Times New Roman" w:hAnsi="Calibri"/>
                <w:color w:val="000000" w:themeColor="text1"/>
                <w:sz w:val="22"/>
              </w:rPr>
              <w:t>OR</w:t>
            </w:r>
          </w:p>
        </w:tc>
        <w:tc>
          <w:tcPr>
            <w:tcW w:w="1995" w:type="dxa"/>
            <w:tcBorders>
              <w:top w:val="nil"/>
              <w:left w:val="nil"/>
              <w:bottom w:val="single" w:sz="8" w:space="0" w:color="auto"/>
              <w:right w:val="nil"/>
            </w:tcBorders>
            <w:shd w:val="clear" w:color="auto" w:fill="auto"/>
            <w:hideMark/>
          </w:tcPr>
          <w:p w14:paraId="14984FDD" w14:textId="77777777" w:rsidR="00DF752E" w:rsidRPr="001F1589" w:rsidRDefault="00DF752E">
            <w:pPr>
              <w:jc w:val="center"/>
              <w:rPr>
                <w:rFonts w:ascii="Calibri" w:eastAsia="Times New Roman" w:hAnsi="Calibri"/>
                <w:color w:val="000000" w:themeColor="text1"/>
                <w:sz w:val="22"/>
              </w:rPr>
            </w:pPr>
            <w:r w:rsidRPr="001F1589">
              <w:rPr>
                <w:rFonts w:ascii="Calibri" w:eastAsia="Times New Roman" w:hAnsi="Calibri"/>
                <w:color w:val="000000" w:themeColor="text1"/>
                <w:sz w:val="22"/>
              </w:rPr>
              <w:t>95%CI</w:t>
            </w:r>
          </w:p>
        </w:tc>
        <w:tc>
          <w:tcPr>
            <w:tcW w:w="1065" w:type="dxa"/>
            <w:tcBorders>
              <w:top w:val="nil"/>
              <w:left w:val="nil"/>
              <w:bottom w:val="single" w:sz="8" w:space="0" w:color="auto"/>
              <w:right w:val="nil"/>
            </w:tcBorders>
            <w:shd w:val="clear" w:color="auto" w:fill="auto"/>
            <w:hideMark/>
          </w:tcPr>
          <w:p w14:paraId="323C9253" w14:textId="77777777" w:rsidR="00DF752E" w:rsidRPr="001F1589" w:rsidRDefault="00DF752E">
            <w:pPr>
              <w:jc w:val="center"/>
              <w:rPr>
                <w:rFonts w:ascii="Calibri" w:eastAsia="Times New Roman" w:hAnsi="Calibri"/>
                <w:color w:val="000000" w:themeColor="text1"/>
                <w:sz w:val="22"/>
              </w:rPr>
            </w:pPr>
            <w:r w:rsidRPr="001F1589">
              <w:rPr>
                <w:rFonts w:ascii="Calibri" w:eastAsia="Times New Roman" w:hAnsi="Calibri"/>
                <w:color w:val="000000" w:themeColor="text1"/>
                <w:sz w:val="22"/>
              </w:rPr>
              <w:t>P-value</w:t>
            </w:r>
          </w:p>
        </w:tc>
        <w:tc>
          <w:tcPr>
            <w:tcW w:w="1350" w:type="dxa"/>
            <w:tcBorders>
              <w:top w:val="nil"/>
              <w:left w:val="nil"/>
              <w:bottom w:val="single" w:sz="8" w:space="0" w:color="auto"/>
              <w:right w:val="nil"/>
            </w:tcBorders>
            <w:shd w:val="clear" w:color="auto" w:fill="auto"/>
            <w:hideMark/>
          </w:tcPr>
          <w:p w14:paraId="58C6471A" w14:textId="77777777" w:rsidR="00DF752E" w:rsidRPr="001F1589" w:rsidRDefault="00DF752E">
            <w:pPr>
              <w:jc w:val="center"/>
              <w:rPr>
                <w:rFonts w:ascii="Calibri" w:eastAsia="Times New Roman" w:hAnsi="Calibri"/>
                <w:color w:val="000000" w:themeColor="text1"/>
                <w:sz w:val="22"/>
              </w:rPr>
            </w:pPr>
            <w:r w:rsidRPr="001F1589">
              <w:rPr>
                <w:rFonts w:ascii="Calibri" w:eastAsia="Times New Roman" w:hAnsi="Calibri"/>
                <w:color w:val="000000" w:themeColor="text1"/>
                <w:sz w:val="22"/>
              </w:rPr>
              <w:t>P</w:t>
            </w:r>
            <w:r w:rsidRPr="001F1589">
              <w:rPr>
                <w:rFonts w:ascii="Calibri (Body)" w:eastAsia="Times New Roman" w:hAnsi="Calibri (Body)"/>
                <w:color w:val="000000" w:themeColor="text1"/>
                <w:sz w:val="22"/>
                <w:vertAlign w:val="subscript"/>
              </w:rPr>
              <w:t>int</w:t>
            </w:r>
            <w:r w:rsidRPr="001F1589">
              <w:rPr>
                <w:rFonts w:ascii="Calibri" w:eastAsia="Times New Roman" w:hAnsi="Calibri"/>
                <w:color w:val="000000" w:themeColor="text1"/>
                <w:sz w:val="22"/>
              </w:rPr>
              <w:t xml:space="preserve"> or P</w:t>
            </w:r>
            <w:r w:rsidRPr="001F1589">
              <w:rPr>
                <w:rFonts w:ascii="Calibri (Body)" w:eastAsia="Times New Roman" w:hAnsi="Calibri (Body)"/>
                <w:color w:val="000000" w:themeColor="text1"/>
                <w:sz w:val="22"/>
                <w:vertAlign w:val="subscript"/>
              </w:rPr>
              <w:t xml:space="preserve">het </w:t>
            </w:r>
            <w:r w:rsidRPr="001F1589">
              <w:rPr>
                <w:rFonts w:ascii="Calibri" w:eastAsia="Times New Roman" w:hAnsi="Calibri"/>
                <w:color w:val="000000" w:themeColor="text1"/>
                <w:sz w:val="22"/>
              </w:rPr>
              <w:t>#</w:t>
            </w:r>
          </w:p>
        </w:tc>
      </w:tr>
      <w:tr w:rsidR="001F1589" w:rsidRPr="001F1589" w14:paraId="40B95F99" w14:textId="77777777" w:rsidTr="00DF752E">
        <w:trPr>
          <w:trHeight w:val="20"/>
        </w:trPr>
        <w:tc>
          <w:tcPr>
            <w:tcW w:w="8100" w:type="dxa"/>
            <w:gridSpan w:val="5"/>
            <w:tcBorders>
              <w:top w:val="single" w:sz="8" w:space="0" w:color="auto"/>
              <w:left w:val="nil"/>
              <w:bottom w:val="nil"/>
              <w:right w:val="nil"/>
            </w:tcBorders>
            <w:shd w:val="clear" w:color="auto" w:fill="auto"/>
            <w:hideMark/>
          </w:tcPr>
          <w:p w14:paraId="7EC1E01B" w14:textId="77777777" w:rsidR="00DF752E" w:rsidRPr="001F1589" w:rsidRDefault="00DF752E">
            <w:pPr>
              <w:rPr>
                <w:rFonts w:ascii="Calibri" w:eastAsia="Times New Roman" w:hAnsi="Calibri"/>
                <w:b/>
                <w:bCs/>
                <w:color w:val="000000" w:themeColor="text1"/>
                <w:sz w:val="22"/>
              </w:rPr>
            </w:pPr>
            <w:r w:rsidRPr="001F1589">
              <w:rPr>
                <w:rFonts w:ascii="Calibri" w:eastAsia="Times New Roman" w:hAnsi="Calibri"/>
                <w:b/>
                <w:bCs/>
                <w:color w:val="000000" w:themeColor="text1"/>
                <w:sz w:val="22"/>
              </w:rPr>
              <w:t>Breast</w:t>
            </w:r>
          </w:p>
        </w:tc>
        <w:tc>
          <w:tcPr>
            <w:tcW w:w="1350" w:type="dxa"/>
            <w:tcBorders>
              <w:top w:val="nil"/>
              <w:left w:val="nil"/>
              <w:bottom w:val="nil"/>
              <w:right w:val="nil"/>
            </w:tcBorders>
            <w:shd w:val="clear" w:color="auto" w:fill="auto"/>
            <w:noWrap/>
            <w:hideMark/>
          </w:tcPr>
          <w:p w14:paraId="6EBF6CAF" w14:textId="77777777" w:rsidR="00DF752E" w:rsidRPr="001F1589" w:rsidRDefault="00DF752E">
            <w:pPr>
              <w:rPr>
                <w:rFonts w:ascii="Calibri" w:eastAsia="Times New Roman" w:hAnsi="Calibri"/>
                <w:b/>
                <w:bCs/>
                <w:color w:val="000000" w:themeColor="text1"/>
                <w:sz w:val="22"/>
              </w:rPr>
            </w:pPr>
          </w:p>
        </w:tc>
      </w:tr>
      <w:tr w:rsidR="001F1589" w:rsidRPr="001F1589" w14:paraId="5B6686F1" w14:textId="77777777" w:rsidTr="00DF752E">
        <w:trPr>
          <w:trHeight w:val="20"/>
        </w:trPr>
        <w:tc>
          <w:tcPr>
            <w:tcW w:w="1369" w:type="dxa"/>
            <w:tcBorders>
              <w:top w:val="nil"/>
              <w:left w:val="nil"/>
              <w:bottom w:val="nil"/>
              <w:right w:val="nil"/>
            </w:tcBorders>
            <w:shd w:val="clear" w:color="auto" w:fill="auto"/>
            <w:hideMark/>
          </w:tcPr>
          <w:p w14:paraId="22954B53"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5477615A"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Inverse-variance weighted</w:t>
            </w:r>
          </w:p>
        </w:tc>
        <w:tc>
          <w:tcPr>
            <w:tcW w:w="1012" w:type="dxa"/>
            <w:tcBorders>
              <w:top w:val="nil"/>
              <w:left w:val="nil"/>
              <w:bottom w:val="nil"/>
              <w:right w:val="nil"/>
            </w:tcBorders>
            <w:shd w:val="clear" w:color="auto" w:fill="auto"/>
            <w:hideMark/>
          </w:tcPr>
          <w:p w14:paraId="02DEAE5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33D3D22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(0.97, 1.08)</w:t>
            </w:r>
          </w:p>
        </w:tc>
        <w:tc>
          <w:tcPr>
            <w:tcW w:w="1065" w:type="dxa"/>
            <w:tcBorders>
              <w:top w:val="nil"/>
              <w:left w:val="nil"/>
              <w:bottom w:val="nil"/>
              <w:right w:val="nil"/>
            </w:tcBorders>
            <w:shd w:val="clear" w:color="auto" w:fill="auto"/>
            <w:hideMark/>
          </w:tcPr>
          <w:p w14:paraId="60319D4C"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0.47</w:t>
            </w:r>
          </w:p>
        </w:tc>
        <w:tc>
          <w:tcPr>
            <w:tcW w:w="1350" w:type="dxa"/>
            <w:tcBorders>
              <w:top w:val="nil"/>
              <w:left w:val="nil"/>
              <w:bottom w:val="nil"/>
              <w:right w:val="nil"/>
            </w:tcBorders>
            <w:shd w:val="clear" w:color="auto" w:fill="auto"/>
            <w:noWrap/>
            <w:hideMark/>
          </w:tcPr>
          <w:p w14:paraId="6A6C64DE"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0.45</w:t>
            </w:r>
          </w:p>
        </w:tc>
      </w:tr>
      <w:tr w:rsidR="001F1589" w:rsidRPr="001F1589" w14:paraId="45E38CD1" w14:textId="77777777" w:rsidTr="00DF752E">
        <w:trPr>
          <w:trHeight w:val="20"/>
        </w:trPr>
        <w:tc>
          <w:tcPr>
            <w:tcW w:w="1369" w:type="dxa"/>
            <w:tcBorders>
              <w:top w:val="nil"/>
              <w:left w:val="nil"/>
              <w:bottom w:val="nil"/>
              <w:right w:val="nil"/>
            </w:tcBorders>
            <w:shd w:val="clear" w:color="auto" w:fill="auto"/>
            <w:hideMark/>
          </w:tcPr>
          <w:p w14:paraId="0753B3C8"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3124A62C"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Maximum likelihood</w:t>
            </w:r>
          </w:p>
        </w:tc>
        <w:tc>
          <w:tcPr>
            <w:tcW w:w="1012" w:type="dxa"/>
            <w:tcBorders>
              <w:top w:val="nil"/>
              <w:left w:val="nil"/>
              <w:bottom w:val="nil"/>
              <w:right w:val="nil"/>
            </w:tcBorders>
            <w:shd w:val="clear" w:color="auto" w:fill="auto"/>
            <w:hideMark/>
          </w:tcPr>
          <w:p w14:paraId="6607A76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4EADBD7C"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(0.97, 1.08)</w:t>
            </w:r>
          </w:p>
        </w:tc>
        <w:tc>
          <w:tcPr>
            <w:tcW w:w="1065" w:type="dxa"/>
            <w:tcBorders>
              <w:top w:val="nil"/>
              <w:left w:val="nil"/>
              <w:bottom w:val="nil"/>
              <w:right w:val="nil"/>
            </w:tcBorders>
            <w:shd w:val="clear" w:color="auto" w:fill="auto"/>
            <w:hideMark/>
          </w:tcPr>
          <w:p w14:paraId="7A4B182F"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0.47</w:t>
            </w:r>
          </w:p>
        </w:tc>
        <w:tc>
          <w:tcPr>
            <w:tcW w:w="1350" w:type="dxa"/>
            <w:tcBorders>
              <w:top w:val="nil"/>
              <w:left w:val="nil"/>
              <w:bottom w:val="nil"/>
              <w:right w:val="nil"/>
            </w:tcBorders>
            <w:shd w:val="clear" w:color="auto" w:fill="auto"/>
            <w:noWrap/>
            <w:hideMark/>
          </w:tcPr>
          <w:p w14:paraId="2DEBB09F"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1C875244" w14:textId="77777777" w:rsidTr="00DF752E">
        <w:trPr>
          <w:trHeight w:val="20"/>
        </w:trPr>
        <w:tc>
          <w:tcPr>
            <w:tcW w:w="1369" w:type="dxa"/>
            <w:tcBorders>
              <w:top w:val="nil"/>
              <w:left w:val="nil"/>
              <w:bottom w:val="nil"/>
              <w:right w:val="nil"/>
            </w:tcBorders>
            <w:shd w:val="clear" w:color="auto" w:fill="auto"/>
            <w:hideMark/>
          </w:tcPr>
          <w:p w14:paraId="459E0B96"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5B2F5547"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MR-Egger</w:t>
            </w:r>
          </w:p>
        </w:tc>
        <w:tc>
          <w:tcPr>
            <w:tcW w:w="1012" w:type="dxa"/>
            <w:tcBorders>
              <w:top w:val="nil"/>
              <w:left w:val="nil"/>
              <w:bottom w:val="nil"/>
              <w:right w:val="nil"/>
            </w:tcBorders>
            <w:shd w:val="clear" w:color="auto" w:fill="auto"/>
            <w:hideMark/>
          </w:tcPr>
          <w:p w14:paraId="41E77230"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67147CC4"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(0.91, 1.13)</w:t>
            </w:r>
          </w:p>
        </w:tc>
        <w:tc>
          <w:tcPr>
            <w:tcW w:w="1065" w:type="dxa"/>
            <w:tcBorders>
              <w:top w:val="nil"/>
              <w:left w:val="nil"/>
              <w:bottom w:val="nil"/>
              <w:right w:val="nil"/>
            </w:tcBorders>
            <w:shd w:val="clear" w:color="auto" w:fill="auto"/>
            <w:hideMark/>
          </w:tcPr>
          <w:p w14:paraId="18036989"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0.78</w:t>
            </w:r>
          </w:p>
        </w:tc>
        <w:tc>
          <w:tcPr>
            <w:tcW w:w="1350" w:type="dxa"/>
            <w:tcBorders>
              <w:top w:val="nil"/>
              <w:left w:val="nil"/>
              <w:bottom w:val="nil"/>
              <w:right w:val="nil"/>
            </w:tcBorders>
            <w:shd w:val="clear" w:color="auto" w:fill="auto"/>
            <w:noWrap/>
            <w:hideMark/>
          </w:tcPr>
          <w:p w14:paraId="55F469AF"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0.92</w:t>
            </w:r>
          </w:p>
        </w:tc>
      </w:tr>
      <w:tr w:rsidR="00F87E42" w:rsidRPr="001F1589" w14:paraId="3848F241" w14:textId="77777777" w:rsidTr="006E5AE7">
        <w:trPr>
          <w:trHeight w:val="20"/>
        </w:trPr>
        <w:tc>
          <w:tcPr>
            <w:tcW w:w="1369" w:type="dxa"/>
            <w:tcBorders>
              <w:top w:val="nil"/>
              <w:left w:val="nil"/>
              <w:bottom w:val="nil"/>
              <w:right w:val="nil"/>
            </w:tcBorders>
            <w:shd w:val="clear" w:color="auto" w:fill="auto"/>
          </w:tcPr>
          <w:p w14:paraId="4794D5FC" w14:textId="77777777" w:rsidR="00F87E42" w:rsidRPr="001F1589" w:rsidRDefault="00F87E42">
            <w:pP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tcPr>
          <w:p w14:paraId="33E1ED01" w14:textId="3D1B9DF1" w:rsidR="00F87E42" w:rsidRPr="00F87E42" w:rsidRDefault="00F87E42">
            <w:pPr>
              <w:rPr>
                <w:rFonts w:ascii="Calibri" w:eastAsia="Times New Roman" w:hAnsi="Calibri"/>
                <w:color w:val="0432FF"/>
                <w:sz w:val="22"/>
                <w:szCs w:val="22"/>
              </w:rPr>
            </w:pPr>
            <w:r w:rsidRPr="00F87E42">
              <w:rPr>
                <w:rFonts w:ascii="Calibri" w:eastAsia="Times New Roman" w:hAnsi="Calibri"/>
                <w:color w:val="0432FF"/>
                <w:sz w:val="22"/>
                <w:szCs w:val="22"/>
              </w:rPr>
              <w:t>MR-Egger intercept</w:t>
            </w:r>
          </w:p>
        </w:tc>
        <w:tc>
          <w:tcPr>
            <w:tcW w:w="1012" w:type="dxa"/>
            <w:tcBorders>
              <w:top w:val="nil"/>
              <w:left w:val="nil"/>
              <w:bottom w:val="nil"/>
              <w:right w:val="nil"/>
            </w:tcBorders>
            <w:shd w:val="clear" w:color="auto" w:fill="auto"/>
          </w:tcPr>
          <w:p w14:paraId="7D4E0BA3" w14:textId="77777777" w:rsidR="00F87E42" w:rsidRPr="00F87E42" w:rsidRDefault="00F87E42">
            <w:pPr>
              <w:jc w:val="center"/>
              <w:rPr>
                <w:rFonts w:ascii="Calibri" w:eastAsia="Times New Roman" w:hAnsi="Calibri"/>
                <w:color w:val="0432FF"/>
                <w:sz w:val="22"/>
                <w:szCs w:val="22"/>
              </w:rPr>
            </w:pPr>
          </w:p>
        </w:tc>
        <w:tc>
          <w:tcPr>
            <w:tcW w:w="1995" w:type="dxa"/>
            <w:tcBorders>
              <w:top w:val="nil"/>
              <w:left w:val="nil"/>
              <w:bottom w:val="nil"/>
              <w:right w:val="nil"/>
            </w:tcBorders>
            <w:shd w:val="clear" w:color="auto" w:fill="auto"/>
          </w:tcPr>
          <w:p w14:paraId="362168F9" w14:textId="77777777" w:rsidR="00F87E42" w:rsidRPr="00F87E42" w:rsidRDefault="00F87E42">
            <w:pPr>
              <w:jc w:val="center"/>
              <w:rPr>
                <w:rFonts w:ascii="Calibri" w:eastAsia="Times New Roman" w:hAnsi="Calibri"/>
                <w:color w:val="0432FF"/>
                <w:sz w:val="22"/>
                <w:szCs w:val="22"/>
              </w:rPr>
            </w:pPr>
          </w:p>
        </w:tc>
        <w:tc>
          <w:tcPr>
            <w:tcW w:w="2415" w:type="dxa"/>
            <w:gridSpan w:val="2"/>
            <w:tcBorders>
              <w:top w:val="nil"/>
              <w:left w:val="nil"/>
              <w:bottom w:val="nil"/>
              <w:right w:val="nil"/>
            </w:tcBorders>
            <w:shd w:val="clear" w:color="auto" w:fill="auto"/>
          </w:tcPr>
          <w:p w14:paraId="2D4E84CA" w14:textId="570145C6" w:rsidR="00F87E42" w:rsidRPr="00F87E42" w:rsidRDefault="00F87E42">
            <w:pPr>
              <w:jc w:val="center"/>
              <w:rPr>
                <w:rFonts w:ascii="Calibri" w:eastAsia="Times New Roman" w:hAnsi="Calibri"/>
                <w:color w:val="0432FF"/>
                <w:sz w:val="22"/>
                <w:szCs w:val="22"/>
              </w:rPr>
            </w:pPr>
            <w:r>
              <w:rPr>
                <w:rFonts w:ascii="Calibri" w:eastAsia="Times New Roman" w:hAnsi="Calibri"/>
                <w:color w:val="0432FF"/>
                <w:sz w:val="22"/>
                <w:szCs w:val="22"/>
              </w:rPr>
              <w:t>0.001(</w:t>
            </w:r>
            <w:r w:rsidR="00970823">
              <w:rPr>
                <w:rFonts w:ascii="Calibri" w:eastAsia="Times New Roman" w:hAnsi="Calibri"/>
                <w:color w:val="0432FF"/>
                <w:sz w:val="22"/>
                <w:szCs w:val="22"/>
              </w:rPr>
              <w:sym w:font="Symbol" w:char="F02D"/>
            </w:r>
            <w:r w:rsidR="00BC64C8">
              <w:rPr>
                <w:rFonts w:ascii="Calibri" w:eastAsia="Times New Roman" w:hAnsi="Calibri"/>
                <w:color w:val="0432FF"/>
                <w:sz w:val="22"/>
                <w:szCs w:val="22"/>
              </w:rPr>
              <w:t>0.0</w:t>
            </w:r>
            <w:r>
              <w:rPr>
                <w:rFonts w:ascii="Calibri" w:eastAsia="Times New Roman" w:hAnsi="Calibri"/>
                <w:color w:val="0432FF"/>
                <w:sz w:val="22"/>
                <w:szCs w:val="22"/>
              </w:rPr>
              <w:t>1</w:t>
            </w:r>
            <w:r w:rsidR="00BC64C8">
              <w:rPr>
                <w:rFonts w:ascii="Calibri" w:eastAsia="Times New Roman" w:hAnsi="Calibri"/>
                <w:color w:val="0432FF"/>
                <w:sz w:val="22"/>
                <w:szCs w:val="22"/>
              </w:rPr>
              <w:t>0</w:t>
            </w:r>
            <w:r>
              <w:rPr>
                <w:rFonts w:ascii="Calibri" w:eastAsia="Times New Roman" w:hAnsi="Calibri"/>
                <w:color w:val="0432FF"/>
                <w:sz w:val="22"/>
                <w:szCs w:val="22"/>
              </w:rPr>
              <w:t>-0.012)</w:t>
            </w:r>
          </w:p>
        </w:tc>
      </w:tr>
      <w:tr w:rsidR="001F1589" w:rsidRPr="001F1589" w14:paraId="42936E71" w14:textId="77777777" w:rsidTr="00DF752E">
        <w:trPr>
          <w:trHeight w:val="20"/>
        </w:trPr>
        <w:tc>
          <w:tcPr>
            <w:tcW w:w="1369" w:type="dxa"/>
            <w:tcBorders>
              <w:top w:val="nil"/>
              <w:left w:val="nil"/>
              <w:bottom w:val="nil"/>
              <w:right w:val="nil"/>
            </w:tcBorders>
            <w:shd w:val="clear" w:color="auto" w:fill="auto"/>
            <w:hideMark/>
          </w:tcPr>
          <w:p w14:paraId="0E6BBF91"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56A0CE61"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Weighted Median</w:t>
            </w:r>
          </w:p>
        </w:tc>
        <w:tc>
          <w:tcPr>
            <w:tcW w:w="1012" w:type="dxa"/>
            <w:tcBorders>
              <w:top w:val="nil"/>
              <w:left w:val="nil"/>
              <w:bottom w:val="nil"/>
              <w:right w:val="nil"/>
            </w:tcBorders>
            <w:shd w:val="clear" w:color="auto" w:fill="auto"/>
            <w:hideMark/>
          </w:tcPr>
          <w:p w14:paraId="721A3B9F"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736E418A"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(0.96, 1.08)</w:t>
            </w:r>
          </w:p>
        </w:tc>
        <w:tc>
          <w:tcPr>
            <w:tcW w:w="1065" w:type="dxa"/>
            <w:tcBorders>
              <w:top w:val="nil"/>
              <w:left w:val="nil"/>
              <w:bottom w:val="nil"/>
              <w:right w:val="nil"/>
            </w:tcBorders>
            <w:shd w:val="clear" w:color="auto" w:fill="auto"/>
            <w:hideMark/>
          </w:tcPr>
          <w:p w14:paraId="67D531DB"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0.51</w:t>
            </w:r>
          </w:p>
        </w:tc>
        <w:tc>
          <w:tcPr>
            <w:tcW w:w="1350" w:type="dxa"/>
            <w:tcBorders>
              <w:top w:val="nil"/>
              <w:left w:val="nil"/>
              <w:bottom w:val="nil"/>
              <w:right w:val="nil"/>
            </w:tcBorders>
            <w:shd w:val="clear" w:color="auto" w:fill="auto"/>
            <w:noWrap/>
            <w:hideMark/>
          </w:tcPr>
          <w:p w14:paraId="78E69FF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57CC0249" w14:textId="77777777" w:rsidTr="00DF752E">
        <w:trPr>
          <w:trHeight w:val="20"/>
        </w:trPr>
        <w:tc>
          <w:tcPr>
            <w:tcW w:w="1369" w:type="dxa"/>
            <w:tcBorders>
              <w:top w:val="nil"/>
              <w:left w:val="nil"/>
              <w:bottom w:val="nil"/>
              <w:right w:val="nil"/>
            </w:tcBorders>
            <w:shd w:val="clear" w:color="auto" w:fill="auto"/>
            <w:hideMark/>
          </w:tcPr>
          <w:p w14:paraId="2D00C962" w14:textId="77777777" w:rsidR="00DF752E" w:rsidRPr="001F1589" w:rsidRDefault="00DF752E">
            <w:pPr>
              <w:jc w:val="cente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hideMark/>
          </w:tcPr>
          <w:p w14:paraId="123A7066" w14:textId="77777777" w:rsidR="00DF752E" w:rsidRPr="001F1589" w:rsidRDefault="00DF752E">
            <w:pPr>
              <w:rPr>
                <w:rFonts w:eastAsia="Times New Roman"/>
                <w:color w:val="000000" w:themeColor="text1"/>
                <w:sz w:val="22"/>
                <w:szCs w:val="20"/>
              </w:rPr>
            </w:pPr>
          </w:p>
        </w:tc>
        <w:tc>
          <w:tcPr>
            <w:tcW w:w="1012" w:type="dxa"/>
            <w:tcBorders>
              <w:top w:val="nil"/>
              <w:left w:val="nil"/>
              <w:bottom w:val="nil"/>
              <w:right w:val="nil"/>
            </w:tcBorders>
            <w:shd w:val="clear" w:color="auto" w:fill="auto"/>
            <w:hideMark/>
          </w:tcPr>
          <w:p w14:paraId="66F6AA95" w14:textId="77777777" w:rsidR="00DF752E" w:rsidRPr="001F1589" w:rsidRDefault="00DF752E">
            <w:pPr>
              <w:rPr>
                <w:rFonts w:eastAsia="Times New Roman"/>
                <w:color w:val="000000" w:themeColor="text1"/>
                <w:sz w:val="22"/>
                <w:szCs w:val="20"/>
              </w:rPr>
            </w:pPr>
          </w:p>
        </w:tc>
        <w:tc>
          <w:tcPr>
            <w:tcW w:w="1995" w:type="dxa"/>
            <w:tcBorders>
              <w:top w:val="nil"/>
              <w:left w:val="nil"/>
              <w:bottom w:val="nil"/>
              <w:right w:val="nil"/>
            </w:tcBorders>
            <w:shd w:val="clear" w:color="auto" w:fill="auto"/>
            <w:hideMark/>
          </w:tcPr>
          <w:p w14:paraId="1FFAF271" w14:textId="77777777" w:rsidR="00DF752E" w:rsidRPr="001F1589" w:rsidRDefault="00DF752E">
            <w:pPr>
              <w:jc w:val="center"/>
              <w:rPr>
                <w:rFonts w:eastAsia="Times New Roman"/>
                <w:color w:val="000000" w:themeColor="text1"/>
                <w:sz w:val="22"/>
                <w:szCs w:val="20"/>
              </w:rPr>
            </w:pPr>
          </w:p>
        </w:tc>
        <w:tc>
          <w:tcPr>
            <w:tcW w:w="1065" w:type="dxa"/>
            <w:tcBorders>
              <w:top w:val="nil"/>
              <w:left w:val="nil"/>
              <w:bottom w:val="nil"/>
              <w:right w:val="nil"/>
            </w:tcBorders>
            <w:shd w:val="clear" w:color="auto" w:fill="auto"/>
            <w:hideMark/>
          </w:tcPr>
          <w:p w14:paraId="7933AA7F" w14:textId="77777777" w:rsidR="00DF752E" w:rsidRPr="001F1589" w:rsidRDefault="00DF752E">
            <w:pPr>
              <w:jc w:val="center"/>
              <w:rPr>
                <w:rFonts w:eastAsia="Times New Roman"/>
                <w:color w:val="000000" w:themeColor="text1"/>
                <w:sz w:val="22"/>
                <w:szCs w:val="20"/>
              </w:rPr>
            </w:pPr>
          </w:p>
        </w:tc>
        <w:tc>
          <w:tcPr>
            <w:tcW w:w="1350" w:type="dxa"/>
            <w:tcBorders>
              <w:top w:val="nil"/>
              <w:left w:val="nil"/>
              <w:bottom w:val="nil"/>
              <w:right w:val="nil"/>
            </w:tcBorders>
            <w:shd w:val="clear" w:color="auto" w:fill="auto"/>
            <w:noWrap/>
            <w:hideMark/>
          </w:tcPr>
          <w:p w14:paraId="4E20B4FC" w14:textId="77777777" w:rsidR="00DF752E" w:rsidRPr="001F1589" w:rsidRDefault="00DF752E">
            <w:pPr>
              <w:jc w:val="center"/>
              <w:rPr>
                <w:rFonts w:eastAsia="Times New Roman"/>
                <w:color w:val="000000" w:themeColor="text1"/>
                <w:sz w:val="22"/>
                <w:szCs w:val="20"/>
              </w:rPr>
            </w:pPr>
          </w:p>
        </w:tc>
      </w:tr>
      <w:tr w:rsidR="001F1589" w:rsidRPr="001F1589" w14:paraId="1355F2AF" w14:textId="77777777" w:rsidTr="00DF752E">
        <w:trPr>
          <w:trHeight w:val="20"/>
        </w:trPr>
        <w:tc>
          <w:tcPr>
            <w:tcW w:w="1369" w:type="dxa"/>
            <w:tcBorders>
              <w:top w:val="nil"/>
              <w:left w:val="nil"/>
              <w:bottom w:val="nil"/>
              <w:right w:val="nil"/>
            </w:tcBorders>
            <w:shd w:val="clear" w:color="auto" w:fill="auto"/>
            <w:hideMark/>
          </w:tcPr>
          <w:p w14:paraId="48808316"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ER-positive</w:t>
            </w:r>
          </w:p>
        </w:tc>
        <w:tc>
          <w:tcPr>
            <w:tcW w:w="2659" w:type="dxa"/>
            <w:tcBorders>
              <w:top w:val="nil"/>
              <w:left w:val="nil"/>
              <w:bottom w:val="nil"/>
              <w:right w:val="nil"/>
            </w:tcBorders>
            <w:shd w:val="clear" w:color="auto" w:fill="auto"/>
            <w:hideMark/>
          </w:tcPr>
          <w:p w14:paraId="0531B14C"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Inverse-variance weighted</w:t>
            </w:r>
          </w:p>
        </w:tc>
        <w:tc>
          <w:tcPr>
            <w:tcW w:w="1012" w:type="dxa"/>
            <w:tcBorders>
              <w:top w:val="nil"/>
              <w:left w:val="nil"/>
              <w:bottom w:val="nil"/>
              <w:right w:val="nil"/>
            </w:tcBorders>
            <w:shd w:val="clear" w:color="auto" w:fill="auto"/>
            <w:hideMark/>
          </w:tcPr>
          <w:p w14:paraId="5E6B5CF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1.00</w:t>
            </w:r>
          </w:p>
        </w:tc>
        <w:tc>
          <w:tcPr>
            <w:tcW w:w="1995" w:type="dxa"/>
            <w:tcBorders>
              <w:top w:val="nil"/>
              <w:left w:val="nil"/>
              <w:bottom w:val="nil"/>
              <w:right w:val="nil"/>
            </w:tcBorders>
            <w:shd w:val="clear" w:color="auto" w:fill="auto"/>
            <w:hideMark/>
          </w:tcPr>
          <w:p w14:paraId="57DA5DF3"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(0.94, 1.07)</w:t>
            </w:r>
          </w:p>
        </w:tc>
        <w:tc>
          <w:tcPr>
            <w:tcW w:w="1065" w:type="dxa"/>
            <w:tcBorders>
              <w:top w:val="nil"/>
              <w:left w:val="nil"/>
              <w:bottom w:val="nil"/>
              <w:right w:val="nil"/>
            </w:tcBorders>
            <w:shd w:val="clear" w:color="auto" w:fill="auto"/>
            <w:hideMark/>
          </w:tcPr>
          <w:p w14:paraId="6F531488"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0.99</w:t>
            </w:r>
          </w:p>
        </w:tc>
        <w:tc>
          <w:tcPr>
            <w:tcW w:w="1350" w:type="dxa"/>
            <w:tcBorders>
              <w:top w:val="nil"/>
              <w:left w:val="nil"/>
              <w:bottom w:val="nil"/>
              <w:right w:val="nil"/>
            </w:tcBorders>
            <w:shd w:val="clear" w:color="auto" w:fill="auto"/>
            <w:noWrap/>
            <w:hideMark/>
          </w:tcPr>
          <w:p w14:paraId="61479CC4"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0.61</w:t>
            </w:r>
          </w:p>
        </w:tc>
      </w:tr>
      <w:tr w:rsidR="001F1589" w:rsidRPr="001F1589" w14:paraId="0C2E569D" w14:textId="77777777" w:rsidTr="00DF752E">
        <w:trPr>
          <w:trHeight w:val="20"/>
        </w:trPr>
        <w:tc>
          <w:tcPr>
            <w:tcW w:w="1369" w:type="dxa"/>
            <w:tcBorders>
              <w:top w:val="nil"/>
              <w:left w:val="nil"/>
              <w:bottom w:val="nil"/>
              <w:right w:val="nil"/>
            </w:tcBorders>
            <w:shd w:val="clear" w:color="auto" w:fill="auto"/>
            <w:hideMark/>
          </w:tcPr>
          <w:p w14:paraId="634BD121"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ER-positive</w:t>
            </w:r>
          </w:p>
        </w:tc>
        <w:tc>
          <w:tcPr>
            <w:tcW w:w="2659" w:type="dxa"/>
            <w:tcBorders>
              <w:top w:val="nil"/>
              <w:left w:val="nil"/>
              <w:bottom w:val="nil"/>
              <w:right w:val="nil"/>
            </w:tcBorders>
            <w:shd w:val="clear" w:color="auto" w:fill="auto"/>
            <w:hideMark/>
          </w:tcPr>
          <w:p w14:paraId="6EA2C99C"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Maximum likelihood</w:t>
            </w:r>
          </w:p>
        </w:tc>
        <w:tc>
          <w:tcPr>
            <w:tcW w:w="1012" w:type="dxa"/>
            <w:tcBorders>
              <w:top w:val="nil"/>
              <w:left w:val="nil"/>
              <w:bottom w:val="nil"/>
              <w:right w:val="nil"/>
            </w:tcBorders>
            <w:shd w:val="clear" w:color="auto" w:fill="auto"/>
            <w:hideMark/>
          </w:tcPr>
          <w:p w14:paraId="761D51B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1.00</w:t>
            </w:r>
          </w:p>
        </w:tc>
        <w:tc>
          <w:tcPr>
            <w:tcW w:w="1995" w:type="dxa"/>
            <w:tcBorders>
              <w:top w:val="nil"/>
              <w:left w:val="nil"/>
              <w:bottom w:val="nil"/>
              <w:right w:val="nil"/>
            </w:tcBorders>
            <w:shd w:val="clear" w:color="auto" w:fill="auto"/>
            <w:hideMark/>
          </w:tcPr>
          <w:p w14:paraId="5DD4D6FC"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(0.94, 1.07)</w:t>
            </w:r>
          </w:p>
        </w:tc>
        <w:tc>
          <w:tcPr>
            <w:tcW w:w="1065" w:type="dxa"/>
            <w:tcBorders>
              <w:top w:val="nil"/>
              <w:left w:val="nil"/>
              <w:bottom w:val="nil"/>
              <w:right w:val="nil"/>
            </w:tcBorders>
            <w:shd w:val="clear" w:color="auto" w:fill="auto"/>
            <w:hideMark/>
          </w:tcPr>
          <w:p w14:paraId="494864FA"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0.99</w:t>
            </w:r>
          </w:p>
        </w:tc>
        <w:tc>
          <w:tcPr>
            <w:tcW w:w="1350" w:type="dxa"/>
            <w:tcBorders>
              <w:top w:val="nil"/>
              <w:left w:val="nil"/>
              <w:bottom w:val="nil"/>
              <w:right w:val="nil"/>
            </w:tcBorders>
            <w:shd w:val="clear" w:color="auto" w:fill="auto"/>
            <w:noWrap/>
            <w:hideMark/>
          </w:tcPr>
          <w:p w14:paraId="7956A614"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5831B906" w14:textId="77777777" w:rsidTr="00DF752E">
        <w:trPr>
          <w:trHeight w:val="20"/>
        </w:trPr>
        <w:tc>
          <w:tcPr>
            <w:tcW w:w="1369" w:type="dxa"/>
            <w:tcBorders>
              <w:top w:val="nil"/>
              <w:left w:val="nil"/>
              <w:bottom w:val="nil"/>
              <w:right w:val="nil"/>
            </w:tcBorders>
            <w:shd w:val="clear" w:color="auto" w:fill="auto"/>
            <w:hideMark/>
          </w:tcPr>
          <w:p w14:paraId="68BD7690"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ER-positive</w:t>
            </w:r>
          </w:p>
        </w:tc>
        <w:tc>
          <w:tcPr>
            <w:tcW w:w="2659" w:type="dxa"/>
            <w:tcBorders>
              <w:top w:val="nil"/>
              <w:left w:val="nil"/>
              <w:bottom w:val="nil"/>
              <w:right w:val="nil"/>
            </w:tcBorders>
            <w:shd w:val="clear" w:color="auto" w:fill="auto"/>
            <w:hideMark/>
          </w:tcPr>
          <w:p w14:paraId="477A4EA0"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MR-Egger</w:t>
            </w:r>
          </w:p>
        </w:tc>
        <w:tc>
          <w:tcPr>
            <w:tcW w:w="1012" w:type="dxa"/>
            <w:tcBorders>
              <w:top w:val="nil"/>
              <w:left w:val="nil"/>
              <w:bottom w:val="nil"/>
              <w:right w:val="nil"/>
            </w:tcBorders>
            <w:shd w:val="clear" w:color="auto" w:fill="auto"/>
            <w:hideMark/>
          </w:tcPr>
          <w:p w14:paraId="3A272193"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1.01</w:t>
            </w:r>
          </w:p>
        </w:tc>
        <w:tc>
          <w:tcPr>
            <w:tcW w:w="1995" w:type="dxa"/>
            <w:tcBorders>
              <w:top w:val="nil"/>
              <w:left w:val="nil"/>
              <w:bottom w:val="nil"/>
              <w:right w:val="nil"/>
            </w:tcBorders>
            <w:shd w:val="clear" w:color="auto" w:fill="auto"/>
            <w:hideMark/>
          </w:tcPr>
          <w:p w14:paraId="0A3FC8E4"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(0.90, 1.14)</w:t>
            </w:r>
          </w:p>
        </w:tc>
        <w:tc>
          <w:tcPr>
            <w:tcW w:w="1065" w:type="dxa"/>
            <w:tcBorders>
              <w:top w:val="nil"/>
              <w:left w:val="nil"/>
              <w:bottom w:val="nil"/>
              <w:right w:val="nil"/>
            </w:tcBorders>
            <w:shd w:val="clear" w:color="auto" w:fill="auto"/>
            <w:hideMark/>
          </w:tcPr>
          <w:p w14:paraId="4C0A870E"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0.85</w:t>
            </w:r>
          </w:p>
        </w:tc>
        <w:tc>
          <w:tcPr>
            <w:tcW w:w="1350" w:type="dxa"/>
            <w:tcBorders>
              <w:top w:val="nil"/>
              <w:left w:val="nil"/>
              <w:bottom w:val="nil"/>
              <w:right w:val="nil"/>
            </w:tcBorders>
            <w:shd w:val="clear" w:color="auto" w:fill="auto"/>
            <w:noWrap/>
            <w:hideMark/>
          </w:tcPr>
          <w:p w14:paraId="4AEBEEB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0.82</w:t>
            </w:r>
          </w:p>
        </w:tc>
      </w:tr>
      <w:tr w:rsidR="00F628DE" w:rsidRPr="001F1589" w14:paraId="051C9575" w14:textId="77777777" w:rsidTr="00641A76">
        <w:trPr>
          <w:trHeight w:val="20"/>
        </w:trPr>
        <w:tc>
          <w:tcPr>
            <w:tcW w:w="1369" w:type="dxa"/>
            <w:tcBorders>
              <w:top w:val="nil"/>
              <w:left w:val="nil"/>
              <w:bottom w:val="nil"/>
              <w:right w:val="nil"/>
            </w:tcBorders>
            <w:shd w:val="clear" w:color="auto" w:fill="auto"/>
          </w:tcPr>
          <w:p w14:paraId="0D032806" w14:textId="77777777" w:rsidR="00F628DE" w:rsidRPr="001F1589" w:rsidRDefault="00F628DE" w:rsidP="00641A76">
            <w:pP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tcPr>
          <w:p w14:paraId="4D231D4F" w14:textId="77777777" w:rsidR="00F628DE" w:rsidRPr="00F87E42" w:rsidRDefault="00F628DE" w:rsidP="00641A76">
            <w:pPr>
              <w:rPr>
                <w:rFonts w:ascii="Calibri" w:eastAsia="Times New Roman" w:hAnsi="Calibri"/>
                <w:color w:val="0432FF"/>
                <w:sz w:val="22"/>
                <w:szCs w:val="22"/>
              </w:rPr>
            </w:pPr>
            <w:r w:rsidRPr="00F87E42">
              <w:rPr>
                <w:rFonts w:ascii="Calibri" w:eastAsia="Times New Roman" w:hAnsi="Calibri"/>
                <w:color w:val="0432FF"/>
                <w:sz w:val="22"/>
                <w:szCs w:val="22"/>
              </w:rPr>
              <w:t>MR-Egger intercept</w:t>
            </w:r>
          </w:p>
        </w:tc>
        <w:tc>
          <w:tcPr>
            <w:tcW w:w="1012" w:type="dxa"/>
            <w:tcBorders>
              <w:top w:val="nil"/>
              <w:left w:val="nil"/>
              <w:bottom w:val="nil"/>
              <w:right w:val="nil"/>
            </w:tcBorders>
            <w:shd w:val="clear" w:color="auto" w:fill="auto"/>
          </w:tcPr>
          <w:p w14:paraId="57284334" w14:textId="77777777" w:rsidR="00F628DE" w:rsidRPr="00F87E42" w:rsidRDefault="00F628DE" w:rsidP="00641A76">
            <w:pPr>
              <w:jc w:val="center"/>
              <w:rPr>
                <w:rFonts w:ascii="Calibri" w:eastAsia="Times New Roman" w:hAnsi="Calibri"/>
                <w:color w:val="0432FF"/>
                <w:sz w:val="22"/>
                <w:szCs w:val="22"/>
              </w:rPr>
            </w:pPr>
          </w:p>
        </w:tc>
        <w:tc>
          <w:tcPr>
            <w:tcW w:w="1995" w:type="dxa"/>
            <w:tcBorders>
              <w:top w:val="nil"/>
              <w:left w:val="nil"/>
              <w:bottom w:val="nil"/>
              <w:right w:val="nil"/>
            </w:tcBorders>
            <w:shd w:val="clear" w:color="auto" w:fill="auto"/>
          </w:tcPr>
          <w:p w14:paraId="3EA7041F" w14:textId="77777777" w:rsidR="00F628DE" w:rsidRPr="00F87E42" w:rsidRDefault="00F628DE" w:rsidP="00641A76">
            <w:pPr>
              <w:jc w:val="center"/>
              <w:rPr>
                <w:rFonts w:ascii="Calibri" w:eastAsia="Times New Roman" w:hAnsi="Calibri"/>
                <w:color w:val="0432FF"/>
                <w:sz w:val="22"/>
                <w:szCs w:val="22"/>
              </w:rPr>
            </w:pPr>
          </w:p>
        </w:tc>
        <w:tc>
          <w:tcPr>
            <w:tcW w:w="2415" w:type="dxa"/>
            <w:gridSpan w:val="2"/>
            <w:tcBorders>
              <w:top w:val="nil"/>
              <w:left w:val="nil"/>
              <w:bottom w:val="nil"/>
              <w:right w:val="nil"/>
            </w:tcBorders>
            <w:shd w:val="clear" w:color="auto" w:fill="auto"/>
          </w:tcPr>
          <w:p w14:paraId="2855F81F" w14:textId="04C90421" w:rsidR="00F628DE" w:rsidRPr="00F87E42" w:rsidRDefault="002B5BD7" w:rsidP="00641A76">
            <w:pPr>
              <w:jc w:val="center"/>
              <w:rPr>
                <w:rFonts w:ascii="Calibri" w:eastAsia="Times New Roman" w:hAnsi="Calibri"/>
                <w:color w:val="0432FF"/>
                <w:sz w:val="22"/>
                <w:szCs w:val="22"/>
              </w:rPr>
            </w:pPr>
            <w:r>
              <w:rPr>
                <w:rFonts w:ascii="Calibri" w:eastAsia="Times New Roman" w:hAnsi="Calibri"/>
                <w:color w:val="0432FF"/>
                <w:sz w:val="22"/>
                <w:szCs w:val="22"/>
              </w:rPr>
              <w:sym w:font="Symbol" w:char="F02D"/>
            </w:r>
            <w:r w:rsidR="00F628DE">
              <w:rPr>
                <w:rFonts w:ascii="Calibri" w:eastAsia="Times New Roman" w:hAnsi="Calibri"/>
                <w:color w:val="0432FF"/>
                <w:sz w:val="22"/>
                <w:szCs w:val="22"/>
              </w:rPr>
              <w:t>0.001(</w:t>
            </w:r>
            <w:r>
              <w:rPr>
                <w:rFonts w:ascii="Calibri" w:eastAsia="Times New Roman" w:hAnsi="Calibri"/>
                <w:color w:val="0432FF"/>
                <w:sz w:val="22"/>
                <w:szCs w:val="22"/>
              </w:rPr>
              <w:sym w:font="Symbol" w:char="F02D"/>
            </w:r>
            <w:r>
              <w:rPr>
                <w:rFonts w:ascii="Calibri" w:eastAsia="Times New Roman" w:hAnsi="Calibri"/>
                <w:color w:val="0432FF"/>
                <w:sz w:val="22"/>
                <w:szCs w:val="22"/>
              </w:rPr>
              <w:t>0.013-0.011</w:t>
            </w:r>
            <w:r w:rsidR="00F628DE">
              <w:rPr>
                <w:rFonts w:ascii="Calibri" w:eastAsia="Times New Roman" w:hAnsi="Calibri"/>
                <w:color w:val="0432FF"/>
                <w:sz w:val="22"/>
                <w:szCs w:val="22"/>
              </w:rPr>
              <w:t>)</w:t>
            </w:r>
          </w:p>
        </w:tc>
      </w:tr>
      <w:tr w:rsidR="001F1589" w:rsidRPr="001F1589" w14:paraId="53703584" w14:textId="77777777" w:rsidTr="00DF752E">
        <w:trPr>
          <w:trHeight w:val="20"/>
        </w:trPr>
        <w:tc>
          <w:tcPr>
            <w:tcW w:w="1369" w:type="dxa"/>
            <w:tcBorders>
              <w:top w:val="nil"/>
              <w:left w:val="nil"/>
              <w:bottom w:val="nil"/>
              <w:right w:val="nil"/>
            </w:tcBorders>
            <w:shd w:val="clear" w:color="auto" w:fill="auto"/>
            <w:hideMark/>
          </w:tcPr>
          <w:p w14:paraId="0693ED28"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ER-positive</w:t>
            </w:r>
          </w:p>
        </w:tc>
        <w:tc>
          <w:tcPr>
            <w:tcW w:w="2659" w:type="dxa"/>
            <w:tcBorders>
              <w:top w:val="nil"/>
              <w:left w:val="nil"/>
              <w:bottom w:val="nil"/>
              <w:right w:val="nil"/>
            </w:tcBorders>
            <w:shd w:val="clear" w:color="auto" w:fill="auto"/>
            <w:hideMark/>
          </w:tcPr>
          <w:p w14:paraId="73FDC011"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Weighted Median</w:t>
            </w:r>
          </w:p>
        </w:tc>
        <w:tc>
          <w:tcPr>
            <w:tcW w:w="1012" w:type="dxa"/>
            <w:tcBorders>
              <w:top w:val="nil"/>
              <w:left w:val="nil"/>
              <w:bottom w:val="nil"/>
              <w:right w:val="nil"/>
            </w:tcBorders>
            <w:shd w:val="clear" w:color="auto" w:fill="auto"/>
            <w:hideMark/>
          </w:tcPr>
          <w:p w14:paraId="68BE304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1.00</w:t>
            </w:r>
          </w:p>
        </w:tc>
        <w:tc>
          <w:tcPr>
            <w:tcW w:w="1995" w:type="dxa"/>
            <w:tcBorders>
              <w:top w:val="nil"/>
              <w:left w:val="nil"/>
              <w:bottom w:val="nil"/>
              <w:right w:val="nil"/>
            </w:tcBorders>
            <w:shd w:val="clear" w:color="auto" w:fill="auto"/>
            <w:hideMark/>
          </w:tcPr>
          <w:p w14:paraId="634F0768"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(0.93, 1.07)</w:t>
            </w:r>
          </w:p>
        </w:tc>
        <w:tc>
          <w:tcPr>
            <w:tcW w:w="1065" w:type="dxa"/>
            <w:tcBorders>
              <w:top w:val="nil"/>
              <w:left w:val="nil"/>
              <w:bottom w:val="nil"/>
              <w:right w:val="nil"/>
            </w:tcBorders>
            <w:shd w:val="clear" w:color="auto" w:fill="auto"/>
            <w:hideMark/>
          </w:tcPr>
          <w:p w14:paraId="69DC0508"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0.99</w:t>
            </w:r>
          </w:p>
        </w:tc>
        <w:tc>
          <w:tcPr>
            <w:tcW w:w="1350" w:type="dxa"/>
            <w:tcBorders>
              <w:top w:val="nil"/>
              <w:left w:val="nil"/>
              <w:bottom w:val="nil"/>
              <w:right w:val="nil"/>
            </w:tcBorders>
            <w:shd w:val="clear" w:color="auto" w:fill="auto"/>
            <w:noWrap/>
            <w:hideMark/>
          </w:tcPr>
          <w:p w14:paraId="38BA057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16C60258" w14:textId="77777777" w:rsidTr="00DF752E">
        <w:trPr>
          <w:trHeight w:val="20"/>
        </w:trPr>
        <w:tc>
          <w:tcPr>
            <w:tcW w:w="1369" w:type="dxa"/>
            <w:tcBorders>
              <w:top w:val="nil"/>
              <w:left w:val="nil"/>
              <w:bottom w:val="nil"/>
              <w:right w:val="nil"/>
            </w:tcBorders>
            <w:shd w:val="clear" w:color="auto" w:fill="auto"/>
            <w:hideMark/>
          </w:tcPr>
          <w:p w14:paraId="12C1E4E5" w14:textId="77777777" w:rsidR="00DF752E" w:rsidRPr="001F1589" w:rsidRDefault="00DF752E">
            <w:pPr>
              <w:jc w:val="cente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hideMark/>
          </w:tcPr>
          <w:p w14:paraId="3376D3CC" w14:textId="77777777" w:rsidR="00DF752E" w:rsidRPr="001F1589" w:rsidRDefault="00DF752E">
            <w:pPr>
              <w:rPr>
                <w:rFonts w:eastAsia="Times New Roman"/>
                <w:color w:val="000000" w:themeColor="text1"/>
                <w:sz w:val="22"/>
                <w:szCs w:val="20"/>
              </w:rPr>
            </w:pPr>
          </w:p>
        </w:tc>
        <w:tc>
          <w:tcPr>
            <w:tcW w:w="1012" w:type="dxa"/>
            <w:tcBorders>
              <w:top w:val="nil"/>
              <w:left w:val="nil"/>
              <w:bottom w:val="nil"/>
              <w:right w:val="nil"/>
            </w:tcBorders>
            <w:shd w:val="clear" w:color="auto" w:fill="auto"/>
            <w:hideMark/>
          </w:tcPr>
          <w:p w14:paraId="70A81232" w14:textId="77777777" w:rsidR="00DF752E" w:rsidRPr="001F1589" w:rsidRDefault="00DF752E">
            <w:pPr>
              <w:rPr>
                <w:rFonts w:eastAsia="Times New Roman"/>
                <w:color w:val="000000" w:themeColor="text1"/>
                <w:sz w:val="22"/>
                <w:szCs w:val="20"/>
              </w:rPr>
            </w:pPr>
          </w:p>
        </w:tc>
        <w:tc>
          <w:tcPr>
            <w:tcW w:w="1995" w:type="dxa"/>
            <w:tcBorders>
              <w:top w:val="nil"/>
              <w:left w:val="nil"/>
              <w:bottom w:val="nil"/>
              <w:right w:val="nil"/>
            </w:tcBorders>
            <w:shd w:val="clear" w:color="auto" w:fill="auto"/>
            <w:hideMark/>
          </w:tcPr>
          <w:p w14:paraId="7ACF073D" w14:textId="77777777" w:rsidR="00DF752E" w:rsidRPr="001F1589" w:rsidRDefault="00DF752E">
            <w:pPr>
              <w:jc w:val="center"/>
              <w:rPr>
                <w:rFonts w:eastAsia="Times New Roman"/>
                <w:color w:val="000000" w:themeColor="text1"/>
                <w:sz w:val="22"/>
                <w:szCs w:val="20"/>
              </w:rPr>
            </w:pPr>
          </w:p>
        </w:tc>
        <w:tc>
          <w:tcPr>
            <w:tcW w:w="1065" w:type="dxa"/>
            <w:tcBorders>
              <w:top w:val="nil"/>
              <w:left w:val="nil"/>
              <w:bottom w:val="nil"/>
              <w:right w:val="nil"/>
            </w:tcBorders>
            <w:shd w:val="clear" w:color="auto" w:fill="auto"/>
            <w:hideMark/>
          </w:tcPr>
          <w:p w14:paraId="7355B1C2" w14:textId="77777777" w:rsidR="00DF752E" w:rsidRPr="001F1589" w:rsidRDefault="00DF752E">
            <w:pPr>
              <w:jc w:val="center"/>
              <w:rPr>
                <w:rFonts w:eastAsia="Times New Roman"/>
                <w:color w:val="000000" w:themeColor="text1"/>
                <w:sz w:val="22"/>
                <w:szCs w:val="20"/>
              </w:rPr>
            </w:pPr>
          </w:p>
        </w:tc>
        <w:tc>
          <w:tcPr>
            <w:tcW w:w="1350" w:type="dxa"/>
            <w:tcBorders>
              <w:top w:val="nil"/>
              <w:left w:val="nil"/>
              <w:bottom w:val="nil"/>
              <w:right w:val="nil"/>
            </w:tcBorders>
            <w:shd w:val="clear" w:color="auto" w:fill="auto"/>
            <w:noWrap/>
            <w:hideMark/>
          </w:tcPr>
          <w:p w14:paraId="39915065" w14:textId="77777777" w:rsidR="00DF752E" w:rsidRPr="001F1589" w:rsidRDefault="00DF752E">
            <w:pPr>
              <w:jc w:val="center"/>
              <w:rPr>
                <w:rFonts w:eastAsia="Times New Roman"/>
                <w:color w:val="000000" w:themeColor="text1"/>
                <w:sz w:val="22"/>
                <w:szCs w:val="20"/>
              </w:rPr>
            </w:pPr>
          </w:p>
        </w:tc>
      </w:tr>
      <w:tr w:rsidR="001F1589" w:rsidRPr="001F1589" w14:paraId="700298DB" w14:textId="77777777" w:rsidTr="00DF752E">
        <w:trPr>
          <w:trHeight w:val="20"/>
        </w:trPr>
        <w:tc>
          <w:tcPr>
            <w:tcW w:w="1369" w:type="dxa"/>
            <w:tcBorders>
              <w:top w:val="nil"/>
              <w:left w:val="nil"/>
              <w:bottom w:val="nil"/>
              <w:right w:val="nil"/>
            </w:tcBorders>
            <w:shd w:val="clear" w:color="auto" w:fill="auto"/>
            <w:hideMark/>
          </w:tcPr>
          <w:p w14:paraId="4554A0AB"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ER-negative</w:t>
            </w:r>
          </w:p>
        </w:tc>
        <w:tc>
          <w:tcPr>
            <w:tcW w:w="2659" w:type="dxa"/>
            <w:tcBorders>
              <w:top w:val="nil"/>
              <w:left w:val="nil"/>
              <w:bottom w:val="nil"/>
              <w:right w:val="nil"/>
            </w:tcBorders>
            <w:shd w:val="clear" w:color="auto" w:fill="auto"/>
            <w:hideMark/>
          </w:tcPr>
          <w:p w14:paraId="5AA48A86"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Inverse-variance weighted</w:t>
            </w:r>
          </w:p>
        </w:tc>
        <w:tc>
          <w:tcPr>
            <w:tcW w:w="1012" w:type="dxa"/>
            <w:tcBorders>
              <w:top w:val="nil"/>
              <w:left w:val="nil"/>
              <w:bottom w:val="nil"/>
              <w:right w:val="nil"/>
            </w:tcBorders>
            <w:shd w:val="clear" w:color="auto" w:fill="auto"/>
            <w:hideMark/>
          </w:tcPr>
          <w:p w14:paraId="75631EA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769CD78B"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(0.90, 1.16)</w:t>
            </w:r>
          </w:p>
        </w:tc>
        <w:tc>
          <w:tcPr>
            <w:tcW w:w="1065" w:type="dxa"/>
            <w:tcBorders>
              <w:top w:val="nil"/>
              <w:left w:val="nil"/>
              <w:bottom w:val="nil"/>
              <w:right w:val="nil"/>
            </w:tcBorders>
            <w:shd w:val="clear" w:color="auto" w:fill="auto"/>
            <w:hideMark/>
          </w:tcPr>
          <w:p w14:paraId="7A05E3B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0.75</w:t>
            </w:r>
          </w:p>
        </w:tc>
        <w:tc>
          <w:tcPr>
            <w:tcW w:w="1350" w:type="dxa"/>
            <w:tcBorders>
              <w:top w:val="nil"/>
              <w:left w:val="nil"/>
              <w:bottom w:val="nil"/>
              <w:right w:val="nil"/>
            </w:tcBorders>
            <w:shd w:val="clear" w:color="auto" w:fill="auto"/>
            <w:noWrap/>
            <w:hideMark/>
          </w:tcPr>
          <w:p w14:paraId="4EFD8C7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0.14</w:t>
            </w:r>
          </w:p>
        </w:tc>
      </w:tr>
      <w:tr w:rsidR="001F1589" w:rsidRPr="001F1589" w14:paraId="4220F38C" w14:textId="77777777" w:rsidTr="00DF752E">
        <w:trPr>
          <w:trHeight w:val="20"/>
        </w:trPr>
        <w:tc>
          <w:tcPr>
            <w:tcW w:w="1369" w:type="dxa"/>
            <w:tcBorders>
              <w:top w:val="nil"/>
              <w:left w:val="nil"/>
              <w:bottom w:val="nil"/>
              <w:right w:val="nil"/>
            </w:tcBorders>
            <w:shd w:val="clear" w:color="auto" w:fill="auto"/>
            <w:hideMark/>
          </w:tcPr>
          <w:p w14:paraId="2EAEEB6B"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ER-negative</w:t>
            </w:r>
          </w:p>
        </w:tc>
        <w:tc>
          <w:tcPr>
            <w:tcW w:w="2659" w:type="dxa"/>
            <w:tcBorders>
              <w:top w:val="nil"/>
              <w:left w:val="nil"/>
              <w:bottom w:val="nil"/>
              <w:right w:val="nil"/>
            </w:tcBorders>
            <w:shd w:val="clear" w:color="auto" w:fill="auto"/>
            <w:hideMark/>
          </w:tcPr>
          <w:p w14:paraId="078A240B"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Maximum likelihood</w:t>
            </w:r>
          </w:p>
        </w:tc>
        <w:tc>
          <w:tcPr>
            <w:tcW w:w="1012" w:type="dxa"/>
            <w:tcBorders>
              <w:top w:val="nil"/>
              <w:left w:val="nil"/>
              <w:bottom w:val="nil"/>
              <w:right w:val="nil"/>
            </w:tcBorders>
            <w:shd w:val="clear" w:color="auto" w:fill="auto"/>
            <w:hideMark/>
          </w:tcPr>
          <w:p w14:paraId="59956800"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53C3B612"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(0.90, 1.16)</w:t>
            </w:r>
          </w:p>
        </w:tc>
        <w:tc>
          <w:tcPr>
            <w:tcW w:w="1065" w:type="dxa"/>
            <w:tcBorders>
              <w:top w:val="nil"/>
              <w:left w:val="nil"/>
              <w:bottom w:val="nil"/>
              <w:right w:val="nil"/>
            </w:tcBorders>
            <w:shd w:val="clear" w:color="auto" w:fill="auto"/>
            <w:hideMark/>
          </w:tcPr>
          <w:p w14:paraId="162CA3D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0.75</w:t>
            </w:r>
          </w:p>
        </w:tc>
        <w:tc>
          <w:tcPr>
            <w:tcW w:w="1350" w:type="dxa"/>
            <w:tcBorders>
              <w:top w:val="nil"/>
              <w:left w:val="nil"/>
              <w:bottom w:val="nil"/>
              <w:right w:val="nil"/>
            </w:tcBorders>
            <w:shd w:val="clear" w:color="auto" w:fill="auto"/>
            <w:noWrap/>
            <w:hideMark/>
          </w:tcPr>
          <w:p w14:paraId="49970829"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0B4FA0AF" w14:textId="77777777" w:rsidTr="00DF752E">
        <w:trPr>
          <w:trHeight w:val="20"/>
        </w:trPr>
        <w:tc>
          <w:tcPr>
            <w:tcW w:w="1369" w:type="dxa"/>
            <w:tcBorders>
              <w:top w:val="nil"/>
              <w:left w:val="nil"/>
              <w:bottom w:val="nil"/>
              <w:right w:val="nil"/>
            </w:tcBorders>
            <w:shd w:val="clear" w:color="auto" w:fill="auto"/>
            <w:hideMark/>
          </w:tcPr>
          <w:p w14:paraId="052C15DC"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ER-negative</w:t>
            </w:r>
          </w:p>
        </w:tc>
        <w:tc>
          <w:tcPr>
            <w:tcW w:w="2659" w:type="dxa"/>
            <w:tcBorders>
              <w:top w:val="nil"/>
              <w:left w:val="nil"/>
              <w:bottom w:val="nil"/>
              <w:right w:val="nil"/>
            </w:tcBorders>
            <w:shd w:val="clear" w:color="auto" w:fill="auto"/>
            <w:hideMark/>
          </w:tcPr>
          <w:p w14:paraId="074F3DCA"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MR-Egger</w:t>
            </w:r>
          </w:p>
        </w:tc>
        <w:tc>
          <w:tcPr>
            <w:tcW w:w="1012" w:type="dxa"/>
            <w:tcBorders>
              <w:top w:val="nil"/>
              <w:left w:val="nil"/>
              <w:bottom w:val="nil"/>
              <w:right w:val="nil"/>
            </w:tcBorders>
            <w:shd w:val="clear" w:color="auto" w:fill="auto"/>
            <w:hideMark/>
          </w:tcPr>
          <w:p w14:paraId="06022FF3"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1.06</w:t>
            </w:r>
          </w:p>
        </w:tc>
        <w:tc>
          <w:tcPr>
            <w:tcW w:w="1995" w:type="dxa"/>
            <w:tcBorders>
              <w:top w:val="nil"/>
              <w:left w:val="nil"/>
              <w:bottom w:val="nil"/>
              <w:right w:val="nil"/>
            </w:tcBorders>
            <w:shd w:val="clear" w:color="auto" w:fill="auto"/>
            <w:hideMark/>
          </w:tcPr>
          <w:p w14:paraId="1CF62E48"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(0.83, 1.37)</w:t>
            </w:r>
          </w:p>
        </w:tc>
        <w:tc>
          <w:tcPr>
            <w:tcW w:w="1065" w:type="dxa"/>
            <w:tcBorders>
              <w:top w:val="nil"/>
              <w:left w:val="nil"/>
              <w:bottom w:val="nil"/>
              <w:right w:val="nil"/>
            </w:tcBorders>
            <w:shd w:val="clear" w:color="auto" w:fill="auto"/>
            <w:hideMark/>
          </w:tcPr>
          <w:p w14:paraId="2B5A520E"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0.63</w:t>
            </w:r>
          </w:p>
        </w:tc>
        <w:tc>
          <w:tcPr>
            <w:tcW w:w="1350" w:type="dxa"/>
            <w:tcBorders>
              <w:top w:val="nil"/>
              <w:left w:val="nil"/>
              <w:bottom w:val="nil"/>
              <w:right w:val="nil"/>
            </w:tcBorders>
            <w:shd w:val="clear" w:color="auto" w:fill="auto"/>
            <w:noWrap/>
            <w:hideMark/>
          </w:tcPr>
          <w:p w14:paraId="430AAB04"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0.70</w:t>
            </w:r>
          </w:p>
        </w:tc>
      </w:tr>
      <w:tr w:rsidR="00F628DE" w:rsidRPr="001F1589" w14:paraId="0B1C6664" w14:textId="77777777" w:rsidTr="00641A76">
        <w:trPr>
          <w:trHeight w:val="20"/>
        </w:trPr>
        <w:tc>
          <w:tcPr>
            <w:tcW w:w="1369" w:type="dxa"/>
            <w:tcBorders>
              <w:top w:val="nil"/>
              <w:left w:val="nil"/>
              <w:bottom w:val="nil"/>
              <w:right w:val="nil"/>
            </w:tcBorders>
            <w:shd w:val="clear" w:color="auto" w:fill="auto"/>
          </w:tcPr>
          <w:p w14:paraId="349E54F7" w14:textId="77777777" w:rsidR="00F628DE" w:rsidRPr="001F1589" w:rsidRDefault="00F628DE" w:rsidP="00641A76">
            <w:pP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tcPr>
          <w:p w14:paraId="392E48B2" w14:textId="77777777" w:rsidR="00F628DE" w:rsidRPr="00F87E42" w:rsidRDefault="00F628DE" w:rsidP="00641A76">
            <w:pPr>
              <w:rPr>
                <w:rFonts w:ascii="Calibri" w:eastAsia="Times New Roman" w:hAnsi="Calibri"/>
                <w:color w:val="0432FF"/>
                <w:sz w:val="22"/>
                <w:szCs w:val="22"/>
              </w:rPr>
            </w:pPr>
            <w:r w:rsidRPr="00F87E42">
              <w:rPr>
                <w:rFonts w:ascii="Calibri" w:eastAsia="Times New Roman" w:hAnsi="Calibri"/>
                <w:color w:val="0432FF"/>
                <w:sz w:val="22"/>
                <w:szCs w:val="22"/>
              </w:rPr>
              <w:t>MR-Egger intercept</w:t>
            </w:r>
          </w:p>
        </w:tc>
        <w:tc>
          <w:tcPr>
            <w:tcW w:w="1012" w:type="dxa"/>
            <w:tcBorders>
              <w:top w:val="nil"/>
              <w:left w:val="nil"/>
              <w:bottom w:val="nil"/>
              <w:right w:val="nil"/>
            </w:tcBorders>
            <w:shd w:val="clear" w:color="auto" w:fill="auto"/>
          </w:tcPr>
          <w:p w14:paraId="3FA79AA6" w14:textId="77777777" w:rsidR="00F628DE" w:rsidRPr="00F87E42" w:rsidRDefault="00F628DE" w:rsidP="00641A76">
            <w:pPr>
              <w:jc w:val="center"/>
              <w:rPr>
                <w:rFonts w:ascii="Calibri" w:eastAsia="Times New Roman" w:hAnsi="Calibri"/>
                <w:color w:val="0432FF"/>
                <w:sz w:val="22"/>
                <w:szCs w:val="22"/>
              </w:rPr>
            </w:pPr>
          </w:p>
        </w:tc>
        <w:tc>
          <w:tcPr>
            <w:tcW w:w="1995" w:type="dxa"/>
            <w:tcBorders>
              <w:top w:val="nil"/>
              <w:left w:val="nil"/>
              <w:bottom w:val="nil"/>
              <w:right w:val="nil"/>
            </w:tcBorders>
            <w:shd w:val="clear" w:color="auto" w:fill="auto"/>
          </w:tcPr>
          <w:p w14:paraId="1BE49ECF" w14:textId="77777777" w:rsidR="00F628DE" w:rsidRPr="00F87E42" w:rsidRDefault="00F628DE" w:rsidP="00641A76">
            <w:pPr>
              <w:jc w:val="center"/>
              <w:rPr>
                <w:rFonts w:ascii="Calibri" w:eastAsia="Times New Roman" w:hAnsi="Calibri"/>
                <w:color w:val="0432FF"/>
                <w:sz w:val="22"/>
                <w:szCs w:val="22"/>
              </w:rPr>
            </w:pPr>
          </w:p>
        </w:tc>
        <w:tc>
          <w:tcPr>
            <w:tcW w:w="2415" w:type="dxa"/>
            <w:gridSpan w:val="2"/>
            <w:tcBorders>
              <w:top w:val="nil"/>
              <w:left w:val="nil"/>
              <w:bottom w:val="nil"/>
              <w:right w:val="nil"/>
            </w:tcBorders>
            <w:shd w:val="clear" w:color="auto" w:fill="auto"/>
          </w:tcPr>
          <w:p w14:paraId="2CAD3022" w14:textId="556E9ED6" w:rsidR="00F628DE" w:rsidRPr="00F87E42" w:rsidRDefault="0092656B" w:rsidP="00641A76">
            <w:pPr>
              <w:jc w:val="center"/>
              <w:rPr>
                <w:rFonts w:ascii="Calibri" w:eastAsia="Times New Roman" w:hAnsi="Calibri"/>
                <w:color w:val="0432FF"/>
                <w:sz w:val="22"/>
                <w:szCs w:val="22"/>
              </w:rPr>
            </w:pPr>
            <w:r>
              <w:rPr>
                <w:rFonts w:ascii="Calibri" w:eastAsia="Times New Roman" w:hAnsi="Calibri"/>
                <w:color w:val="0432FF"/>
                <w:sz w:val="22"/>
                <w:szCs w:val="22"/>
              </w:rPr>
              <w:sym w:font="Symbol" w:char="F02D"/>
            </w:r>
            <w:r>
              <w:rPr>
                <w:rFonts w:ascii="Calibri" w:eastAsia="Times New Roman" w:hAnsi="Calibri"/>
                <w:color w:val="0432FF"/>
                <w:sz w:val="22"/>
                <w:szCs w:val="22"/>
              </w:rPr>
              <w:t>0.005</w:t>
            </w:r>
            <w:r w:rsidR="00F628DE">
              <w:rPr>
                <w:rFonts w:ascii="Calibri" w:eastAsia="Times New Roman" w:hAnsi="Calibri"/>
                <w:color w:val="0432FF"/>
                <w:sz w:val="22"/>
                <w:szCs w:val="22"/>
              </w:rPr>
              <w:t>(</w:t>
            </w:r>
            <w:r>
              <w:rPr>
                <w:rFonts w:ascii="Calibri" w:eastAsia="Times New Roman" w:hAnsi="Calibri"/>
                <w:color w:val="0432FF"/>
                <w:sz w:val="22"/>
                <w:szCs w:val="22"/>
              </w:rPr>
              <w:sym w:font="Symbol" w:char="F02D"/>
            </w:r>
            <w:r>
              <w:rPr>
                <w:rFonts w:ascii="Calibri" w:eastAsia="Times New Roman" w:hAnsi="Calibri"/>
                <w:color w:val="0432FF"/>
                <w:sz w:val="22"/>
                <w:szCs w:val="22"/>
              </w:rPr>
              <w:t>0.031-0.021</w:t>
            </w:r>
            <w:r w:rsidR="00F628DE">
              <w:rPr>
                <w:rFonts w:ascii="Calibri" w:eastAsia="Times New Roman" w:hAnsi="Calibri"/>
                <w:color w:val="0432FF"/>
                <w:sz w:val="22"/>
                <w:szCs w:val="22"/>
              </w:rPr>
              <w:t>)</w:t>
            </w:r>
          </w:p>
        </w:tc>
      </w:tr>
      <w:tr w:rsidR="001F1589" w:rsidRPr="001F1589" w14:paraId="49DE03CB" w14:textId="77777777" w:rsidTr="00DF752E">
        <w:trPr>
          <w:trHeight w:val="20"/>
        </w:trPr>
        <w:tc>
          <w:tcPr>
            <w:tcW w:w="1369" w:type="dxa"/>
            <w:tcBorders>
              <w:top w:val="nil"/>
              <w:left w:val="nil"/>
              <w:bottom w:val="nil"/>
              <w:right w:val="nil"/>
            </w:tcBorders>
            <w:shd w:val="clear" w:color="auto" w:fill="auto"/>
            <w:hideMark/>
          </w:tcPr>
          <w:p w14:paraId="08D40017"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ER-negative</w:t>
            </w:r>
          </w:p>
        </w:tc>
        <w:tc>
          <w:tcPr>
            <w:tcW w:w="2659" w:type="dxa"/>
            <w:tcBorders>
              <w:top w:val="nil"/>
              <w:left w:val="nil"/>
              <w:bottom w:val="nil"/>
              <w:right w:val="nil"/>
            </w:tcBorders>
            <w:shd w:val="clear" w:color="auto" w:fill="auto"/>
            <w:hideMark/>
          </w:tcPr>
          <w:p w14:paraId="481433C5"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Weighted Median</w:t>
            </w:r>
          </w:p>
        </w:tc>
        <w:tc>
          <w:tcPr>
            <w:tcW w:w="1012" w:type="dxa"/>
            <w:tcBorders>
              <w:top w:val="nil"/>
              <w:left w:val="nil"/>
              <w:bottom w:val="nil"/>
              <w:right w:val="nil"/>
            </w:tcBorders>
            <w:shd w:val="clear" w:color="auto" w:fill="auto"/>
            <w:hideMark/>
          </w:tcPr>
          <w:p w14:paraId="4A12D5FF"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1.05</w:t>
            </w:r>
          </w:p>
        </w:tc>
        <w:tc>
          <w:tcPr>
            <w:tcW w:w="1995" w:type="dxa"/>
            <w:tcBorders>
              <w:top w:val="nil"/>
              <w:left w:val="nil"/>
              <w:bottom w:val="nil"/>
              <w:right w:val="nil"/>
            </w:tcBorders>
            <w:shd w:val="clear" w:color="auto" w:fill="auto"/>
            <w:hideMark/>
          </w:tcPr>
          <w:p w14:paraId="4FA871C6"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(0.94, 1.18)</w:t>
            </w:r>
          </w:p>
        </w:tc>
        <w:tc>
          <w:tcPr>
            <w:tcW w:w="1065" w:type="dxa"/>
            <w:tcBorders>
              <w:top w:val="nil"/>
              <w:left w:val="nil"/>
              <w:bottom w:val="nil"/>
              <w:right w:val="nil"/>
            </w:tcBorders>
            <w:shd w:val="clear" w:color="auto" w:fill="auto"/>
            <w:hideMark/>
          </w:tcPr>
          <w:p w14:paraId="0C21A67A"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0.36</w:t>
            </w:r>
          </w:p>
        </w:tc>
        <w:tc>
          <w:tcPr>
            <w:tcW w:w="1350" w:type="dxa"/>
            <w:tcBorders>
              <w:top w:val="nil"/>
              <w:left w:val="nil"/>
              <w:bottom w:val="nil"/>
              <w:right w:val="nil"/>
            </w:tcBorders>
            <w:shd w:val="clear" w:color="auto" w:fill="auto"/>
            <w:noWrap/>
            <w:hideMark/>
          </w:tcPr>
          <w:p w14:paraId="01FC5F3B"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6096AE11" w14:textId="77777777" w:rsidTr="00DF752E">
        <w:trPr>
          <w:trHeight w:val="20"/>
        </w:trPr>
        <w:tc>
          <w:tcPr>
            <w:tcW w:w="1369" w:type="dxa"/>
            <w:tcBorders>
              <w:top w:val="nil"/>
              <w:left w:val="nil"/>
              <w:bottom w:val="nil"/>
              <w:right w:val="nil"/>
            </w:tcBorders>
            <w:shd w:val="clear" w:color="auto" w:fill="auto"/>
            <w:hideMark/>
          </w:tcPr>
          <w:p w14:paraId="654466C7" w14:textId="77777777" w:rsidR="00DF752E" w:rsidRPr="001F1589" w:rsidRDefault="00DF752E">
            <w:pPr>
              <w:jc w:val="cente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hideMark/>
          </w:tcPr>
          <w:p w14:paraId="0C27BD95" w14:textId="77777777" w:rsidR="00DF752E" w:rsidRPr="001F1589" w:rsidRDefault="00DF752E">
            <w:pPr>
              <w:rPr>
                <w:rFonts w:eastAsia="Times New Roman"/>
                <w:color w:val="000000" w:themeColor="text1"/>
                <w:sz w:val="22"/>
                <w:szCs w:val="20"/>
              </w:rPr>
            </w:pPr>
          </w:p>
        </w:tc>
        <w:tc>
          <w:tcPr>
            <w:tcW w:w="1012" w:type="dxa"/>
            <w:tcBorders>
              <w:top w:val="nil"/>
              <w:left w:val="nil"/>
              <w:bottom w:val="nil"/>
              <w:right w:val="nil"/>
            </w:tcBorders>
            <w:shd w:val="clear" w:color="auto" w:fill="auto"/>
            <w:hideMark/>
          </w:tcPr>
          <w:p w14:paraId="6BA0B612" w14:textId="77777777" w:rsidR="00DF752E" w:rsidRPr="001F1589" w:rsidRDefault="00DF752E">
            <w:pPr>
              <w:rPr>
                <w:rFonts w:eastAsia="Times New Roman"/>
                <w:color w:val="000000" w:themeColor="text1"/>
                <w:sz w:val="22"/>
                <w:szCs w:val="20"/>
              </w:rPr>
            </w:pPr>
          </w:p>
        </w:tc>
        <w:tc>
          <w:tcPr>
            <w:tcW w:w="1995" w:type="dxa"/>
            <w:tcBorders>
              <w:top w:val="nil"/>
              <w:left w:val="nil"/>
              <w:bottom w:val="nil"/>
              <w:right w:val="nil"/>
            </w:tcBorders>
            <w:shd w:val="clear" w:color="auto" w:fill="auto"/>
            <w:hideMark/>
          </w:tcPr>
          <w:p w14:paraId="0F75D28B" w14:textId="77777777" w:rsidR="00DF752E" w:rsidRPr="001F1589" w:rsidRDefault="00DF752E">
            <w:pPr>
              <w:jc w:val="center"/>
              <w:rPr>
                <w:rFonts w:eastAsia="Times New Roman"/>
                <w:color w:val="000000" w:themeColor="text1"/>
                <w:sz w:val="22"/>
                <w:szCs w:val="20"/>
              </w:rPr>
            </w:pPr>
          </w:p>
        </w:tc>
        <w:tc>
          <w:tcPr>
            <w:tcW w:w="1065" w:type="dxa"/>
            <w:tcBorders>
              <w:top w:val="nil"/>
              <w:left w:val="nil"/>
              <w:bottom w:val="nil"/>
              <w:right w:val="nil"/>
            </w:tcBorders>
            <w:shd w:val="clear" w:color="auto" w:fill="auto"/>
            <w:hideMark/>
          </w:tcPr>
          <w:p w14:paraId="361AD7AB" w14:textId="77777777" w:rsidR="00DF752E" w:rsidRPr="001F1589" w:rsidRDefault="00DF752E">
            <w:pPr>
              <w:jc w:val="center"/>
              <w:rPr>
                <w:rFonts w:eastAsia="Times New Roman"/>
                <w:color w:val="000000" w:themeColor="text1"/>
                <w:sz w:val="22"/>
                <w:szCs w:val="20"/>
              </w:rPr>
            </w:pPr>
          </w:p>
        </w:tc>
        <w:tc>
          <w:tcPr>
            <w:tcW w:w="1350" w:type="dxa"/>
            <w:tcBorders>
              <w:top w:val="nil"/>
              <w:left w:val="nil"/>
              <w:bottom w:val="nil"/>
              <w:right w:val="nil"/>
            </w:tcBorders>
            <w:shd w:val="clear" w:color="auto" w:fill="auto"/>
            <w:noWrap/>
            <w:hideMark/>
          </w:tcPr>
          <w:p w14:paraId="3ED0854D" w14:textId="77777777" w:rsidR="00DF752E" w:rsidRPr="001F1589" w:rsidRDefault="00DF752E">
            <w:pPr>
              <w:jc w:val="center"/>
              <w:rPr>
                <w:rFonts w:eastAsia="Times New Roman"/>
                <w:color w:val="000000" w:themeColor="text1"/>
                <w:sz w:val="22"/>
                <w:szCs w:val="20"/>
              </w:rPr>
            </w:pPr>
          </w:p>
        </w:tc>
      </w:tr>
      <w:tr w:rsidR="001F1589" w:rsidRPr="001F1589" w14:paraId="14FD116B" w14:textId="77777777" w:rsidTr="00DF752E">
        <w:trPr>
          <w:trHeight w:val="20"/>
        </w:trPr>
        <w:tc>
          <w:tcPr>
            <w:tcW w:w="8100" w:type="dxa"/>
            <w:gridSpan w:val="5"/>
            <w:tcBorders>
              <w:top w:val="nil"/>
              <w:left w:val="nil"/>
              <w:bottom w:val="nil"/>
              <w:right w:val="nil"/>
            </w:tcBorders>
            <w:shd w:val="clear" w:color="auto" w:fill="auto"/>
            <w:hideMark/>
          </w:tcPr>
          <w:p w14:paraId="0FA0ACE0" w14:textId="77777777" w:rsidR="00DF752E" w:rsidRPr="001F1589" w:rsidRDefault="00DF752E">
            <w:pPr>
              <w:rPr>
                <w:rFonts w:ascii="Calibri" w:eastAsia="Times New Roman" w:hAnsi="Calibri"/>
                <w:b/>
                <w:bCs/>
                <w:color w:val="000000" w:themeColor="text1"/>
                <w:sz w:val="22"/>
                <w:szCs w:val="22"/>
              </w:rPr>
            </w:pPr>
            <w:r w:rsidRPr="001F1589">
              <w:rPr>
                <w:rFonts w:ascii="Calibri" w:eastAsia="Times New Roman" w:hAnsi="Calibri"/>
                <w:b/>
                <w:bCs/>
                <w:color w:val="000000" w:themeColor="text1"/>
                <w:sz w:val="22"/>
                <w:szCs w:val="22"/>
              </w:rPr>
              <w:t>Prostate</w:t>
            </w:r>
          </w:p>
        </w:tc>
        <w:tc>
          <w:tcPr>
            <w:tcW w:w="1350" w:type="dxa"/>
            <w:tcBorders>
              <w:top w:val="nil"/>
              <w:left w:val="nil"/>
              <w:bottom w:val="nil"/>
              <w:right w:val="nil"/>
            </w:tcBorders>
            <w:shd w:val="clear" w:color="auto" w:fill="auto"/>
            <w:noWrap/>
            <w:hideMark/>
          </w:tcPr>
          <w:p w14:paraId="2214DA07" w14:textId="77777777" w:rsidR="00DF752E" w:rsidRPr="001F1589" w:rsidRDefault="00DF752E">
            <w:pPr>
              <w:rPr>
                <w:rFonts w:ascii="Calibri" w:eastAsia="Times New Roman" w:hAnsi="Calibri"/>
                <w:b/>
                <w:bCs/>
                <w:color w:val="000000" w:themeColor="text1"/>
                <w:sz w:val="22"/>
                <w:szCs w:val="22"/>
              </w:rPr>
            </w:pPr>
          </w:p>
        </w:tc>
      </w:tr>
      <w:tr w:rsidR="001F1589" w:rsidRPr="001F1589" w14:paraId="28146D61" w14:textId="77777777" w:rsidTr="00DF752E">
        <w:trPr>
          <w:trHeight w:val="20"/>
        </w:trPr>
        <w:tc>
          <w:tcPr>
            <w:tcW w:w="1369" w:type="dxa"/>
            <w:tcBorders>
              <w:top w:val="nil"/>
              <w:left w:val="nil"/>
              <w:bottom w:val="nil"/>
              <w:right w:val="nil"/>
            </w:tcBorders>
            <w:shd w:val="clear" w:color="auto" w:fill="auto"/>
            <w:hideMark/>
          </w:tcPr>
          <w:p w14:paraId="4B91E54D"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371693FD"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Inverse-variance weighted</w:t>
            </w:r>
          </w:p>
        </w:tc>
        <w:tc>
          <w:tcPr>
            <w:tcW w:w="1012" w:type="dxa"/>
            <w:tcBorders>
              <w:top w:val="nil"/>
              <w:left w:val="nil"/>
              <w:bottom w:val="nil"/>
              <w:right w:val="nil"/>
            </w:tcBorders>
            <w:shd w:val="clear" w:color="auto" w:fill="auto"/>
            <w:hideMark/>
          </w:tcPr>
          <w:p w14:paraId="783822A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1.00</w:t>
            </w:r>
          </w:p>
        </w:tc>
        <w:tc>
          <w:tcPr>
            <w:tcW w:w="1995" w:type="dxa"/>
            <w:tcBorders>
              <w:top w:val="nil"/>
              <w:left w:val="nil"/>
              <w:bottom w:val="nil"/>
              <w:right w:val="nil"/>
            </w:tcBorders>
            <w:shd w:val="clear" w:color="auto" w:fill="auto"/>
            <w:hideMark/>
          </w:tcPr>
          <w:p w14:paraId="1C966764"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(0.93, 1.07)</w:t>
            </w:r>
          </w:p>
        </w:tc>
        <w:tc>
          <w:tcPr>
            <w:tcW w:w="1065" w:type="dxa"/>
            <w:tcBorders>
              <w:top w:val="nil"/>
              <w:left w:val="nil"/>
              <w:bottom w:val="nil"/>
              <w:right w:val="nil"/>
            </w:tcBorders>
            <w:shd w:val="clear" w:color="auto" w:fill="auto"/>
            <w:hideMark/>
          </w:tcPr>
          <w:p w14:paraId="5109319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0.99</w:t>
            </w:r>
          </w:p>
        </w:tc>
        <w:tc>
          <w:tcPr>
            <w:tcW w:w="1350" w:type="dxa"/>
            <w:tcBorders>
              <w:top w:val="nil"/>
              <w:left w:val="nil"/>
              <w:bottom w:val="nil"/>
              <w:right w:val="nil"/>
            </w:tcBorders>
            <w:shd w:val="clear" w:color="auto" w:fill="auto"/>
            <w:noWrap/>
            <w:hideMark/>
          </w:tcPr>
          <w:p w14:paraId="68BFFB31"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0.80</w:t>
            </w:r>
          </w:p>
        </w:tc>
      </w:tr>
      <w:tr w:rsidR="001F1589" w:rsidRPr="001F1589" w14:paraId="5BD78BC9" w14:textId="77777777" w:rsidTr="00DF752E">
        <w:trPr>
          <w:trHeight w:val="20"/>
        </w:trPr>
        <w:tc>
          <w:tcPr>
            <w:tcW w:w="1369" w:type="dxa"/>
            <w:tcBorders>
              <w:top w:val="nil"/>
              <w:left w:val="nil"/>
              <w:bottom w:val="nil"/>
              <w:right w:val="nil"/>
            </w:tcBorders>
            <w:shd w:val="clear" w:color="auto" w:fill="auto"/>
            <w:hideMark/>
          </w:tcPr>
          <w:p w14:paraId="32B4EF44"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624BD30D"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Maximum likelihood</w:t>
            </w:r>
          </w:p>
        </w:tc>
        <w:tc>
          <w:tcPr>
            <w:tcW w:w="1012" w:type="dxa"/>
            <w:tcBorders>
              <w:top w:val="nil"/>
              <w:left w:val="nil"/>
              <w:bottom w:val="nil"/>
              <w:right w:val="nil"/>
            </w:tcBorders>
            <w:shd w:val="clear" w:color="auto" w:fill="auto"/>
            <w:hideMark/>
          </w:tcPr>
          <w:p w14:paraId="11EC814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1.00</w:t>
            </w:r>
          </w:p>
        </w:tc>
        <w:tc>
          <w:tcPr>
            <w:tcW w:w="1995" w:type="dxa"/>
            <w:tcBorders>
              <w:top w:val="nil"/>
              <w:left w:val="nil"/>
              <w:bottom w:val="nil"/>
              <w:right w:val="nil"/>
            </w:tcBorders>
            <w:shd w:val="clear" w:color="auto" w:fill="auto"/>
            <w:hideMark/>
          </w:tcPr>
          <w:p w14:paraId="39283552"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(0.93, 1.07)</w:t>
            </w:r>
          </w:p>
        </w:tc>
        <w:tc>
          <w:tcPr>
            <w:tcW w:w="1065" w:type="dxa"/>
            <w:tcBorders>
              <w:top w:val="nil"/>
              <w:left w:val="nil"/>
              <w:bottom w:val="nil"/>
              <w:right w:val="nil"/>
            </w:tcBorders>
            <w:shd w:val="clear" w:color="auto" w:fill="auto"/>
            <w:hideMark/>
          </w:tcPr>
          <w:p w14:paraId="56924AE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0.99</w:t>
            </w:r>
          </w:p>
        </w:tc>
        <w:tc>
          <w:tcPr>
            <w:tcW w:w="1350" w:type="dxa"/>
            <w:tcBorders>
              <w:top w:val="nil"/>
              <w:left w:val="nil"/>
              <w:bottom w:val="nil"/>
              <w:right w:val="nil"/>
            </w:tcBorders>
            <w:shd w:val="clear" w:color="auto" w:fill="auto"/>
            <w:noWrap/>
            <w:hideMark/>
          </w:tcPr>
          <w:p w14:paraId="4551528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ΝΑ</w:t>
            </w:r>
          </w:p>
        </w:tc>
      </w:tr>
      <w:tr w:rsidR="001F1589" w:rsidRPr="001F1589" w14:paraId="78851838" w14:textId="77777777" w:rsidTr="00DF752E">
        <w:trPr>
          <w:trHeight w:val="20"/>
        </w:trPr>
        <w:tc>
          <w:tcPr>
            <w:tcW w:w="1369" w:type="dxa"/>
            <w:tcBorders>
              <w:top w:val="nil"/>
              <w:left w:val="nil"/>
              <w:bottom w:val="nil"/>
              <w:right w:val="nil"/>
            </w:tcBorders>
            <w:shd w:val="clear" w:color="auto" w:fill="auto"/>
            <w:hideMark/>
          </w:tcPr>
          <w:p w14:paraId="771A8531"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4F74AD93"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MR-Egger</w:t>
            </w:r>
          </w:p>
        </w:tc>
        <w:tc>
          <w:tcPr>
            <w:tcW w:w="1012" w:type="dxa"/>
            <w:tcBorders>
              <w:top w:val="nil"/>
              <w:left w:val="nil"/>
              <w:bottom w:val="nil"/>
              <w:right w:val="nil"/>
            </w:tcBorders>
            <w:shd w:val="clear" w:color="auto" w:fill="auto"/>
            <w:hideMark/>
          </w:tcPr>
          <w:p w14:paraId="4A33B52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1.01</w:t>
            </w:r>
          </w:p>
        </w:tc>
        <w:tc>
          <w:tcPr>
            <w:tcW w:w="1995" w:type="dxa"/>
            <w:tcBorders>
              <w:top w:val="nil"/>
              <w:left w:val="nil"/>
              <w:bottom w:val="nil"/>
              <w:right w:val="nil"/>
            </w:tcBorders>
            <w:shd w:val="clear" w:color="auto" w:fill="auto"/>
            <w:hideMark/>
          </w:tcPr>
          <w:p w14:paraId="3CB936F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(0.88, 1.16)</w:t>
            </w:r>
          </w:p>
        </w:tc>
        <w:tc>
          <w:tcPr>
            <w:tcW w:w="1065" w:type="dxa"/>
            <w:tcBorders>
              <w:top w:val="nil"/>
              <w:left w:val="nil"/>
              <w:bottom w:val="nil"/>
              <w:right w:val="nil"/>
            </w:tcBorders>
            <w:shd w:val="clear" w:color="auto" w:fill="auto"/>
            <w:hideMark/>
          </w:tcPr>
          <w:p w14:paraId="287F6CF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0.89</w:t>
            </w:r>
          </w:p>
        </w:tc>
        <w:tc>
          <w:tcPr>
            <w:tcW w:w="1350" w:type="dxa"/>
            <w:tcBorders>
              <w:top w:val="nil"/>
              <w:left w:val="nil"/>
              <w:bottom w:val="nil"/>
              <w:right w:val="nil"/>
            </w:tcBorders>
            <w:shd w:val="clear" w:color="auto" w:fill="auto"/>
            <w:noWrap/>
            <w:hideMark/>
          </w:tcPr>
          <w:p w14:paraId="3B850106"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0.88</w:t>
            </w:r>
          </w:p>
        </w:tc>
      </w:tr>
      <w:tr w:rsidR="00F628DE" w:rsidRPr="001F1589" w14:paraId="4D5F77AE" w14:textId="77777777" w:rsidTr="00641A76">
        <w:trPr>
          <w:trHeight w:val="20"/>
        </w:trPr>
        <w:tc>
          <w:tcPr>
            <w:tcW w:w="1369" w:type="dxa"/>
            <w:tcBorders>
              <w:top w:val="nil"/>
              <w:left w:val="nil"/>
              <w:bottom w:val="nil"/>
              <w:right w:val="nil"/>
            </w:tcBorders>
            <w:shd w:val="clear" w:color="auto" w:fill="auto"/>
          </w:tcPr>
          <w:p w14:paraId="5B90BC3B" w14:textId="77777777" w:rsidR="00F628DE" w:rsidRPr="001F1589" w:rsidRDefault="00F628DE" w:rsidP="00641A76">
            <w:pP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tcPr>
          <w:p w14:paraId="5A91FC39" w14:textId="77777777" w:rsidR="00F628DE" w:rsidRPr="00F87E42" w:rsidRDefault="00F628DE" w:rsidP="00641A76">
            <w:pPr>
              <w:rPr>
                <w:rFonts w:ascii="Calibri" w:eastAsia="Times New Roman" w:hAnsi="Calibri"/>
                <w:color w:val="0432FF"/>
                <w:sz w:val="22"/>
                <w:szCs w:val="22"/>
              </w:rPr>
            </w:pPr>
            <w:r w:rsidRPr="00F87E42">
              <w:rPr>
                <w:rFonts w:ascii="Calibri" w:eastAsia="Times New Roman" w:hAnsi="Calibri"/>
                <w:color w:val="0432FF"/>
                <w:sz w:val="22"/>
                <w:szCs w:val="22"/>
              </w:rPr>
              <w:t>MR-Egger intercept</w:t>
            </w:r>
          </w:p>
        </w:tc>
        <w:tc>
          <w:tcPr>
            <w:tcW w:w="1012" w:type="dxa"/>
            <w:tcBorders>
              <w:top w:val="nil"/>
              <w:left w:val="nil"/>
              <w:bottom w:val="nil"/>
              <w:right w:val="nil"/>
            </w:tcBorders>
            <w:shd w:val="clear" w:color="auto" w:fill="auto"/>
          </w:tcPr>
          <w:p w14:paraId="2D85F9EA" w14:textId="77777777" w:rsidR="00F628DE" w:rsidRPr="00F87E42" w:rsidRDefault="00F628DE" w:rsidP="00641A76">
            <w:pPr>
              <w:jc w:val="center"/>
              <w:rPr>
                <w:rFonts w:ascii="Calibri" w:eastAsia="Times New Roman" w:hAnsi="Calibri"/>
                <w:color w:val="0432FF"/>
                <w:sz w:val="22"/>
                <w:szCs w:val="22"/>
              </w:rPr>
            </w:pPr>
          </w:p>
        </w:tc>
        <w:tc>
          <w:tcPr>
            <w:tcW w:w="1995" w:type="dxa"/>
            <w:tcBorders>
              <w:top w:val="nil"/>
              <w:left w:val="nil"/>
              <w:bottom w:val="nil"/>
              <w:right w:val="nil"/>
            </w:tcBorders>
            <w:shd w:val="clear" w:color="auto" w:fill="auto"/>
          </w:tcPr>
          <w:p w14:paraId="07D14C5F" w14:textId="77777777" w:rsidR="00F628DE" w:rsidRPr="00F87E42" w:rsidRDefault="00F628DE" w:rsidP="00641A76">
            <w:pPr>
              <w:jc w:val="center"/>
              <w:rPr>
                <w:rFonts w:ascii="Calibri" w:eastAsia="Times New Roman" w:hAnsi="Calibri"/>
                <w:color w:val="0432FF"/>
                <w:sz w:val="22"/>
                <w:szCs w:val="22"/>
              </w:rPr>
            </w:pPr>
          </w:p>
        </w:tc>
        <w:tc>
          <w:tcPr>
            <w:tcW w:w="2415" w:type="dxa"/>
            <w:gridSpan w:val="2"/>
            <w:tcBorders>
              <w:top w:val="nil"/>
              <w:left w:val="nil"/>
              <w:bottom w:val="nil"/>
              <w:right w:val="nil"/>
            </w:tcBorders>
            <w:shd w:val="clear" w:color="auto" w:fill="auto"/>
          </w:tcPr>
          <w:p w14:paraId="036B7B22" w14:textId="686728D8" w:rsidR="00F628DE" w:rsidRPr="00F87E42" w:rsidRDefault="00225E39" w:rsidP="00641A76">
            <w:pPr>
              <w:jc w:val="center"/>
              <w:rPr>
                <w:rFonts w:ascii="Calibri" w:eastAsia="Times New Roman" w:hAnsi="Calibri"/>
                <w:color w:val="0432FF"/>
                <w:sz w:val="22"/>
                <w:szCs w:val="22"/>
              </w:rPr>
            </w:pPr>
            <w:r>
              <w:rPr>
                <w:rFonts w:ascii="Calibri" w:eastAsia="Times New Roman" w:hAnsi="Calibri"/>
                <w:color w:val="0432FF"/>
                <w:sz w:val="22"/>
                <w:szCs w:val="22"/>
              </w:rPr>
              <w:sym w:font="Symbol" w:char="F02D"/>
            </w:r>
            <w:r w:rsidR="00F628DE">
              <w:rPr>
                <w:rFonts w:ascii="Calibri" w:eastAsia="Times New Roman" w:hAnsi="Calibri"/>
                <w:color w:val="0432FF"/>
                <w:sz w:val="22"/>
                <w:szCs w:val="22"/>
              </w:rPr>
              <w:t>0.001(</w:t>
            </w:r>
            <w:r w:rsidR="00526FA5">
              <w:rPr>
                <w:rFonts w:ascii="Calibri" w:eastAsia="Times New Roman" w:hAnsi="Calibri"/>
                <w:color w:val="0432FF"/>
                <w:sz w:val="22"/>
                <w:szCs w:val="22"/>
              </w:rPr>
              <w:sym w:font="Symbol" w:char="F02D"/>
            </w:r>
            <w:r w:rsidR="00526FA5">
              <w:rPr>
                <w:rFonts w:ascii="Calibri" w:eastAsia="Times New Roman" w:hAnsi="Calibri"/>
                <w:color w:val="0432FF"/>
                <w:sz w:val="22"/>
                <w:szCs w:val="22"/>
              </w:rPr>
              <w:t>0.015-0.013</w:t>
            </w:r>
            <w:r w:rsidR="00F628DE">
              <w:rPr>
                <w:rFonts w:ascii="Calibri" w:eastAsia="Times New Roman" w:hAnsi="Calibri"/>
                <w:color w:val="0432FF"/>
                <w:sz w:val="22"/>
                <w:szCs w:val="22"/>
              </w:rPr>
              <w:t>)</w:t>
            </w:r>
          </w:p>
        </w:tc>
      </w:tr>
      <w:tr w:rsidR="001F1589" w:rsidRPr="001F1589" w14:paraId="73CA04F4" w14:textId="77777777" w:rsidTr="00DF752E">
        <w:trPr>
          <w:trHeight w:val="20"/>
        </w:trPr>
        <w:tc>
          <w:tcPr>
            <w:tcW w:w="1369" w:type="dxa"/>
            <w:tcBorders>
              <w:top w:val="nil"/>
              <w:left w:val="nil"/>
              <w:bottom w:val="nil"/>
              <w:right w:val="nil"/>
            </w:tcBorders>
            <w:shd w:val="clear" w:color="auto" w:fill="auto"/>
            <w:hideMark/>
          </w:tcPr>
          <w:p w14:paraId="24FF22C4"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Overall</w:t>
            </w:r>
          </w:p>
        </w:tc>
        <w:tc>
          <w:tcPr>
            <w:tcW w:w="2659" w:type="dxa"/>
            <w:tcBorders>
              <w:top w:val="nil"/>
              <w:left w:val="nil"/>
              <w:bottom w:val="nil"/>
              <w:right w:val="nil"/>
            </w:tcBorders>
            <w:shd w:val="clear" w:color="auto" w:fill="auto"/>
            <w:hideMark/>
          </w:tcPr>
          <w:p w14:paraId="6AE58DF2"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Weighted Median</w:t>
            </w:r>
          </w:p>
        </w:tc>
        <w:tc>
          <w:tcPr>
            <w:tcW w:w="1012" w:type="dxa"/>
            <w:tcBorders>
              <w:top w:val="nil"/>
              <w:left w:val="nil"/>
              <w:bottom w:val="nil"/>
              <w:right w:val="nil"/>
            </w:tcBorders>
            <w:shd w:val="clear" w:color="auto" w:fill="auto"/>
            <w:hideMark/>
          </w:tcPr>
          <w:p w14:paraId="03836777"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1.01</w:t>
            </w:r>
          </w:p>
        </w:tc>
        <w:tc>
          <w:tcPr>
            <w:tcW w:w="1995" w:type="dxa"/>
            <w:tcBorders>
              <w:top w:val="nil"/>
              <w:left w:val="nil"/>
              <w:bottom w:val="nil"/>
              <w:right w:val="nil"/>
            </w:tcBorders>
            <w:shd w:val="clear" w:color="auto" w:fill="auto"/>
            <w:hideMark/>
          </w:tcPr>
          <w:p w14:paraId="6324FF18"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(0.94, 1.10)</w:t>
            </w:r>
          </w:p>
        </w:tc>
        <w:tc>
          <w:tcPr>
            <w:tcW w:w="1065" w:type="dxa"/>
            <w:tcBorders>
              <w:top w:val="nil"/>
              <w:left w:val="nil"/>
              <w:bottom w:val="nil"/>
              <w:right w:val="nil"/>
            </w:tcBorders>
            <w:shd w:val="clear" w:color="auto" w:fill="auto"/>
            <w:hideMark/>
          </w:tcPr>
          <w:p w14:paraId="1D5B24C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0.73</w:t>
            </w:r>
          </w:p>
        </w:tc>
        <w:tc>
          <w:tcPr>
            <w:tcW w:w="1350" w:type="dxa"/>
            <w:tcBorders>
              <w:top w:val="nil"/>
              <w:left w:val="nil"/>
              <w:bottom w:val="nil"/>
              <w:right w:val="nil"/>
            </w:tcBorders>
            <w:shd w:val="clear" w:color="auto" w:fill="auto"/>
            <w:noWrap/>
            <w:hideMark/>
          </w:tcPr>
          <w:p w14:paraId="4C9E665E"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ΝΑ</w:t>
            </w:r>
          </w:p>
        </w:tc>
      </w:tr>
      <w:tr w:rsidR="001F1589" w:rsidRPr="001F1589" w14:paraId="3F7B2AEA" w14:textId="77777777" w:rsidTr="00DF752E">
        <w:trPr>
          <w:trHeight w:val="20"/>
        </w:trPr>
        <w:tc>
          <w:tcPr>
            <w:tcW w:w="1369" w:type="dxa"/>
            <w:tcBorders>
              <w:top w:val="nil"/>
              <w:left w:val="nil"/>
              <w:bottom w:val="nil"/>
              <w:right w:val="nil"/>
            </w:tcBorders>
            <w:shd w:val="clear" w:color="auto" w:fill="auto"/>
            <w:hideMark/>
          </w:tcPr>
          <w:p w14:paraId="282CF88E" w14:textId="77777777" w:rsidR="00DF752E" w:rsidRPr="001F1589" w:rsidRDefault="00DF752E">
            <w:pPr>
              <w:jc w:val="cente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hideMark/>
          </w:tcPr>
          <w:p w14:paraId="6048396C" w14:textId="77777777" w:rsidR="00DF752E" w:rsidRPr="001F1589" w:rsidRDefault="00DF752E">
            <w:pPr>
              <w:rPr>
                <w:rFonts w:eastAsia="Times New Roman"/>
                <w:color w:val="000000" w:themeColor="text1"/>
                <w:sz w:val="22"/>
                <w:szCs w:val="20"/>
              </w:rPr>
            </w:pPr>
          </w:p>
        </w:tc>
        <w:tc>
          <w:tcPr>
            <w:tcW w:w="1012" w:type="dxa"/>
            <w:tcBorders>
              <w:top w:val="nil"/>
              <w:left w:val="nil"/>
              <w:bottom w:val="nil"/>
              <w:right w:val="nil"/>
            </w:tcBorders>
            <w:shd w:val="clear" w:color="auto" w:fill="auto"/>
            <w:hideMark/>
          </w:tcPr>
          <w:p w14:paraId="4DCFDC45" w14:textId="77777777" w:rsidR="00DF752E" w:rsidRPr="001F1589" w:rsidRDefault="00DF752E">
            <w:pPr>
              <w:rPr>
                <w:rFonts w:eastAsia="Times New Roman"/>
                <w:color w:val="000000" w:themeColor="text1"/>
                <w:sz w:val="22"/>
                <w:szCs w:val="20"/>
              </w:rPr>
            </w:pPr>
          </w:p>
        </w:tc>
        <w:tc>
          <w:tcPr>
            <w:tcW w:w="1995" w:type="dxa"/>
            <w:tcBorders>
              <w:top w:val="nil"/>
              <w:left w:val="nil"/>
              <w:bottom w:val="nil"/>
              <w:right w:val="nil"/>
            </w:tcBorders>
            <w:shd w:val="clear" w:color="auto" w:fill="auto"/>
            <w:hideMark/>
          </w:tcPr>
          <w:p w14:paraId="3A421C75" w14:textId="77777777" w:rsidR="00DF752E" w:rsidRPr="001F1589" w:rsidRDefault="00DF752E">
            <w:pPr>
              <w:rPr>
                <w:rFonts w:eastAsia="Times New Roman"/>
                <w:color w:val="000000" w:themeColor="text1"/>
                <w:sz w:val="22"/>
                <w:szCs w:val="20"/>
              </w:rPr>
            </w:pPr>
          </w:p>
        </w:tc>
        <w:tc>
          <w:tcPr>
            <w:tcW w:w="1065" w:type="dxa"/>
            <w:tcBorders>
              <w:top w:val="nil"/>
              <w:left w:val="nil"/>
              <w:bottom w:val="nil"/>
              <w:right w:val="nil"/>
            </w:tcBorders>
            <w:shd w:val="clear" w:color="auto" w:fill="auto"/>
            <w:hideMark/>
          </w:tcPr>
          <w:p w14:paraId="154A82BB" w14:textId="77777777" w:rsidR="00DF752E" w:rsidRPr="001F1589" w:rsidRDefault="00DF752E">
            <w:pPr>
              <w:rPr>
                <w:rFonts w:eastAsia="Times New Roman"/>
                <w:color w:val="000000" w:themeColor="text1"/>
                <w:sz w:val="22"/>
                <w:szCs w:val="20"/>
              </w:rPr>
            </w:pPr>
          </w:p>
        </w:tc>
        <w:tc>
          <w:tcPr>
            <w:tcW w:w="1350" w:type="dxa"/>
            <w:tcBorders>
              <w:top w:val="nil"/>
              <w:left w:val="nil"/>
              <w:bottom w:val="nil"/>
              <w:right w:val="nil"/>
            </w:tcBorders>
            <w:shd w:val="clear" w:color="auto" w:fill="auto"/>
            <w:noWrap/>
            <w:hideMark/>
          </w:tcPr>
          <w:p w14:paraId="66860BAF" w14:textId="77777777" w:rsidR="00DF752E" w:rsidRPr="001F1589" w:rsidRDefault="00DF752E">
            <w:pPr>
              <w:rPr>
                <w:rFonts w:eastAsia="Times New Roman"/>
                <w:color w:val="000000" w:themeColor="text1"/>
                <w:sz w:val="22"/>
                <w:szCs w:val="20"/>
              </w:rPr>
            </w:pPr>
          </w:p>
        </w:tc>
      </w:tr>
      <w:tr w:rsidR="001F1589" w:rsidRPr="001F1589" w14:paraId="19BD47F5" w14:textId="77777777" w:rsidTr="00DF752E">
        <w:trPr>
          <w:trHeight w:val="20"/>
        </w:trPr>
        <w:tc>
          <w:tcPr>
            <w:tcW w:w="1369" w:type="dxa"/>
            <w:tcBorders>
              <w:top w:val="nil"/>
              <w:left w:val="nil"/>
              <w:bottom w:val="nil"/>
              <w:right w:val="nil"/>
            </w:tcBorders>
            <w:shd w:val="clear" w:color="auto" w:fill="auto"/>
            <w:hideMark/>
          </w:tcPr>
          <w:p w14:paraId="732A33E3"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Advanced</w:t>
            </w:r>
          </w:p>
        </w:tc>
        <w:tc>
          <w:tcPr>
            <w:tcW w:w="2659" w:type="dxa"/>
            <w:tcBorders>
              <w:top w:val="nil"/>
              <w:left w:val="nil"/>
              <w:bottom w:val="nil"/>
              <w:right w:val="nil"/>
            </w:tcBorders>
            <w:shd w:val="clear" w:color="auto" w:fill="auto"/>
            <w:hideMark/>
          </w:tcPr>
          <w:p w14:paraId="35158659"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Inverse-variance weighted</w:t>
            </w:r>
          </w:p>
        </w:tc>
        <w:tc>
          <w:tcPr>
            <w:tcW w:w="1012" w:type="dxa"/>
            <w:tcBorders>
              <w:top w:val="nil"/>
              <w:left w:val="nil"/>
              <w:bottom w:val="nil"/>
              <w:right w:val="nil"/>
            </w:tcBorders>
            <w:shd w:val="clear" w:color="auto" w:fill="auto"/>
            <w:hideMark/>
          </w:tcPr>
          <w:p w14:paraId="15CFD9FA"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61EA16E6"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(0.90, 1.16)</w:t>
            </w:r>
          </w:p>
        </w:tc>
        <w:tc>
          <w:tcPr>
            <w:tcW w:w="1065" w:type="dxa"/>
            <w:tcBorders>
              <w:top w:val="nil"/>
              <w:left w:val="nil"/>
              <w:bottom w:val="nil"/>
              <w:right w:val="nil"/>
            </w:tcBorders>
            <w:shd w:val="clear" w:color="auto" w:fill="auto"/>
            <w:hideMark/>
          </w:tcPr>
          <w:p w14:paraId="6C7D4F8B"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0.72</w:t>
            </w:r>
          </w:p>
        </w:tc>
        <w:tc>
          <w:tcPr>
            <w:tcW w:w="1350" w:type="dxa"/>
            <w:tcBorders>
              <w:top w:val="nil"/>
              <w:left w:val="nil"/>
              <w:bottom w:val="nil"/>
              <w:right w:val="nil"/>
            </w:tcBorders>
            <w:shd w:val="clear" w:color="auto" w:fill="auto"/>
            <w:noWrap/>
            <w:hideMark/>
          </w:tcPr>
          <w:p w14:paraId="1E61671B"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0.58</w:t>
            </w:r>
          </w:p>
        </w:tc>
      </w:tr>
      <w:tr w:rsidR="001F1589" w:rsidRPr="001F1589" w14:paraId="4A68911D" w14:textId="77777777" w:rsidTr="00DF752E">
        <w:trPr>
          <w:trHeight w:val="20"/>
        </w:trPr>
        <w:tc>
          <w:tcPr>
            <w:tcW w:w="1369" w:type="dxa"/>
            <w:tcBorders>
              <w:top w:val="nil"/>
              <w:left w:val="nil"/>
              <w:bottom w:val="nil"/>
              <w:right w:val="nil"/>
            </w:tcBorders>
            <w:shd w:val="clear" w:color="auto" w:fill="auto"/>
            <w:hideMark/>
          </w:tcPr>
          <w:p w14:paraId="0D7E50FB"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Advanced</w:t>
            </w:r>
          </w:p>
        </w:tc>
        <w:tc>
          <w:tcPr>
            <w:tcW w:w="2659" w:type="dxa"/>
            <w:tcBorders>
              <w:top w:val="nil"/>
              <w:left w:val="nil"/>
              <w:bottom w:val="nil"/>
              <w:right w:val="nil"/>
            </w:tcBorders>
            <w:shd w:val="clear" w:color="auto" w:fill="auto"/>
            <w:hideMark/>
          </w:tcPr>
          <w:p w14:paraId="41F571E5"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Maximum likelihood</w:t>
            </w:r>
          </w:p>
        </w:tc>
        <w:tc>
          <w:tcPr>
            <w:tcW w:w="1012" w:type="dxa"/>
            <w:tcBorders>
              <w:top w:val="nil"/>
              <w:left w:val="nil"/>
              <w:bottom w:val="nil"/>
              <w:right w:val="nil"/>
            </w:tcBorders>
            <w:shd w:val="clear" w:color="auto" w:fill="auto"/>
            <w:hideMark/>
          </w:tcPr>
          <w:p w14:paraId="001F2753"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1.02</w:t>
            </w:r>
          </w:p>
        </w:tc>
        <w:tc>
          <w:tcPr>
            <w:tcW w:w="1995" w:type="dxa"/>
            <w:tcBorders>
              <w:top w:val="nil"/>
              <w:left w:val="nil"/>
              <w:bottom w:val="nil"/>
              <w:right w:val="nil"/>
            </w:tcBorders>
            <w:shd w:val="clear" w:color="auto" w:fill="auto"/>
            <w:hideMark/>
          </w:tcPr>
          <w:p w14:paraId="4634596B"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(0.90, 1.16)</w:t>
            </w:r>
          </w:p>
        </w:tc>
        <w:tc>
          <w:tcPr>
            <w:tcW w:w="1065" w:type="dxa"/>
            <w:tcBorders>
              <w:top w:val="nil"/>
              <w:left w:val="nil"/>
              <w:bottom w:val="nil"/>
              <w:right w:val="nil"/>
            </w:tcBorders>
            <w:shd w:val="clear" w:color="auto" w:fill="auto"/>
            <w:hideMark/>
          </w:tcPr>
          <w:p w14:paraId="61573589"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0.72</w:t>
            </w:r>
          </w:p>
        </w:tc>
        <w:tc>
          <w:tcPr>
            <w:tcW w:w="1350" w:type="dxa"/>
            <w:tcBorders>
              <w:top w:val="nil"/>
              <w:left w:val="nil"/>
              <w:bottom w:val="nil"/>
              <w:right w:val="nil"/>
            </w:tcBorders>
            <w:shd w:val="clear" w:color="auto" w:fill="auto"/>
            <w:noWrap/>
            <w:hideMark/>
          </w:tcPr>
          <w:p w14:paraId="69ADC4EC"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1F1589" w:rsidRPr="001F1589" w14:paraId="67E0C7F0" w14:textId="77777777" w:rsidTr="00DF752E">
        <w:trPr>
          <w:trHeight w:val="20"/>
        </w:trPr>
        <w:tc>
          <w:tcPr>
            <w:tcW w:w="1369" w:type="dxa"/>
            <w:tcBorders>
              <w:top w:val="nil"/>
              <w:left w:val="nil"/>
              <w:bottom w:val="nil"/>
              <w:right w:val="nil"/>
            </w:tcBorders>
            <w:shd w:val="clear" w:color="auto" w:fill="auto"/>
            <w:hideMark/>
          </w:tcPr>
          <w:p w14:paraId="2893D749"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Advanced</w:t>
            </w:r>
          </w:p>
        </w:tc>
        <w:tc>
          <w:tcPr>
            <w:tcW w:w="2659" w:type="dxa"/>
            <w:tcBorders>
              <w:top w:val="nil"/>
              <w:left w:val="nil"/>
              <w:bottom w:val="nil"/>
              <w:right w:val="nil"/>
            </w:tcBorders>
            <w:shd w:val="clear" w:color="auto" w:fill="auto"/>
            <w:hideMark/>
          </w:tcPr>
          <w:p w14:paraId="4AB6C584"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MR-Egger</w:t>
            </w:r>
          </w:p>
        </w:tc>
        <w:tc>
          <w:tcPr>
            <w:tcW w:w="1012" w:type="dxa"/>
            <w:tcBorders>
              <w:top w:val="nil"/>
              <w:left w:val="nil"/>
              <w:bottom w:val="nil"/>
              <w:right w:val="nil"/>
            </w:tcBorders>
            <w:shd w:val="clear" w:color="auto" w:fill="auto"/>
            <w:hideMark/>
          </w:tcPr>
          <w:p w14:paraId="60C4230E"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1.06</w:t>
            </w:r>
          </w:p>
        </w:tc>
        <w:tc>
          <w:tcPr>
            <w:tcW w:w="1995" w:type="dxa"/>
            <w:tcBorders>
              <w:top w:val="nil"/>
              <w:left w:val="nil"/>
              <w:bottom w:val="nil"/>
              <w:right w:val="nil"/>
            </w:tcBorders>
            <w:shd w:val="clear" w:color="auto" w:fill="auto"/>
            <w:hideMark/>
          </w:tcPr>
          <w:p w14:paraId="5F81C293"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(0.78, 1.43)</w:t>
            </w:r>
          </w:p>
        </w:tc>
        <w:tc>
          <w:tcPr>
            <w:tcW w:w="1065" w:type="dxa"/>
            <w:tcBorders>
              <w:top w:val="nil"/>
              <w:left w:val="nil"/>
              <w:bottom w:val="nil"/>
              <w:right w:val="nil"/>
            </w:tcBorders>
            <w:shd w:val="clear" w:color="auto" w:fill="auto"/>
            <w:hideMark/>
          </w:tcPr>
          <w:p w14:paraId="10127039"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0.62</w:t>
            </w:r>
          </w:p>
        </w:tc>
        <w:tc>
          <w:tcPr>
            <w:tcW w:w="1350" w:type="dxa"/>
            <w:tcBorders>
              <w:top w:val="nil"/>
              <w:left w:val="nil"/>
              <w:bottom w:val="nil"/>
              <w:right w:val="nil"/>
            </w:tcBorders>
            <w:shd w:val="clear" w:color="auto" w:fill="auto"/>
            <w:noWrap/>
            <w:hideMark/>
          </w:tcPr>
          <w:p w14:paraId="2E6806FC"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0.72</w:t>
            </w:r>
          </w:p>
        </w:tc>
      </w:tr>
      <w:tr w:rsidR="00F628DE" w:rsidRPr="001F1589" w14:paraId="5CAEC076" w14:textId="77777777" w:rsidTr="00641A76">
        <w:trPr>
          <w:trHeight w:val="20"/>
        </w:trPr>
        <w:tc>
          <w:tcPr>
            <w:tcW w:w="1369" w:type="dxa"/>
            <w:tcBorders>
              <w:top w:val="nil"/>
              <w:left w:val="nil"/>
              <w:bottom w:val="nil"/>
              <w:right w:val="nil"/>
            </w:tcBorders>
            <w:shd w:val="clear" w:color="auto" w:fill="auto"/>
          </w:tcPr>
          <w:p w14:paraId="627F2E1E" w14:textId="77777777" w:rsidR="00F628DE" w:rsidRPr="001F1589" w:rsidRDefault="00F628DE" w:rsidP="00641A76">
            <w:pPr>
              <w:rPr>
                <w:rFonts w:ascii="Calibri" w:eastAsia="Times New Roman" w:hAnsi="Calibri"/>
                <w:color w:val="000000" w:themeColor="text1"/>
                <w:sz w:val="22"/>
                <w:szCs w:val="22"/>
              </w:rPr>
            </w:pPr>
          </w:p>
        </w:tc>
        <w:tc>
          <w:tcPr>
            <w:tcW w:w="2659" w:type="dxa"/>
            <w:tcBorders>
              <w:top w:val="nil"/>
              <w:left w:val="nil"/>
              <w:bottom w:val="nil"/>
              <w:right w:val="nil"/>
            </w:tcBorders>
            <w:shd w:val="clear" w:color="auto" w:fill="auto"/>
          </w:tcPr>
          <w:p w14:paraId="441921EB" w14:textId="77777777" w:rsidR="00F628DE" w:rsidRPr="00F87E42" w:rsidRDefault="00F628DE" w:rsidP="00641A76">
            <w:pPr>
              <w:rPr>
                <w:rFonts w:ascii="Calibri" w:eastAsia="Times New Roman" w:hAnsi="Calibri"/>
                <w:color w:val="0432FF"/>
                <w:sz w:val="22"/>
                <w:szCs w:val="22"/>
              </w:rPr>
            </w:pPr>
            <w:r w:rsidRPr="00F87E42">
              <w:rPr>
                <w:rFonts w:ascii="Calibri" w:eastAsia="Times New Roman" w:hAnsi="Calibri"/>
                <w:color w:val="0432FF"/>
                <w:sz w:val="22"/>
                <w:szCs w:val="22"/>
              </w:rPr>
              <w:t>MR-Egger intercept</w:t>
            </w:r>
          </w:p>
        </w:tc>
        <w:tc>
          <w:tcPr>
            <w:tcW w:w="1012" w:type="dxa"/>
            <w:tcBorders>
              <w:top w:val="nil"/>
              <w:left w:val="nil"/>
              <w:bottom w:val="nil"/>
              <w:right w:val="nil"/>
            </w:tcBorders>
            <w:shd w:val="clear" w:color="auto" w:fill="auto"/>
          </w:tcPr>
          <w:p w14:paraId="1337193A" w14:textId="77777777" w:rsidR="00F628DE" w:rsidRPr="00F87E42" w:rsidRDefault="00F628DE" w:rsidP="00641A76">
            <w:pPr>
              <w:jc w:val="center"/>
              <w:rPr>
                <w:rFonts w:ascii="Calibri" w:eastAsia="Times New Roman" w:hAnsi="Calibri"/>
                <w:color w:val="0432FF"/>
                <w:sz w:val="22"/>
                <w:szCs w:val="22"/>
              </w:rPr>
            </w:pPr>
          </w:p>
        </w:tc>
        <w:tc>
          <w:tcPr>
            <w:tcW w:w="1995" w:type="dxa"/>
            <w:tcBorders>
              <w:top w:val="nil"/>
              <w:left w:val="nil"/>
              <w:bottom w:val="nil"/>
              <w:right w:val="nil"/>
            </w:tcBorders>
            <w:shd w:val="clear" w:color="auto" w:fill="auto"/>
          </w:tcPr>
          <w:p w14:paraId="43CF8C47" w14:textId="77777777" w:rsidR="00F628DE" w:rsidRPr="00F87E42" w:rsidRDefault="00F628DE" w:rsidP="00641A76">
            <w:pPr>
              <w:jc w:val="center"/>
              <w:rPr>
                <w:rFonts w:ascii="Calibri" w:eastAsia="Times New Roman" w:hAnsi="Calibri"/>
                <w:color w:val="0432FF"/>
                <w:sz w:val="22"/>
                <w:szCs w:val="22"/>
              </w:rPr>
            </w:pPr>
          </w:p>
        </w:tc>
        <w:tc>
          <w:tcPr>
            <w:tcW w:w="2415" w:type="dxa"/>
            <w:gridSpan w:val="2"/>
            <w:tcBorders>
              <w:top w:val="nil"/>
              <w:left w:val="nil"/>
              <w:bottom w:val="nil"/>
              <w:right w:val="nil"/>
            </w:tcBorders>
            <w:shd w:val="clear" w:color="auto" w:fill="auto"/>
          </w:tcPr>
          <w:p w14:paraId="0C456134" w14:textId="324FF19F" w:rsidR="00F628DE" w:rsidRPr="00F87E42" w:rsidRDefault="006E7FB4" w:rsidP="00641A76">
            <w:pPr>
              <w:jc w:val="center"/>
              <w:rPr>
                <w:rFonts w:ascii="Calibri" w:eastAsia="Times New Roman" w:hAnsi="Calibri"/>
                <w:color w:val="0432FF"/>
                <w:sz w:val="22"/>
                <w:szCs w:val="22"/>
              </w:rPr>
            </w:pPr>
            <w:r>
              <w:rPr>
                <w:rFonts w:ascii="Calibri" w:eastAsia="Times New Roman" w:hAnsi="Calibri"/>
                <w:color w:val="0432FF"/>
                <w:sz w:val="22"/>
                <w:szCs w:val="22"/>
              </w:rPr>
              <w:sym w:font="Symbol" w:char="F02D"/>
            </w:r>
            <w:r>
              <w:rPr>
                <w:rFonts w:ascii="Calibri" w:eastAsia="Times New Roman" w:hAnsi="Calibri"/>
                <w:color w:val="0432FF"/>
                <w:sz w:val="22"/>
                <w:szCs w:val="22"/>
              </w:rPr>
              <w:t>0.004</w:t>
            </w:r>
            <w:r w:rsidR="00F628DE">
              <w:rPr>
                <w:rFonts w:ascii="Calibri" w:eastAsia="Times New Roman" w:hAnsi="Calibri"/>
                <w:color w:val="0432FF"/>
                <w:sz w:val="22"/>
                <w:szCs w:val="22"/>
              </w:rPr>
              <w:t>(</w:t>
            </w:r>
            <w:r>
              <w:rPr>
                <w:rFonts w:ascii="Calibri" w:eastAsia="Times New Roman" w:hAnsi="Calibri"/>
                <w:color w:val="0432FF"/>
                <w:sz w:val="22"/>
                <w:szCs w:val="22"/>
              </w:rPr>
              <w:sym w:font="Symbol" w:char="F02D"/>
            </w:r>
            <w:r>
              <w:rPr>
                <w:rFonts w:ascii="Calibri" w:eastAsia="Times New Roman" w:hAnsi="Calibri"/>
                <w:color w:val="0432FF"/>
                <w:sz w:val="22"/>
                <w:szCs w:val="22"/>
              </w:rPr>
              <w:t>0.035-0.026</w:t>
            </w:r>
            <w:r w:rsidR="00F628DE">
              <w:rPr>
                <w:rFonts w:ascii="Calibri" w:eastAsia="Times New Roman" w:hAnsi="Calibri"/>
                <w:color w:val="0432FF"/>
                <w:sz w:val="22"/>
                <w:szCs w:val="22"/>
              </w:rPr>
              <w:t>)</w:t>
            </w:r>
          </w:p>
        </w:tc>
      </w:tr>
      <w:tr w:rsidR="001F1589" w:rsidRPr="001F1589" w14:paraId="4DD35723" w14:textId="77777777" w:rsidTr="00DF752E">
        <w:trPr>
          <w:trHeight w:val="20"/>
        </w:trPr>
        <w:tc>
          <w:tcPr>
            <w:tcW w:w="1369" w:type="dxa"/>
            <w:tcBorders>
              <w:top w:val="nil"/>
              <w:left w:val="nil"/>
              <w:bottom w:val="nil"/>
              <w:right w:val="nil"/>
            </w:tcBorders>
            <w:shd w:val="clear" w:color="auto" w:fill="auto"/>
            <w:hideMark/>
          </w:tcPr>
          <w:p w14:paraId="35632C96"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Advanced</w:t>
            </w:r>
          </w:p>
        </w:tc>
        <w:tc>
          <w:tcPr>
            <w:tcW w:w="2659" w:type="dxa"/>
            <w:tcBorders>
              <w:top w:val="nil"/>
              <w:left w:val="nil"/>
              <w:bottom w:val="nil"/>
              <w:right w:val="nil"/>
            </w:tcBorders>
            <w:shd w:val="clear" w:color="auto" w:fill="auto"/>
            <w:hideMark/>
          </w:tcPr>
          <w:p w14:paraId="38B24DA2" w14:textId="77777777"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Weighted Median</w:t>
            </w:r>
          </w:p>
        </w:tc>
        <w:tc>
          <w:tcPr>
            <w:tcW w:w="1012" w:type="dxa"/>
            <w:tcBorders>
              <w:top w:val="nil"/>
              <w:left w:val="nil"/>
              <w:bottom w:val="nil"/>
              <w:right w:val="nil"/>
            </w:tcBorders>
            <w:shd w:val="clear" w:color="auto" w:fill="auto"/>
            <w:hideMark/>
          </w:tcPr>
          <w:p w14:paraId="2B59233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1.05</w:t>
            </w:r>
          </w:p>
        </w:tc>
        <w:tc>
          <w:tcPr>
            <w:tcW w:w="1995" w:type="dxa"/>
            <w:tcBorders>
              <w:top w:val="nil"/>
              <w:left w:val="nil"/>
              <w:bottom w:val="nil"/>
              <w:right w:val="nil"/>
            </w:tcBorders>
            <w:shd w:val="clear" w:color="auto" w:fill="auto"/>
            <w:hideMark/>
          </w:tcPr>
          <w:p w14:paraId="15A87C8D"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(0.91, 1.21)</w:t>
            </w:r>
          </w:p>
        </w:tc>
        <w:tc>
          <w:tcPr>
            <w:tcW w:w="1065" w:type="dxa"/>
            <w:tcBorders>
              <w:top w:val="nil"/>
              <w:left w:val="nil"/>
              <w:bottom w:val="nil"/>
              <w:right w:val="nil"/>
            </w:tcBorders>
            <w:shd w:val="clear" w:color="auto" w:fill="auto"/>
            <w:hideMark/>
          </w:tcPr>
          <w:p w14:paraId="7BBEEDF5"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0.49</w:t>
            </w:r>
          </w:p>
        </w:tc>
        <w:tc>
          <w:tcPr>
            <w:tcW w:w="1350" w:type="dxa"/>
            <w:tcBorders>
              <w:top w:val="nil"/>
              <w:left w:val="nil"/>
              <w:bottom w:val="nil"/>
              <w:right w:val="nil"/>
            </w:tcBorders>
            <w:shd w:val="clear" w:color="auto" w:fill="auto"/>
            <w:noWrap/>
            <w:hideMark/>
          </w:tcPr>
          <w:p w14:paraId="66BBCDCE" w14:textId="77777777" w:rsidR="00DF752E" w:rsidRPr="001F1589" w:rsidRDefault="00DF752E">
            <w:pPr>
              <w:jc w:val="cente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w:t>
            </w:r>
          </w:p>
        </w:tc>
      </w:tr>
      <w:tr w:rsidR="00DF752E" w:rsidRPr="001F1589" w14:paraId="2EED180A" w14:textId="77777777" w:rsidTr="00DF752E">
        <w:trPr>
          <w:trHeight w:val="20"/>
        </w:trPr>
        <w:tc>
          <w:tcPr>
            <w:tcW w:w="9450" w:type="dxa"/>
            <w:gridSpan w:val="6"/>
            <w:tcBorders>
              <w:top w:val="single" w:sz="8" w:space="0" w:color="auto"/>
              <w:left w:val="nil"/>
              <w:bottom w:val="nil"/>
              <w:right w:val="nil"/>
            </w:tcBorders>
            <w:shd w:val="clear" w:color="auto" w:fill="auto"/>
            <w:hideMark/>
          </w:tcPr>
          <w:p w14:paraId="3FC2CADB" w14:textId="0937096E" w:rsidR="00DF752E" w:rsidRPr="001F1589" w:rsidRDefault="00DF752E">
            <w:pPr>
              <w:rPr>
                <w:rFonts w:ascii="Calibri" w:eastAsia="Times New Roman" w:hAnsi="Calibri"/>
                <w:color w:val="000000" w:themeColor="text1"/>
                <w:sz w:val="22"/>
                <w:szCs w:val="22"/>
              </w:rPr>
            </w:pPr>
            <w:r w:rsidRPr="001F1589">
              <w:rPr>
                <w:rFonts w:ascii="Calibri" w:eastAsia="Times New Roman" w:hAnsi="Calibri"/>
                <w:color w:val="000000" w:themeColor="text1"/>
                <w:sz w:val="22"/>
                <w:szCs w:val="22"/>
              </w:rPr>
              <w:t>NA: not applicable. The odds ratios represent increase/decrease of risk per 25nmol/L increase in 25(OH)D. # P</w:t>
            </w:r>
            <w:r w:rsidRPr="001F1589">
              <w:rPr>
                <w:rFonts w:ascii="Calibri" w:eastAsia="Times New Roman" w:hAnsi="Calibri"/>
                <w:color w:val="000000" w:themeColor="text1"/>
                <w:sz w:val="22"/>
                <w:szCs w:val="22"/>
                <w:vertAlign w:val="subscript"/>
              </w:rPr>
              <w:t>het</w:t>
            </w:r>
            <w:r w:rsidRPr="001F1589">
              <w:rPr>
                <w:rFonts w:ascii="Calibri" w:eastAsia="Times New Roman" w:hAnsi="Calibri"/>
                <w:color w:val="000000" w:themeColor="text1"/>
                <w:sz w:val="22"/>
                <w:szCs w:val="22"/>
              </w:rPr>
              <w:t>: P-values of Chi-square Q test for heterogeneity were shown; P</w:t>
            </w:r>
            <w:r w:rsidRPr="001F1589">
              <w:rPr>
                <w:rFonts w:ascii="Calibri" w:eastAsia="Times New Roman" w:hAnsi="Calibri"/>
                <w:color w:val="000000" w:themeColor="text1"/>
                <w:sz w:val="22"/>
                <w:szCs w:val="22"/>
                <w:vertAlign w:val="subscript"/>
              </w:rPr>
              <w:t>int</w:t>
            </w:r>
            <w:r w:rsidRPr="001F1589">
              <w:rPr>
                <w:rFonts w:ascii="Calibri" w:eastAsia="Times New Roman" w:hAnsi="Calibri"/>
                <w:color w:val="000000" w:themeColor="text1"/>
                <w:sz w:val="22"/>
                <w:szCs w:val="22"/>
              </w:rPr>
              <w:t xml:space="preserve"> P-values of MR-Egger regression test on the intercept.</w:t>
            </w:r>
          </w:p>
        </w:tc>
      </w:tr>
    </w:tbl>
    <w:p w14:paraId="6D14216B" w14:textId="77777777" w:rsidR="00FC29F2" w:rsidRPr="001F1589" w:rsidRDefault="00FC29F2" w:rsidP="00F74DB3">
      <w:pPr>
        <w:spacing w:after="120"/>
        <w:jc w:val="both"/>
        <w:rPr>
          <w:color w:val="000000" w:themeColor="text1"/>
          <w:lang w:val="en-GB"/>
        </w:rPr>
      </w:pPr>
    </w:p>
    <w:p w14:paraId="038CC891" w14:textId="052A782D" w:rsidR="00554364" w:rsidRDefault="00554364" w:rsidP="00DE0FDF">
      <w:pPr>
        <w:spacing w:after="120" w:line="480" w:lineRule="auto"/>
        <w:jc w:val="both"/>
        <w:rPr>
          <w:color w:val="000000" w:themeColor="text1"/>
        </w:rPr>
      </w:pPr>
    </w:p>
    <w:p w14:paraId="72C466CF" w14:textId="77777777" w:rsidR="00364FB7" w:rsidRDefault="00364FB7" w:rsidP="00DE0FDF">
      <w:pPr>
        <w:spacing w:after="120" w:line="480" w:lineRule="auto"/>
        <w:jc w:val="both"/>
        <w:rPr>
          <w:color w:val="000000" w:themeColor="text1"/>
        </w:rPr>
      </w:pPr>
    </w:p>
    <w:p w14:paraId="73A8FDBF" w14:textId="77777777" w:rsidR="00364FB7" w:rsidRDefault="00364FB7" w:rsidP="00DE0FDF">
      <w:pPr>
        <w:spacing w:after="120" w:line="480" w:lineRule="auto"/>
        <w:jc w:val="both"/>
        <w:rPr>
          <w:color w:val="000000" w:themeColor="text1"/>
        </w:rPr>
      </w:pPr>
    </w:p>
    <w:p w14:paraId="351B6D9E" w14:textId="77777777" w:rsidR="00364FB7" w:rsidRDefault="00364FB7" w:rsidP="00DE0FDF">
      <w:pPr>
        <w:spacing w:after="120" w:line="480" w:lineRule="auto"/>
        <w:jc w:val="both"/>
        <w:rPr>
          <w:color w:val="000000" w:themeColor="text1"/>
        </w:rPr>
      </w:pPr>
    </w:p>
    <w:p w14:paraId="0129E1A2" w14:textId="77777777" w:rsidR="00364FB7" w:rsidRPr="001F1589" w:rsidRDefault="00364FB7" w:rsidP="00DE0FDF">
      <w:pPr>
        <w:spacing w:after="120" w:line="480" w:lineRule="auto"/>
        <w:jc w:val="both"/>
        <w:rPr>
          <w:color w:val="000000" w:themeColor="text1"/>
        </w:rPr>
      </w:pPr>
    </w:p>
    <w:tbl>
      <w:tblPr>
        <w:tblW w:w="5840" w:type="dxa"/>
        <w:tblLook w:val="04A0" w:firstRow="1" w:lastRow="0" w:firstColumn="1" w:lastColumn="0" w:noHBand="0" w:noVBand="1"/>
      </w:tblPr>
      <w:tblGrid>
        <w:gridCol w:w="1900"/>
        <w:gridCol w:w="1000"/>
        <w:gridCol w:w="1480"/>
        <w:gridCol w:w="1460"/>
      </w:tblGrid>
      <w:tr w:rsidR="001F1589" w:rsidRPr="001F1589" w14:paraId="07CEA6AB" w14:textId="77777777" w:rsidTr="00A636B6">
        <w:trPr>
          <w:trHeight w:val="20"/>
        </w:trPr>
        <w:tc>
          <w:tcPr>
            <w:tcW w:w="5840" w:type="dxa"/>
            <w:gridSpan w:val="4"/>
            <w:tcBorders>
              <w:top w:val="nil"/>
              <w:left w:val="nil"/>
              <w:bottom w:val="single" w:sz="8" w:space="0" w:color="auto"/>
              <w:right w:val="nil"/>
            </w:tcBorders>
            <w:shd w:val="clear" w:color="auto" w:fill="auto"/>
            <w:hideMark/>
          </w:tcPr>
          <w:p w14:paraId="59F785A3" w14:textId="77777777" w:rsidR="00A636B6" w:rsidRPr="001F1589" w:rsidRDefault="00A636B6">
            <w:pPr>
              <w:rPr>
                <w:rFonts w:ascii="Calibri" w:eastAsia="Times New Roman" w:hAnsi="Calibri"/>
                <w:b/>
                <w:bCs/>
                <w:color w:val="000000" w:themeColor="text1"/>
                <w:sz w:val="20"/>
              </w:rPr>
            </w:pPr>
            <w:r w:rsidRPr="001F1589">
              <w:rPr>
                <w:rFonts w:ascii="Calibri" w:eastAsia="Times New Roman" w:hAnsi="Calibri"/>
                <w:b/>
                <w:bCs/>
                <w:color w:val="000000" w:themeColor="text1"/>
                <w:sz w:val="20"/>
              </w:rPr>
              <w:lastRenderedPageBreak/>
              <w:t>Table 4. Mendelian Randomization estimates between genetically predicted 25(OH)D and cancer risk, a sensitivity analysis leaving one SNP out at a time.</w:t>
            </w:r>
          </w:p>
        </w:tc>
      </w:tr>
      <w:tr w:rsidR="001F1589" w:rsidRPr="001F1589" w14:paraId="5CB1F8B8" w14:textId="77777777" w:rsidTr="00A636B6">
        <w:trPr>
          <w:trHeight w:val="20"/>
        </w:trPr>
        <w:tc>
          <w:tcPr>
            <w:tcW w:w="1900" w:type="dxa"/>
            <w:tcBorders>
              <w:top w:val="nil"/>
              <w:left w:val="nil"/>
              <w:bottom w:val="single" w:sz="8" w:space="0" w:color="auto"/>
              <w:right w:val="nil"/>
            </w:tcBorders>
            <w:shd w:val="clear" w:color="auto" w:fill="auto"/>
            <w:hideMark/>
          </w:tcPr>
          <w:p w14:paraId="1DDCA98B" w14:textId="77777777" w:rsidR="00A636B6" w:rsidRPr="001F1589" w:rsidRDefault="00A636B6">
            <w:pPr>
              <w:jc w:val="center"/>
              <w:rPr>
                <w:rFonts w:ascii="Calibri" w:eastAsia="Times New Roman" w:hAnsi="Calibri"/>
                <w:color w:val="000000" w:themeColor="text1"/>
                <w:sz w:val="20"/>
              </w:rPr>
            </w:pPr>
            <w:r w:rsidRPr="001F1589">
              <w:rPr>
                <w:rFonts w:ascii="Calibri" w:eastAsia="Times New Roman" w:hAnsi="Calibri"/>
                <w:color w:val="000000" w:themeColor="text1"/>
                <w:sz w:val="20"/>
              </w:rPr>
              <w:t>SNP (left out)</w:t>
            </w:r>
          </w:p>
        </w:tc>
        <w:tc>
          <w:tcPr>
            <w:tcW w:w="1000" w:type="dxa"/>
            <w:tcBorders>
              <w:top w:val="nil"/>
              <w:left w:val="nil"/>
              <w:bottom w:val="single" w:sz="8" w:space="0" w:color="auto"/>
              <w:right w:val="nil"/>
            </w:tcBorders>
            <w:shd w:val="clear" w:color="auto" w:fill="auto"/>
            <w:hideMark/>
          </w:tcPr>
          <w:p w14:paraId="3560EE8C" w14:textId="77777777" w:rsidR="00A636B6" w:rsidRPr="001F1589" w:rsidRDefault="00A636B6">
            <w:pPr>
              <w:jc w:val="center"/>
              <w:rPr>
                <w:rFonts w:ascii="Calibri" w:eastAsia="Times New Roman" w:hAnsi="Calibri"/>
                <w:color w:val="000000" w:themeColor="text1"/>
                <w:sz w:val="20"/>
              </w:rPr>
            </w:pPr>
            <w:r w:rsidRPr="001F1589">
              <w:rPr>
                <w:rFonts w:ascii="Calibri" w:eastAsia="Times New Roman" w:hAnsi="Calibri"/>
                <w:color w:val="000000" w:themeColor="text1"/>
                <w:sz w:val="20"/>
              </w:rPr>
              <w:t>OR</w:t>
            </w:r>
          </w:p>
        </w:tc>
        <w:tc>
          <w:tcPr>
            <w:tcW w:w="1480" w:type="dxa"/>
            <w:tcBorders>
              <w:top w:val="nil"/>
              <w:left w:val="nil"/>
              <w:bottom w:val="single" w:sz="8" w:space="0" w:color="auto"/>
              <w:right w:val="nil"/>
            </w:tcBorders>
            <w:shd w:val="clear" w:color="auto" w:fill="auto"/>
            <w:hideMark/>
          </w:tcPr>
          <w:p w14:paraId="62AC3B69" w14:textId="1F9299E8" w:rsidR="00A636B6" w:rsidRPr="001F1589" w:rsidRDefault="009B66E0">
            <w:pPr>
              <w:jc w:val="center"/>
              <w:rPr>
                <w:rFonts w:ascii="Calibri" w:eastAsia="Times New Roman" w:hAnsi="Calibri"/>
                <w:color w:val="000000" w:themeColor="text1"/>
                <w:sz w:val="20"/>
              </w:rPr>
            </w:pPr>
            <w:r>
              <w:rPr>
                <w:rFonts w:ascii="Calibri" w:eastAsia="Times New Roman" w:hAnsi="Calibri"/>
                <w:color w:val="000000" w:themeColor="text1"/>
                <w:sz w:val="20"/>
              </w:rPr>
              <w:t>95%</w:t>
            </w:r>
            <w:r w:rsidR="00A636B6" w:rsidRPr="001F1589">
              <w:rPr>
                <w:rFonts w:ascii="Calibri" w:eastAsia="Times New Roman" w:hAnsi="Calibri"/>
                <w:color w:val="000000" w:themeColor="text1"/>
                <w:sz w:val="20"/>
              </w:rPr>
              <w:t>CI</w:t>
            </w:r>
          </w:p>
        </w:tc>
        <w:tc>
          <w:tcPr>
            <w:tcW w:w="1460" w:type="dxa"/>
            <w:tcBorders>
              <w:top w:val="nil"/>
              <w:left w:val="nil"/>
              <w:bottom w:val="single" w:sz="8" w:space="0" w:color="auto"/>
              <w:right w:val="nil"/>
            </w:tcBorders>
            <w:shd w:val="clear" w:color="auto" w:fill="auto"/>
            <w:hideMark/>
          </w:tcPr>
          <w:p w14:paraId="04702116" w14:textId="77777777" w:rsidR="00A636B6" w:rsidRPr="001F1589" w:rsidRDefault="00A636B6">
            <w:pPr>
              <w:jc w:val="center"/>
              <w:rPr>
                <w:rFonts w:ascii="Calibri" w:eastAsia="Times New Roman" w:hAnsi="Calibri"/>
                <w:color w:val="000000" w:themeColor="text1"/>
                <w:sz w:val="20"/>
              </w:rPr>
            </w:pPr>
            <w:r w:rsidRPr="001F1589">
              <w:rPr>
                <w:rFonts w:ascii="Calibri" w:eastAsia="Times New Roman" w:hAnsi="Calibri"/>
                <w:color w:val="000000" w:themeColor="text1"/>
                <w:sz w:val="20"/>
              </w:rPr>
              <w:t>P-value</w:t>
            </w:r>
          </w:p>
        </w:tc>
      </w:tr>
      <w:tr w:rsidR="001F1589" w:rsidRPr="001F1589" w14:paraId="30BFB090" w14:textId="77777777" w:rsidTr="00A636B6">
        <w:trPr>
          <w:trHeight w:val="20"/>
        </w:trPr>
        <w:tc>
          <w:tcPr>
            <w:tcW w:w="5840" w:type="dxa"/>
            <w:gridSpan w:val="4"/>
            <w:tcBorders>
              <w:top w:val="single" w:sz="8" w:space="0" w:color="auto"/>
              <w:left w:val="nil"/>
              <w:bottom w:val="nil"/>
              <w:right w:val="nil"/>
            </w:tcBorders>
            <w:shd w:val="clear" w:color="auto" w:fill="auto"/>
            <w:hideMark/>
          </w:tcPr>
          <w:p w14:paraId="329F9FBC" w14:textId="77777777" w:rsidR="00A636B6" w:rsidRPr="001F1589" w:rsidRDefault="00A636B6">
            <w:pPr>
              <w:rPr>
                <w:rFonts w:ascii="Calibri" w:eastAsia="Times New Roman" w:hAnsi="Calibri"/>
                <w:b/>
                <w:bCs/>
                <w:color w:val="000000" w:themeColor="text1"/>
                <w:sz w:val="20"/>
                <w:szCs w:val="22"/>
              </w:rPr>
            </w:pPr>
            <w:r w:rsidRPr="001F1589">
              <w:rPr>
                <w:rFonts w:ascii="Calibri" w:eastAsia="Times New Roman" w:hAnsi="Calibri"/>
                <w:b/>
                <w:bCs/>
                <w:color w:val="000000" w:themeColor="text1"/>
                <w:sz w:val="20"/>
                <w:szCs w:val="22"/>
              </w:rPr>
              <w:t>Overall Breast Cancer</w:t>
            </w:r>
          </w:p>
        </w:tc>
      </w:tr>
      <w:tr w:rsidR="001F1589" w:rsidRPr="001F1589" w14:paraId="2C632519" w14:textId="77777777" w:rsidTr="00A636B6">
        <w:trPr>
          <w:trHeight w:val="20"/>
        </w:trPr>
        <w:tc>
          <w:tcPr>
            <w:tcW w:w="1900" w:type="dxa"/>
            <w:tcBorders>
              <w:top w:val="nil"/>
              <w:left w:val="nil"/>
              <w:bottom w:val="nil"/>
              <w:right w:val="nil"/>
            </w:tcBorders>
            <w:shd w:val="clear" w:color="auto" w:fill="auto"/>
            <w:hideMark/>
          </w:tcPr>
          <w:p w14:paraId="44E53FCE"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rs3755967</w:t>
            </w:r>
          </w:p>
        </w:tc>
        <w:tc>
          <w:tcPr>
            <w:tcW w:w="1000" w:type="dxa"/>
            <w:tcBorders>
              <w:top w:val="nil"/>
              <w:left w:val="nil"/>
              <w:bottom w:val="nil"/>
              <w:right w:val="nil"/>
            </w:tcBorders>
            <w:shd w:val="clear" w:color="auto" w:fill="auto"/>
            <w:noWrap/>
            <w:hideMark/>
          </w:tcPr>
          <w:p w14:paraId="29CDA43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1.03</w:t>
            </w:r>
          </w:p>
        </w:tc>
        <w:tc>
          <w:tcPr>
            <w:tcW w:w="1480" w:type="dxa"/>
            <w:tcBorders>
              <w:top w:val="nil"/>
              <w:left w:val="nil"/>
              <w:bottom w:val="nil"/>
              <w:right w:val="nil"/>
            </w:tcBorders>
            <w:shd w:val="clear" w:color="auto" w:fill="auto"/>
            <w:noWrap/>
            <w:hideMark/>
          </w:tcPr>
          <w:p w14:paraId="5121BEC7"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(0.93, 1.15)</w:t>
            </w:r>
          </w:p>
        </w:tc>
        <w:tc>
          <w:tcPr>
            <w:tcW w:w="1460" w:type="dxa"/>
            <w:tcBorders>
              <w:top w:val="nil"/>
              <w:left w:val="nil"/>
              <w:bottom w:val="nil"/>
              <w:right w:val="nil"/>
            </w:tcBorders>
            <w:shd w:val="clear" w:color="auto" w:fill="auto"/>
            <w:noWrap/>
            <w:hideMark/>
          </w:tcPr>
          <w:p w14:paraId="16A0A83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0.55</w:t>
            </w:r>
          </w:p>
        </w:tc>
      </w:tr>
      <w:tr w:rsidR="001F1589" w:rsidRPr="001F1589" w14:paraId="1F36F92E" w14:textId="77777777" w:rsidTr="00A636B6">
        <w:trPr>
          <w:trHeight w:val="20"/>
        </w:trPr>
        <w:tc>
          <w:tcPr>
            <w:tcW w:w="1900" w:type="dxa"/>
            <w:tcBorders>
              <w:top w:val="nil"/>
              <w:left w:val="nil"/>
              <w:bottom w:val="nil"/>
              <w:right w:val="nil"/>
            </w:tcBorders>
            <w:shd w:val="clear" w:color="auto" w:fill="auto"/>
            <w:hideMark/>
          </w:tcPr>
          <w:p w14:paraId="7292EA0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rs10741657</w:t>
            </w:r>
          </w:p>
        </w:tc>
        <w:tc>
          <w:tcPr>
            <w:tcW w:w="1000" w:type="dxa"/>
            <w:tcBorders>
              <w:top w:val="nil"/>
              <w:left w:val="nil"/>
              <w:bottom w:val="nil"/>
              <w:right w:val="nil"/>
            </w:tcBorders>
            <w:shd w:val="clear" w:color="auto" w:fill="auto"/>
            <w:noWrap/>
            <w:hideMark/>
          </w:tcPr>
          <w:p w14:paraId="0927EB8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1.01</w:t>
            </w:r>
          </w:p>
        </w:tc>
        <w:tc>
          <w:tcPr>
            <w:tcW w:w="1480" w:type="dxa"/>
            <w:tcBorders>
              <w:top w:val="nil"/>
              <w:left w:val="nil"/>
              <w:bottom w:val="nil"/>
              <w:right w:val="nil"/>
            </w:tcBorders>
            <w:shd w:val="clear" w:color="auto" w:fill="auto"/>
            <w:noWrap/>
            <w:hideMark/>
          </w:tcPr>
          <w:p w14:paraId="5B825DB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(0.95, 1.07)</w:t>
            </w:r>
          </w:p>
        </w:tc>
        <w:tc>
          <w:tcPr>
            <w:tcW w:w="1460" w:type="dxa"/>
            <w:tcBorders>
              <w:top w:val="nil"/>
              <w:left w:val="nil"/>
              <w:bottom w:val="nil"/>
              <w:right w:val="nil"/>
            </w:tcBorders>
            <w:shd w:val="clear" w:color="auto" w:fill="auto"/>
            <w:noWrap/>
            <w:hideMark/>
          </w:tcPr>
          <w:p w14:paraId="335356D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0.71</w:t>
            </w:r>
          </w:p>
        </w:tc>
      </w:tr>
      <w:tr w:rsidR="001F1589" w:rsidRPr="001F1589" w14:paraId="2C300A76" w14:textId="77777777" w:rsidTr="00A636B6">
        <w:trPr>
          <w:trHeight w:val="20"/>
        </w:trPr>
        <w:tc>
          <w:tcPr>
            <w:tcW w:w="1900" w:type="dxa"/>
            <w:tcBorders>
              <w:top w:val="nil"/>
              <w:left w:val="nil"/>
              <w:bottom w:val="nil"/>
              <w:right w:val="nil"/>
            </w:tcBorders>
            <w:shd w:val="clear" w:color="auto" w:fill="auto"/>
            <w:hideMark/>
          </w:tcPr>
          <w:p w14:paraId="1B021E5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rs12785878</w:t>
            </w:r>
          </w:p>
        </w:tc>
        <w:tc>
          <w:tcPr>
            <w:tcW w:w="1000" w:type="dxa"/>
            <w:tcBorders>
              <w:top w:val="nil"/>
              <w:left w:val="nil"/>
              <w:bottom w:val="nil"/>
              <w:right w:val="nil"/>
            </w:tcBorders>
            <w:shd w:val="clear" w:color="auto" w:fill="auto"/>
            <w:noWrap/>
            <w:hideMark/>
          </w:tcPr>
          <w:p w14:paraId="3B52FE7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1.03</w:t>
            </w:r>
          </w:p>
        </w:tc>
        <w:tc>
          <w:tcPr>
            <w:tcW w:w="1480" w:type="dxa"/>
            <w:tcBorders>
              <w:top w:val="nil"/>
              <w:left w:val="nil"/>
              <w:bottom w:val="nil"/>
              <w:right w:val="nil"/>
            </w:tcBorders>
            <w:shd w:val="clear" w:color="auto" w:fill="auto"/>
            <w:noWrap/>
            <w:hideMark/>
          </w:tcPr>
          <w:p w14:paraId="79FA108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(0.96, 1.09)</w:t>
            </w:r>
          </w:p>
        </w:tc>
        <w:tc>
          <w:tcPr>
            <w:tcW w:w="1460" w:type="dxa"/>
            <w:tcBorders>
              <w:top w:val="nil"/>
              <w:left w:val="nil"/>
              <w:bottom w:val="nil"/>
              <w:right w:val="nil"/>
            </w:tcBorders>
            <w:shd w:val="clear" w:color="auto" w:fill="auto"/>
            <w:noWrap/>
            <w:hideMark/>
          </w:tcPr>
          <w:p w14:paraId="0958BBFA"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0.42</w:t>
            </w:r>
          </w:p>
        </w:tc>
      </w:tr>
      <w:tr w:rsidR="001F1589" w:rsidRPr="001F1589" w14:paraId="170770E4" w14:textId="77777777" w:rsidTr="00A636B6">
        <w:trPr>
          <w:trHeight w:val="20"/>
        </w:trPr>
        <w:tc>
          <w:tcPr>
            <w:tcW w:w="1900" w:type="dxa"/>
            <w:tcBorders>
              <w:top w:val="nil"/>
              <w:left w:val="nil"/>
              <w:bottom w:val="nil"/>
              <w:right w:val="nil"/>
            </w:tcBorders>
            <w:shd w:val="clear" w:color="auto" w:fill="auto"/>
            <w:hideMark/>
          </w:tcPr>
          <w:p w14:paraId="4A0E23E3"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rs10745742</w:t>
            </w:r>
          </w:p>
        </w:tc>
        <w:tc>
          <w:tcPr>
            <w:tcW w:w="1000" w:type="dxa"/>
            <w:tcBorders>
              <w:top w:val="nil"/>
              <w:left w:val="nil"/>
              <w:bottom w:val="nil"/>
              <w:right w:val="nil"/>
            </w:tcBorders>
            <w:shd w:val="clear" w:color="auto" w:fill="auto"/>
            <w:noWrap/>
            <w:hideMark/>
          </w:tcPr>
          <w:p w14:paraId="1B839F3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noWrap/>
            <w:hideMark/>
          </w:tcPr>
          <w:p w14:paraId="237F11F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(0.96, 1.08)</w:t>
            </w:r>
          </w:p>
        </w:tc>
        <w:tc>
          <w:tcPr>
            <w:tcW w:w="1460" w:type="dxa"/>
            <w:tcBorders>
              <w:top w:val="nil"/>
              <w:left w:val="nil"/>
              <w:bottom w:val="nil"/>
              <w:right w:val="nil"/>
            </w:tcBorders>
            <w:shd w:val="clear" w:color="auto" w:fill="auto"/>
            <w:noWrap/>
            <w:hideMark/>
          </w:tcPr>
          <w:p w14:paraId="5CDFF6A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0.56</w:t>
            </w:r>
          </w:p>
        </w:tc>
      </w:tr>
      <w:tr w:rsidR="001F1589" w:rsidRPr="001F1589" w14:paraId="2BC9F7CB" w14:textId="77777777" w:rsidTr="00A636B6">
        <w:trPr>
          <w:trHeight w:val="20"/>
        </w:trPr>
        <w:tc>
          <w:tcPr>
            <w:tcW w:w="1900" w:type="dxa"/>
            <w:tcBorders>
              <w:top w:val="nil"/>
              <w:left w:val="nil"/>
              <w:bottom w:val="nil"/>
              <w:right w:val="nil"/>
            </w:tcBorders>
            <w:shd w:val="clear" w:color="auto" w:fill="auto"/>
            <w:hideMark/>
          </w:tcPr>
          <w:p w14:paraId="1382A217"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rs8018720</w:t>
            </w:r>
          </w:p>
        </w:tc>
        <w:tc>
          <w:tcPr>
            <w:tcW w:w="1000" w:type="dxa"/>
            <w:tcBorders>
              <w:top w:val="nil"/>
              <w:left w:val="nil"/>
              <w:bottom w:val="nil"/>
              <w:right w:val="nil"/>
            </w:tcBorders>
            <w:shd w:val="clear" w:color="auto" w:fill="auto"/>
            <w:noWrap/>
            <w:hideMark/>
          </w:tcPr>
          <w:p w14:paraId="1590F5DE"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1.03</w:t>
            </w:r>
          </w:p>
        </w:tc>
        <w:tc>
          <w:tcPr>
            <w:tcW w:w="1480" w:type="dxa"/>
            <w:tcBorders>
              <w:top w:val="nil"/>
              <w:left w:val="nil"/>
              <w:bottom w:val="nil"/>
              <w:right w:val="nil"/>
            </w:tcBorders>
            <w:shd w:val="clear" w:color="auto" w:fill="auto"/>
            <w:noWrap/>
            <w:hideMark/>
          </w:tcPr>
          <w:p w14:paraId="7535114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(0.97, 1.09)</w:t>
            </w:r>
          </w:p>
        </w:tc>
        <w:tc>
          <w:tcPr>
            <w:tcW w:w="1460" w:type="dxa"/>
            <w:tcBorders>
              <w:top w:val="nil"/>
              <w:left w:val="nil"/>
              <w:bottom w:val="nil"/>
              <w:right w:val="nil"/>
            </w:tcBorders>
            <w:shd w:val="clear" w:color="auto" w:fill="auto"/>
            <w:noWrap/>
            <w:hideMark/>
          </w:tcPr>
          <w:p w14:paraId="0FE3A8A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0.33</w:t>
            </w:r>
          </w:p>
        </w:tc>
      </w:tr>
      <w:tr w:rsidR="001F1589" w:rsidRPr="001F1589" w14:paraId="58276829" w14:textId="77777777" w:rsidTr="00A636B6">
        <w:trPr>
          <w:trHeight w:val="20"/>
        </w:trPr>
        <w:tc>
          <w:tcPr>
            <w:tcW w:w="1900" w:type="dxa"/>
            <w:tcBorders>
              <w:top w:val="nil"/>
              <w:left w:val="nil"/>
              <w:bottom w:val="nil"/>
              <w:right w:val="nil"/>
            </w:tcBorders>
            <w:shd w:val="clear" w:color="auto" w:fill="auto"/>
            <w:hideMark/>
          </w:tcPr>
          <w:p w14:paraId="7E33FA83"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rs17216707</w:t>
            </w:r>
          </w:p>
        </w:tc>
        <w:tc>
          <w:tcPr>
            <w:tcW w:w="1000" w:type="dxa"/>
            <w:tcBorders>
              <w:top w:val="nil"/>
              <w:left w:val="nil"/>
              <w:bottom w:val="nil"/>
              <w:right w:val="nil"/>
            </w:tcBorders>
            <w:shd w:val="clear" w:color="auto" w:fill="auto"/>
            <w:noWrap/>
            <w:hideMark/>
          </w:tcPr>
          <w:p w14:paraId="2B1E76A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noWrap/>
            <w:hideMark/>
          </w:tcPr>
          <w:p w14:paraId="4ABA3F9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(0.96, 1.08)</w:t>
            </w:r>
          </w:p>
        </w:tc>
        <w:tc>
          <w:tcPr>
            <w:tcW w:w="1460" w:type="dxa"/>
            <w:tcBorders>
              <w:top w:val="nil"/>
              <w:left w:val="nil"/>
              <w:bottom w:val="nil"/>
              <w:right w:val="nil"/>
            </w:tcBorders>
            <w:shd w:val="clear" w:color="auto" w:fill="auto"/>
            <w:noWrap/>
            <w:hideMark/>
          </w:tcPr>
          <w:p w14:paraId="6625EDF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0.57</w:t>
            </w:r>
          </w:p>
        </w:tc>
      </w:tr>
      <w:tr w:rsidR="001F1589" w:rsidRPr="001F1589" w14:paraId="2A5F01C1" w14:textId="77777777" w:rsidTr="00A636B6">
        <w:trPr>
          <w:trHeight w:val="20"/>
        </w:trPr>
        <w:tc>
          <w:tcPr>
            <w:tcW w:w="5840" w:type="dxa"/>
            <w:gridSpan w:val="4"/>
            <w:tcBorders>
              <w:top w:val="nil"/>
              <w:left w:val="nil"/>
              <w:bottom w:val="nil"/>
              <w:right w:val="nil"/>
            </w:tcBorders>
            <w:shd w:val="clear" w:color="auto" w:fill="auto"/>
            <w:hideMark/>
          </w:tcPr>
          <w:p w14:paraId="7AD3CCA6" w14:textId="77777777" w:rsidR="00A636B6" w:rsidRPr="001F1589" w:rsidRDefault="00A636B6">
            <w:pPr>
              <w:rPr>
                <w:rFonts w:ascii="Calibri" w:eastAsia="Times New Roman" w:hAnsi="Calibri"/>
                <w:b/>
                <w:bCs/>
                <w:color w:val="000000" w:themeColor="text1"/>
                <w:sz w:val="20"/>
                <w:szCs w:val="22"/>
              </w:rPr>
            </w:pPr>
            <w:r w:rsidRPr="001F1589">
              <w:rPr>
                <w:rFonts w:ascii="Calibri" w:eastAsia="Times New Roman" w:hAnsi="Calibri"/>
                <w:b/>
                <w:bCs/>
                <w:color w:val="000000" w:themeColor="text1"/>
                <w:sz w:val="20"/>
                <w:szCs w:val="22"/>
              </w:rPr>
              <w:t>ER-positive Breast Cancer</w:t>
            </w:r>
          </w:p>
        </w:tc>
      </w:tr>
      <w:tr w:rsidR="001F1589" w:rsidRPr="001F1589" w14:paraId="4DAE5453" w14:textId="77777777" w:rsidTr="00A636B6">
        <w:trPr>
          <w:trHeight w:val="20"/>
        </w:trPr>
        <w:tc>
          <w:tcPr>
            <w:tcW w:w="1900" w:type="dxa"/>
            <w:tcBorders>
              <w:top w:val="nil"/>
              <w:left w:val="nil"/>
              <w:bottom w:val="nil"/>
              <w:right w:val="nil"/>
            </w:tcBorders>
            <w:shd w:val="clear" w:color="auto" w:fill="auto"/>
            <w:hideMark/>
          </w:tcPr>
          <w:p w14:paraId="19D30FE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rs3755967</w:t>
            </w:r>
          </w:p>
        </w:tc>
        <w:tc>
          <w:tcPr>
            <w:tcW w:w="1000" w:type="dxa"/>
            <w:tcBorders>
              <w:top w:val="nil"/>
              <w:left w:val="nil"/>
              <w:bottom w:val="nil"/>
              <w:right w:val="nil"/>
            </w:tcBorders>
            <w:shd w:val="clear" w:color="auto" w:fill="auto"/>
            <w:hideMark/>
          </w:tcPr>
          <w:p w14:paraId="51169D2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noWrap/>
            <w:hideMark/>
          </w:tcPr>
          <w:p w14:paraId="6B98123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(0.90, 1.14)</w:t>
            </w:r>
          </w:p>
        </w:tc>
        <w:tc>
          <w:tcPr>
            <w:tcW w:w="1460" w:type="dxa"/>
            <w:tcBorders>
              <w:top w:val="nil"/>
              <w:left w:val="nil"/>
              <w:bottom w:val="nil"/>
              <w:right w:val="nil"/>
            </w:tcBorders>
            <w:shd w:val="clear" w:color="auto" w:fill="auto"/>
            <w:noWrap/>
            <w:hideMark/>
          </w:tcPr>
          <w:p w14:paraId="43FFF6D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0.80</w:t>
            </w:r>
          </w:p>
        </w:tc>
      </w:tr>
      <w:tr w:rsidR="001F1589" w:rsidRPr="001F1589" w14:paraId="2F2AEAE0" w14:textId="77777777" w:rsidTr="00A636B6">
        <w:trPr>
          <w:trHeight w:val="20"/>
        </w:trPr>
        <w:tc>
          <w:tcPr>
            <w:tcW w:w="1900" w:type="dxa"/>
            <w:tcBorders>
              <w:top w:val="nil"/>
              <w:left w:val="nil"/>
              <w:bottom w:val="nil"/>
              <w:right w:val="nil"/>
            </w:tcBorders>
            <w:shd w:val="clear" w:color="auto" w:fill="auto"/>
            <w:hideMark/>
          </w:tcPr>
          <w:p w14:paraId="33E5DE67"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rs10741657</w:t>
            </w:r>
          </w:p>
        </w:tc>
        <w:tc>
          <w:tcPr>
            <w:tcW w:w="1000" w:type="dxa"/>
            <w:tcBorders>
              <w:top w:val="nil"/>
              <w:left w:val="nil"/>
              <w:bottom w:val="nil"/>
              <w:right w:val="nil"/>
            </w:tcBorders>
            <w:shd w:val="clear" w:color="auto" w:fill="auto"/>
            <w:hideMark/>
          </w:tcPr>
          <w:p w14:paraId="1491DEA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noWrap/>
            <w:hideMark/>
          </w:tcPr>
          <w:p w14:paraId="3B16655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(0.93, 1.07)</w:t>
            </w:r>
          </w:p>
        </w:tc>
        <w:tc>
          <w:tcPr>
            <w:tcW w:w="1460" w:type="dxa"/>
            <w:tcBorders>
              <w:top w:val="nil"/>
              <w:left w:val="nil"/>
              <w:bottom w:val="nil"/>
              <w:right w:val="nil"/>
            </w:tcBorders>
            <w:shd w:val="clear" w:color="auto" w:fill="auto"/>
            <w:noWrap/>
            <w:hideMark/>
          </w:tcPr>
          <w:p w14:paraId="653B4DF7"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0.96</w:t>
            </w:r>
          </w:p>
        </w:tc>
      </w:tr>
      <w:tr w:rsidR="001F1589" w:rsidRPr="001F1589" w14:paraId="0B14A5D1" w14:textId="77777777" w:rsidTr="00A636B6">
        <w:trPr>
          <w:trHeight w:val="20"/>
        </w:trPr>
        <w:tc>
          <w:tcPr>
            <w:tcW w:w="1900" w:type="dxa"/>
            <w:tcBorders>
              <w:top w:val="nil"/>
              <w:left w:val="nil"/>
              <w:bottom w:val="nil"/>
              <w:right w:val="nil"/>
            </w:tcBorders>
            <w:shd w:val="clear" w:color="auto" w:fill="auto"/>
            <w:hideMark/>
          </w:tcPr>
          <w:p w14:paraId="1C816DAB"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rs12785878</w:t>
            </w:r>
          </w:p>
        </w:tc>
        <w:tc>
          <w:tcPr>
            <w:tcW w:w="1000" w:type="dxa"/>
            <w:tcBorders>
              <w:top w:val="nil"/>
              <w:left w:val="nil"/>
              <w:bottom w:val="nil"/>
              <w:right w:val="nil"/>
            </w:tcBorders>
            <w:shd w:val="clear" w:color="auto" w:fill="auto"/>
            <w:hideMark/>
          </w:tcPr>
          <w:p w14:paraId="2C58E7E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0.99</w:t>
            </w:r>
          </w:p>
        </w:tc>
        <w:tc>
          <w:tcPr>
            <w:tcW w:w="1480" w:type="dxa"/>
            <w:tcBorders>
              <w:top w:val="nil"/>
              <w:left w:val="nil"/>
              <w:bottom w:val="nil"/>
              <w:right w:val="nil"/>
            </w:tcBorders>
            <w:shd w:val="clear" w:color="auto" w:fill="auto"/>
            <w:noWrap/>
            <w:hideMark/>
          </w:tcPr>
          <w:p w14:paraId="69C46366"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(0.93, 1.06)</w:t>
            </w:r>
          </w:p>
        </w:tc>
        <w:tc>
          <w:tcPr>
            <w:tcW w:w="1460" w:type="dxa"/>
            <w:tcBorders>
              <w:top w:val="nil"/>
              <w:left w:val="nil"/>
              <w:bottom w:val="nil"/>
              <w:right w:val="nil"/>
            </w:tcBorders>
            <w:shd w:val="clear" w:color="auto" w:fill="auto"/>
            <w:noWrap/>
            <w:hideMark/>
          </w:tcPr>
          <w:p w14:paraId="2E2636E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0.84</w:t>
            </w:r>
          </w:p>
        </w:tc>
      </w:tr>
      <w:tr w:rsidR="001F1589" w:rsidRPr="001F1589" w14:paraId="22ED1B63" w14:textId="77777777" w:rsidTr="00A636B6">
        <w:trPr>
          <w:trHeight w:val="20"/>
        </w:trPr>
        <w:tc>
          <w:tcPr>
            <w:tcW w:w="1900" w:type="dxa"/>
            <w:tcBorders>
              <w:top w:val="nil"/>
              <w:left w:val="nil"/>
              <w:bottom w:val="nil"/>
              <w:right w:val="nil"/>
            </w:tcBorders>
            <w:shd w:val="clear" w:color="auto" w:fill="auto"/>
            <w:hideMark/>
          </w:tcPr>
          <w:p w14:paraId="322A065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rs10745742</w:t>
            </w:r>
          </w:p>
        </w:tc>
        <w:tc>
          <w:tcPr>
            <w:tcW w:w="1000" w:type="dxa"/>
            <w:tcBorders>
              <w:top w:val="nil"/>
              <w:left w:val="nil"/>
              <w:bottom w:val="nil"/>
              <w:right w:val="nil"/>
            </w:tcBorders>
            <w:shd w:val="clear" w:color="auto" w:fill="auto"/>
            <w:hideMark/>
          </w:tcPr>
          <w:p w14:paraId="1142E38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noWrap/>
            <w:hideMark/>
          </w:tcPr>
          <w:p w14:paraId="4E20297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(0.94, 1.07)</w:t>
            </w:r>
          </w:p>
        </w:tc>
        <w:tc>
          <w:tcPr>
            <w:tcW w:w="1460" w:type="dxa"/>
            <w:tcBorders>
              <w:top w:val="nil"/>
              <w:left w:val="nil"/>
              <w:bottom w:val="nil"/>
              <w:right w:val="nil"/>
            </w:tcBorders>
            <w:shd w:val="clear" w:color="auto" w:fill="auto"/>
            <w:noWrap/>
            <w:hideMark/>
          </w:tcPr>
          <w:p w14:paraId="42E33EC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0.96</w:t>
            </w:r>
          </w:p>
        </w:tc>
      </w:tr>
      <w:tr w:rsidR="001F1589" w:rsidRPr="001F1589" w14:paraId="1C03C204" w14:textId="77777777" w:rsidTr="00A636B6">
        <w:trPr>
          <w:trHeight w:val="20"/>
        </w:trPr>
        <w:tc>
          <w:tcPr>
            <w:tcW w:w="1900" w:type="dxa"/>
            <w:tcBorders>
              <w:top w:val="nil"/>
              <w:left w:val="nil"/>
              <w:bottom w:val="nil"/>
              <w:right w:val="nil"/>
            </w:tcBorders>
            <w:shd w:val="clear" w:color="auto" w:fill="auto"/>
            <w:hideMark/>
          </w:tcPr>
          <w:p w14:paraId="7D40616E"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rs8018720</w:t>
            </w:r>
          </w:p>
        </w:tc>
        <w:tc>
          <w:tcPr>
            <w:tcW w:w="1000" w:type="dxa"/>
            <w:tcBorders>
              <w:top w:val="nil"/>
              <w:left w:val="nil"/>
              <w:bottom w:val="nil"/>
              <w:right w:val="nil"/>
            </w:tcBorders>
            <w:shd w:val="clear" w:color="auto" w:fill="auto"/>
            <w:hideMark/>
          </w:tcPr>
          <w:p w14:paraId="29E6A93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1.01</w:t>
            </w:r>
          </w:p>
        </w:tc>
        <w:tc>
          <w:tcPr>
            <w:tcW w:w="1480" w:type="dxa"/>
            <w:tcBorders>
              <w:top w:val="nil"/>
              <w:left w:val="nil"/>
              <w:bottom w:val="nil"/>
              <w:right w:val="nil"/>
            </w:tcBorders>
            <w:shd w:val="clear" w:color="auto" w:fill="auto"/>
            <w:noWrap/>
            <w:hideMark/>
          </w:tcPr>
          <w:p w14:paraId="10F60DA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(0.94, 1.08)</w:t>
            </w:r>
          </w:p>
        </w:tc>
        <w:tc>
          <w:tcPr>
            <w:tcW w:w="1460" w:type="dxa"/>
            <w:tcBorders>
              <w:top w:val="nil"/>
              <w:left w:val="nil"/>
              <w:bottom w:val="nil"/>
              <w:right w:val="nil"/>
            </w:tcBorders>
            <w:shd w:val="clear" w:color="auto" w:fill="auto"/>
            <w:noWrap/>
            <w:hideMark/>
          </w:tcPr>
          <w:p w14:paraId="4A7595E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0.80</w:t>
            </w:r>
          </w:p>
        </w:tc>
      </w:tr>
      <w:tr w:rsidR="001F1589" w:rsidRPr="001F1589" w14:paraId="3AD48E7D" w14:textId="77777777" w:rsidTr="00A636B6">
        <w:trPr>
          <w:trHeight w:val="20"/>
        </w:trPr>
        <w:tc>
          <w:tcPr>
            <w:tcW w:w="1900" w:type="dxa"/>
            <w:tcBorders>
              <w:top w:val="nil"/>
              <w:left w:val="nil"/>
              <w:bottom w:val="nil"/>
              <w:right w:val="nil"/>
            </w:tcBorders>
            <w:shd w:val="clear" w:color="auto" w:fill="auto"/>
            <w:hideMark/>
          </w:tcPr>
          <w:p w14:paraId="5736CEC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rs17216707</w:t>
            </w:r>
          </w:p>
        </w:tc>
        <w:tc>
          <w:tcPr>
            <w:tcW w:w="1000" w:type="dxa"/>
            <w:tcBorders>
              <w:top w:val="nil"/>
              <w:left w:val="nil"/>
              <w:bottom w:val="nil"/>
              <w:right w:val="nil"/>
            </w:tcBorders>
            <w:shd w:val="clear" w:color="auto" w:fill="auto"/>
            <w:hideMark/>
          </w:tcPr>
          <w:p w14:paraId="6CA83C8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noWrap/>
            <w:hideMark/>
          </w:tcPr>
          <w:p w14:paraId="0D27E24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(0.93, 1.06)</w:t>
            </w:r>
          </w:p>
        </w:tc>
        <w:tc>
          <w:tcPr>
            <w:tcW w:w="1460" w:type="dxa"/>
            <w:tcBorders>
              <w:top w:val="nil"/>
              <w:left w:val="nil"/>
              <w:bottom w:val="nil"/>
              <w:right w:val="nil"/>
            </w:tcBorders>
            <w:shd w:val="clear" w:color="auto" w:fill="auto"/>
            <w:noWrap/>
            <w:hideMark/>
          </w:tcPr>
          <w:p w14:paraId="4E1FF3B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0.91</w:t>
            </w:r>
          </w:p>
        </w:tc>
      </w:tr>
      <w:tr w:rsidR="001F1589" w:rsidRPr="001F1589" w14:paraId="358F461D" w14:textId="77777777" w:rsidTr="00A636B6">
        <w:trPr>
          <w:trHeight w:val="20"/>
        </w:trPr>
        <w:tc>
          <w:tcPr>
            <w:tcW w:w="5840" w:type="dxa"/>
            <w:gridSpan w:val="4"/>
            <w:tcBorders>
              <w:top w:val="nil"/>
              <w:left w:val="nil"/>
              <w:bottom w:val="nil"/>
              <w:right w:val="nil"/>
            </w:tcBorders>
            <w:shd w:val="clear" w:color="auto" w:fill="auto"/>
            <w:hideMark/>
          </w:tcPr>
          <w:p w14:paraId="076B2C4D" w14:textId="77777777" w:rsidR="00A636B6" w:rsidRPr="001F1589" w:rsidRDefault="00A636B6">
            <w:pPr>
              <w:rPr>
                <w:rFonts w:ascii="Calibri" w:eastAsia="Times New Roman" w:hAnsi="Calibri"/>
                <w:b/>
                <w:bCs/>
                <w:color w:val="000000" w:themeColor="text1"/>
                <w:sz w:val="20"/>
                <w:szCs w:val="22"/>
              </w:rPr>
            </w:pPr>
            <w:r w:rsidRPr="001F1589">
              <w:rPr>
                <w:rFonts w:ascii="Calibri" w:eastAsia="Times New Roman" w:hAnsi="Calibri"/>
                <w:b/>
                <w:bCs/>
                <w:color w:val="000000" w:themeColor="text1"/>
                <w:sz w:val="20"/>
                <w:szCs w:val="22"/>
              </w:rPr>
              <w:t>ER-negative Breast Cancer</w:t>
            </w:r>
          </w:p>
        </w:tc>
      </w:tr>
      <w:tr w:rsidR="001F1589" w:rsidRPr="001F1589" w14:paraId="2BD0C3A9" w14:textId="77777777" w:rsidTr="00A636B6">
        <w:trPr>
          <w:trHeight w:val="20"/>
        </w:trPr>
        <w:tc>
          <w:tcPr>
            <w:tcW w:w="1900" w:type="dxa"/>
            <w:tcBorders>
              <w:top w:val="nil"/>
              <w:left w:val="nil"/>
              <w:bottom w:val="nil"/>
              <w:right w:val="nil"/>
            </w:tcBorders>
            <w:shd w:val="clear" w:color="auto" w:fill="auto"/>
            <w:hideMark/>
          </w:tcPr>
          <w:p w14:paraId="54818C9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rs3755967</w:t>
            </w:r>
          </w:p>
        </w:tc>
        <w:tc>
          <w:tcPr>
            <w:tcW w:w="1000" w:type="dxa"/>
            <w:tcBorders>
              <w:top w:val="nil"/>
              <w:left w:val="nil"/>
              <w:bottom w:val="nil"/>
              <w:right w:val="nil"/>
            </w:tcBorders>
            <w:shd w:val="clear" w:color="auto" w:fill="auto"/>
            <w:hideMark/>
          </w:tcPr>
          <w:p w14:paraId="08FB76B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0.95</w:t>
            </w:r>
          </w:p>
        </w:tc>
        <w:tc>
          <w:tcPr>
            <w:tcW w:w="1480" w:type="dxa"/>
            <w:tcBorders>
              <w:top w:val="nil"/>
              <w:left w:val="nil"/>
              <w:bottom w:val="nil"/>
              <w:right w:val="nil"/>
            </w:tcBorders>
            <w:shd w:val="clear" w:color="auto" w:fill="auto"/>
            <w:noWrap/>
            <w:hideMark/>
          </w:tcPr>
          <w:p w14:paraId="3205251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(0.74, 1.22)</w:t>
            </w:r>
          </w:p>
        </w:tc>
        <w:tc>
          <w:tcPr>
            <w:tcW w:w="1460" w:type="dxa"/>
            <w:tcBorders>
              <w:top w:val="nil"/>
              <w:left w:val="nil"/>
              <w:bottom w:val="nil"/>
              <w:right w:val="nil"/>
            </w:tcBorders>
            <w:shd w:val="clear" w:color="auto" w:fill="auto"/>
            <w:noWrap/>
            <w:hideMark/>
          </w:tcPr>
          <w:p w14:paraId="0A6DA7F3"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0.71</w:t>
            </w:r>
          </w:p>
        </w:tc>
      </w:tr>
      <w:tr w:rsidR="001F1589" w:rsidRPr="001F1589" w14:paraId="7D8A3E7C" w14:textId="77777777" w:rsidTr="00A636B6">
        <w:trPr>
          <w:trHeight w:val="20"/>
        </w:trPr>
        <w:tc>
          <w:tcPr>
            <w:tcW w:w="1900" w:type="dxa"/>
            <w:tcBorders>
              <w:top w:val="nil"/>
              <w:left w:val="nil"/>
              <w:bottom w:val="nil"/>
              <w:right w:val="nil"/>
            </w:tcBorders>
            <w:shd w:val="clear" w:color="auto" w:fill="auto"/>
            <w:hideMark/>
          </w:tcPr>
          <w:p w14:paraId="02EEEE9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rs10741657</w:t>
            </w:r>
          </w:p>
        </w:tc>
        <w:tc>
          <w:tcPr>
            <w:tcW w:w="1000" w:type="dxa"/>
            <w:tcBorders>
              <w:top w:val="nil"/>
              <w:left w:val="nil"/>
              <w:bottom w:val="nil"/>
              <w:right w:val="nil"/>
            </w:tcBorders>
            <w:shd w:val="clear" w:color="auto" w:fill="auto"/>
            <w:hideMark/>
          </w:tcPr>
          <w:p w14:paraId="234388D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noWrap/>
            <w:hideMark/>
          </w:tcPr>
          <w:p w14:paraId="70E5A19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(0.87, 1.16)</w:t>
            </w:r>
          </w:p>
        </w:tc>
        <w:tc>
          <w:tcPr>
            <w:tcW w:w="1460" w:type="dxa"/>
            <w:tcBorders>
              <w:top w:val="nil"/>
              <w:left w:val="nil"/>
              <w:bottom w:val="nil"/>
              <w:right w:val="nil"/>
            </w:tcBorders>
            <w:shd w:val="clear" w:color="auto" w:fill="auto"/>
            <w:noWrap/>
            <w:hideMark/>
          </w:tcPr>
          <w:p w14:paraId="3474BD2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0.95</w:t>
            </w:r>
          </w:p>
        </w:tc>
      </w:tr>
      <w:tr w:rsidR="001F1589" w:rsidRPr="001F1589" w14:paraId="7510C636" w14:textId="77777777" w:rsidTr="00A636B6">
        <w:trPr>
          <w:trHeight w:val="20"/>
        </w:trPr>
        <w:tc>
          <w:tcPr>
            <w:tcW w:w="1900" w:type="dxa"/>
            <w:tcBorders>
              <w:top w:val="nil"/>
              <w:left w:val="nil"/>
              <w:bottom w:val="nil"/>
              <w:right w:val="nil"/>
            </w:tcBorders>
            <w:shd w:val="clear" w:color="auto" w:fill="auto"/>
            <w:hideMark/>
          </w:tcPr>
          <w:p w14:paraId="3B8C24C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rs12785878</w:t>
            </w:r>
          </w:p>
        </w:tc>
        <w:tc>
          <w:tcPr>
            <w:tcW w:w="1000" w:type="dxa"/>
            <w:tcBorders>
              <w:top w:val="nil"/>
              <w:left w:val="nil"/>
              <w:bottom w:val="nil"/>
              <w:right w:val="nil"/>
            </w:tcBorders>
            <w:shd w:val="clear" w:color="auto" w:fill="auto"/>
            <w:hideMark/>
          </w:tcPr>
          <w:p w14:paraId="0A6B47A7"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1.06</w:t>
            </w:r>
          </w:p>
        </w:tc>
        <w:tc>
          <w:tcPr>
            <w:tcW w:w="1480" w:type="dxa"/>
            <w:tcBorders>
              <w:top w:val="nil"/>
              <w:left w:val="nil"/>
              <w:bottom w:val="nil"/>
              <w:right w:val="nil"/>
            </w:tcBorders>
            <w:shd w:val="clear" w:color="auto" w:fill="auto"/>
            <w:noWrap/>
            <w:hideMark/>
          </w:tcPr>
          <w:p w14:paraId="50A879FB"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(0.95, 1.18)</w:t>
            </w:r>
          </w:p>
        </w:tc>
        <w:tc>
          <w:tcPr>
            <w:tcW w:w="1460" w:type="dxa"/>
            <w:tcBorders>
              <w:top w:val="nil"/>
              <w:left w:val="nil"/>
              <w:bottom w:val="nil"/>
              <w:right w:val="nil"/>
            </w:tcBorders>
            <w:shd w:val="clear" w:color="auto" w:fill="auto"/>
            <w:noWrap/>
            <w:hideMark/>
          </w:tcPr>
          <w:p w14:paraId="6A5C616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0.27</w:t>
            </w:r>
          </w:p>
        </w:tc>
      </w:tr>
      <w:tr w:rsidR="001F1589" w:rsidRPr="001F1589" w14:paraId="4B862F1A" w14:textId="77777777" w:rsidTr="00A636B6">
        <w:trPr>
          <w:trHeight w:val="20"/>
        </w:trPr>
        <w:tc>
          <w:tcPr>
            <w:tcW w:w="1900" w:type="dxa"/>
            <w:tcBorders>
              <w:top w:val="nil"/>
              <w:left w:val="nil"/>
              <w:bottom w:val="nil"/>
              <w:right w:val="nil"/>
            </w:tcBorders>
            <w:shd w:val="clear" w:color="auto" w:fill="auto"/>
            <w:hideMark/>
          </w:tcPr>
          <w:p w14:paraId="1F910F1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rs10745742</w:t>
            </w:r>
          </w:p>
        </w:tc>
        <w:tc>
          <w:tcPr>
            <w:tcW w:w="1000" w:type="dxa"/>
            <w:tcBorders>
              <w:top w:val="nil"/>
              <w:left w:val="nil"/>
              <w:bottom w:val="nil"/>
              <w:right w:val="nil"/>
            </w:tcBorders>
            <w:shd w:val="clear" w:color="auto" w:fill="auto"/>
            <w:hideMark/>
          </w:tcPr>
          <w:p w14:paraId="1AFD8B0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1.01</w:t>
            </w:r>
          </w:p>
        </w:tc>
        <w:tc>
          <w:tcPr>
            <w:tcW w:w="1480" w:type="dxa"/>
            <w:tcBorders>
              <w:top w:val="nil"/>
              <w:left w:val="nil"/>
              <w:bottom w:val="nil"/>
              <w:right w:val="nil"/>
            </w:tcBorders>
            <w:shd w:val="clear" w:color="auto" w:fill="auto"/>
            <w:noWrap/>
            <w:hideMark/>
          </w:tcPr>
          <w:p w14:paraId="0BCA5313"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(0.88, 1.17)</w:t>
            </w:r>
          </w:p>
        </w:tc>
        <w:tc>
          <w:tcPr>
            <w:tcW w:w="1460" w:type="dxa"/>
            <w:tcBorders>
              <w:top w:val="nil"/>
              <w:left w:val="nil"/>
              <w:bottom w:val="nil"/>
              <w:right w:val="nil"/>
            </w:tcBorders>
            <w:shd w:val="clear" w:color="auto" w:fill="auto"/>
            <w:noWrap/>
            <w:hideMark/>
          </w:tcPr>
          <w:p w14:paraId="6BE1ABB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0.85</w:t>
            </w:r>
          </w:p>
        </w:tc>
      </w:tr>
      <w:tr w:rsidR="001F1589" w:rsidRPr="001F1589" w14:paraId="6649A0BE" w14:textId="77777777" w:rsidTr="00A636B6">
        <w:trPr>
          <w:trHeight w:val="20"/>
        </w:trPr>
        <w:tc>
          <w:tcPr>
            <w:tcW w:w="1900" w:type="dxa"/>
            <w:tcBorders>
              <w:top w:val="nil"/>
              <w:left w:val="nil"/>
              <w:bottom w:val="nil"/>
              <w:right w:val="nil"/>
            </w:tcBorders>
            <w:shd w:val="clear" w:color="auto" w:fill="auto"/>
            <w:hideMark/>
          </w:tcPr>
          <w:p w14:paraId="75C9D02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rs8018720</w:t>
            </w:r>
          </w:p>
        </w:tc>
        <w:tc>
          <w:tcPr>
            <w:tcW w:w="1000" w:type="dxa"/>
            <w:tcBorders>
              <w:top w:val="nil"/>
              <w:left w:val="nil"/>
              <w:bottom w:val="nil"/>
              <w:right w:val="nil"/>
            </w:tcBorders>
            <w:shd w:val="clear" w:color="auto" w:fill="auto"/>
            <w:hideMark/>
          </w:tcPr>
          <w:p w14:paraId="5A448FD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1.03</w:t>
            </w:r>
          </w:p>
        </w:tc>
        <w:tc>
          <w:tcPr>
            <w:tcW w:w="1480" w:type="dxa"/>
            <w:tcBorders>
              <w:top w:val="nil"/>
              <w:left w:val="nil"/>
              <w:bottom w:val="nil"/>
              <w:right w:val="nil"/>
            </w:tcBorders>
            <w:shd w:val="clear" w:color="auto" w:fill="auto"/>
            <w:noWrap/>
            <w:hideMark/>
          </w:tcPr>
          <w:p w14:paraId="134DF86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(0.91, 1.17)</w:t>
            </w:r>
          </w:p>
        </w:tc>
        <w:tc>
          <w:tcPr>
            <w:tcW w:w="1460" w:type="dxa"/>
            <w:tcBorders>
              <w:top w:val="nil"/>
              <w:left w:val="nil"/>
              <w:bottom w:val="nil"/>
              <w:right w:val="nil"/>
            </w:tcBorders>
            <w:shd w:val="clear" w:color="auto" w:fill="auto"/>
            <w:noWrap/>
            <w:hideMark/>
          </w:tcPr>
          <w:p w14:paraId="313F5917"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0.61</w:t>
            </w:r>
          </w:p>
        </w:tc>
      </w:tr>
      <w:tr w:rsidR="001F1589" w:rsidRPr="001F1589" w14:paraId="317D56EE" w14:textId="77777777" w:rsidTr="00A636B6">
        <w:trPr>
          <w:trHeight w:val="20"/>
        </w:trPr>
        <w:tc>
          <w:tcPr>
            <w:tcW w:w="1900" w:type="dxa"/>
            <w:tcBorders>
              <w:top w:val="nil"/>
              <w:left w:val="nil"/>
              <w:bottom w:val="nil"/>
              <w:right w:val="nil"/>
            </w:tcBorders>
            <w:shd w:val="clear" w:color="auto" w:fill="auto"/>
            <w:hideMark/>
          </w:tcPr>
          <w:p w14:paraId="31A88D9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rs17216707</w:t>
            </w:r>
          </w:p>
        </w:tc>
        <w:tc>
          <w:tcPr>
            <w:tcW w:w="1000" w:type="dxa"/>
            <w:tcBorders>
              <w:top w:val="nil"/>
              <w:left w:val="nil"/>
              <w:bottom w:val="nil"/>
              <w:right w:val="nil"/>
            </w:tcBorders>
            <w:shd w:val="clear" w:color="auto" w:fill="auto"/>
            <w:hideMark/>
          </w:tcPr>
          <w:p w14:paraId="2A4D8BCA"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noWrap/>
            <w:hideMark/>
          </w:tcPr>
          <w:p w14:paraId="7BF8905B"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(0.88, 1.18)</w:t>
            </w:r>
          </w:p>
        </w:tc>
        <w:tc>
          <w:tcPr>
            <w:tcW w:w="1460" w:type="dxa"/>
            <w:tcBorders>
              <w:top w:val="nil"/>
              <w:left w:val="nil"/>
              <w:bottom w:val="nil"/>
              <w:right w:val="nil"/>
            </w:tcBorders>
            <w:shd w:val="clear" w:color="auto" w:fill="auto"/>
            <w:noWrap/>
            <w:hideMark/>
          </w:tcPr>
          <w:p w14:paraId="09C6FA4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0.82</w:t>
            </w:r>
          </w:p>
        </w:tc>
      </w:tr>
      <w:tr w:rsidR="001F1589" w:rsidRPr="001F1589" w14:paraId="3DA130DC" w14:textId="77777777" w:rsidTr="00A636B6">
        <w:trPr>
          <w:trHeight w:val="20"/>
        </w:trPr>
        <w:tc>
          <w:tcPr>
            <w:tcW w:w="5840" w:type="dxa"/>
            <w:gridSpan w:val="4"/>
            <w:tcBorders>
              <w:top w:val="nil"/>
              <w:left w:val="nil"/>
              <w:bottom w:val="nil"/>
              <w:right w:val="nil"/>
            </w:tcBorders>
            <w:shd w:val="clear" w:color="auto" w:fill="auto"/>
            <w:hideMark/>
          </w:tcPr>
          <w:p w14:paraId="307CC513" w14:textId="77777777" w:rsidR="00A636B6" w:rsidRPr="001F1589" w:rsidRDefault="00A636B6">
            <w:pPr>
              <w:rPr>
                <w:rFonts w:ascii="Calibri" w:eastAsia="Times New Roman" w:hAnsi="Calibri"/>
                <w:b/>
                <w:bCs/>
                <w:color w:val="000000" w:themeColor="text1"/>
                <w:sz w:val="20"/>
                <w:szCs w:val="22"/>
              </w:rPr>
            </w:pPr>
            <w:r w:rsidRPr="001F1589">
              <w:rPr>
                <w:rFonts w:ascii="Calibri" w:eastAsia="Times New Roman" w:hAnsi="Calibri"/>
                <w:b/>
                <w:bCs/>
                <w:color w:val="000000" w:themeColor="text1"/>
                <w:sz w:val="20"/>
                <w:szCs w:val="22"/>
              </w:rPr>
              <w:t>Overall Prostate Cancer</w:t>
            </w:r>
          </w:p>
        </w:tc>
      </w:tr>
      <w:tr w:rsidR="001F1589" w:rsidRPr="001F1589" w14:paraId="4C2AA13E" w14:textId="77777777" w:rsidTr="00A636B6">
        <w:trPr>
          <w:trHeight w:val="20"/>
        </w:trPr>
        <w:tc>
          <w:tcPr>
            <w:tcW w:w="1900" w:type="dxa"/>
            <w:tcBorders>
              <w:top w:val="nil"/>
              <w:left w:val="nil"/>
              <w:bottom w:val="nil"/>
              <w:right w:val="nil"/>
            </w:tcBorders>
            <w:shd w:val="clear" w:color="auto" w:fill="auto"/>
            <w:hideMark/>
          </w:tcPr>
          <w:p w14:paraId="6BDC424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rs3755967</w:t>
            </w:r>
          </w:p>
        </w:tc>
        <w:tc>
          <w:tcPr>
            <w:tcW w:w="1000" w:type="dxa"/>
            <w:tcBorders>
              <w:top w:val="nil"/>
              <w:left w:val="nil"/>
              <w:bottom w:val="nil"/>
              <w:right w:val="nil"/>
            </w:tcBorders>
            <w:shd w:val="clear" w:color="auto" w:fill="auto"/>
            <w:hideMark/>
          </w:tcPr>
          <w:p w14:paraId="7BE7C69A"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0.97</w:t>
            </w:r>
          </w:p>
        </w:tc>
        <w:tc>
          <w:tcPr>
            <w:tcW w:w="1480" w:type="dxa"/>
            <w:tcBorders>
              <w:top w:val="nil"/>
              <w:left w:val="nil"/>
              <w:bottom w:val="nil"/>
              <w:right w:val="nil"/>
            </w:tcBorders>
            <w:shd w:val="clear" w:color="auto" w:fill="auto"/>
            <w:hideMark/>
          </w:tcPr>
          <w:p w14:paraId="05BB0B4B"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(0.85, 1.10)</w:t>
            </w:r>
          </w:p>
        </w:tc>
        <w:tc>
          <w:tcPr>
            <w:tcW w:w="1460" w:type="dxa"/>
            <w:tcBorders>
              <w:top w:val="nil"/>
              <w:left w:val="nil"/>
              <w:bottom w:val="nil"/>
              <w:right w:val="nil"/>
            </w:tcBorders>
            <w:shd w:val="clear" w:color="auto" w:fill="auto"/>
            <w:noWrap/>
            <w:hideMark/>
          </w:tcPr>
          <w:p w14:paraId="73ACEDC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0.64</w:t>
            </w:r>
          </w:p>
        </w:tc>
      </w:tr>
      <w:tr w:rsidR="001F1589" w:rsidRPr="001F1589" w14:paraId="717E3D4B" w14:textId="77777777" w:rsidTr="00A636B6">
        <w:trPr>
          <w:trHeight w:val="20"/>
        </w:trPr>
        <w:tc>
          <w:tcPr>
            <w:tcW w:w="1900" w:type="dxa"/>
            <w:tcBorders>
              <w:top w:val="nil"/>
              <w:left w:val="nil"/>
              <w:bottom w:val="nil"/>
              <w:right w:val="nil"/>
            </w:tcBorders>
            <w:shd w:val="clear" w:color="auto" w:fill="auto"/>
            <w:hideMark/>
          </w:tcPr>
          <w:p w14:paraId="1A7898F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rs10741657</w:t>
            </w:r>
          </w:p>
        </w:tc>
        <w:tc>
          <w:tcPr>
            <w:tcW w:w="1000" w:type="dxa"/>
            <w:tcBorders>
              <w:top w:val="nil"/>
              <w:left w:val="nil"/>
              <w:bottom w:val="nil"/>
              <w:right w:val="nil"/>
            </w:tcBorders>
            <w:shd w:val="clear" w:color="auto" w:fill="auto"/>
            <w:hideMark/>
          </w:tcPr>
          <w:p w14:paraId="1F914CF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hideMark/>
          </w:tcPr>
          <w:p w14:paraId="2441942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(0.92, 1.07)</w:t>
            </w:r>
          </w:p>
        </w:tc>
        <w:tc>
          <w:tcPr>
            <w:tcW w:w="1460" w:type="dxa"/>
            <w:tcBorders>
              <w:top w:val="nil"/>
              <w:left w:val="nil"/>
              <w:bottom w:val="nil"/>
              <w:right w:val="nil"/>
            </w:tcBorders>
            <w:shd w:val="clear" w:color="auto" w:fill="auto"/>
            <w:noWrap/>
            <w:hideMark/>
          </w:tcPr>
          <w:p w14:paraId="02DCF3B6"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0.91</w:t>
            </w:r>
          </w:p>
        </w:tc>
      </w:tr>
      <w:tr w:rsidR="001F1589" w:rsidRPr="001F1589" w14:paraId="2C3A605E" w14:textId="77777777" w:rsidTr="00A636B6">
        <w:trPr>
          <w:trHeight w:val="20"/>
        </w:trPr>
        <w:tc>
          <w:tcPr>
            <w:tcW w:w="1900" w:type="dxa"/>
            <w:tcBorders>
              <w:top w:val="nil"/>
              <w:left w:val="nil"/>
              <w:bottom w:val="nil"/>
              <w:right w:val="nil"/>
            </w:tcBorders>
            <w:shd w:val="clear" w:color="auto" w:fill="auto"/>
            <w:hideMark/>
          </w:tcPr>
          <w:p w14:paraId="13025E96"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rs12785878</w:t>
            </w:r>
          </w:p>
        </w:tc>
        <w:tc>
          <w:tcPr>
            <w:tcW w:w="1000" w:type="dxa"/>
            <w:tcBorders>
              <w:top w:val="nil"/>
              <w:left w:val="nil"/>
              <w:bottom w:val="nil"/>
              <w:right w:val="nil"/>
            </w:tcBorders>
            <w:shd w:val="clear" w:color="auto" w:fill="auto"/>
            <w:hideMark/>
          </w:tcPr>
          <w:p w14:paraId="5CF3601B"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hideMark/>
          </w:tcPr>
          <w:p w14:paraId="7FBACDD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(0.94, 1.10)</w:t>
            </w:r>
          </w:p>
        </w:tc>
        <w:tc>
          <w:tcPr>
            <w:tcW w:w="1460" w:type="dxa"/>
            <w:tcBorders>
              <w:top w:val="nil"/>
              <w:left w:val="nil"/>
              <w:bottom w:val="nil"/>
              <w:right w:val="nil"/>
            </w:tcBorders>
            <w:shd w:val="clear" w:color="auto" w:fill="auto"/>
            <w:noWrap/>
            <w:hideMark/>
          </w:tcPr>
          <w:p w14:paraId="3C7694E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0.66</w:t>
            </w:r>
          </w:p>
        </w:tc>
      </w:tr>
      <w:tr w:rsidR="001F1589" w:rsidRPr="001F1589" w14:paraId="1E53818D" w14:textId="77777777" w:rsidTr="00A636B6">
        <w:trPr>
          <w:trHeight w:val="20"/>
        </w:trPr>
        <w:tc>
          <w:tcPr>
            <w:tcW w:w="1900" w:type="dxa"/>
            <w:tcBorders>
              <w:top w:val="nil"/>
              <w:left w:val="nil"/>
              <w:bottom w:val="nil"/>
              <w:right w:val="nil"/>
            </w:tcBorders>
            <w:shd w:val="clear" w:color="auto" w:fill="auto"/>
            <w:hideMark/>
          </w:tcPr>
          <w:p w14:paraId="568FCDD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rs10745742</w:t>
            </w:r>
          </w:p>
        </w:tc>
        <w:tc>
          <w:tcPr>
            <w:tcW w:w="1000" w:type="dxa"/>
            <w:tcBorders>
              <w:top w:val="nil"/>
              <w:left w:val="nil"/>
              <w:bottom w:val="nil"/>
              <w:right w:val="nil"/>
            </w:tcBorders>
            <w:shd w:val="clear" w:color="auto" w:fill="auto"/>
            <w:hideMark/>
          </w:tcPr>
          <w:p w14:paraId="65D79255"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hideMark/>
          </w:tcPr>
          <w:p w14:paraId="1A15A4B1"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(0.93, 1.08)</w:t>
            </w:r>
          </w:p>
        </w:tc>
        <w:tc>
          <w:tcPr>
            <w:tcW w:w="1460" w:type="dxa"/>
            <w:tcBorders>
              <w:top w:val="nil"/>
              <w:left w:val="nil"/>
              <w:bottom w:val="nil"/>
              <w:right w:val="nil"/>
            </w:tcBorders>
            <w:shd w:val="clear" w:color="auto" w:fill="auto"/>
            <w:noWrap/>
            <w:hideMark/>
          </w:tcPr>
          <w:p w14:paraId="4B5BDDA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0.99</w:t>
            </w:r>
          </w:p>
        </w:tc>
      </w:tr>
      <w:tr w:rsidR="001F1589" w:rsidRPr="001F1589" w14:paraId="088DF16E" w14:textId="77777777" w:rsidTr="00A636B6">
        <w:trPr>
          <w:trHeight w:val="20"/>
        </w:trPr>
        <w:tc>
          <w:tcPr>
            <w:tcW w:w="1900" w:type="dxa"/>
            <w:tcBorders>
              <w:top w:val="nil"/>
              <w:left w:val="nil"/>
              <w:bottom w:val="nil"/>
              <w:right w:val="nil"/>
            </w:tcBorders>
            <w:shd w:val="clear" w:color="auto" w:fill="auto"/>
            <w:hideMark/>
          </w:tcPr>
          <w:p w14:paraId="049DB9F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rs8018720</w:t>
            </w:r>
          </w:p>
        </w:tc>
        <w:tc>
          <w:tcPr>
            <w:tcW w:w="1000" w:type="dxa"/>
            <w:tcBorders>
              <w:top w:val="nil"/>
              <w:left w:val="nil"/>
              <w:bottom w:val="nil"/>
              <w:right w:val="nil"/>
            </w:tcBorders>
            <w:shd w:val="clear" w:color="auto" w:fill="auto"/>
            <w:hideMark/>
          </w:tcPr>
          <w:p w14:paraId="31F3237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hideMark/>
          </w:tcPr>
          <w:p w14:paraId="57A4B963"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(0.93, 1.07)</w:t>
            </w:r>
          </w:p>
        </w:tc>
        <w:tc>
          <w:tcPr>
            <w:tcW w:w="1460" w:type="dxa"/>
            <w:tcBorders>
              <w:top w:val="nil"/>
              <w:left w:val="nil"/>
              <w:bottom w:val="nil"/>
              <w:right w:val="nil"/>
            </w:tcBorders>
            <w:shd w:val="clear" w:color="auto" w:fill="auto"/>
            <w:noWrap/>
            <w:hideMark/>
          </w:tcPr>
          <w:p w14:paraId="65690266"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w:t>
            </w:r>
          </w:p>
        </w:tc>
      </w:tr>
      <w:tr w:rsidR="001F1589" w:rsidRPr="001F1589" w14:paraId="3D033D60" w14:textId="77777777" w:rsidTr="00A636B6">
        <w:trPr>
          <w:trHeight w:val="20"/>
        </w:trPr>
        <w:tc>
          <w:tcPr>
            <w:tcW w:w="1900" w:type="dxa"/>
            <w:tcBorders>
              <w:top w:val="nil"/>
              <w:left w:val="nil"/>
              <w:bottom w:val="nil"/>
              <w:right w:val="nil"/>
            </w:tcBorders>
            <w:shd w:val="clear" w:color="auto" w:fill="auto"/>
            <w:hideMark/>
          </w:tcPr>
          <w:p w14:paraId="4873AB6E"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rs17216707</w:t>
            </w:r>
          </w:p>
        </w:tc>
        <w:tc>
          <w:tcPr>
            <w:tcW w:w="1000" w:type="dxa"/>
            <w:tcBorders>
              <w:top w:val="nil"/>
              <w:left w:val="nil"/>
              <w:bottom w:val="nil"/>
              <w:right w:val="nil"/>
            </w:tcBorders>
            <w:shd w:val="clear" w:color="auto" w:fill="auto"/>
            <w:hideMark/>
          </w:tcPr>
          <w:p w14:paraId="188463B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1.00</w:t>
            </w:r>
          </w:p>
        </w:tc>
        <w:tc>
          <w:tcPr>
            <w:tcW w:w="1480" w:type="dxa"/>
            <w:tcBorders>
              <w:top w:val="nil"/>
              <w:left w:val="nil"/>
              <w:bottom w:val="nil"/>
              <w:right w:val="nil"/>
            </w:tcBorders>
            <w:shd w:val="clear" w:color="auto" w:fill="auto"/>
            <w:hideMark/>
          </w:tcPr>
          <w:p w14:paraId="29F24BA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(0.93, 1.08)</w:t>
            </w:r>
          </w:p>
        </w:tc>
        <w:tc>
          <w:tcPr>
            <w:tcW w:w="1460" w:type="dxa"/>
            <w:tcBorders>
              <w:top w:val="nil"/>
              <w:left w:val="nil"/>
              <w:bottom w:val="nil"/>
              <w:right w:val="nil"/>
            </w:tcBorders>
            <w:shd w:val="clear" w:color="auto" w:fill="auto"/>
            <w:noWrap/>
            <w:hideMark/>
          </w:tcPr>
          <w:p w14:paraId="4F4C4BC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w:t>
            </w:r>
          </w:p>
        </w:tc>
      </w:tr>
      <w:tr w:rsidR="001F1589" w:rsidRPr="001F1589" w14:paraId="4B050C1F" w14:textId="77777777" w:rsidTr="00A636B6">
        <w:trPr>
          <w:trHeight w:val="20"/>
        </w:trPr>
        <w:tc>
          <w:tcPr>
            <w:tcW w:w="5840" w:type="dxa"/>
            <w:gridSpan w:val="4"/>
            <w:tcBorders>
              <w:top w:val="nil"/>
              <w:left w:val="nil"/>
              <w:bottom w:val="nil"/>
              <w:right w:val="nil"/>
            </w:tcBorders>
            <w:shd w:val="clear" w:color="auto" w:fill="auto"/>
            <w:hideMark/>
          </w:tcPr>
          <w:p w14:paraId="405654EE" w14:textId="77777777" w:rsidR="00A636B6" w:rsidRPr="001F1589" w:rsidRDefault="00A636B6">
            <w:pPr>
              <w:rPr>
                <w:rFonts w:ascii="Calibri" w:eastAsia="Times New Roman" w:hAnsi="Calibri"/>
                <w:b/>
                <w:bCs/>
                <w:color w:val="000000" w:themeColor="text1"/>
                <w:sz w:val="20"/>
                <w:szCs w:val="22"/>
              </w:rPr>
            </w:pPr>
            <w:r w:rsidRPr="001F1589">
              <w:rPr>
                <w:rFonts w:ascii="Calibri" w:eastAsia="Times New Roman" w:hAnsi="Calibri"/>
                <w:b/>
                <w:bCs/>
                <w:color w:val="000000" w:themeColor="text1"/>
                <w:sz w:val="20"/>
                <w:szCs w:val="22"/>
              </w:rPr>
              <w:t>Advanced Prostate Cancer</w:t>
            </w:r>
          </w:p>
        </w:tc>
      </w:tr>
      <w:tr w:rsidR="001F1589" w:rsidRPr="001F1589" w14:paraId="20D28485" w14:textId="77777777" w:rsidTr="00A636B6">
        <w:trPr>
          <w:trHeight w:val="20"/>
        </w:trPr>
        <w:tc>
          <w:tcPr>
            <w:tcW w:w="1900" w:type="dxa"/>
            <w:tcBorders>
              <w:top w:val="nil"/>
              <w:left w:val="nil"/>
              <w:bottom w:val="nil"/>
              <w:right w:val="nil"/>
            </w:tcBorders>
            <w:shd w:val="clear" w:color="auto" w:fill="auto"/>
            <w:hideMark/>
          </w:tcPr>
          <w:p w14:paraId="1BAEDD0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rs3755967</w:t>
            </w:r>
          </w:p>
        </w:tc>
        <w:tc>
          <w:tcPr>
            <w:tcW w:w="1000" w:type="dxa"/>
            <w:tcBorders>
              <w:top w:val="nil"/>
              <w:left w:val="nil"/>
              <w:bottom w:val="nil"/>
              <w:right w:val="nil"/>
            </w:tcBorders>
            <w:shd w:val="clear" w:color="auto" w:fill="auto"/>
            <w:hideMark/>
          </w:tcPr>
          <w:p w14:paraId="1E6302C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0.95</w:t>
            </w:r>
          </w:p>
        </w:tc>
        <w:tc>
          <w:tcPr>
            <w:tcW w:w="1480" w:type="dxa"/>
            <w:tcBorders>
              <w:top w:val="nil"/>
              <w:left w:val="nil"/>
              <w:bottom w:val="nil"/>
              <w:right w:val="nil"/>
            </w:tcBorders>
            <w:shd w:val="clear" w:color="auto" w:fill="auto"/>
            <w:hideMark/>
          </w:tcPr>
          <w:p w14:paraId="576D877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(0.76, 1.19)</w:t>
            </w:r>
          </w:p>
        </w:tc>
        <w:tc>
          <w:tcPr>
            <w:tcW w:w="1460" w:type="dxa"/>
            <w:tcBorders>
              <w:top w:val="nil"/>
              <w:left w:val="nil"/>
              <w:bottom w:val="nil"/>
              <w:right w:val="nil"/>
            </w:tcBorders>
            <w:shd w:val="clear" w:color="auto" w:fill="auto"/>
            <w:noWrap/>
            <w:hideMark/>
          </w:tcPr>
          <w:p w14:paraId="1FF1F862"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0.67</w:t>
            </w:r>
          </w:p>
        </w:tc>
      </w:tr>
      <w:tr w:rsidR="001F1589" w:rsidRPr="001F1589" w14:paraId="308D448D" w14:textId="77777777" w:rsidTr="00A636B6">
        <w:trPr>
          <w:trHeight w:val="20"/>
        </w:trPr>
        <w:tc>
          <w:tcPr>
            <w:tcW w:w="1900" w:type="dxa"/>
            <w:tcBorders>
              <w:top w:val="nil"/>
              <w:left w:val="nil"/>
              <w:bottom w:val="nil"/>
              <w:right w:val="nil"/>
            </w:tcBorders>
            <w:shd w:val="clear" w:color="auto" w:fill="auto"/>
            <w:hideMark/>
          </w:tcPr>
          <w:p w14:paraId="4732AFA4"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rs10741657</w:t>
            </w:r>
          </w:p>
        </w:tc>
        <w:tc>
          <w:tcPr>
            <w:tcW w:w="1000" w:type="dxa"/>
            <w:tcBorders>
              <w:top w:val="nil"/>
              <w:left w:val="nil"/>
              <w:bottom w:val="nil"/>
              <w:right w:val="nil"/>
            </w:tcBorders>
            <w:shd w:val="clear" w:color="auto" w:fill="auto"/>
            <w:hideMark/>
          </w:tcPr>
          <w:p w14:paraId="7E8911C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1.01</w:t>
            </w:r>
          </w:p>
        </w:tc>
        <w:tc>
          <w:tcPr>
            <w:tcW w:w="1480" w:type="dxa"/>
            <w:tcBorders>
              <w:top w:val="nil"/>
              <w:left w:val="nil"/>
              <w:bottom w:val="nil"/>
              <w:right w:val="nil"/>
            </w:tcBorders>
            <w:shd w:val="clear" w:color="auto" w:fill="auto"/>
            <w:hideMark/>
          </w:tcPr>
          <w:p w14:paraId="6B7CBC8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(0.88, 1.15)</w:t>
            </w:r>
          </w:p>
        </w:tc>
        <w:tc>
          <w:tcPr>
            <w:tcW w:w="1460" w:type="dxa"/>
            <w:tcBorders>
              <w:top w:val="nil"/>
              <w:left w:val="nil"/>
              <w:bottom w:val="nil"/>
              <w:right w:val="nil"/>
            </w:tcBorders>
            <w:shd w:val="clear" w:color="auto" w:fill="auto"/>
            <w:noWrap/>
            <w:hideMark/>
          </w:tcPr>
          <w:p w14:paraId="2B59D6A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0.92</w:t>
            </w:r>
          </w:p>
        </w:tc>
      </w:tr>
      <w:tr w:rsidR="001F1589" w:rsidRPr="001F1589" w14:paraId="0781541C" w14:textId="77777777" w:rsidTr="00A636B6">
        <w:trPr>
          <w:trHeight w:val="20"/>
        </w:trPr>
        <w:tc>
          <w:tcPr>
            <w:tcW w:w="1900" w:type="dxa"/>
            <w:tcBorders>
              <w:top w:val="nil"/>
              <w:left w:val="nil"/>
              <w:bottom w:val="nil"/>
              <w:right w:val="nil"/>
            </w:tcBorders>
            <w:shd w:val="clear" w:color="auto" w:fill="auto"/>
            <w:hideMark/>
          </w:tcPr>
          <w:p w14:paraId="368B945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rs12785878</w:t>
            </w:r>
          </w:p>
        </w:tc>
        <w:tc>
          <w:tcPr>
            <w:tcW w:w="1000" w:type="dxa"/>
            <w:tcBorders>
              <w:top w:val="nil"/>
              <w:left w:val="nil"/>
              <w:bottom w:val="nil"/>
              <w:right w:val="nil"/>
            </w:tcBorders>
            <w:shd w:val="clear" w:color="auto" w:fill="auto"/>
            <w:hideMark/>
          </w:tcPr>
          <w:p w14:paraId="23C598A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1.07</w:t>
            </w:r>
          </w:p>
        </w:tc>
        <w:tc>
          <w:tcPr>
            <w:tcW w:w="1480" w:type="dxa"/>
            <w:tcBorders>
              <w:top w:val="nil"/>
              <w:left w:val="nil"/>
              <w:bottom w:val="nil"/>
              <w:right w:val="nil"/>
            </w:tcBorders>
            <w:shd w:val="clear" w:color="auto" w:fill="auto"/>
            <w:hideMark/>
          </w:tcPr>
          <w:p w14:paraId="6E7E257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(0.93, 1.22)</w:t>
            </w:r>
          </w:p>
        </w:tc>
        <w:tc>
          <w:tcPr>
            <w:tcW w:w="1460" w:type="dxa"/>
            <w:tcBorders>
              <w:top w:val="nil"/>
              <w:left w:val="nil"/>
              <w:bottom w:val="nil"/>
              <w:right w:val="nil"/>
            </w:tcBorders>
            <w:shd w:val="clear" w:color="auto" w:fill="auto"/>
            <w:noWrap/>
            <w:hideMark/>
          </w:tcPr>
          <w:p w14:paraId="78704E86"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0.35</w:t>
            </w:r>
          </w:p>
        </w:tc>
      </w:tr>
      <w:tr w:rsidR="001F1589" w:rsidRPr="001F1589" w14:paraId="6F7A23E9" w14:textId="77777777" w:rsidTr="00A636B6">
        <w:trPr>
          <w:trHeight w:val="20"/>
        </w:trPr>
        <w:tc>
          <w:tcPr>
            <w:tcW w:w="1900" w:type="dxa"/>
            <w:tcBorders>
              <w:top w:val="nil"/>
              <w:left w:val="nil"/>
              <w:bottom w:val="nil"/>
              <w:right w:val="nil"/>
            </w:tcBorders>
            <w:shd w:val="clear" w:color="auto" w:fill="auto"/>
            <w:hideMark/>
          </w:tcPr>
          <w:p w14:paraId="0784592B"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rs10745742</w:t>
            </w:r>
          </w:p>
        </w:tc>
        <w:tc>
          <w:tcPr>
            <w:tcW w:w="1000" w:type="dxa"/>
            <w:tcBorders>
              <w:top w:val="nil"/>
              <w:left w:val="nil"/>
              <w:bottom w:val="nil"/>
              <w:right w:val="nil"/>
            </w:tcBorders>
            <w:shd w:val="clear" w:color="auto" w:fill="auto"/>
            <w:hideMark/>
          </w:tcPr>
          <w:p w14:paraId="7B5D736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hideMark/>
          </w:tcPr>
          <w:p w14:paraId="4B220E43"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(0.90, 1.16)</w:t>
            </w:r>
          </w:p>
        </w:tc>
        <w:tc>
          <w:tcPr>
            <w:tcW w:w="1460" w:type="dxa"/>
            <w:tcBorders>
              <w:top w:val="nil"/>
              <w:left w:val="nil"/>
              <w:bottom w:val="nil"/>
              <w:right w:val="nil"/>
            </w:tcBorders>
            <w:shd w:val="clear" w:color="auto" w:fill="auto"/>
            <w:noWrap/>
            <w:hideMark/>
          </w:tcPr>
          <w:p w14:paraId="748A0F4E"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0.71</w:t>
            </w:r>
          </w:p>
        </w:tc>
      </w:tr>
      <w:tr w:rsidR="001F1589" w:rsidRPr="001F1589" w14:paraId="629FD27F" w14:textId="77777777" w:rsidTr="00A636B6">
        <w:trPr>
          <w:trHeight w:val="20"/>
        </w:trPr>
        <w:tc>
          <w:tcPr>
            <w:tcW w:w="1900" w:type="dxa"/>
            <w:tcBorders>
              <w:top w:val="nil"/>
              <w:left w:val="nil"/>
              <w:bottom w:val="nil"/>
              <w:right w:val="nil"/>
            </w:tcBorders>
            <w:shd w:val="clear" w:color="auto" w:fill="auto"/>
            <w:hideMark/>
          </w:tcPr>
          <w:p w14:paraId="3BC09629"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rs8018720</w:t>
            </w:r>
          </w:p>
        </w:tc>
        <w:tc>
          <w:tcPr>
            <w:tcW w:w="1000" w:type="dxa"/>
            <w:tcBorders>
              <w:top w:val="nil"/>
              <w:left w:val="nil"/>
              <w:bottom w:val="nil"/>
              <w:right w:val="nil"/>
            </w:tcBorders>
            <w:shd w:val="clear" w:color="auto" w:fill="auto"/>
            <w:hideMark/>
          </w:tcPr>
          <w:p w14:paraId="664D67C0"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1.02</w:t>
            </w:r>
          </w:p>
        </w:tc>
        <w:tc>
          <w:tcPr>
            <w:tcW w:w="1480" w:type="dxa"/>
            <w:tcBorders>
              <w:top w:val="nil"/>
              <w:left w:val="nil"/>
              <w:bottom w:val="nil"/>
              <w:right w:val="nil"/>
            </w:tcBorders>
            <w:shd w:val="clear" w:color="auto" w:fill="auto"/>
            <w:hideMark/>
          </w:tcPr>
          <w:p w14:paraId="42922E2E"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(0.90, 1.16)</w:t>
            </w:r>
          </w:p>
        </w:tc>
        <w:tc>
          <w:tcPr>
            <w:tcW w:w="1460" w:type="dxa"/>
            <w:tcBorders>
              <w:top w:val="nil"/>
              <w:left w:val="nil"/>
              <w:bottom w:val="nil"/>
              <w:right w:val="nil"/>
            </w:tcBorders>
            <w:shd w:val="clear" w:color="auto" w:fill="auto"/>
            <w:noWrap/>
            <w:hideMark/>
          </w:tcPr>
          <w:p w14:paraId="7D027718"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0.76</w:t>
            </w:r>
          </w:p>
        </w:tc>
      </w:tr>
      <w:tr w:rsidR="001F1589" w:rsidRPr="001F1589" w14:paraId="21C57F45" w14:textId="77777777" w:rsidTr="00A636B6">
        <w:trPr>
          <w:trHeight w:val="20"/>
        </w:trPr>
        <w:tc>
          <w:tcPr>
            <w:tcW w:w="1900" w:type="dxa"/>
            <w:tcBorders>
              <w:top w:val="nil"/>
              <w:left w:val="nil"/>
              <w:bottom w:val="nil"/>
              <w:right w:val="nil"/>
            </w:tcBorders>
            <w:shd w:val="clear" w:color="auto" w:fill="auto"/>
            <w:hideMark/>
          </w:tcPr>
          <w:p w14:paraId="285B38D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rs17216707</w:t>
            </w:r>
          </w:p>
        </w:tc>
        <w:tc>
          <w:tcPr>
            <w:tcW w:w="1000" w:type="dxa"/>
            <w:tcBorders>
              <w:top w:val="nil"/>
              <w:left w:val="nil"/>
              <w:bottom w:val="single" w:sz="8" w:space="0" w:color="auto"/>
              <w:right w:val="nil"/>
            </w:tcBorders>
            <w:shd w:val="clear" w:color="auto" w:fill="auto"/>
            <w:hideMark/>
          </w:tcPr>
          <w:p w14:paraId="4EA1513F"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1.03</w:t>
            </w:r>
          </w:p>
        </w:tc>
        <w:tc>
          <w:tcPr>
            <w:tcW w:w="1480" w:type="dxa"/>
            <w:tcBorders>
              <w:top w:val="nil"/>
              <w:left w:val="nil"/>
              <w:bottom w:val="nil"/>
              <w:right w:val="nil"/>
            </w:tcBorders>
            <w:shd w:val="clear" w:color="auto" w:fill="auto"/>
            <w:hideMark/>
          </w:tcPr>
          <w:p w14:paraId="1DB6CB5C"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(0.90, 1.17)</w:t>
            </w:r>
          </w:p>
        </w:tc>
        <w:tc>
          <w:tcPr>
            <w:tcW w:w="1460" w:type="dxa"/>
            <w:tcBorders>
              <w:top w:val="nil"/>
              <w:left w:val="nil"/>
              <w:bottom w:val="nil"/>
              <w:right w:val="nil"/>
            </w:tcBorders>
            <w:shd w:val="clear" w:color="auto" w:fill="auto"/>
            <w:noWrap/>
            <w:hideMark/>
          </w:tcPr>
          <w:p w14:paraId="08A44A5D" w14:textId="77777777" w:rsidR="00A636B6" w:rsidRPr="001F1589" w:rsidRDefault="00A636B6">
            <w:pPr>
              <w:jc w:val="cente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0.69</w:t>
            </w:r>
          </w:p>
        </w:tc>
      </w:tr>
      <w:tr w:rsidR="00A636B6" w:rsidRPr="001F1589" w14:paraId="73488E39" w14:textId="77777777" w:rsidTr="00A636B6">
        <w:trPr>
          <w:trHeight w:val="20"/>
        </w:trPr>
        <w:tc>
          <w:tcPr>
            <w:tcW w:w="5840" w:type="dxa"/>
            <w:gridSpan w:val="4"/>
            <w:tcBorders>
              <w:top w:val="single" w:sz="8" w:space="0" w:color="auto"/>
              <w:left w:val="nil"/>
              <w:bottom w:val="nil"/>
              <w:right w:val="nil"/>
            </w:tcBorders>
            <w:shd w:val="clear" w:color="auto" w:fill="auto"/>
            <w:hideMark/>
          </w:tcPr>
          <w:p w14:paraId="30B0375C" w14:textId="1F71689A" w:rsidR="00A636B6" w:rsidRPr="001F1589" w:rsidRDefault="00A636B6">
            <w:pPr>
              <w:rPr>
                <w:rFonts w:ascii="Calibri" w:eastAsia="Times New Roman" w:hAnsi="Calibri"/>
                <w:color w:val="000000" w:themeColor="text1"/>
                <w:sz w:val="20"/>
                <w:szCs w:val="22"/>
              </w:rPr>
            </w:pPr>
            <w:r w:rsidRPr="001F1589">
              <w:rPr>
                <w:rFonts w:ascii="Calibri" w:eastAsia="Times New Roman" w:hAnsi="Calibri"/>
                <w:color w:val="000000" w:themeColor="text1"/>
                <w:sz w:val="20"/>
                <w:szCs w:val="22"/>
              </w:rPr>
              <w:t>The odds ratios represent increase/decrease of risk per 25nmol/L increase in 25(OH)D. Odds ratios calculated using inverse variance weighted method.</w:t>
            </w:r>
          </w:p>
        </w:tc>
      </w:tr>
    </w:tbl>
    <w:p w14:paraId="46D14DFB" w14:textId="77777777" w:rsidR="008025AB" w:rsidRPr="001F1589" w:rsidRDefault="008025AB" w:rsidP="00F74DB3">
      <w:pPr>
        <w:spacing w:after="120"/>
        <w:jc w:val="both"/>
        <w:rPr>
          <w:b/>
          <w:color w:val="000000" w:themeColor="text1"/>
          <w:sz w:val="28"/>
        </w:rPr>
      </w:pPr>
    </w:p>
    <w:sectPr w:rsidR="008025AB" w:rsidRPr="001F1589" w:rsidSect="0019652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53465" w14:textId="77777777" w:rsidR="00BB57C8" w:rsidRDefault="00BB57C8" w:rsidP="00AF61CF">
      <w:r>
        <w:separator/>
      </w:r>
    </w:p>
  </w:endnote>
  <w:endnote w:type="continuationSeparator" w:id="0">
    <w:p w14:paraId="6BEA9840" w14:textId="77777777" w:rsidR="00BB57C8" w:rsidRDefault="00BB57C8" w:rsidP="00AF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Body)">
    <w:altName w:val="Times New Roman"/>
    <w:panose1 w:val="020B0604020202020204"/>
    <w:charset w:val="00"/>
    <w:family w:val="auto"/>
    <w:pitch w:val="variable"/>
    <w:sig w:usb0="E00002FF" w:usb1="4000A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FE66F" w14:textId="77777777" w:rsidR="00364BF4" w:rsidRDefault="00364BF4" w:rsidP="00884D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7820F1" w14:textId="77777777" w:rsidR="00364BF4" w:rsidRDefault="00364BF4" w:rsidP="00AF61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C287C" w14:textId="77777777" w:rsidR="00364BF4" w:rsidRDefault="00364BF4" w:rsidP="00884D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3012">
      <w:rPr>
        <w:rStyle w:val="PageNumber"/>
        <w:noProof/>
      </w:rPr>
      <w:t>3</w:t>
    </w:r>
    <w:r>
      <w:rPr>
        <w:rStyle w:val="PageNumber"/>
      </w:rPr>
      <w:fldChar w:fldCharType="end"/>
    </w:r>
  </w:p>
  <w:p w14:paraId="73F9E5F3" w14:textId="77777777" w:rsidR="00364BF4" w:rsidRDefault="00364BF4" w:rsidP="00AF61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2E45E" w14:textId="77777777" w:rsidR="00364BF4" w:rsidRDefault="00364BF4" w:rsidP="00884D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DE05D7" w14:textId="77777777" w:rsidR="00364BF4" w:rsidRDefault="00364BF4" w:rsidP="00AF61C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8AE2F" w14:textId="77777777" w:rsidR="00364BF4" w:rsidRDefault="00364BF4" w:rsidP="00884D5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0CD8">
      <w:rPr>
        <w:rStyle w:val="PageNumber"/>
        <w:noProof/>
      </w:rPr>
      <w:t>23</w:t>
    </w:r>
    <w:r>
      <w:rPr>
        <w:rStyle w:val="PageNumber"/>
      </w:rPr>
      <w:fldChar w:fldCharType="end"/>
    </w:r>
  </w:p>
  <w:p w14:paraId="327D42CE" w14:textId="77777777" w:rsidR="00364BF4" w:rsidRDefault="00364BF4" w:rsidP="00AF61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52C19" w14:textId="77777777" w:rsidR="00BB57C8" w:rsidRDefault="00BB57C8" w:rsidP="00AF61CF">
      <w:r>
        <w:separator/>
      </w:r>
    </w:p>
  </w:footnote>
  <w:footnote w:type="continuationSeparator" w:id="0">
    <w:p w14:paraId="38D855FA" w14:textId="77777777" w:rsidR="00BB57C8" w:rsidRDefault="00BB57C8" w:rsidP="00AF6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4B070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235736"/>
    <w:multiLevelType w:val="hybridMultilevel"/>
    <w:tmpl w:val="15FA6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F14"/>
    <w:rsid w:val="000002CD"/>
    <w:rsid w:val="00000412"/>
    <w:rsid w:val="000018DF"/>
    <w:rsid w:val="00003D45"/>
    <w:rsid w:val="000041DC"/>
    <w:rsid w:val="00004855"/>
    <w:rsid w:val="000048FC"/>
    <w:rsid w:val="00004BE1"/>
    <w:rsid w:val="0000560D"/>
    <w:rsid w:val="00010680"/>
    <w:rsid w:val="00010E9E"/>
    <w:rsid w:val="0001125F"/>
    <w:rsid w:val="000112C5"/>
    <w:rsid w:val="00011966"/>
    <w:rsid w:val="0001257F"/>
    <w:rsid w:val="00013583"/>
    <w:rsid w:val="00013FC6"/>
    <w:rsid w:val="00016DF0"/>
    <w:rsid w:val="000178CD"/>
    <w:rsid w:val="00017E8D"/>
    <w:rsid w:val="00020753"/>
    <w:rsid w:val="00020F06"/>
    <w:rsid w:val="00023033"/>
    <w:rsid w:val="0002314B"/>
    <w:rsid w:val="00024A30"/>
    <w:rsid w:val="00024F48"/>
    <w:rsid w:val="00027F40"/>
    <w:rsid w:val="00030585"/>
    <w:rsid w:val="00031E2A"/>
    <w:rsid w:val="00032D2E"/>
    <w:rsid w:val="00033FAB"/>
    <w:rsid w:val="00034ED3"/>
    <w:rsid w:val="00035BC5"/>
    <w:rsid w:val="00041465"/>
    <w:rsid w:val="000430D4"/>
    <w:rsid w:val="00043260"/>
    <w:rsid w:val="00043545"/>
    <w:rsid w:val="0004473F"/>
    <w:rsid w:val="00044A0D"/>
    <w:rsid w:val="00044C92"/>
    <w:rsid w:val="000461F8"/>
    <w:rsid w:val="00046562"/>
    <w:rsid w:val="000466AD"/>
    <w:rsid w:val="00046982"/>
    <w:rsid w:val="00046C47"/>
    <w:rsid w:val="0004713E"/>
    <w:rsid w:val="00051BC0"/>
    <w:rsid w:val="00051FCE"/>
    <w:rsid w:val="000540BE"/>
    <w:rsid w:val="0005436E"/>
    <w:rsid w:val="000548C0"/>
    <w:rsid w:val="000555FB"/>
    <w:rsid w:val="00055F04"/>
    <w:rsid w:val="000561D6"/>
    <w:rsid w:val="00056396"/>
    <w:rsid w:val="00057F80"/>
    <w:rsid w:val="000600E3"/>
    <w:rsid w:val="0006123B"/>
    <w:rsid w:val="000633FC"/>
    <w:rsid w:val="000634B2"/>
    <w:rsid w:val="00063B8C"/>
    <w:rsid w:val="00063E4D"/>
    <w:rsid w:val="00064003"/>
    <w:rsid w:val="00064CBB"/>
    <w:rsid w:val="000656E5"/>
    <w:rsid w:val="00071507"/>
    <w:rsid w:val="00072D9F"/>
    <w:rsid w:val="00073E40"/>
    <w:rsid w:val="00074BBB"/>
    <w:rsid w:val="00074C57"/>
    <w:rsid w:val="00075095"/>
    <w:rsid w:val="00076023"/>
    <w:rsid w:val="000769C2"/>
    <w:rsid w:val="00081374"/>
    <w:rsid w:val="00081AFE"/>
    <w:rsid w:val="00084047"/>
    <w:rsid w:val="00084B13"/>
    <w:rsid w:val="0008585B"/>
    <w:rsid w:val="00085CBA"/>
    <w:rsid w:val="00085FBC"/>
    <w:rsid w:val="000866FA"/>
    <w:rsid w:val="00087861"/>
    <w:rsid w:val="0008791E"/>
    <w:rsid w:val="00087A46"/>
    <w:rsid w:val="0009035E"/>
    <w:rsid w:val="00090A30"/>
    <w:rsid w:val="00090F49"/>
    <w:rsid w:val="00090FA8"/>
    <w:rsid w:val="000916A2"/>
    <w:rsid w:val="0009312C"/>
    <w:rsid w:val="00093800"/>
    <w:rsid w:val="0009428A"/>
    <w:rsid w:val="000963C6"/>
    <w:rsid w:val="00096D50"/>
    <w:rsid w:val="00097A26"/>
    <w:rsid w:val="000A3448"/>
    <w:rsid w:val="000A358F"/>
    <w:rsid w:val="000A4933"/>
    <w:rsid w:val="000A552F"/>
    <w:rsid w:val="000A606D"/>
    <w:rsid w:val="000A612B"/>
    <w:rsid w:val="000A6FBA"/>
    <w:rsid w:val="000B05BD"/>
    <w:rsid w:val="000B172A"/>
    <w:rsid w:val="000B1C44"/>
    <w:rsid w:val="000B3836"/>
    <w:rsid w:val="000B39C4"/>
    <w:rsid w:val="000B794E"/>
    <w:rsid w:val="000B7CC3"/>
    <w:rsid w:val="000C2DE8"/>
    <w:rsid w:val="000C370F"/>
    <w:rsid w:val="000C3A95"/>
    <w:rsid w:val="000C4BF4"/>
    <w:rsid w:val="000C5318"/>
    <w:rsid w:val="000C7471"/>
    <w:rsid w:val="000D02D7"/>
    <w:rsid w:val="000D0410"/>
    <w:rsid w:val="000D0953"/>
    <w:rsid w:val="000D5026"/>
    <w:rsid w:val="000D535F"/>
    <w:rsid w:val="000D5620"/>
    <w:rsid w:val="000D6C1B"/>
    <w:rsid w:val="000D6E66"/>
    <w:rsid w:val="000D6F32"/>
    <w:rsid w:val="000D7136"/>
    <w:rsid w:val="000E12BA"/>
    <w:rsid w:val="000E2D1D"/>
    <w:rsid w:val="000E4AF4"/>
    <w:rsid w:val="000E4DE9"/>
    <w:rsid w:val="000E57A6"/>
    <w:rsid w:val="000E5855"/>
    <w:rsid w:val="000F0A0C"/>
    <w:rsid w:val="000F0D04"/>
    <w:rsid w:val="000F1103"/>
    <w:rsid w:val="000F1137"/>
    <w:rsid w:val="000F1A46"/>
    <w:rsid w:val="000F1ED2"/>
    <w:rsid w:val="000F2295"/>
    <w:rsid w:val="000F36D9"/>
    <w:rsid w:val="000F37E8"/>
    <w:rsid w:val="000F4B51"/>
    <w:rsid w:val="000F6AF4"/>
    <w:rsid w:val="00101CB3"/>
    <w:rsid w:val="00103402"/>
    <w:rsid w:val="001036DA"/>
    <w:rsid w:val="00105277"/>
    <w:rsid w:val="00105620"/>
    <w:rsid w:val="001071BB"/>
    <w:rsid w:val="00107BD7"/>
    <w:rsid w:val="00107E8A"/>
    <w:rsid w:val="0011118F"/>
    <w:rsid w:val="001119B7"/>
    <w:rsid w:val="00111F60"/>
    <w:rsid w:val="00113BD5"/>
    <w:rsid w:val="0011475A"/>
    <w:rsid w:val="001151C3"/>
    <w:rsid w:val="00116FC1"/>
    <w:rsid w:val="0011743F"/>
    <w:rsid w:val="0012070F"/>
    <w:rsid w:val="00121A57"/>
    <w:rsid w:val="00122E11"/>
    <w:rsid w:val="001239FC"/>
    <w:rsid w:val="00124A53"/>
    <w:rsid w:val="00124E03"/>
    <w:rsid w:val="00126EB0"/>
    <w:rsid w:val="001270AD"/>
    <w:rsid w:val="001302A9"/>
    <w:rsid w:val="00130D49"/>
    <w:rsid w:val="001323E4"/>
    <w:rsid w:val="00132845"/>
    <w:rsid w:val="00133461"/>
    <w:rsid w:val="00133687"/>
    <w:rsid w:val="001337F0"/>
    <w:rsid w:val="001354BA"/>
    <w:rsid w:val="0013558C"/>
    <w:rsid w:val="001355B8"/>
    <w:rsid w:val="00136F6E"/>
    <w:rsid w:val="0014156B"/>
    <w:rsid w:val="001427EB"/>
    <w:rsid w:val="0014299F"/>
    <w:rsid w:val="00142A5C"/>
    <w:rsid w:val="00142CD3"/>
    <w:rsid w:val="001453B6"/>
    <w:rsid w:val="00145782"/>
    <w:rsid w:val="001476BE"/>
    <w:rsid w:val="00147A0C"/>
    <w:rsid w:val="00147B60"/>
    <w:rsid w:val="0015008F"/>
    <w:rsid w:val="001501E1"/>
    <w:rsid w:val="00151BD0"/>
    <w:rsid w:val="00152819"/>
    <w:rsid w:val="00154933"/>
    <w:rsid w:val="00154CE3"/>
    <w:rsid w:val="00154FBE"/>
    <w:rsid w:val="001562AA"/>
    <w:rsid w:val="0015659A"/>
    <w:rsid w:val="0015747E"/>
    <w:rsid w:val="00157994"/>
    <w:rsid w:val="00160422"/>
    <w:rsid w:val="00160661"/>
    <w:rsid w:val="0016132B"/>
    <w:rsid w:val="00161A48"/>
    <w:rsid w:val="00161EF6"/>
    <w:rsid w:val="00162110"/>
    <w:rsid w:val="001627D5"/>
    <w:rsid w:val="001634E5"/>
    <w:rsid w:val="00165A94"/>
    <w:rsid w:val="00166CC8"/>
    <w:rsid w:val="00167295"/>
    <w:rsid w:val="00167948"/>
    <w:rsid w:val="00167FD8"/>
    <w:rsid w:val="001701E6"/>
    <w:rsid w:val="00171D40"/>
    <w:rsid w:val="00174E6F"/>
    <w:rsid w:val="001751A9"/>
    <w:rsid w:val="001754DA"/>
    <w:rsid w:val="00175621"/>
    <w:rsid w:val="00175B93"/>
    <w:rsid w:val="00176A4B"/>
    <w:rsid w:val="00180CE1"/>
    <w:rsid w:val="001817E8"/>
    <w:rsid w:val="00183977"/>
    <w:rsid w:val="00184283"/>
    <w:rsid w:val="001844B0"/>
    <w:rsid w:val="001847E6"/>
    <w:rsid w:val="0018510E"/>
    <w:rsid w:val="00185390"/>
    <w:rsid w:val="001900D8"/>
    <w:rsid w:val="00191A6B"/>
    <w:rsid w:val="00192241"/>
    <w:rsid w:val="0019228D"/>
    <w:rsid w:val="0019261A"/>
    <w:rsid w:val="00192DBD"/>
    <w:rsid w:val="00193EA6"/>
    <w:rsid w:val="0019501E"/>
    <w:rsid w:val="00195172"/>
    <w:rsid w:val="00195886"/>
    <w:rsid w:val="0019595E"/>
    <w:rsid w:val="0019652D"/>
    <w:rsid w:val="00196F6C"/>
    <w:rsid w:val="001A0875"/>
    <w:rsid w:val="001A1226"/>
    <w:rsid w:val="001A1C63"/>
    <w:rsid w:val="001A24B7"/>
    <w:rsid w:val="001A24D8"/>
    <w:rsid w:val="001A2C41"/>
    <w:rsid w:val="001A36E5"/>
    <w:rsid w:val="001A3C92"/>
    <w:rsid w:val="001A50EE"/>
    <w:rsid w:val="001A5D44"/>
    <w:rsid w:val="001B061F"/>
    <w:rsid w:val="001B0C28"/>
    <w:rsid w:val="001B18D3"/>
    <w:rsid w:val="001B19DC"/>
    <w:rsid w:val="001B2E83"/>
    <w:rsid w:val="001B4309"/>
    <w:rsid w:val="001B6018"/>
    <w:rsid w:val="001B7453"/>
    <w:rsid w:val="001B7CE2"/>
    <w:rsid w:val="001C07B2"/>
    <w:rsid w:val="001C17B3"/>
    <w:rsid w:val="001C2AB6"/>
    <w:rsid w:val="001C3897"/>
    <w:rsid w:val="001C39AF"/>
    <w:rsid w:val="001C5B55"/>
    <w:rsid w:val="001C6EA7"/>
    <w:rsid w:val="001C723A"/>
    <w:rsid w:val="001C7AAB"/>
    <w:rsid w:val="001C7D58"/>
    <w:rsid w:val="001D068C"/>
    <w:rsid w:val="001D1936"/>
    <w:rsid w:val="001D1A02"/>
    <w:rsid w:val="001D1CBC"/>
    <w:rsid w:val="001D39DB"/>
    <w:rsid w:val="001E04E9"/>
    <w:rsid w:val="001E0890"/>
    <w:rsid w:val="001E0EBB"/>
    <w:rsid w:val="001E2C54"/>
    <w:rsid w:val="001E35E3"/>
    <w:rsid w:val="001E4F15"/>
    <w:rsid w:val="001F00F5"/>
    <w:rsid w:val="001F0416"/>
    <w:rsid w:val="001F0D4C"/>
    <w:rsid w:val="001F1589"/>
    <w:rsid w:val="001F2EDB"/>
    <w:rsid w:val="001F3DDE"/>
    <w:rsid w:val="001F401C"/>
    <w:rsid w:val="001F40EF"/>
    <w:rsid w:val="001F48A9"/>
    <w:rsid w:val="001F4D6B"/>
    <w:rsid w:val="001F4F75"/>
    <w:rsid w:val="001F5D4C"/>
    <w:rsid w:val="001F760F"/>
    <w:rsid w:val="002002D6"/>
    <w:rsid w:val="002002F0"/>
    <w:rsid w:val="002019A7"/>
    <w:rsid w:val="00201DA5"/>
    <w:rsid w:val="0020274D"/>
    <w:rsid w:val="0020555C"/>
    <w:rsid w:val="002055AD"/>
    <w:rsid w:val="0020717B"/>
    <w:rsid w:val="002109B5"/>
    <w:rsid w:val="00213921"/>
    <w:rsid w:val="00215D1E"/>
    <w:rsid w:val="002160B1"/>
    <w:rsid w:val="00220240"/>
    <w:rsid w:val="00220914"/>
    <w:rsid w:val="00220A60"/>
    <w:rsid w:val="002229A6"/>
    <w:rsid w:val="00222AFE"/>
    <w:rsid w:val="002234CA"/>
    <w:rsid w:val="0022544B"/>
    <w:rsid w:val="00225E39"/>
    <w:rsid w:val="002271E0"/>
    <w:rsid w:val="00230F60"/>
    <w:rsid w:val="00230FD3"/>
    <w:rsid w:val="0023152E"/>
    <w:rsid w:val="00232171"/>
    <w:rsid w:val="00233AC6"/>
    <w:rsid w:val="00234D8D"/>
    <w:rsid w:val="00235DD4"/>
    <w:rsid w:val="00237104"/>
    <w:rsid w:val="00237160"/>
    <w:rsid w:val="00240364"/>
    <w:rsid w:val="00241548"/>
    <w:rsid w:val="002443C6"/>
    <w:rsid w:val="002459F3"/>
    <w:rsid w:val="00245BCF"/>
    <w:rsid w:val="002462B4"/>
    <w:rsid w:val="00247CCB"/>
    <w:rsid w:val="00247F50"/>
    <w:rsid w:val="002500ED"/>
    <w:rsid w:val="002521A9"/>
    <w:rsid w:val="0025252E"/>
    <w:rsid w:val="002546C2"/>
    <w:rsid w:val="00254DAD"/>
    <w:rsid w:val="00255318"/>
    <w:rsid w:val="00256626"/>
    <w:rsid w:val="00257048"/>
    <w:rsid w:val="00260870"/>
    <w:rsid w:val="00260C40"/>
    <w:rsid w:val="00261366"/>
    <w:rsid w:val="00261664"/>
    <w:rsid w:val="002616C0"/>
    <w:rsid w:val="0026196E"/>
    <w:rsid w:val="0026200F"/>
    <w:rsid w:val="00262422"/>
    <w:rsid w:val="00262515"/>
    <w:rsid w:val="00264A45"/>
    <w:rsid w:val="00265C12"/>
    <w:rsid w:val="00266201"/>
    <w:rsid w:val="002670EB"/>
    <w:rsid w:val="00270776"/>
    <w:rsid w:val="00271152"/>
    <w:rsid w:val="002718ED"/>
    <w:rsid w:val="00271ABB"/>
    <w:rsid w:val="00272292"/>
    <w:rsid w:val="00274176"/>
    <w:rsid w:val="002744D0"/>
    <w:rsid w:val="0027483A"/>
    <w:rsid w:val="00274C27"/>
    <w:rsid w:val="00275FA4"/>
    <w:rsid w:val="00276026"/>
    <w:rsid w:val="00281A21"/>
    <w:rsid w:val="00282771"/>
    <w:rsid w:val="00282C02"/>
    <w:rsid w:val="00282E59"/>
    <w:rsid w:val="002835C3"/>
    <w:rsid w:val="002867C4"/>
    <w:rsid w:val="002902CA"/>
    <w:rsid w:val="00290FB5"/>
    <w:rsid w:val="002913E6"/>
    <w:rsid w:val="00292A59"/>
    <w:rsid w:val="002940CE"/>
    <w:rsid w:val="00294B9D"/>
    <w:rsid w:val="00295A0E"/>
    <w:rsid w:val="0029736D"/>
    <w:rsid w:val="002A0570"/>
    <w:rsid w:val="002A07BA"/>
    <w:rsid w:val="002A2B98"/>
    <w:rsid w:val="002A4C00"/>
    <w:rsid w:val="002A55E2"/>
    <w:rsid w:val="002A6384"/>
    <w:rsid w:val="002A675B"/>
    <w:rsid w:val="002B1E1F"/>
    <w:rsid w:val="002B1EA5"/>
    <w:rsid w:val="002B2578"/>
    <w:rsid w:val="002B3012"/>
    <w:rsid w:val="002B4EB1"/>
    <w:rsid w:val="002B58F3"/>
    <w:rsid w:val="002B5BD7"/>
    <w:rsid w:val="002B6AD3"/>
    <w:rsid w:val="002B755A"/>
    <w:rsid w:val="002C10FE"/>
    <w:rsid w:val="002C1847"/>
    <w:rsid w:val="002C43E8"/>
    <w:rsid w:val="002C455D"/>
    <w:rsid w:val="002C6C79"/>
    <w:rsid w:val="002D1D66"/>
    <w:rsid w:val="002D24D8"/>
    <w:rsid w:val="002D25C7"/>
    <w:rsid w:val="002D3148"/>
    <w:rsid w:val="002D46D3"/>
    <w:rsid w:val="002D4FAC"/>
    <w:rsid w:val="002D4FC7"/>
    <w:rsid w:val="002D540C"/>
    <w:rsid w:val="002D5E2B"/>
    <w:rsid w:val="002D748C"/>
    <w:rsid w:val="002D7A91"/>
    <w:rsid w:val="002E0501"/>
    <w:rsid w:val="002E0FAB"/>
    <w:rsid w:val="002E2603"/>
    <w:rsid w:val="002E30C4"/>
    <w:rsid w:val="002E3B6C"/>
    <w:rsid w:val="002E3C8C"/>
    <w:rsid w:val="002E4387"/>
    <w:rsid w:val="002E4901"/>
    <w:rsid w:val="002E56EC"/>
    <w:rsid w:val="002E7E97"/>
    <w:rsid w:val="002F0E8F"/>
    <w:rsid w:val="002F0FF0"/>
    <w:rsid w:val="002F1A4D"/>
    <w:rsid w:val="002F1D21"/>
    <w:rsid w:val="002F2FB0"/>
    <w:rsid w:val="002F4B6A"/>
    <w:rsid w:val="002F54CE"/>
    <w:rsid w:val="002F6348"/>
    <w:rsid w:val="00300543"/>
    <w:rsid w:val="003007E6"/>
    <w:rsid w:val="0030095C"/>
    <w:rsid w:val="00300A29"/>
    <w:rsid w:val="0030249D"/>
    <w:rsid w:val="00302C7B"/>
    <w:rsid w:val="003039CB"/>
    <w:rsid w:val="00305212"/>
    <w:rsid w:val="00305A39"/>
    <w:rsid w:val="003064CA"/>
    <w:rsid w:val="00306AB3"/>
    <w:rsid w:val="00306E94"/>
    <w:rsid w:val="0031146B"/>
    <w:rsid w:val="00311F86"/>
    <w:rsid w:val="00312AF6"/>
    <w:rsid w:val="003145FE"/>
    <w:rsid w:val="00314698"/>
    <w:rsid w:val="00315B3F"/>
    <w:rsid w:val="0031661A"/>
    <w:rsid w:val="00317A27"/>
    <w:rsid w:val="00320088"/>
    <w:rsid w:val="0032043A"/>
    <w:rsid w:val="00320BBB"/>
    <w:rsid w:val="00321B9D"/>
    <w:rsid w:val="00322488"/>
    <w:rsid w:val="00322529"/>
    <w:rsid w:val="0032258B"/>
    <w:rsid w:val="00322CBA"/>
    <w:rsid w:val="00325A2C"/>
    <w:rsid w:val="003302C6"/>
    <w:rsid w:val="0033034F"/>
    <w:rsid w:val="003303E7"/>
    <w:rsid w:val="00331924"/>
    <w:rsid w:val="00331F1A"/>
    <w:rsid w:val="00331FCA"/>
    <w:rsid w:val="00332140"/>
    <w:rsid w:val="003325DA"/>
    <w:rsid w:val="003328A3"/>
    <w:rsid w:val="00333933"/>
    <w:rsid w:val="00333C7A"/>
    <w:rsid w:val="00333D1C"/>
    <w:rsid w:val="00334713"/>
    <w:rsid w:val="00335301"/>
    <w:rsid w:val="00335EF8"/>
    <w:rsid w:val="00337658"/>
    <w:rsid w:val="00340FD2"/>
    <w:rsid w:val="003411C9"/>
    <w:rsid w:val="00341A62"/>
    <w:rsid w:val="00341FD2"/>
    <w:rsid w:val="00342A31"/>
    <w:rsid w:val="00343C4D"/>
    <w:rsid w:val="00343D8A"/>
    <w:rsid w:val="00344118"/>
    <w:rsid w:val="00344BF0"/>
    <w:rsid w:val="00347676"/>
    <w:rsid w:val="00347B1A"/>
    <w:rsid w:val="003509C1"/>
    <w:rsid w:val="00352472"/>
    <w:rsid w:val="00352C9F"/>
    <w:rsid w:val="0035350B"/>
    <w:rsid w:val="0035355A"/>
    <w:rsid w:val="00354466"/>
    <w:rsid w:val="00355082"/>
    <w:rsid w:val="00355F24"/>
    <w:rsid w:val="00356BE5"/>
    <w:rsid w:val="00362B3E"/>
    <w:rsid w:val="00363654"/>
    <w:rsid w:val="00364BF4"/>
    <w:rsid w:val="00364FB7"/>
    <w:rsid w:val="00365117"/>
    <w:rsid w:val="00365C8F"/>
    <w:rsid w:val="0036635A"/>
    <w:rsid w:val="00366A2C"/>
    <w:rsid w:val="00367440"/>
    <w:rsid w:val="00367448"/>
    <w:rsid w:val="003701DB"/>
    <w:rsid w:val="00371911"/>
    <w:rsid w:val="0037259E"/>
    <w:rsid w:val="00373A8C"/>
    <w:rsid w:val="00374C4E"/>
    <w:rsid w:val="00376342"/>
    <w:rsid w:val="003763C4"/>
    <w:rsid w:val="003772DD"/>
    <w:rsid w:val="00377767"/>
    <w:rsid w:val="00377B2D"/>
    <w:rsid w:val="00380221"/>
    <w:rsid w:val="00380E0E"/>
    <w:rsid w:val="0038251E"/>
    <w:rsid w:val="003845CF"/>
    <w:rsid w:val="00385A15"/>
    <w:rsid w:val="00386BC9"/>
    <w:rsid w:val="0038792E"/>
    <w:rsid w:val="00390C27"/>
    <w:rsid w:val="00391E97"/>
    <w:rsid w:val="00393DA6"/>
    <w:rsid w:val="003960D5"/>
    <w:rsid w:val="003963FA"/>
    <w:rsid w:val="003A0533"/>
    <w:rsid w:val="003A0BEE"/>
    <w:rsid w:val="003A0C24"/>
    <w:rsid w:val="003A0FCB"/>
    <w:rsid w:val="003A2204"/>
    <w:rsid w:val="003A2887"/>
    <w:rsid w:val="003A5177"/>
    <w:rsid w:val="003A73E5"/>
    <w:rsid w:val="003A79BC"/>
    <w:rsid w:val="003B0C55"/>
    <w:rsid w:val="003B11F9"/>
    <w:rsid w:val="003B1936"/>
    <w:rsid w:val="003B1CFF"/>
    <w:rsid w:val="003B1D91"/>
    <w:rsid w:val="003B1DDC"/>
    <w:rsid w:val="003B22A0"/>
    <w:rsid w:val="003B2EFE"/>
    <w:rsid w:val="003B4F04"/>
    <w:rsid w:val="003B7368"/>
    <w:rsid w:val="003B7A7B"/>
    <w:rsid w:val="003C04EE"/>
    <w:rsid w:val="003C0E70"/>
    <w:rsid w:val="003C0F9C"/>
    <w:rsid w:val="003C3541"/>
    <w:rsid w:val="003C516B"/>
    <w:rsid w:val="003C64AB"/>
    <w:rsid w:val="003C69A7"/>
    <w:rsid w:val="003C73F8"/>
    <w:rsid w:val="003C7B9F"/>
    <w:rsid w:val="003D0F6C"/>
    <w:rsid w:val="003D1BDB"/>
    <w:rsid w:val="003D2B43"/>
    <w:rsid w:val="003D309D"/>
    <w:rsid w:val="003D350A"/>
    <w:rsid w:val="003D3B8C"/>
    <w:rsid w:val="003D4758"/>
    <w:rsid w:val="003D737F"/>
    <w:rsid w:val="003D7442"/>
    <w:rsid w:val="003E3877"/>
    <w:rsid w:val="003E44A0"/>
    <w:rsid w:val="003E50FC"/>
    <w:rsid w:val="003E6935"/>
    <w:rsid w:val="003E7150"/>
    <w:rsid w:val="003F0486"/>
    <w:rsid w:val="003F077F"/>
    <w:rsid w:val="003F28BE"/>
    <w:rsid w:val="003F295F"/>
    <w:rsid w:val="003F4AD7"/>
    <w:rsid w:val="003F55E1"/>
    <w:rsid w:val="003F6564"/>
    <w:rsid w:val="003F757A"/>
    <w:rsid w:val="003F787D"/>
    <w:rsid w:val="003F79E3"/>
    <w:rsid w:val="00402069"/>
    <w:rsid w:val="00405025"/>
    <w:rsid w:val="004056F7"/>
    <w:rsid w:val="004067B3"/>
    <w:rsid w:val="00406DAF"/>
    <w:rsid w:val="00407CF2"/>
    <w:rsid w:val="00411B22"/>
    <w:rsid w:val="0041247A"/>
    <w:rsid w:val="00412486"/>
    <w:rsid w:val="004129E1"/>
    <w:rsid w:val="00412C58"/>
    <w:rsid w:val="004130F8"/>
    <w:rsid w:val="00413160"/>
    <w:rsid w:val="0041486D"/>
    <w:rsid w:val="004149C0"/>
    <w:rsid w:val="004154DA"/>
    <w:rsid w:val="004169C0"/>
    <w:rsid w:val="00416D22"/>
    <w:rsid w:val="00417386"/>
    <w:rsid w:val="00420B6E"/>
    <w:rsid w:val="00420E41"/>
    <w:rsid w:val="0042189F"/>
    <w:rsid w:val="0042308C"/>
    <w:rsid w:val="004230F7"/>
    <w:rsid w:val="0042468A"/>
    <w:rsid w:val="00424C19"/>
    <w:rsid w:val="0042629E"/>
    <w:rsid w:val="00427019"/>
    <w:rsid w:val="004278AB"/>
    <w:rsid w:val="00431500"/>
    <w:rsid w:val="00431D69"/>
    <w:rsid w:val="00431D89"/>
    <w:rsid w:val="00431E34"/>
    <w:rsid w:val="00432C7F"/>
    <w:rsid w:val="00433E8B"/>
    <w:rsid w:val="004353CB"/>
    <w:rsid w:val="00435805"/>
    <w:rsid w:val="004367FA"/>
    <w:rsid w:val="00437B5C"/>
    <w:rsid w:val="00437F49"/>
    <w:rsid w:val="00440DCC"/>
    <w:rsid w:val="00440E09"/>
    <w:rsid w:val="00441F0C"/>
    <w:rsid w:val="00442E6E"/>
    <w:rsid w:val="00443B09"/>
    <w:rsid w:val="00443EA9"/>
    <w:rsid w:val="00444DCA"/>
    <w:rsid w:val="00445FC3"/>
    <w:rsid w:val="004507D4"/>
    <w:rsid w:val="00450FD0"/>
    <w:rsid w:val="00451937"/>
    <w:rsid w:val="00452CBC"/>
    <w:rsid w:val="004550A3"/>
    <w:rsid w:val="0045592D"/>
    <w:rsid w:val="00460B13"/>
    <w:rsid w:val="004611DE"/>
    <w:rsid w:val="00461885"/>
    <w:rsid w:val="00464A66"/>
    <w:rsid w:val="00465285"/>
    <w:rsid w:val="00465A55"/>
    <w:rsid w:val="00466365"/>
    <w:rsid w:val="0046690A"/>
    <w:rsid w:val="00466A34"/>
    <w:rsid w:val="0047070B"/>
    <w:rsid w:val="0047098B"/>
    <w:rsid w:val="00471E91"/>
    <w:rsid w:val="0047265C"/>
    <w:rsid w:val="004738FC"/>
    <w:rsid w:val="00473CD6"/>
    <w:rsid w:val="00475F66"/>
    <w:rsid w:val="0047739C"/>
    <w:rsid w:val="00477DC8"/>
    <w:rsid w:val="004807D1"/>
    <w:rsid w:val="004815A1"/>
    <w:rsid w:val="00481E11"/>
    <w:rsid w:val="00482E6E"/>
    <w:rsid w:val="00482FA4"/>
    <w:rsid w:val="00483BA4"/>
    <w:rsid w:val="00484B46"/>
    <w:rsid w:val="004859F1"/>
    <w:rsid w:val="00486E23"/>
    <w:rsid w:val="004923B0"/>
    <w:rsid w:val="0049327A"/>
    <w:rsid w:val="0049538E"/>
    <w:rsid w:val="004A09CB"/>
    <w:rsid w:val="004A1252"/>
    <w:rsid w:val="004A3271"/>
    <w:rsid w:val="004A4FE9"/>
    <w:rsid w:val="004A5761"/>
    <w:rsid w:val="004A5D68"/>
    <w:rsid w:val="004A65DB"/>
    <w:rsid w:val="004A6E50"/>
    <w:rsid w:val="004B0683"/>
    <w:rsid w:val="004B1BC4"/>
    <w:rsid w:val="004B2220"/>
    <w:rsid w:val="004B34B5"/>
    <w:rsid w:val="004B42E7"/>
    <w:rsid w:val="004B4AEE"/>
    <w:rsid w:val="004B5BEE"/>
    <w:rsid w:val="004B7225"/>
    <w:rsid w:val="004C045A"/>
    <w:rsid w:val="004C181D"/>
    <w:rsid w:val="004C22D9"/>
    <w:rsid w:val="004C2514"/>
    <w:rsid w:val="004C2598"/>
    <w:rsid w:val="004C3C3B"/>
    <w:rsid w:val="004C489F"/>
    <w:rsid w:val="004C53F4"/>
    <w:rsid w:val="004C64C8"/>
    <w:rsid w:val="004C68D0"/>
    <w:rsid w:val="004C744A"/>
    <w:rsid w:val="004C7723"/>
    <w:rsid w:val="004D0299"/>
    <w:rsid w:val="004D0B8B"/>
    <w:rsid w:val="004D1BF7"/>
    <w:rsid w:val="004D1F48"/>
    <w:rsid w:val="004D3E57"/>
    <w:rsid w:val="004D4802"/>
    <w:rsid w:val="004D4D03"/>
    <w:rsid w:val="004D7942"/>
    <w:rsid w:val="004E0429"/>
    <w:rsid w:val="004E095F"/>
    <w:rsid w:val="004E1A16"/>
    <w:rsid w:val="004E1B09"/>
    <w:rsid w:val="004E1DFC"/>
    <w:rsid w:val="004E2865"/>
    <w:rsid w:val="004E2EAC"/>
    <w:rsid w:val="004E3381"/>
    <w:rsid w:val="004E33EC"/>
    <w:rsid w:val="004E3826"/>
    <w:rsid w:val="004E3DB0"/>
    <w:rsid w:val="004E42EB"/>
    <w:rsid w:val="004E64A9"/>
    <w:rsid w:val="004E6A15"/>
    <w:rsid w:val="004E7951"/>
    <w:rsid w:val="004F0F5F"/>
    <w:rsid w:val="004F1349"/>
    <w:rsid w:val="004F59A3"/>
    <w:rsid w:val="004F721D"/>
    <w:rsid w:val="004F72D8"/>
    <w:rsid w:val="005000F9"/>
    <w:rsid w:val="005003CD"/>
    <w:rsid w:val="00500A39"/>
    <w:rsid w:val="00501679"/>
    <w:rsid w:val="00502032"/>
    <w:rsid w:val="005026A6"/>
    <w:rsid w:val="0050320D"/>
    <w:rsid w:val="00503DAA"/>
    <w:rsid w:val="00505E07"/>
    <w:rsid w:val="00507AA4"/>
    <w:rsid w:val="00507BC0"/>
    <w:rsid w:val="00507BF1"/>
    <w:rsid w:val="00510B08"/>
    <w:rsid w:val="00511145"/>
    <w:rsid w:val="00511386"/>
    <w:rsid w:val="005126E9"/>
    <w:rsid w:val="0051409A"/>
    <w:rsid w:val="005210C5"/>
    <w:rsid w:val="00521D61"/>
    <w:rsid w:val="0052338A"/>
    <w:rsid w:val="00523F99"/>
    <w:rsid w:val="00524D5C"/>
    <w:rsid w:val="00524E2A"/>
    <w:rsid w:val="00526FA5"/>
    <w:rsid w:val="0052787C"/>
    <w:rsid w:val="00530A5A"/>
    <w:rsid w:val="005324F4"/>
    <w:rsid w:val="00532F58"/>
    <w:rsid w:val="005336FB"/>
    <w:rsid w:val="0053395E"/>
    <w:rsid w:val="00534092"/>
    <w:rsid w:val="00534BF9"/>
    <w:rsid w:val="0053565E"/>
    <w:rsid w:val="005356A4"/>
    <w:rsid w:val="00535C6E"/>
    <w:rsid w:val="00535E83"/>
    <w:rsid w:val="00536653"/>
    <w:rsid w:val="00536C13"/>
    <w:rsid w:val="00537013"/>
    <w:rsid w:val="005406C0"/>
    <w:rsid w:val="00540C17"/>
    <w:rsid w:val="00540E00"/>
    <w:rsid w:val="00540F58"/>
    <w:rsid w:val="00540FBB"/>
    <w:rsid w:val="0054225C"/>
    <w:rsid w:val="005426D2"/>
    <w:rsid w:val="0054335A"/>
    <w:rsid w:val="00543D40"/>
    <w:rsid w:val="0054498D"/>
    <w:rsid w:val="005476DF"/>
    <w:rsid w:val="00551A4A"/>
    <w:rsid w:val="005520B3"/>
    <w:rsid w:val="005525A2"/>
    <w:rsid w:val="005531B3"/>
    <w:rsid w:val="00554364"/>
    <w:rsid w:val="00554E27"/>
    <w:rsid w:val="0055501C"/>
    <w:rsid w:val="00555BA5"/>
    <w:rsid w:val="00556948"/>
    <w:rsid w:val="00556D4C"/>
    <w:rsid w:val="005571A2"/>
    <w:rsid w:val="00557231"/>
    <w:rsid w:val="00560139"/>
    <w:rsid w:val="005610A1"/>
    <w:rsid w:val="00562C06"/>
    <w:rsid w:val="00563D0A"/>
    <w:rsid w:val="00563D2D"/>
    <w:rsid w:val="00564B28"/>
    <w:rsid w:val="00564B3B"/>
    <w:rsid w:val="00565564"/>
    <w:rsid w:val="0056604C"/>
    <w:rsid w:val="00566EFC"/>
    <w:rsid w:val="005674DE"/>
    <w:rsid w:val="005707F1"/>
    <w:rsid w:val="00574568"/>
    <w:rsid w:val="00584EC9"/>
    <w:rsid w:val="005853BF"/>
    <w:rsid w:val="00587499"/>
    <w:rsid w:val="00587878"/>
    <w:rsid w:val="00587B9F"/>
    <w:rsid w:val="00587E73"/>
    <w:rsid w:val="0059002D"/>
    <w:rsid w:val="005905C8"/>
    <w:rsid w:val="005911AE"/>
    <w:rsid w:val="00591402"/>
    <w:rsid w:val="00591CC9"/>
    <w:rsid w:val="005920F5"/>
    <w:rsid w:val="00592B16"/>
    <w:rsid w:val="005930F1"/>
    <w:rsid w:val="0059343B"/>
    <w:rsid w:val="00594586"/>
    <w:rsid w:val="00594911"/>
    <w:rsid w:val="00595E8C"/>
    <w:rsid w:val="0059615D"/>
    <w:rsid w:val="005A04DA"/>
    <w:rsid w:val="005A05AF"/>
    <w:rsid w:val="005A0733"/>
    <w:rsid w:val="005A1510"/>
    <w:rsid w:val="005A1FFE"/>
    <w:rsid w:val="005A233D"/>
    <w:rsid w:val="005A2F2E"/>
    <w:rsid w:val="005A312F"/>
    <w:rsid w:val="005A340B"/>
    <w:rsid w:val="005A375D"/>
    <w:rsid w:val="005A37E5"/>
    <w:rsid w:val="005A7665"/>
    <w:rsid w:val="005A768E"/>
    <w:rsid w:val="005B4227"/>
    <w:rsid w:val="005B4570"/>
    <w:rsid w:val="005B505D"/>
    <w:rsid w:val="005B5B6D"/>
    <w:rsid w:val="005B5E55"/>
    <w:rsid w:val="005B736B"/>
    <w:rsid w:val="005B78E1"/>
    <w:rsid w:val="005B7A53"/>
    <w:rsid w:val="005B7FC6"/>
    <w:rsid w:val="005C0D3B"/>
    <w:rsid w:val="005C10F7"/>
    <w:rsid w:val="005C1955"/>
    <w:rsid w:val="005C339C"/>
    <w:rsid w:val="005C3528"/>
    <w:rsid w:val="005C44D3"/>
    <w:rsid w:val="005C59B0"/>
    <w:rsid w:val="005C7274"/>
    <w:rsid w:val="005C72D7"/>
    <w:rsid w:val="005C751E"/>
    <w:rsid w:val="005C7BF5"/>
    <w:rsid w:val="005D1D22"/>
    <w:rsid w:val="005D2882"/>
    <w:rsid w:val="005D2C50"/>
    <w:rsid w:val="005D3407"/>
    <w:rsid w:val="005D494D"/>
    <w:rsid w:val="005D5C5D"/>
    <w:rsid w:val="005D6283"/>
    <w:rsid w:val="005D67DE"/>
    <w:rsid w:val="005D77F5"/>
    <w:rsid w:val="005D797F"/>
    <w:rsid w:val="005E0822"/>
    <w:rsid w:val="005E0B4A"/>
    <w:rsid w:val="005E102F"/>
    <w:rsid w:val="005E1DBD"/>
    <w:rsid w:val="005E20F0"/>
    <w:rsid w:val="005E2C46"/>
    <w:rsid w:val="005E3278"/>
    <w:rsid w:val="005E360E"/>
    <w:rsid w:val="005E4638"/>
    <w:rsid w:val="005E4FE9"/>
    <w:rsid w:val="005E7070"/>
    <w:rsid w:val="005F1A7C"/>
    <w:rsid w:val="005F200C"/>
    <w:rsid w:val="005F22CA"/>
    <w:rsid w:val="005F3426"/>
    <w:rsid w:val="005F3CE0"/>
    <w:rsid w:val="005F4CE7"/>
    <w:rsid w:val="005F50A3"/>
    <w:rsid w:val="005F5174"/>
    <w:rsid w:val="005F6846"/>
    <w:rsid w:val="005F7365"/>
    <w:rsid w:val="005F79C8"/>
    <w:rsid w:val="005F7BB1"/>
    <w:rsid w:val="00600EE4"/>
    <w:rsid w:val="00601A7B"/>
    <w:rsid w:val="00602400"/>
    <w:rsid w:val="00602F46"/>
    <w:rsid w:val="00604714"/>
    <w:rsid w:val="00605BDF"/>
    <w:rsid w:val="00606C80"/>
    <w:rsid w:val="00607FFC"/>
    <w:rsid w:val="006100EF"/>
    <w:rsid w:val="00610804"/>
    <w:rsid w:val="00610B17"/>
    <w:rsid w:val="00610F6D"/>
    <w:rsid w:val="0061183B"/>
    <w:rsid w:val="00611C20"/>
    <w:rsid w:val="00615310"/>
    <w:rsid w:val="0061635E"/>
    <w:rsid w:val="00617F70"/>
    <w:rsid w:val="006201D6"/>
    <w:rsid w:val="006203DF"/>
    <w:rsid w:val="00621041"/>
    <w:rsid w:val="006224CA"/>
    <w:rsid w:val="00625150"/>
    <w:rsid w:val="006252F9"/>
    <w:rsid w:val="006254FA"/>
    <w:rsid w:val="00626237"/>
    <w:rsid w:val="006267B9"/>
    <w:rsid w:val="00626AFF"/>
    <w:rsid w:val="006274C0"/>
    <w:rsid w:val="006310BB"/>
    <w:rsid w:val="006315E9"/>
    <w:rsid w:val="00631D7E"/>
    <w:rsid w:val="006333ED"/>
    <w:rsid w:val="00633E5E"/>
    <w:rsid w:val="006346CA"/>
    <w:rsid w:val="006347A9"/>
    <w:rsid w:val="00634F15"/>
    <w:rsid w:val="006368E9"/>
    <w:rsid w:val="00636A43"/>
    <w:rsid w:val="00636CBB"/>
    <w:rsid w:val="006376D2"/>
    <w:rsid w:val="00640C2B"/>
    <w:rsid w:val="00640E2F"/>
    <w:rsid w:val="00643B32"/>
    <w:rsid w:val="00644F54"/>
    <w:rsid w:val="0064655E"/>
    <w:rsid w:val="00646865"/>
    <w:rsid w:val="006478FA"/>
    <w:rsid w:val="00647BBA"/>
    <w:rsid w:val="00647ED7"/>
    <w:rsid w:val="0065007B"/>
    <w:rsid w:val="00651855"/>
    <w:rsid w:val="00651B24"/>
    <w:rsid w:val="00653222"/>
    <w:rsid w:val="00653900"/>
    <w:rsid w:val="00654010"/>
    <w:rsid w:val="00654D66"/>
    <w:rsid w:val="00656FDF"/>
    <w:rsid w:val="006572BF"/>
    <w:rsid w:val="00657BCB"/>
    <w:rsid w:val="00660882"/>
    <w:rsid w:val="00662578"/>
    <w:rsid w:val="00662714"/>
    <w:rsid w:val="006628B3"/>
    <w:rsid w:val="0066392F"/>
    <w:rsid w:val="006644C3"/>
    <w:rsid w:val="00664692"/>
    <w:rsid w:val="00666760"/>
    <w:rsid w:val="00667C73"/>
    <w:rsid w:val="00672210"/>
    <w:rsid w:val="00672466"/>
    <w:rsid w:val="00674E8E"/>
    <w:rsid w:val="00677F26"/>
    <w:rsid w:val="00683563"/>
    <w:rsid w:val="00683566"/>
    <w:rsid w:val="006837AA"/>
    <w:rsid w:val="00684BB3"/>
    <w:rsid w:val="00684E66"/>
    <w:rsid w:val="006870EA"/>
    <w:rsid w:val="00687558"/>
    <w:rsid w:val="00690C51"/>
    <w:rsid w:val="0069197B"/>
    <w:rsid w:val="006921FC"/>
    <w:rsid w:val="006928EF"/>
    <w:rsid w:val="00692EBC"/>
    <w:rsid w:val="00693A2C"/>
    <w:rsid w:val="00694414"/>
    <w:rsid w:val="00695677"/>
    <w:rsid w:val="00695CE9"/>
    <w:rsid w:val="00696415"/>
    <w:rsid w:val="00696A5E"/>
    <w:rsid w:val="00697E21"/>
    <w:rsid w:val="006A05E3"/>
    <w:rsid w:val="006A1072"/>
    <w:rsid w:val="006A1DD4"/>
    <w:rsid w:val="006A2171"/>
    <w:rsid w:val="006A223D"/>
    <w:rsid w:val="006A247D"/>
    <w:rsid w:val="006A2BEC"/>
    <w:rsid w:val="006A2D93"/>
    <w:rsid w:val="006A3004"/>
    <w:rsid w:val="006A339E"/>
    <w:rsid w:val="006A364A"/>
    <w:rsid w:val="006A446F"/>
    <w:rsid w:val="006A6789"/>
    <w:rsid w:val="006B1466"/>
    <w:rsid w:val="006B2AE3"/>
    <w:rsid w:val="006B2B18"/>
    <w:rsid w:val="006B31BC"/>
    <w:rsid w:val="006B41C4"/>
    <w:rsid w:val="006B449F"/>
    <w:rsid w:val="006B4BAD"/>
    <w:rsid w:val="006B6A9F"/>
    <w:rsid w:val="006B7133"/>
    <w:rsid w:val="006B751F"/>
    <w:rsid w:val="006B7BC8"/>
    <w:rsid w:val="006C004F"/>
    <w:rsid w:val="006C06BF"/>
    <w:rsid w:val="006C13FE"/>
    <w:rsid w:val="006C15BA"/>
    <w:rsid w:val="006C2444"/>
    <w:rsid w:val="006C280B"/>
    <w:rsid w:val="006C376E"/>
    <w:rsid w:val="006C3C1A"/>
    <w:rsid w:val="006C48B6"/>
    <w:rsid w:val="006C54C0"/>
    <w:rsid w:val="006C6442"/>
    <w:rsid w:val="006C6E95"/>
    <w:rsid w:val="006C7AD0"/>
    <w:rsid w:val="006D26BA"/>
    <w:rsid w:val="006D2FE8"/>
    <w:rsid w:val="006D348E"/>
    <w:rsid w:val="006D42EB"/>
    <w:rsid w:val="006D43AF"/>
    <w:rsid w:val="006D5260"/>
    <w:rsid w:val="006D60DF"/>
    <w:rsid w:val="006E10D8"/>
    <w:rsid w:val="006E1545"/>
    <w:rsid w:val="006E299B"/>
    <w:rsid w:val="006E2B50"/>
    <w:rsid w:val="006E2E15"/>
    <w:rsid w:val="006E50DE"/>
    <w:rsid w:val="006E52B7"/>
    <w:rsid w:val="006E57CE"/>
    <w:rsid w:val="006E64AF"/>
    <w:rsid w:val="006E6C1B"/>
    <w:rsid w:val="006E7FB4"/>
    <w:rsid w:val="006F0B4D"/>
    <w:rsid w:val="006F1907"/>
    <w:rsid w:val="006F1C88"/>
    <w:rsid w:val="006F38A6"/>
    <w:rsid w:val="006F3C2F"/>
    <w:rsid w:val="006F3FB0"/>
    <w:rsid w:val="006F424E"/>
    <w:rsid w:val="006F46FA"/>
    <w:rsid w:val="006F6134"/>
    <w:rsid w:val="006F691F"/>
    <w:rsid w:val="006F6AC7"/>
    <w:rsid w:val="006F7449"/>
    <w:rsid w:val="006F7D20"/>
    <w:rsid w:val="00700671"/>
    <w:rsid w:val="007006C7"/>
    <w:rsid w:val="007031CB"/>
    <w:rsid w:val="00704A23"/>
    <w:rsid w:val="00705D0C"/>
    <w:rsid w:val="007064DB"/>
    <w:rsid w:val="0071224A"/>
    <w:rsid w:val="007129FC"/>
    <w:rsid w:val="00715112"/>
    <w:rsid w:val="007153A3"/>
    <w:rsid w:val="007156E9"/>
    <w:rsid w:val="0071695E"/>
    <w:rsid w:val="00717AAE"/>
    <w:rsid w:val="00717E4C"/>
    <w:rsid w:val="00722698"/>
    <w:rsid w:val="00722E85"/>
    <w:rsid w:val="00724BDC"/>
    <w:rsid w:val="00730C2D"/>
    <w:rsid w:val="0073176D"/>
    <w:rsid w:val="00733DD0"/>
    <w:rsid w:val="00735FAF"/>
    <w:rsid w:val="00737BF4"/>
    <w:rsid w:val="00737DF9"/>
    <w:rsid w:val="00740146"/>
    <w:rsid w:val="007409E9"/>
    <w:rsid w:val="00742780"/>
    <w:rsid w:val="0074355C"/>
    <w:rsid w:val="00743F11"/>
    <w:rsid w:val="00745AB4"/>
    <w:rsid w:val="00745C5E"/>
    <w:rsid w:val="007501DC"/>
    <w:rsid w:val="0075192B"/>
    <w:rsid w:val="00752153"/>
    <w:rsid w:val="007525EF"/>
    <w:rsid w:val="00753689"/>
    <w:rsid w:val="00753805"/>
    <w:rsid w:val="00754B4A"/>
    <w:rsid w:val="00754E96"/>
    <w:rsid w:val="007557CD"/>
    <w:rsid w:val="00755FDC"/>
    <w:rsid w:val="007575F0"/>
    <w:rsid w:val="007577E5"/>
    <w:rsid w:val="00757F14"/>
    <w:rsid w:val="00757F52"/>
    <w:rsid w:val="007601F2"/>
    <w:rsid w:val="007603E9"/>
    <w:rsid w:val="00760EB7"/>
    <w:rsid w:val="00762FDC"/>
    <w:rsid w:val="00763158"/>
    <w:rsid w:val="00763C41"/>
    <w:rsid w:val="007651A2"/>
    <w:rsid w:val="00765420"/>
    <w:rsid w:val="00766652"/>
    <w:rsid w:val="0076706A"/>
    <w:rsid w:val="0077055E"/>
    <w:rsid w:val="00770ED1"/>
    <w:rsid w:val="007717DE"/>
    <w:rsid w:val="00773D7D"/>
    <w:rsid w:val="007743D6"/>
    <w:rsid w:val="007750DC"/>
    <w:rsid w:val="0077579A"/>
    <w:rsid w:val="00776A56"/>
    <w:rsid w:val="00776CAE"/>
    <w:rsid w:val="0078026A"/>
    <w:rsid w:val="0078143E"/>
    <w:rsid w:val="00781B09"/>
    <w:rsid w:val="007844EA"/>
    <w:rsid w:val="0078485D"/>
    <w:rsid w:val="007856E2"/>
    <w:rsid w:val="00786415"/>
    <w:rsid w:val="00786769"/>
    <w:rsid w:val="00786CD1"/>
    <w:rsid w:val="00787A90"/>
    <w:rsid w:val="007909D9"/>
    <w:rsid w:val="00790EAC"/>
    <w:rsid w:val="00791A24"/>
    <w:rsid w:val="00791AC7"/>
    <w:rsid w:val="00791ADD"/>
    <w:rsid w:val="00792505"/>
    <w:rsid w:val="00793478"/>
    <w:rsid w:val="0079355A"/>
    <w:rsid w:val="007936C7"/>
    <w:rsid w:val="007961A4"/>
    <w:rsid w:val="007965DE"/>
    <w:rsid w:val="00796756"/>
    <w:rsid w:val="007A291B"/>
    <w:rsid w:val="007A399D"/>
    <w:rsid w:val="007A3BA5"/>
    <w:rsid w:val="007A5A76"/>
    <w:rsid w:val="007A6888"/>
    <w:rsid w:val="007A7466"/>
    <w:rsid w:val="007B055F"/>
    <w:rsid w:val="007B056B"/>
    <w:rsid w:val="007B1742"/>
    <w:rsid w:val="007B28AB"/>
    <w:rsid w:val="007B31D6"/>
    <w:rsid w:val="007B4061"/>
    <w:rsid w:val="007B40E2"/>
    <w:rsid w:val="007B468E"/>
    <w:rsid w:val="007B4DE4"/>
    <w:rsid w:val="007B507A"/>
    <w:rsid w:val="007B53B8"/>
    <w:rsid w:val="007C015D"/>
    <w:rsid w:val="007C1513"/>
    <w:rsid w:val="007C4688"/>
    <w:rsid w:val="007C4AAA"/>
    <w:rsid w:val="007C57EC"/>
    <w:rsid w:val="007C58DD"/>
    <w:rsid w:val="007C5BC0"/>
    <w:rsid w:val="007C6938"/>
    <w:rsid w:val="007C7017"/>
    <w:rsid w:val="007C7FBF"/>
    <w:rsid w:val="007D1CF3"/>
    <w:rsid w:val="007D4337"/>
    <w:rsid w:val="007D4557"/>
    <w:rsid w:val="007D492A"/>
    <w:rsid w:val="007D5F99"/>
    <w:rsid w:val="007D613F"/>
    <w:rsid w:val="007D7B46"/>
    <w:rsid w:val="007E0DA7"/>
    <w:rsid w:val="007E10ED"/>
    <w:rsid w:val="007E1EEE"/>
    <w:rsid w:val="007E2850"/>
    <w:rsid w:val="007E2955"/>
    <w:rsid w:val="007E5357"/>
    <w:rsid w:val="007E56D1"/>
    <w:rsid w:val="007E762D"/>
    <w:rsid w:val="007F14BC"/>
    <w:rsid w:val="007F1733"/>
    <w:rsid w:val="007F5A95"/>
    <w:rsid w:val="007F5ACE"/>
    <w:rsid w:val="007F7CE3"/>
    <w:rsid w:val="007F7D10"/>
    <w:rsid w:val="0080089F"/>
    <w:rsid w:val="008013D5"/>
    <w:rsid w:val="00801607"/>
    <w:rsid w:val="00802576"/>
    <w:rsid w:val="008025AB"/>
    <w:rsid w:val="00803A7F"/>
    <w:rsid w:val="00804250"/>
    <w:rsid w:val="0080432C"/>
    <w:rsid w:val="008047F8"/>
    <w:rsid w:val="00804D1E"/>
    <w:rsid w:val="00805974"/>
    <w:rsid w:val="00805F93"/>
    <w:rsid w:val="008062D2"/>
    <w:rsid w:val="008077B9"/>
    <w:rsid w:val="008101A5"/>
    <w:rsid w:val="0081108A"/>
    <w:rsid w:val="00811800"/>
    <w:rsid w:val="00811E02"/>
    <w:rsid w:val="008139BA"/>
    <w:rsid w:val="008157F2"/>
    <w:rsid w:val="00816AAC"/>
    <w:rsid w:val="008206AA"/>
    <w:rsid w:val="00821327"/>
    <w:rsid w:val="0082376E"/>
    <w:rsid w:val="00825DEA"/>
    <w:rsid w:val="0082649B"/>
    <w:rsid w:val="0082740F"/>
    <w:rsid w:val="008275F6"/>
    <w:rsid w:val="00827B87"/>
    <w:rsid w:val="008317BB"/>
    <w:rsid w:val="0083229F"/>
    <w:rsid w:val="00837AD6"/>
    <w:rsid w:val="00840B4E"/>
    <w:rsid w:val="00842ADF"/>
    <w:rsid w:val="00843094"/>
    <w:rsid w:val="008430A1"/>
    <w:rsid w:val="008465E1"/>
    <w:rsid w:val="00847D39"/>
    <w:rsid w:val="00851A66"/>
    <w:rsid w:val="00852F45"/>
    <w:rsid w:val="00853A90"/>
    <w:rsid w:val="00853C08"/>
    <w:rsid w:val="00853C74"/>
    <w:rsid w:val="00854F8F"/>
    <w:rsid w:val="0085569E"/>
    <w:rsid w:val="008568FC"/>
    <w:rsid w:val="008570DC"/>
    <w:rsid w:val="008602A3"/>
    <w:rsid w:val="00861342"/>
    <w:rsid w:val="00862252"/>
    <w:rsid w:val="008630CB"/>
    <w:rsid w:val="00863F2D"/>
    <w:rsid w:val="00864AE0"/>
    <w:rsid w:val="008653BD"/>
    <w:rsid w:val="00866547"/>
    <w:rsid w:val="00867346"/>
    <w:rsid w:val="008676D3"/>
    <w:rsid w:val="0087120C"/>
    <w:rsid w:val="00871DC5"/>
    <w:rsid w:val="00874932"/>
    <w:rsid w:val="00874F60"/>
    <w:rsid w:val="00877B9D"/>
    <w:rsid w:val="008800B4"/>
    <w:rsid w:val="00882B8F"/>
    <w:rsid w:val="00882D23"/>
    <w:rsid w:val="00882D8F"/>
    <w:rsid w:val="00884D5C"/>
    <w:rsid w:val="008859B2"/>
    <w:rsid w:val="00885B9A"/>
    <w:rsid w:val="008863CA"/>
    <w:rsid w:val="00886DCA"/>
    <w:rsid w:val="00890AAB"/>
    <w:rsid w:val="0089184E"/>
    <w:rsid w:val="00893762"/>
    <w:rsid w:val="008955CC"/>
    <w:rsid w:val="00895D30"/>
    <w:rsid w:val="008964BD"/>
    <w:rsid w:val="00896CBE"/>
    <w:rsid w:val="00897A60"/>
    <w:rsid w:val="008A025F"/>
    <w:rsid w:val="008A07D2"/>
    <w:rsid w:val="008A1ACF"/>
    <w:rsid w:val="008A2013"/>
    <w:rsid w:val="008A2CD2"/>
    <w:rsid w:val="008A3B37"/>
    <w:rsid w:val="008A5857"/>
    <w:rsid w:val="008B00AA"/>
    <w:rsid w:val="008B0A02"/>
    <w:rsid w:val="008B36FC"/>
    <w:rsid w:val="008B4065"/>
    <w:rsid w:val="008B5D50"/>
    <w:rsid w:val="008B6A79"/>
    <w:rsid w:val="008B6B4D"/>
    <w:rsid w:val="008B7E83"/>
    <w:rsid w:val="008C14A9"/>
    <w:rsid w:val="008C16DB"/>
    <w:rsid w:val="008C1E0E"/>
    <w:rsid w:val="008C3255"/>
    <w:rsid w:val="008C3B63"/>
    <w:rsid w:val="008C44F3"/>
    <w:rsid w:val="008C4785"/>
    <w:rsid w:val="008C52E0"/>
    <w:rsid w:val="008C5669"/>
    <w:rsid w:val="008C5CB8"/>
    <w:rsid w:val="008C5D14"/>
    <w:rsid w:val="008C633C"/>
    <w:rsid w:val="008C6FBF"/>
    <w:rsid w:val="008D09FE"/>
    <w:rsid w:val="008D168F"/>
    <w:rsid w:val="008D1F22"/>
    <w:rsid w:val="008D21D5"/>
    <w:rsid w:val="008D2AC6"/>
    <w:rsid w:val="008D480F"/>
    <w:rsid w:val="008D586C"/>
    <w:rsid w:val="008D5DE9"/>
    <w:rsid w:val="008E0CA2"/>
    <w:rsid w:val="008E113E"/>
    <w:rsid w:val="008E29AA"/>
    <w:rsid w:val="008E2C58"/>
    <w:rsid w:val="008E316A"/>
    <w:rsid w:val="008E36DF"/>
    <w:rsid w:val="008E517E"/>
    <w:rsid w:val="008E5EE8"/>
    <w:rsid w:val="008E63E7"/>
    <w:rsid w:val="008F00DF"/>
    <w:rsid w:val="008F0558"/>
    <w:rsid w:val="008F114B"/>
    <w:rsid w:val="008F1D1B"/>
    <w:rsid w:val="008F43B7"/>
    <w:rsid w:val="008F55F3"/>
    <w:rsid w:val="008F5921"/>
    <w:rsid w:val="008F5D0B"/>
    <w:rsid w:val="008F65FF"/>
    <w:rsid w:val="008F73EF"/>
    <w:rsid w:val="008F7C28"/>
    <w:rsid w:val="008F7E6A"/>
    <w:rsid w:val="008F7F38"/>
    <w:rsid w:val="0090060C"/>
    <w:rsid w:val="00901665"/>
    <w:rsid w:val="00901B9F"/>
    <w:rsid w:val="00901EBB"/>
    <w:rsid w:val="009038D5"/>
    <w:rsid w:val="00903D62"/>
    <w:rsid w:val="0090520A"/>
    <w:rsid w:val="009054EB"/>
    <w:rsid w:val="009055BC"/>
    <w:rsid w:val="00905BA2"/>
    <w:rsid w:val="00905C3D"/>
    <w:rsid w:val="009061C3"/>
    <w:rsid w:val="00906F23"/>
    <w:rsid w:val="009079F4"/>
    <w:rsid w:val="0091004D"/>
    <w:rsid w:val="009102B3"/>
    <w:rsid w:val="00910A8F"/>
    <w:rsid w:val="009122BA"/>
    <w:rsid w:val="0091236C"/>
    <w:rsid w:val="00914C7A"/>
    <w:rsid w:val="00914D2E"/>
    <w:rsid w:val="00917154"/>
    <w:rsid w:val="00917FAB"/>
    <w:rsid w:val="009203E7"/>
    <w:rsid w:val="00920AA5"/>
    <w:rsid w:val="00920F05"/>
    <w:rsid w:val="00921959"/>
    <w:rsid w:val="00921AAC"/>
    <w:rsid w:val="00921CE5"/>
    <w:rsid w:val="009254C2"/>
    <w:rsid w:val="00925E0E"/>
    <w:rsid w:val="0092633D"/>
    <w:rsid w:val="0092655E"/>
    <w:rsid w:val="0092656B"/>
    <w:rsid w:val="00926660"/>
    <w:rsid w:val="0092796E"/>
    <w:rsid w:val="0093183C"/>
    <w:rsid w:val="00932221"/>
    <w:rsid w:val="00932BE7"/>
    <w:rsid w:val="00932D5A"/>
    <w:rsid w:val="009338A9"/>
    <w:rsid w:val="00933A31"/>
    <w:rsid w:val="00937E33"/>
    <w:rsid w:val="00940CCD"/>
    <w:rsid w:val="0094136B"/>
    <w:rsid w:val="00942D4C"/>
    <w:rsid w:val="009437D6"/>
    <w:rsid w:val="00943A77"/>
    <w:rsid w:val="00943AAC"/>
    <w:rsid w:val="0094408B"/>
    <w:rsid w:val="009463EC"/>
    <w:rsid w:val="0094674B"/>
    <w:rsid w:val="00947291"/>
    <w:rsid w:val="00950BEA"/>
    <w:rsid w:val="00950C80"/>
    <w:rsid w:val="00950CEC"/>
    <w:rsid w:val="00951A9B"/>
    <w:rsid w:val="00952192"/>
    <w:rsid w:val="0095233D"/>
    <w:rsid w:val="0095261B"/>
    <w:rsid w:val="0095422B"/>
    <w:rsid w:val="0095449C"/>
    <w:rsid w:val="00955BBE"/>
    <w:rsid w:val="009571C7"/>
    <w:rsid w:val="00960DE6"/>
    <w:rsid w:val="0096143C"/>
    <w:rsid w:val="009614A1"/>
    <w:rsid w:val="00961587"/>
    <w:rsid w:val="00961629"/>
    <w:rsid w:val="00961BA3"/>
    <w:rsid w:val="00962E8B"/>
    <w:rsid w:val="009645F6"/>
    <w:rsid w:val="00964BE4"/>
    <w:rsid w:val="00965466"/>
    <w:rsid w:val="009656F9"/>
    <w:rsid w:val="00965A31"/>
    <w:rsid w:val="00965BE8"/>
    <w:rsid w:val="00966335"/>
    <w:rsid w:val="00970343"/>
    <w:rsid w:val="00970823"/>
    <w:rsid w:val="00971495"/>
    <w:rsid w:val="00972536"/>
    <w:rsid w:val="00973080"/>
    <w:rsid w:val="009756FC"/>
    <w:rsid w:val="00975C04"/>
    <w:rsid w:val="00980BF5"/>
    <w:rsid w:val="00981601"/>
    <w:rsid w:val="00982329"/>
    <w:rsid w:val="0098270F"/>
    <w:rsid w:val="0098566D"/>
    <w:rsid w:val="00986B23"/>
    <w:rsid w:val="00987F80"/>
    <w:rsid w:val="009926DC"/>
    <w:rsid w:val="009935A0"/>
    <w:rsid w:val="00993766"/>
    <w:rsid w:val="00993C34"/>
    <w:rsid w:val="009946BE"/>
    <w:rsid w:val="00996589"/>
    <w:rsid w:val="00996897"/>
    <w:rsid w:val="00997809"/>
    <w:rsid w:val="009A0914"/>
    <w:rsid w:val="009A1767"/>
    <w:rsid w:val="009A38AE"/>
    <w:rsid w:val="009A3C69"/>
    <w:rsid w:val="009A45D4"/>
    <w:rsid w:val="009A4BE3"/>
    <w:rsid w:val="009A56DB"/>
    <w:rsid w:val="009A6F68"/>
    <w:rsid w:val="009A7531"/>
    <w:rsid w:val="009B0814"/>
    <w:rsid w:val="009B1577"/>
    <w:rsid w:val="009B2BD9"/>
    <w:rsid w:val="009B45AF"/>
    <w:rsid w:val="009B5102"/>
    <w:rsid w:val="009B66E0"/>
    <w:rsid w:val="009B7AE5"/>
    <w:rsid w:val="009C0D01"/>
    <w:rsid w:val="009C12E5"/>
    <w:rsid w:val="009C274B"/>
    <w:rsid w:val="009C3F52"/>
    <w:rsid w:val="009C49C5"/>
    <w:rsid w:val="009C5399"/>
    <w:rsid w:val="009C6228"/>
    <w:rsid w:val="009C624F"/>
    <w:rsid w:val="009C766A"/>
    <w:rsid w:val="009C7768"/>
    <w:rsid w:val="009D28C0"/>
    <w:rsid w:val="009D297A"/>
    <w:rsid w:val="009D4FB0"/>
    <w:rsid w:val="009D5307"/>
    <w:rsid w:val="009D5EBE"/>
    <w:rsid w:val="009D7545"/>
    <w:rsid w:val="009E05E3"/>
    <w:rsid w:val="009E0833"/>
    <w:rsid w:val="009E0B93"/>
    <w:rsid w:val="009E20A0"/>
    <w:rsid w:val="009E382E"/>
    <w:rsid w:val="009E429C"/>
    <w:rsid w:val="009E47D8"/>
    <w:rsid w:val="009E4E53"/>
    <w:rsid w:val="009E5EC5"/>
    <w:rsid w:val="009E6DBD"/>
    <w:rsid w:val="009E777B"/>
    <w:rsid w:val="009E7CD7"/>
    <w:rsid w:val="009F195C"/>
    <w:rsid w:val="009F6A07"/>
    <w:rsid w:val="009F7697"/>
    <w:rsid w:val="009F7A32"/>
    <w:rsid w:val="00A00224"/>
    <w:rsid w:val="00A00795"/>
    <w:rsid w:val="00A01EB2"/>
    <w:rsid w:val="00A0249B"/>
    <w:rsid w:val="00A02ABF"/>
    <w:rsid w:val="00A034AB"/>
    <w:rsid w:val="00A03952"/>
    <w:rsid w:val="00A0396D"/>
    <w:rsid w:val="00A0460F"/>
    <w:rsid w:val="00A0468A"/>
    <w:rsid w:val="00A04CF2"/>
    <w:rsid w:val="00A05480"/>
    <w:rsid w:val="00A05C8F"/>
    <w:rsid w:val="00A05FA8"/>
    <w:rsid w:val="00A06463"/>
    <w:rsid w:val="00A064F9"/>
    <w:rsid w:val="00A06B32"/>
    <w:rsid w:val="00A06B58"/>
    <w:rsid w:val="00A071C4"/>
    <w:rsid w:val="00A07365"/>
    <w:rsid w:val="00A07B9E"/>
    <w:rsid w:val="00A10639"/>
    <w:rsid w:val="00A11321"/>
    <w:rsid w:val="00A11B48"/>
    <w:rsid w:val="00A11E5F"/>
    <w:rsid w:val="00A12525"/>
    <w:rsid w:val="00A12C1D"/>
    <w:rsid w:val="00A16EFB"/>
    <w:rsid w:val="00A17661"/>
    <w:rsid w:val="00A22046"/>
    <w:rsid w:val="00A2382D"/>
    <w:rsid w:val="00A25037"/>
    <w:rsid w:val="00A260EA"/>
    <w:rsid w:val="00A269FB"/>
    <w:rsid w:val="00A3003D"/>
    <w:rsid w:val="00A3048A"/>
    <w:rsid w:val="00A30C41"/>
    <w:rsid w:val="00A31323"/>
    <w:rsid w:val="00A31D70"/>
    <w:rsid w:val="00A324DD"/>
    <w:rsid w:val="00A32DE5"/>
    <w:rsid w:val="00A331D0"/>
    <w:rsid w:val="00A33245"/>
    <w:rsid w:val="00A344A4"/>
    <w:rsid w:val="00A34ECF"/>
    <w:rsid w:val="00A37CFD"/>
    <w:rsid w:val="00A42DE4"/>
    <w:rsid w:val="00A43EDF"/>
    <w:rsid w:val="00A44809"/>
    <w:rsid w:val="00A454FA"/>
    <w:rsid w:val="00A45856"/>
    <w:rsid w:val="00A463D9"/>
    <w:rsid w:val="00A51E5C"/>
    <w:rsid w:val="00A53204"/>
    <w:rsid w:val="00A54679"/>
    <w:rsid w:val="00A55154"/>
    <w:rsid w:val="00A55FED"/>
    <w:rsid w:val="00A56B86"/>
    <w:rsid w:val="00A56DC5"/>
    <w:rsid w:val="00A57129"/>
    <w:rsid w:val="00A603A1"/>
    <w:rsid w:val="00A61729"/>
    <w:rsid w:val="00A62BCE"/>
    <w:rsid w:val="00A636B6"/>
    <w:rsid w:val="00A64DF9"/>
    <w:rsid w:val="00A66017"/>
    <w:rsid w:val="00A670BD"/>
    <w:rsid w:val="00A70908"/>
    <w:rsid w:val="00A719DC"/>
    <w:rsid w:val="00A75756"/>
    <w:rsid w:val="00A75B59"/>
    <w:rsid w:val="00A80E42"/>
    <w:rsid w:val="00A83401"/>
    <w:rsid w:val="00A84E55"/>
    <w:rsid w:val="00A85C9D"/>
    <w:rsid w:val="00A8606C"/>
    <w:rsid w:val="00A876CA"/>
    <w:rsid w:val="00A9011D"/>
    <w:rsid w:val="00A9065C"/>
    <w:rsid w:val="00A91052"/>
    <w:rsid w:val="00A91EB7"/>
    <w:rsid w:val="00A94A74"/>
    <w:rsid w:val="00A94E93"/>
    <w:rsid w:val="00A9681D"/>
    <w:rsid w:val="00A97286"/>
    <w:rsid w:val="00A97828"/>
    <w:rsid w:val="00A97864"/>
    <w:rsid w:val="00AA0824"/>
    <w:rsid w:val="00AA0D70"/>
    <w:rsid w:val="00AA1DF0"/>
    <w:rsid w:val="00AA2816"/>
    <w:rsid w:val="00AA30FF"/>
    <w:rsid w:val="00AA37D2"/>
    <w:rsid w:val="00AA3DEE"/>
    <w:rsid w:val="00AA4723"/>
    <w:rsid w:val="00AA5110"/>
    <w:rsid w:val="00AA5209"/>
    <w:rsid w:val="00AA543B"/>
    <w:rsid w:val="00AA546C"/>
    <w:rsid w:val="00AA592E"/>
    <w:rsid w:val="00AA5C1D"/>
    <w:rsid w:val="00AA610B"/>
    <w:rsid w:val="00AA7EDB"/>
    <w:rsid w:val="00AB05B4"/>
    <w:rsid w:val="00AB0A2F"/>
    <w:rsid w:val="00AB0E53"/>
    <w:rsid w:val="00AB14A5"/>
    <w:rsid w:val="00AB24EA"/>
    <w:rsid w:val="00AB2868"/>
    <w:rsid w:val="00AB2FE5"/>
    <w:rsid w:val="00AB3345"/>
    <w:rsid w:val="00AB4C35"/>
    <w:rsid w:val="00AB5C74"/>
    <w:rsid w:val="00AB6218"/>
    <w:rsid w:val="00AB6C83"/>
    <w:rsid w:val="00AB7931"/>
    <w:rsid w:val="00AB7E1C"/>
    <w:rsid w:val="00AC05C9"/>
    <w:rsid w:val="00AC0A82"/>
    <w:rsid w:val="00AC198B"/>
    <w:rsid w:val="00AC3184"/>
    <w:rsid w:val="00AC3242"/>
    <w:rsid w:val="00AC32E1"/>
    <w:rsid w:val="00AC3491"/>
    <w:rsid w:val="00AC6282"/>
    <w:rsid w:val="00AC7752"/>
    <w:rsid w:val="00AC7D56"/>
    <w:rsid w:val="00AD0BC8"/>
    <w:rsid w:val="00AD0ECE"/>
    <w:rsid w:val="00AD30BB"/>
    <w:rsid w:val="00AD5201"/>
    <w:rsid w:val="00AD5BED"/>
    <w:rsid w:val="00AD70D4"/>
    <w:rsid w:val="00AE01CE"/>
    <w:rsid w:val="00AE0BBF"/>
    <w:rsid w:val="00AE0FA7"/>
    <w:rsid w:val="00AE178E"/>
    <w:rsid w:val="00AE3CBC"/>
    <w:rsid w:val="00AE4738"/>
    <w:rsid w:val="00AE6E29"/>
    <w:rsid w:val="00AF0CBB"/>
    <w:rsid w:val="00AF0F54"/>
    <w:rsid w:val="00AF3845"/>
    <w:rsid w:val="00AF3F04"/>
    <w:rsid w:val="00AF61CF"/>
    <w:rsid w:val="00AF6E25"/>
    <w:rsid w:val="00AF790B"/>
    <w:rsid w:val="00AF7EC1"/>
    <w:rsid w:val="00B018F8"/>
    <w:rsid w:val="00B020D3"/>
    <w:rsid w:val="00B042F2"/>
    <w:rsid w:val="00B04763"/>
    <w:rsid w:val="00B049A3"/>
    <w:rsid w:val="00B06269"/>
    <w:rsid w:val="00B103EB"/>
    <w:rsid w:val="00B11012"/>
    <w:rsid w:val="00B15617"/>
    <w:rsid w:val="00B15CB8"/>
    <w:rsid w:val="00B162A6"/>
    <w:rsid w:val="00B17090"/>
    <w:rsid w:val="00B17727"/>
    <w:rsid w:val="00B21492"/>
    <w:rsid w:val="00B214C6"/>
    <w:rsid w:val="00B21FF0"/>
    <w:rsid w:val="00B2571D"/>
    <w:rsid w:val="00B25A4D"/>
    <w:rsid w:val="00B272DD"/>
    <w:rsid w:val="00B30AC5"/>
    <w:rsid w:val="00B30DE8"/>
    <w:rsid w:val="00B34FEB"/>
    <w:rsid w:val="00B3500F"/>
    <w:rsid w:val="00B3501A"/>
    <w:rsid w:val="00B35AF3"/>
    <w:rsid w:val="00B367D1"/>
    <w:rsid w:val="00B367F6"/>
    <w:rsid w:val="00B36FED"/>
    <w:rsid w:val="00B378C0"/>
    <w:rsid w:val="00B40107"/>
    <w:rsid w:val="00B41490"/>
    <w:rsid w:val="00B424CE"/>
    <w:rsid w:val="00B42792"/>
    <w:rsid w:val="00B42E6B"/>
    <w:rsid w:val="00B4307C"/>
    <w:rsid w:val="00B441E1"/>
    <w:rsid w:val="00B45E39"/>
    <w:rsid w:val="00B50717"/>
    <w:rsid w:val="00B51479"/>
    <w:rsid w:val="00B516DA"/>
    <w:rsid w:val="00B51E6D"/>
    <w:rsid w:val="00B531FD"/>
    <w:rsid w:val="00B53428"/>
    <w:rsid w:val="00B5688A"/>
    <w:rsid w:val="00B578EF"/>
    <w:rsid w:val="00B60CA6"/>
    <w:rsid w:val="00B60F66"/>
    <w:rsid w:val="00B613E0"/>
    <w:rsid w:val="00B6179C"/>
    <w:rsid w:val="00B61E60"/>
    <w:rsid w:val="00B6379C"/>
    <w:rsid w:val="00B63B0D"/>
    <w:rsid w:val="00B64734"/>
    <w:rsid w:val="00B65172"/>
    <w:rsid w:val="00B703A1"/>
    <w:rsid w:val="00B707C8"/>
    <w:rsid w:val="00B7091A"/>
    <w:rsid w:val="00B70937"/>
    <w:rsid w:val="00B70E8E"/>
    <w:rsid w:val="00B7108A"/>
    <w:rsid w:val="00B7122F"/>
    <w:rsid w:val="00B71700"/>
    <w:rsid w:val="00B719F3"/>
    <w:rsid w:val="00B725B0"/>
    <w:rsid w:val="00B74B62"/>
    <w:rsid w:val="00B74DC7"/>
    <w:rsid w:val="00B759F0"/>
    <w:rsid w:val="00B768F0"/>
    <w:rsid w:val="00B768FD"/>
    <w:rsid w:val="00B77114"/>
    <w:rsid w:val="00B7739B"/>
    <w:rsid w:val="00B77795"/>
    <w:rsid w:val="00B80695"/>
    <w:rsid w:val="00B80CF7"/>
    <w:rsid w:val="00B8170D"/>
    <w:rsid w:val="00B818EF"/>
    <w:rsid w:val="00B82CEF"/>
    <w:rsid w:val="00B82EE7"/>
    <w:rsid w:val="00B82F7F"/>
    <w:rsid w:val="00B83159"/>
    <w:rsid w:val="00B84B67"/>
    <w:rsid w:val="00B84CCD"/>
    <w:rsid w:val="00B84D3D"/>
    <w:rsid w:val="00B8532A"/>
    <w:rsid w:val="00B85401"/>
    <w:rsid w:val="00B85E62"/>
    <w:rsid w:val="00B877E0"/>
    <w:rsid w:val="00B87E7D"/>
    <w:rsid w:val="00B91849"/>
    <w:rsid w:val="00B91AE6"/>
    <w:rsid w:val="00B91D91"/>
    <w:rsid w:val="00B929B7"/>
    <w:rsid w:val="00B93E81"/>
    <w:rsid w:val="00B951C3"/>
    <w:rsid w:val="00B96B46"/>
    <w:rsid w:val="00B97C23"/>
    <w:rsid w:val="00BA0214"/>
    <w:rsid w:val="00BA0F16"/>
    <w:rsid w:val="00BA13D3"/>
    <w:rsid w:val="00BA20F6"/>
    <w:rsid w:val="00BA3426"/>
    <w:rsid w:val="00BA6FB9"/>
    <w:rsid w:val="00BA7533"/>
    <w:rsid w:val="00BA7BE2"/>
    <w:rsid w:val="00BB025C"/>
    <w:rsid w:val="00BB0E76"/>
    <w:rsid w:val="00BB2036"/>
    <w:rsid w:val="00BB3D2A"/>
    <w:rsid w:val="00BB57C8"/>
    <w:rsid w:val="00BB5F37"/>
    <w:rsid w:val="00BB685E"/>
    <w:rsid w:val="00BB7699"/>
    <w:rsid w:val="00BC03BE"/>
    <w:rsid w:val="00BC16AA"/>
    <w:rsid w:val="00BC2499"/>
    <w:rsid w:val="00BC2820"/>
    <w:rsid w:val="00BC4133"/>
    <w:rsid w:val="00BC46FA"/>
    <w:rsid w:val="00BC5970"/>
    <w:rsid w:val="00BC626E"/>
    <w:rsid w:val="00BC64C8"/>
    <w:rsid w:val="00BD1086"/>
    <w:rsid w:val="00BD121A"/>
    <w:rsid w:val="00BD164F"/>
    <w:rsid w:val="00BD2499"/>
    <w:rsid w:val="00BD39C7"/>
    <w:rsid w:val="00BD4DC2"/>
    <w:rsid w:val="00BD5330"/>
    <w:rsid w:val="00BD5B5D"/>
    <w:rsid w:val="00BD6144"/>
    <w:rsid w:val="00BD6671"/>
    <w:rsid w:val="00BD7FAB"/>
    <w:rsid w:val="00BE0EA6"/>
    <w:rsid w:val="00BE146E"/>
    <w:rsid w:val="00BE2221"/>
    <w:rsid w:val="00BE3E2F"/>
    <w:rsid w:val="00BE639E"/>
    <w:rsid w:val="00BE6560"/>
    <w:rsid w:val="00BE68D2"/>
    <w:rsid w:val="00BE6D72"/>
    <w:rsid w:val="00BE7487"/>
    <w:rsid w:val="00BE74B8"/>
    <w:rsid w:val="00BE7D63"/>
    <w:rsid w:val="00BF011C"/>
    <w:rsid w:val="00BF0702"/>
    <w:rsid w:val="00BF220D"/>
    <w:rsid w:val="00BF24D5"/>
    <w:rsid w:val="00BF280F"/>
    <w:rsid w:val="00BF2AE8"/>
    <w:rsid w:val="00BF2BEB"/>
    <w:rsid w:val="00BF4269"/>
    <w:rsid w:val="00BF486E"/>
    <w:rsid w:val="00BF5D81"/>
    <w:rsid w:val="00BF61C2"/>
    <w:rsid w:val="00BF6AC4"/>
    <w:rsid w:val="00BF6D8E"/>
    <w:rsid w:val="00C014F7"/>
    <w:rsid w:val="00C02400"/>
    <w:rsid w:val="00C02FE6"/>
    <w:rsid w:val="00C03230"/>
    <w:rsid w:val="00C04D16"/>
    <w:rsid w:val="00C04E58"/>
    <w:rsid w:val="00C04F6B"/>
    <w:rsid w:val="00C053B9"/>
    <w:rsid w:val="00C0779C"/>
    <w:rsid w:val="00C07AFC"/>
    <w:rsid w:val="00C07F3D"/>
    <w:rsid w:val="00C119DE"/>
    <w:rsid w:val="00C13122"/>
    <w:rsid w:val="00C148E7"/>
    <w:rsid w:val="00C16613"/>
    <w:rsid w:val="00C16729"/>
    <w:rsid w:val="00C16E05"/>
    <w:rsid w:val="00C21961"/>
    <w:rsid w:val="00C22333"/>
    <w:rsid w:val="00C2256F"/>
    <w:rsid w:val="00C247F0"/>
    <w:rsid w:val="00C25007"/>
    <w:rsid w:val="00C26F38"/>
    <w:rsid w:val="00C27392"/>
    <w:rsid w:val="00C30DF8"/>
    <w:rsid w:val="00C316C2"/>
    <w:rsid w:val="00C3201F"/>
    <w:rsid w:val="00C323CE"/>
    <w:rsid w:val="00C3360F"/>
    <w:rsid w:val="00C34B51"/>
    <w:rsid w:val="00C356C0"/>
    <w:rsid w:val="00C35C1A"/>
    <w:rsid w:val="00C36A80"/>
    <w:rsid w:val="00C37B17"/>
    <w:rsid w:val="00C40446"/>
    <w:rsid w:val="00C41054"/>
    <w:rsid w:val="00C442B4"/>
    <w:rsid w:val="00C444A3"/>
    <w:rsid w:val="00C444B7"/>
    <w:rsid w:val="00C459F0"/>
    <w:rsid w:val="00C4605F"/>
    <w:rsid w:val="00C467F4"/>
    <w:rsid w:val="00C46A7C"/>
    <w:rsid w:val="00C46E18"/>
    <w:rsid w:val="00C4798F"/>
    <w:rsid w:val="00C51215"/>
    <w:rsid w:val="00C51C65"/>
    <w:rsid w:val="00C54BC2"/>
    <w:rsid w:val="00C54F21"/>
    <w:rsid w:val="00C55286"/>
    <w:rsid w:val="00C556F4"/>
    <w:rsid w:val="00C57B1F"/>
    <w:rsid w:val="00C60A86"/>
    <w:rsid w:val="00C60E2A"/>
    <w:rsid w:val="00C60F56"/>
    <w:rsid w:val="00C627B7"/>
    <w:rsid w:val="00C627EB"/>
    <w:rsid w:val="00C6291F"/>
    <w:rsid w:val="00C643D6"/>
    <w:rsid w:val="00C64C4C"/>
    <w:rsid w:val="00C654E1"/>
    <w:rsid w:val="00C658F7"/>
    <w:rsid w:val="00C66DE0"/>
    <w:rsid w:val="00C71658"/>
    <w:rsid w:val="00C725C9"/>
    <w:rsid w:val="00C7318C"/>
    <w:rsid w:val="00C7638A"/>
    <w:rsid w:val="00C7656A"/>
    <w:rsid w:val="00C7676B"/>
    <w:rsid w:val="00C82080"/>
    <w:rsid w:val="00C83061"/>
    <w:rsid w:val="00C83249"/>
    <w:rsid w:val="00C846C9"/>
    <w:rsid w:val="00C84B35"/>
    <w:rsid w:val="00C85854"/>
    <w:rsid w:val="00C86FF5"/>
    <w:rsid w:val="00C908B2"/>
    <w:rsid w:val="00C928EA"/>
    <w:rsid w:val="00C94C23"/>
    <w:rsid w:val="00C9568F"/>
    <w:rsid w:val="00C95ABF"/>
    <w:rsid w:val="00C95C36"/>
    <w:rsid w:val="00C963BB"/>
    <w:rsid w:val="00C96458"/>
    <w:rsid w:val="00CA1D77"/>
    <w:rsid w:val="00CA1E77"/>
    <w:rsid w:val="00CA2EAE"/>
    <w:rsid w:val="00CA3042"/>
    <w:rsid w:val="00CA3581"/>
    <w:rsid w:val="00CA4534"/>
    <w:rsid w:val="00CA47B0"/>
    <w:rsid w:val="00CA5065"/>
    <w:rsid w:val="00CA57FC"/>
    <w:rsid w:val="00CA5D47"/>
    <w:rsid w:val="00CA7509"/>
    <w:rsid w:val="00CA785E"/>
    <w:rsid w:val="00CA7A6F"/>
    <w:rsid w:val="00CB0529"/>
    <w:rsid w:val="00CB1325"/>
    <w:rsid w:val="00CB28D6"/>
    <w:rsid w:val="00CB4004"/>
    <w:rsid w:val="00CB696C"/>
    <w:rsid w:val="00CB7061"/>
    <w:rsid w:val="00CB7F74"/>
    <w:rsid w:val="00CC0112"/>
    <w:rsid w:val="00CC0D3F"/>
    <w:rsid w:val="00CC114D"/>
    <w:rsid w:val="00CC145A"/>
    <w:rsid w:val="00CC254C"/>
    <w:rsid w:val="00CC43C2"/>
    <w:rsid w:val="00CC4C03"/>
    <w:rsid w:val="00CC505D"/>
    <w:rsid w:val="00CC7594"/>
    <w:rsid w:val="00CD0B61"/>
    <w:rsid w:val="00CD0C37"/>
    <w:rsid w:val="00CD1868"/>
    <w:rsid w:val="00CD3551"/>
    <w:rsid w:val="00CD3FA0"/>
    <w:rsid w:val="00CD5FB2"/>
    <w:rsid w:val="00CD6F2E"/>
    <w:rsid w:val="00CD73F3"/>
    <w:rsid w:val="00CE25E9"/>
    <w:rsid w:val="00CE33DB"/>
    <w:rsid w:val="00CE54A2"/>
    <w:rsid w:val="00CE58B6"/>
    <w:rsid w:val="00CE5C5D"/>
    <w:rsid w:val="00CE5D41"/>
    <w:rsid w:val="00CE6762"/>
    <w:rsid w:val="00CE758C"/>
    <w:rsid w:val="00CE7CD3"/>
    <w:rsid w:val="00CF0546"/>
    <w:rsid w:val="00CF1449"/>
    <w:rsid w:val="00CF148E"/>
    <w:rsid w:val="00CF1733"/>
    <w:rsid w:val="00CF27AA"/>
    <w:rsid w:val="00CF3A0C"/>
    <w:rsid w:val="00CF452C"/>
    <w:rsid w:val="00CF4F1C"/>
    <w:rsid w:val="00CF5AFB"/>
    <w:rsid w:val="00CF5B37"/>
    <w:rsid w:val="00CF67B1"/>
    <w:rsid w:val="00CF7CC4"/>
    <w:rsid w:val="00D009E7"/>
    <w:rsid w:val="00D0112C"/>
    <w:rsid w:val="00D03674"/>
    <w:rsid w:val="00D03848"/>
    <w:rsid w:val="00D0418A"/>
    <w:rsid w:val="00D041F7"/>
    <w:rsid w:val="00D04FBD"/>
    <w:rsid w:val="00D061F4"/>
    <w:rsid w:val="00D066B4"/>
    <w:rsid w:val="00D10624"/>
    <w:rsid w:val="00D10CD8"/>
    <w:rsid w:val="00D11457"/>
    <w:rsid w:val="00D11B7F"/>
    <w:rsid w:val="00D12034"/>
    <w:rsid w:val="00D1346B"/>
    <w:rsid w:val="00D1426D"/>
    <w:rsid w:val="00D156AE"/>
    <w:rsid w:val="00D177CE"/>
    <w:rsid w:val="00D20593"/>
    <w:rsid w:val="00D20636"/>
    <w:rsid w:val="00D206C6"/>
    <w:rsid w:val="00D20CC8"/>
    <w:rsid w:val="00D20D61"/>
    <w:rsid w:val="00D21152"/>
    <w:rsid w:val="00D211E1"/>
    <w:rsid w:val="00D22764"/>
    <w:rsid w:val="00D23726"/>
    <w:rsid w:val="00D24B31"/>
    <w:rsid w:val="00D26C88"/>
    <w:rsid w:val="00D27207"/>
    <w:rsid w:val="00D3174C"/>
    <w:rsid w:val="00D366A8"/>
    <w:rsid w:val="00D37BA5"/>
    <w:rsid w:val="00D40267"/>
    <w:rsid w:val="00D4041F"/>
    <w:rsid w:val="00D439A2"/>
    <w:rsid w:val="00D4545F"/>
    <w:rsid w:val="00D45F76"/>
    <w:rsid w:val="00D4761E"/>
    <w:rsid w:val="00D476BC"/>
    <w:rsid w:val="00D5147A"/>
    <w:rsid w:val="00D52736"/>
    <w:rsid w:val="00D5433F"/>
    <w:rsid w:val="00D560B8"/>
    <w:rsid w:val="00D600DE"/>
    <w:rsid w:val="00D634E0"/>
    <w:rsid w:val="00D64357"/>
    <w:rsid w:val="00D66019"/>
    <w:rsid w:val="00D6603C"/>
    <w:rsid w:val="00D66054"/>
    <w:rsid w:val="00D6760E"/>
    <w:rsid w:val="00D67690"/>
    <w:rsid w:val="00D6782A"/>
    <w:rsid w:val="00D70A47"/>
    <w:rsid w:val="00D716A3"/>
    <w:rsid w:val="00D72744"/>
    <w:rsid w:val="00D72DD7"/>
    <w:rsid w:val="00D7382C"/>
    <w:rsid w:val="00D73DB7"/>
    <w:rsid w:val="00D75E86"/>
    <w:rsid w:val="00D76828"/>
    <w:rsid w:val="00D76C18"/>
    <w:rsid w:val="00D77AB3"/>
    <w:rsid w:val="00D800D9"/>
    <w:rsid w:val="00D805E2"/>
    <w:rsid w:val="00D80B6E"/>
    <w:rsid w:val="00D80EE8"/>
    <w:rsid w:val="00D815CF"/>
    <w:rsid w:val="00D8178D"/>
    <w:rsid w:val="00D8445A"/>
    <w:rsid w:val="00D872D2"/>
    <w:rsid w:val="00D8739F"/>
    <w:rsid w:val="00D91639"/>
    <w:rsid w:val="00D92A99"/>
    <w:rsid w:val="00D93BC3"/>
    <w:rsid w:val="00D94D87"/>
    <w:rsid w:val="00D9514F"/>
    <w:rsid w:val="00D9648B"/>
    <w:rsid w:val="00D970DC"/>
    <w:rsid w:val="00DA060A"/>
    <w:rsid w:val="00DA1377"/>
    <w:rsid w:val="00DA1FD0"/>
    <w:rsid w:val="00DA2130"/>
    <w:rsid w:val="00DA2466"/>
    <w:rsid w:val="00DA27AD"/>
    <w:rsid w:val="00DA28B6"/>
    <w:rsid w:val="00DA2AA6"/>
    <w:rsid w:val="00DA32CA"/>
    <w:rsid w:val="00DA4A48"/>
    <w:rsid w:val="00DA4DD2"/>
    <w:rsid w:val="00DA5820"/>
    <w:rsid w:val="00DA79DF"/>
    <w:rsid w:val="00DA7A53"/>
    <w:rsid w:val="00DB1897"/>
    <w:rsid w:val="00DB1DFE"/>
    <w:rsid w:val="00DB2143"/>
    <w:rsid w:val="00DB21EF"/>
    <w:rsid w:val="00DB26EF"/>
    <w:rsid w:val="00DB27EC"/>
    <w:rsid w:val="00DB2CB7"/>
    <w:rsid w:val="00DB434F"/>
    <w:rsid w:val="00DB4DF0"/>
    <w:rsid w:val="00DB5000"/>
    <w:rsid w:val="00DB538E"/>
    <w:rsid w:val="00DB7E74"/>
    <w:rsid w:val="00DC06E4"/>
    <w:rsid w:val="00DC3471"/>
    <w:rsid w:val="00DC37CA"/>
    <w:rsid w:val="00DC3E38"/>
    <w:rsid w:val="00DC41C5"/>
    <w:rsid w:val="00DC4C83"/>
    <w:rsid w:val="00DC5547"/>
    <w:rsid w:val="00DC58AF"/>
    <w:rsid w:val="00DC5AE8"/>
    <w:rsid w:val="00DC6975"/>
    <w:rsid w:val="00DD1B74"/>
    <w:rsid w:val="00DD1CE7"/>
    <w:rsid w:val="00DD23E1"/>
    <w:rsid w:val="00DD2DA7"/>
    <w:rsid w:val="00DD305F"/>
    <w:rsid w:val="00DD4614"/>
    <w:rsid w:val="00DD4A06"/>
    <w:rsid w:val="00DD617D"/>
    <w:rsid w:val="00DD6B50"/>
    <w:rsid w:val="00DD75C3"/>
    <w:rsid w:val="00DD7884"/>
    <w:rsid w:val="00DE0932"/>
    <w:rsid w:val="00DE0FDF"/>
    <w:rsid w:val="00DE1DF1"/>
    <w:rsid w:val="00DE67FB"/>
    <w:rsid w:val="00DE69D4"/>
    <w:rsid w:val="00DE712B"/>
    <w:rsid w:val="00DE7696"/>
    <w:rsid w:val="00DF11F0"/>
    <w:rsid w:val="00DF1763"/>
    <w:rsid w:val="00DF2281"/>
    <w:rsid w:val="00DF26A6"/>
    <w:rsid w:val="00DF3508"/>
    <w:rsid w:val="00DF3DAF"/>
    <w:rsid w:val="00DF3DD4"/>
    <w:rsid w:val="00DF3ED6"/>
    <w:rsid w:val="00DF5312"/>
    <w:rsid w:val="00DF543C"/>
    <w:rsid w:val="00DF7193"/>
    <w:rsid w:val="00DF752E"/>
    <w:rsid w:val="00DF7D0B"/>
    <w:rsid w:val="00E012C7"/>
    <w:rsid w:val="00E014DE"/>
    <w:rsid w:val="00E019B6"/>
    <w:rsid w:val="00E0443E"/>
    <w:rsid w:val="00E0491A"/>
    <w:rsid w:val="00E05A81"/>
    <w:rsid w:val="00E1078F"/>
    <w:rsid w:val="00E107D1"/>
    <w:rsid w:val="00E10F4B"/>
    <w:rsid w:val="00E11D34"/>
    <w:rsid w:val="00E1391D"/>
    <w:rsid w:val="00E16990"/>
    <w:rsid w:val="00E17DEF"/>
    <w:rsid w:val="00E2066B"/>
    <w:rsid w:val="00E2071F"/>
    <w:rsid w:val="00E20738"/>
    <w:rsid w:val="00E21E5E"/>
    <w:rsid w:val="00E247AF"/>
    <w:rsid w:val="00E24CEF"/>
    <w:rsid w:val="00E25F44"/>
    <w:rsid w:val="00E2620D"/>
    <w:rsid w:val="00E27D1A"/>
    <w:rsid w:val="00E30303"/>
    <w:rsid w:val="00E30783"/>
    <w:rsid w:val="00E30EAA"/>
    <w:rsid w:val="00E33410"/>
    <w:rsid w:val="00E36649"/>
    <w:rsid w:val="00E37494"/>
    <w:rsid w:val="00E37739"/>
    <w:rsid w:val="00E379AA"/>
    <w:rsid w:val="00E41438"/>
    <w:rsid w:val="00E4235F"/>
    <w:rsid w:val="00E44937"/>
    <w:rsid w:val="00E45541"/>
    <w:rsid w:val="00E460DB"/>
    <w:rsid w:val="00E46C48"/>
    <w:rsid w:val="00E51199"/>
    <w:rsid w:val="00E516D1"/>
    <w:rsid w:val="00E52A66"/>
    <w:rsid w:val="00E5470B"/>
    <w:rsid w:val="00E55D92"/>
    <w:rsid w:val="00E56987"/>
    <w:rsid w:val="00E572B4"/>
    <w:rsid w:val="00E57566"/>
    <w:rsid w:val="00E57B76"/>
    <w:rsid w:val="00E60128"/>
    <w:rsid w:val="00E611FD"/>
    <w:rsid w:val="00E61AE6"/>
    <w:rsid w:val="00E61D00"/>
    <w:rsid w:val="00E61EC1"/>
    <w:rsid w:val="00E62B6A"/>
    <w:rsid w:val="00E643EB"/>
    <w:rsid w:val="00E65A19"/>
    <w:rsid w:val="00E6619F"/>
    <w:rsid w:val="00E675B7"/>
    <w:rsid w:val="00E67B5B"/>
    <w:rsid w:val="00E703B2"/>
    <w:rsid w:val="00E7158D"/>
    <w:rsid w:val="00E72477"/>
    <w:rsid w:val="00E734DF"/>
    <w:rsid w:val="00E7413D"/>
    <w:rsid w:val="00E74345"/>
    <w:rsid w:val="00E7465F"/>
    <w:rsid w:val="00E75369"/>
    <w:rsid w:val="00E76BF0"/>
    <w:rsid w:val="00E76C5C"/>
    <w:rsid w:val="00E81220"/>
    <w:rsid w:val="00E81536"/>
    <w:rsid w:val="00E81AE7"/>
    <w:rsid w:val="00E81EC0"/>
    <w:rsid w:val="00E82042"/>
    <w:rsid w:val="00E83042"/>
    <w:rsid w:val="00E853E0"/>
    <w:rsid w:val="00E8745B"/>
    <w:rsid w:val="00E87474"/>
    <w:rsid w:val="00E9016A"/>
    <w:rsid w:val="00E91216"/>
    <w:rsid w:val="00E9360F"/>
    <w:rsid w:val="00E9375F"/>
    <w:rsid w:val="00E94489"/>
    <w:rsid w:val="00E94A90"/>
    <w:rsid w:val="00E9643B"/>
    <w:rsid w:val="00EA0DA3"/>
    <w:rsid w:val="00EA1386"/>
    <w:rsid w:val="00EA16FB"/>
    <w:rsid w:val="00EA1CF8"/>
    <w:rsid w:val="00EA2EB4"/>
    <w:rsid w:val="00EA30D5"/>
    <w:rsid w:val="00EA4C0B"/>
    <w:rsid w:val="00EA5DAE"/>
    <w:rsid w:val="00EA5E5E"/>
    <w:rsid w:val="00EA73D4"/>
    <w:rsid w:val="00EB1BF9"/>
    <w:rsid w:val="00EB2048"/>
    <w:rsid w:val="00EB3BC4"/>
    <w:rsid w:val="00EB4238"/>
    <w:rsid w:val="00EB7496"/>
    <w:rsid w:val="00EC05F0"/>
    <w:rsid w:val="00EC12C5"/>
    <w:rsid w:val="00EC2897"/>
    <w:rsid w:val="00EC29A0"/>
    <w:rsid w:val="00EC3382"/>
    <w:rsid w:val="00EC457A"/>
    <w:rsid w:val="00EC4629"/>
    <w:rsid w:val="00EC4B65"/>
    <w:rsid w:val="00EC694F"/>
    <w:rsid w:val="00EC7A0C"/>
    <w:rsid w:val="00EC7EF3"/>
    <w:rsid w:val="00ED169C"/>
    <w:rsid w:val="00ED31CD"/>
    <w:rsid w:val="00ED36AA"/>
    <w:rsid w:val="00ED3965"/>
    <w:rsid w:val="00ED4AFE"/>
    <w:rsid w:val="00ED55FF"/>
    <w:rsid w:val="00ED58BF"/>
    <w:rsid w:val="00EE129E"/>
    <w:rsid w:val="00EE26E6"/>
    <w:rsid w:val="00EE30EA"/>
    <w:rsid w:val="00EE51FC"/>
    <w:rsid w:val="00EE5654"/>
    <w:rsid w:val="00EE5BF5"/>
    <w:rsid w:val="00EE645A"/>
    <w:rsid w:val="00EE65E3"/>
    <w:rsid w:val="00EE77E2"/>
    <w:rsid w:val="00EF056F"/>
    <w:rsid w:val="00EF1327"/>
    <w:rsid w:val="00EF1994"/>
    <w:rsid w:val="00EF4A3B"/>
    <w:rsid w:val="00EF4A6B"/>
    <w:rsid w:val="00EF7E81"/>
    <w:rsid w:val="00F00448"/>
    <w:rsid w:val="00F01B6E"/>
    <w:rsid w:val="00F01D37"/>
    <w:rsid w:val="00F030B9"/>
    <w:rsid w:val="00F03998"/>
    <w:rsid w:val="00F05279"/>
    <w:rsid w:val="00F107DB"/>
    <w:rsid w:val="00F10E4E"/>
    <w:rsid w:val="00F114C7"/>
    <w:rsid w:val="00F118A3"/>
    <w:rsid w:val="00F13EF5"/>
    <w:rsid w:val="00F14437"/>
    <w:rsid w:val="00F200BD"/>
    <w:rsid w:val="00F21086"/>
    <w:rsid w:val="00F22297"/>
    <w:rsid w:val="00F23448"/>
    <w:rsid w:val="00F23CE4"/>
    <w:rsid w:val="00F23D1E"/>
    <w:rsid w:val="00F25761"/>
    <w:rsid w:val="00F2608F"/>
    <w:rsid w:val="00F265BD"/>
    <w:rsid w:val="00F26FB6"/>
    <w:rsid w:val="00F31284"/>
    <w:rsid w:val="00F33F49"/>
    <w:rsid w:val="00F357F4"/>
    <w:rsid w:val="00F3668C"/>
    <w:rsid w:val="00F37F59"/>
    <w:rsid w:val="00F40192"/>
    <w:rsid w:val="00F40B9D"/>
    <w:rsid w:val="00F41189"/>
    <w:rsid w:val="00F41997"/>
    <w:rsid w:val="00F435A4"/>
    <w:rsid w:val="00F43CEA"/>
    <w:rsid w:val="00F43F65"/>
    <w:rsid w:val="00F44610"/>
    <w:rsid w:val="00F44B55"/>
    <w:rsid w:val="00F4666B"/>
    <w:rsid w:val="00F47ABF"/>
    <w:rsid w:val="00F50498"/>
    <w:rsid w:val="00F50C18"/>
    <w:rsid w:val="00F51E02"/>
    <w:rsid w:val="00F54053"/>
    <w:rsid w:val="00F548BB"/>
    <w:rsid w:val="00F553EC"/>
    <w:rsid w:val="00F60A2C"/>
    <w:rsid w:val="00F622C8"/>
    <w:rsid w:val="00F62338"/>
    <w:rsid w:val="00F628DE"/>
    <w:rsid w:val="00F65A8B"/>
    <w:rsid w:val="00F6651A"/>
    <w:rsid w:val="00F67094"/>
    <w:rsid w:val="00F67CDD"/>
    <w:rsid w:val="00F70F0D"/>
    <w:rsid w:val="00F716A2"/>
    <w:rsid w:val="00F71764"/>
    <w:rsid w:val="00F71E79"/>
    <w:rsid w:val="00F72B73"/>
    <w:rsid w:val="00F73086"/>
    <w:rsid w:val="00F73D2B"/>
    <w:rsid w:val="00F73D50"/>
    <w:rsid w:val="00F74DB3"/>
    <w:rsid w:val="00F76826"/>
    <w:rsid w:val="00F77121"/>
    <w:rsid w:val="00F800A1"/>
    <w:rsid w:val="00F8034C"/>
    <w:rsid w:val="00F8054E"/>
    <w:rsid w:val="00F80842"/>
    <w:rsid w:val="00F8092E"/>
    <w:rsid w:val="00F84527"/>
    <w:rsid w:val="00F8490D"/>
    <w:rsid w:val="00F859F6"/>
    <w:rsid w:val="00F86F03"/>
    <w:rsid w:val="00F873AC"/>
    <w:rsid w:val="00F87E42"/>
    <w:rsid w:val="00F903BE"/>
    <w:rsid w:val="00F91D13"/>
    <w:rsid w:val="00F94371"/>
    <w:rsid w:val="00F94C38"/>
    <w:rsid w:val="00F94E15"/>
    <w:rsid w:val="00F95F37"/>
    <w:rsid w:val="00F97094"/>
    <w:rsid w:val="00F9787E"/>
    <w:rsid w:val="00FA09C5"/>
    <w:rsid w:val="00FA128F"/>
    <w:rsid w:val="00FA15D2"/>
    <w:rsid w:val="00FA3508"/>
    <w:rsid w:val="00FA72DC"/>
    <w:rsid w:val="00FB14D6"/>
    <w:rsid w:val="00FB14E2"/>
    <w:rsid w:val="00FB2BE4"/>
    <w:rsid w:val="00FB4973"/>
    <w:rsid w:val="00FB6D9B"/>
    <w:rsid w:val="00FB7531"/>
    <w:rsid w:val="00FC0545"/>
    <w:rsid w:val="00FC0576"/>
    <w:rsid w:val="00FC1562"/>
    <w:rsid w:val="00FC29F2"/>
    <w:rsid w:val="00FC3F6D"/>
    <w:rsid w:val="00FC43D8"/>
    <w:rsid w:val="00FC4527"/>
    <w:rsid w:val="00FC4C8A"/>
    <w:rsid w:val="00FC567A"/>
    <w:rsid w:val="00FC5F48"/>
    <w:rsid w:val="00FC60C7"/>
    <w:rsid w:val="00FD612F"/>
    <w:rsid w:val="00FD644E"/>
    <w:rsid w:val="00FD7587"/>
    <w:rsid w:val="00FD77A6"/>
    <w:rsid w:val="00FD7D87"/>
    <w:rsid w:val="00FE1321"/>
    <w:rsid w:val="00FE1F13"/>
    <w:rsid w:val="00FE679A"/>
    <w:rsid w:val="00FE7482"/>
    <w:rsid w:val="00FE78F1"/>
    <w:rsid w:val="00FF04BB"/>
    <w:rsid w:val="00FF0B87"/>
    <w:rsid w:val="00FF2D43"/>
    <w:rsid w:val="00FF2E21"/>
    <w:rsid w:val="00FF430B"/>
    <w:rsid w:val="00FF4631"/>
    <w:rsid w:val="00FF46E5"/>
    <w:rsid w:val="00FF48AB"/>
  </w:rsids>
  <m:mathPr>
    <m:mathFont m:val="Cambria Math"/>
    <m:brkBin m:val="before"/>
    <m:brkBinSub m:val="--"/>
    <m:smallFrac/>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E3A7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05D0C"/>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11D34"/>
    <w:pPr>
      <w:tabs>
        <w:tab w:val="left" w:pos="380"/>
        <w:tab w:val="left" w:pos="500"/>
      </w:tabs>
      <w:spacing w:after="240"/>
      <w:ind w:left="504" w:hanging="504"/>
    </w:pPr>
    <w:rPr>
      <w:rFonts w:ascii="Calibri" w:hAnsi="Calibri"/>
    </w:rPr>
  </w:style>
  <w:style w:type="paragraph" w:customStyle="1" w:styleId="p1">
    <w:name w:val="p1"/>
    <w:basedOn w:val="Normal"/>
    <w:rsid w:val="00E55D92"/>
    <w:rPr>
      <w:rFonts w:ascii="Helvetica" w:hAnsi="Helvetica"/>
      <w:sz w:val="17"/>
      <w:szCs w:val="17"/>
    </w:rPr>
  </w:style>
  <w:style w:type="character" w:customStyle="1" w:styleId="PlaceholderText1">
    <w:name w:val="Placeholder Text1"/>
    <w:uiPriority w:val="99"/>
    <w:semiHidden/>
    <w:rsid w:val="00046562"/>
    <w:rPr>
      <w:color w:val="808080"/>
    </w:rPr>
  </w:style>
  <w:style w:type="character" w:styleId="Hyperlink">
    <w:name w:val="Hyperlink"/>
    <w:uiPriority w:val="99"/>
    <w:unhideWhenUsed/>
    <w:rsid w:val="00793478"/>
    <w:rPr>
      <w:color w:val="0563C1"/>
      <w:u w:val="single"/>
    </w:rPr>
  </w:style>
  <w:style w:type="character" w:customStyle="1" w:styleId="s1">
    <w:name w:val="s1"/>
    <w:rsid w:val="007525EF"/>
    <w:rPr>
      <w:rFonts w:ascii="Helvetica" w:hAnsi="Helvetica" w:hint="default"/>
      <w:sz w:val="12"/>
      <w:szCs w:val="12"/>
    </w:rPr>
  </w:style>
  <w:style w:type="paragraph" w:customStyle="1" w:styleId="ColorfulList-Accent11">
    <w:name w:val="Colorful List - Accent 11"/>
    <w:basedOn w:val="Normal"/>
    <w:uiPriority w:val="34"/>
    <w:qFormat/>
    <w:rsid w:val="00E61D00"/>
    <w:pPr>
      <w:ind w:left="720"/>
      <w:contextualSpacing/>
    </w:pPr>
  </w:style>
  <w:style w:type="paragraph" w:styleId="BalloonText">
    <w:name w:val="Balloon Text"/>
    <w:basedOn w:val="Normal"/>
    <w:link w:val="BalloonTextChar"/>
    <w:uiPriority w:val="99"/>
    <w:semiHidden/>
    <w:unhideWhenUsed/>
    <w:rsid w:val="00A05C8F"/>
    <w:rPr>
      <w:rFonts w:ascii="Lucida Grande" w:hAnsi="Lucida Grande"/>
      <w:sz w:val="18"/>
      <w:szCs w:val="18"/>
    </w:rPr>
  </w:style>
  <w:style w:type="character" w:customStyle="1" w:styleId="BalloonTextChar">
    <w:name w:val="Balloon Text Char"/>
    <w:link w:val="BalloonText"/>
    <w:uiPriority w:val="99"/>
    <w:semiHidden/>
    <w:rsid w:val="00A05C8F"/>
    <w:rPr>
      <w:rFonts w:ascii="Lucida Grande" w:hAnsi="Lucida Grande" w:cs="Lucida Grande"/>
      <w:sz w:val="18"/>
      <w:szCs w:val="18"/>
    </w:rPr>
  </w:style>
  <w:style w:type="character" w:styleId="CommentReference">
    <w:name w:val="annotation reference"/>
    <w:uiPriority w:val="99"/>
    <w:semiHidden/>
    <w:unhideWhenUsed/>
    <w:rsid w:val="00BB0E76"/>
    <w:rPr>
      <w:sz w:val="18"/>
      <w:szCs w:val="18"/>
    </w:rPr>
  </w:style>
  <w:style w:type="paragraph" w:styleId="CommentText">
    <w:name w:val="annotation text"/>
    <w:basedOn w:val="Normal"/>
    <w:link w:val="CommentTextChar"/>
    <w:uiPriority w:val="99"/>
    <w:semiHidden/>
    <w:unhideWhenUsed/>
    <w:rsid w:val="00BB0E76"/>
    <w:rPr>
      <w:sz w:val="20"/>
      <w:szCs w:val="20"/>
    </w:rPr>
  </w:style>
  <w:style w:type="character" w:customStyle="1" w:styleId="CommentTextChar">
    <w:name w:val="Comment Text Char"/>
    <w:link w:val="CommentText"/>
    <w:uiPriority w:val="99"/>
    <w:semiHidden/>
    <w:rsid w:val="00BB0E76"/>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BB0E76"/>
    <w:rPr>
      <w:b/>
      <w:bCs/>
    </w:rPr>
  </w:style>
  <w:style w:type="character" w:customStyle="1" w:styleId="CommentSubjectChar">
    <w:name w:val="Comment Subject Char"/>
    <w:link w:val="CommentSubject"/>
    <w:uiPriority w:val="99"/>
    <w:semiHidden/>
    <w:rsid w:val="00BB0E76"/>
    <w:rPr>
      <w:rFonts w:ascii="Times New Roman" w:hAnsi="Times New Roman" w:cs="Times New Roman"/>
      <w:b/>
      <w:bCs/>
      <w:sz w:val="20"/>
      <w:szCs w:val="20"/>
    </w:rPr>
  </w:style>
  <w:style w:type="paragraph" w:styleId="NormalWeb">
    <w:name w:val="Normal (Web)"/>
    <w:basedOn w:val="Normal"/>
    <w:uiPriority w:val="99"/>
    <w:unhideWhenUsed/>
    <w:rsid w:val="00683563"/>
    <w:pPr>
      <w:spacing w:before="100" w:beforeAutospacing="1" w:after="100" w:afterAutospacing="1"/>
    </w:pPr>
    <w:rPr>
      <w:rFonts w:ascii="Times" w:eastAsia="Calibri" w:hAnsi="Times"/>
      <w:sz w:val="20"/>
      <w:szCs w:val="20"/>
      <w:lang w:eastAsia="en-US"/>
    </w:rPr>
  </w:style>
  <w:style w:type="character" w:customStyle="1" w:styleId="apple-tab-span">
    <w:name w:val="apple-tab-span"/>
    <w:basedOn w:val="DefaultParagraphFont"/>
    <w:rsid w:val="00385A15"/>
  </w:style>
  <w:style w:type="paragraph" w:styleId="ListParagraph">
    <w:name w:val="List Paragraph"/>
    <w:basedOn w:val="Normal"/>
    <w:uiPriority w:val="34"/>
    <w:qFormat/>
    <w:rsid w:val="006C280B"/>
    <w:pPr>
      <w:ind w:left="720"/>
      <w:contextualSpacing/>
    </w:pPr>
  </w:style>
  <w:style w:type="paragraph" w:styleId="Footer">
    <w:name w:val="footer"/>
    <w:basedOn w:val="Normal"/>
    <w:link w:val="FooterChar"/>
    <w:uiPriority w:val="99"/>
    <w:unhideWhenUsed/>
    <w:rsid w:val="00AF61CF"/>
    <w:pPr>
      <w:tabs>
        <w:tab w:val="center" w:pos="4680"/>
        <w:tab w:val="right" w:pos="9360"/>
      </w:tabs>
    </w:pPr>
  </w:style>
  <w:style w:type="character" w:customStyle="1" w:styleId="FooterChar">
    <w:name w:val="Footer Char"/>
    <w:basedOn w:val="DefaultParagraphFont"/>
    <w:link w:val="Footer"/>
    <w:uiPriority w:val="99"/>
    <w:rsid w:val="00AF61CF"/>
    <w:rPr>
      <w:rFonts w:ascii="Times New Roman" w:hAnsi="Times New Roman"/>
      <w:sz w:val="24"/>
      <w:szCs w:val="24"/>
    </w:rPr>
  </w:style>
  <w:style w:type="character" w:styleId="PageNumber">
    <w:name w:val="page number"/>
    <w:basedOn w:val="DefaultParagraphFont"/>
    <w:uiPriority w:val="99"/>
    <w:semiHidden/>
    <w:unhideWhenUsed/>
    <w:rsid w:val="00AF6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1749">
      <w:bodyDiv w:val="1"/>
      <w:marLeft w:val="0"/>
      <w:marRight w:val="0"/>
      <w:marTop w:val="0"/>
      <w:marBottom w:val="0"/>
      <w:divBdr>
        <w:top w:val="none" w:sz="0" w:space="0" w:color="auto"/>
        <w:left w:val="none" w:sz="0" w:space="0" w:color="auto"/>
        <w:bottom w:val="none" w:sz="0" w:space="0" w:color="auto"/>
        <w:right w:val="none" w:sz="0" w:space="0" w:color="auto"/>
      </w:divBdr>
    </w:div>
    <w:div w:id="181209294">
      <w:bodyDiv w:val="1"/>
      <w:marLeft w:val="0"/>
      <w:marRight w:val="0"/>
      <w:marTop w:val="0"/>
      <w:marBottom w:val="0"/>
      <w:divBdr>
        <w:top w:val="none" w:sz="0" w:space="0" w:color="auto"/>
        <w:left w:val="none" w:sz="0" w:space="0" w:color="auto"/>
        <w:bottom w:val="none" w:sz="0" w:space="0" w:color="auto"/>
        <w:right w:val="none" w:sz="0" w:space="0" w:color="auto"/>
      </w:divBdr>
    </w:div>
    <w:div w:id="189153569">
      <w:bodyDiv w:val="1"/>
      <w:marLeft w:val="0"/>
      <w:marRight w:val="0"/>
      <w:marTop w:val="0"/>
      <w:marBottom w:val="0"/>
      <w:divBdr>
        <w:top w:val="none" w:sz="0" w:space="0" w:color="auto"/>
        <w:left w:val="none" w:sz="0" w:space="0" w:color="auto"/>
        <w:bottom w:val="none" w:sz="0" w:space="0" w:color="auto"/>
        <w:right w:val="none" w:sz="0" w:space="0" w:color="auto"/>
      </w:divBdr>
    </w:div>
    <w:div w:id="204755842">
      <w:bodyDiv w:val="1"/>
      <w:marLeft w:val="0"/>
      <w:marRight w:val="0"/>
      <w:marTop w:val="0"/>
      <w:marBottom w:val="0"/>
      <w:divBdr>
        <w:top w:val="none" w:sz="0" w:space="0" w:color="auto"/>
        <w:left w:val="none" w:sz="0" w:space="0" w:color="auto"/>
        <w:bottom w:val="none" w:sz="0" w:space="0" w:color="auto"/>
        <w:right w:val="none" w:sz="0" w:space="0" w:color="auto"/>
      </w:divBdr>
    </w:div>
    <w:div w:id="226764450">
      <w:bodyDiv w:val="1"/>
      <w:marLeft w:val="0"/>
      <w:marRight w:val="0"/>
      <w:marTop w:val="0"/>
      <w:marBottom w:val="0"/>
      <w:divBdr>
        <w:top w:val="none" w:sz="0" w:space="0" w:color="auto"/>
        <w:left w:val="none" w:sz="0" w:space="0" w:color="auto"/>
        <w:bottom w:val="none" w:sz="0" w:space="0" w:color="auto"/>
        <w:right w:val="none" w:sz="0" w:space="0" w:color="auto"/>
      </w:divBdr>
    </w:div>
    <w:div w:id="242842355">
      <w:bodyDiv w:val="1"/>
      <w:marLeft w:val="0"/>
      <w:marRight w:val="0"/>
      <w:marTop w:val="0"/>
      <w:marBottom w:val="0"/>
      <w:divBdr>
        <w:top w:val="none" w:sz="0" w:space="0" w:color="auto"/>
        <w:left w:val="none" w:sz="0" w:space="0" w:color="auto"/>
        <w:bottom w:val="none" w:sz="0" w:space="0" w:color="auto"/>
        <w:right w:val="none" w:sz="0" w:space="0" w:color="auto"/>
      </w:divBdr>
    </w:div>
    <w:div w:id="368536118">
      <w:bodyDiv w:val="1"/>
      <w:marLeft w:val="0"/>
      <w:marRight w:val="0"/>
      <w:marTop w:val="0"/>
      <w:marBottom w:val="0"/>
      <w:divBdr>
        <w:top w:val="none" w:sz="0" w:space="0" w:color="auto"/>
        <w:left w:val="none" w:sz="0" w:space="0" w:color="auto"/>
        <w:bottom w:val="none" w:sz="0" w:space="0" w:color="auto"/>
        <w:right w:val="none" w:sz="0" w:space="0" w:color="auto"/>
      </w:divBdr>
    </w:div>
    <w:div w:id="427702988">
      <w:bodyDiv w:val="1"/>
      <w:marLeft w:val="0"/>
      <w:marRight w:val="0"/>
      <w:marTop w:val="0"/>
      <w:marBottom w:val="0"/>
      <w:divBdr>
        <w:top w:val="none" w:sz="0" w:space="0" w:color="auto"/>
        <w:left w:val="none" w:sz="0" w:space="0" w:color="auto"/>
        <w:bottom w:val="none" w:sz="0" w:space="0" w:color="auto"/>
        <w:right w:val="none" w:sz="0" w:space="0" w:color="auto"/>
      </w:divBdr>
    </w:div>
    <w:div w:id="448092015">
      <w:bodyDiv w:val="1"/>
      <w:marLeft w:val="0"/>
      <w:marRight w:val="0"/>
      <w:marTop w:val="0"/>
      <w:marBottom w:val="0"/>
      <w:divBdr>
        <w:top w:val="none" w:sz="0" w:space="0" w:color="auto"/>
        <w:left w:val="none" w:sz="0" w:space="0" w:color="auto"/>
        <w:bottom w:val="none" w:sz="0" w:space="0" w:color="auto"/>
        <w:right w:val="none" w:sz="0" w:space="0" w:color="auto"/>
      </w:divBdr>
    </w:div>
    <w:div w:id="462844755">
      <w:bodyDiv w:val="1"/>
      <w:marLeft w:val="0"/>
      <w:marRight w:val="0"/>
      <w:marTop w:val="0"/>
      <w:marBottom w:val="0"/>
      <w:divBdr>
        <w:top w:val="none" w:sz="0" w:space="0" w:color="auto"/>
        <w:left w:val="none" w:sz="0" w:space="0" w:color="auto"/>
        <w:bottom w:val="none" w:sz="0" w:space="0" w:color="auto"/>
        <w:right w:val="none" w:sz="0" w:space="0" w:color="auto"/>
      </w:divBdr>
    </w:div>
    <w:div w:id="464665789">
      <w:bodyDiv w:val="1"/>
      <w:marLeft w:val="0"/>
      <w:marRight w:val="0"/>
      <w:marTop w:val="0"/>
      <w:marBottom w:val="0"/>
      <w:divBdr>
        <w:top w:val="none" w:sz="0" w:space="0" w:color="auto"/>
        <w:left w:val="none" w:sz="0" w:space="0" w:color="auto"/>
        <w:bottom w:val="none" w:sz="0" w:space="0" w:color="auto"/>
        <w:right w:val="none" w:sz="0" w:space="0" w:color="auto"/>
      </w:divBdr>
    </w:div>
    <w:div w:id="545874109">
      <w:bodyDiv w:val="1"/>
      <w:marLeft w:val="0"/>
      <w:marRight w:val="0"/>
      <w:marTop w:val="0"/>
      <w:marBottom w:val="0"/>
      <w:divBdr>
        <w:top w:val="none" w:sz="0" w:space="0" w:color="auto"/>
        <w:left w:val="none" w:sz="0" w:space="0" w:color="auto"/>
        <w:bottom w:val="none" w:sz="0" w:space="0" w:color="auto"/>
        <w:right w:val="none" w:sz="0" w:space="0" w:color="auto"/>
      </w:divBdr>
    </w:div>
    <w:div w:id="558396107">
      <w:bodyDiv w:val="1"/>
      <w:marLeft w:val="0"/>
      <w:marRight w:val="0"/>
      <w:marTop w:val="0"/>
      <w:marBottom w:val="0"/>
      <w:divBdr>
        <w:top w:val="none" w:sz="0" w:space="0" w:color="auto"/>
        <w:left w:val="none" w:sz="0" w:space="0" w:color="auto"/>
        <w:bottom w:val="none" w:sz="0" w:space="0" w:color="auto"/>
        <w:right w:val="none" w:sz="0" w:space="0" w:color="auto"/>
      </w:divBdr>
    </w:div>
    <w:div w:id="601377434">
      <w:bodyDiv w:val="1"/>
      <w:marLeft w:val="0"/>
      <w:marRight w:val="0"/>
      <w:marTop w:val="0"/>
      <w:marBottom w:val="0"/>
      <w:divBdr>
        <w:top w:val="none" w:sz="0" w:space="0" w:color="auto"/>
        <w:left w:val="none" w:sz="0" w:space="0" w:color="auto"/>
        <w:bottom w:val="none" w:sz="0" w:space="0" w:color="auto"/>
        <w:right w:val="none" w:sz="0" w:space="0" w:color="auto"/>
      </w:divBdr>
    </w:div>
    <w:div w:id="698093674">
      <w:bodyDiv w:val="1"/>
      <w:marLeft w:val="0"/>
      <w:marRight w:val="0"/>
      <w:marTop w:val="0"/>
      <w:marBottom w:val="0"/>
      <w:divBdr>
        <w:top w:val="none" w:sz="0" w:space="0" w:color="auto"/>
        <w:left w:val="none" w:sz="0" w:space="0" w:color="auto"/>
        <w:bottom w:val="none" w:sz="0" w:space="0" w:color="auto"/>
        <w:right w:val="none" w:sz="0" w:space="0" w:color="auto"/>
      </w:divBdr>
    </w:div>
    <w:div w:id="736590287">
      <w:bodyDiv w:val="1"/>
      <w:marLeft w:val="0"/>
      <w:marRight w:val="0"/>
      <w:marTop w:val="0"/>
      <w:marBottom w:val="0"/>
      <w:divBdr>
        <w:top w:val="none" w:sz="0" w:space="0" w:color="auto"/>
        <w:left w:val="none" w:sz="0" w:space="0" w:color="auto"/>
        <w:bottom w:val="none" w:sz="0" w:space="0" w:color="auto"/>
        <w:right w:val="none" w:sz="0" w:space="0" w:color="auto"/>
      </w:divBdr>
    </w:div>
    <w:div w:id="846288374">
      <w:bodyDiv w:val="1"/>
      <w:marLeft w:val="0"/>
      <w:marRight w:val="0"/>
      <w:marTop w:val="0"/>
      <w:marBottom w:val="0"/>
      <w:divBdr>
        <w:top w:val="none" w:sz="0" w:space="0" w:color="auto"/>
        <w:left w:val="none" w:sz="0" w:space="0" w:color="auto"/>
        <w:bottom w:val="none" w:sz="0" w:space="0" w:color="auto"/>
        <w:right w:val="none" w:sz="0" w:space="0" w:color="auto"/>
      </w:divBdr>
    </w:div>
    <w:div w:id="1021972729">
      <w:bodyDiv w:val="1"/>
      <w:marLeft w:val="0"/>
      <w:marRight w:val="0"/>
      <w:marTop w:val="0"/>
      <w:marBottom w:val="0"/>
      <w:divBdr>
        <w:top w:val="none" w:sz="0" w:space="0" w:color="auto"/>
        <w:left w:val="none" w:sz="0" w:space="0" w:color="auto"/>
        <w:bottom w:val="none" w:sz="0" w:space="0" w:color="auto"/>
        <w:right w:val="none" w:sz="0" w:space="0" w:color="auto"/>
      </w:divBdr>
    </w:div>
    <w:div w:id="1022517401">
      <w:bodyDiv w:val="1"/>
      <w:marLeft w:val="0"/>
      <w:marRight w:val="0"/>
      <w:marTop w:val="0"/>
      <w:marBottom w:val="0"/>
      <w:divBdr>
        <w:top w:val="none" w:sz="0" w:space="0" w:color="auto"/>
        <w:left w:val="none" w:sz="0" w:space="0" w:color="auto"/>
        <w:bottom w:val="none" w:sz="0" w:space="0" w:color="auto"/>
        <w:right w:val="none" w:sz="0" w:space="0" w:color="auto"/>
      </w:divBdr>
    </w:div>
    <w:div w:id="1153331015">
      <w:bodyDiv w:val="1"/>
      <w:marLeft w:val="0"/>
      <w:marRight w:val="0"/>
      <w:marTop w:val="0"/>
      <w:marBottom w:val="0"/>
      <w:divBdr>
        <w:top w:val="none" w:sz="0" w:space="0" w:color="auto"/>
        <w:left w:val="none" w:sz="0" w:space="0" w:color="auto"/>
        <w:bottom w:val="none" w:sz="0" w:space="0" w:color="auto"/>
        <w:right w:val="none" w:sz="0" w:space="0" w:color="auto"/>
      </w:divBdr>
    </w:div>
    <w:div w:id="1251815111">
      <w:bodyDiv w:val="1"/>
      <w:marLeft w:val="0"/>
      <w:marRight w:val="0"/>
      <w:marTop w:val="0"/>
      <w:marBottom w:val="0"/>
      <w:divBdr>
        <w:top w:val="none" w:sz="0" w:space="0" w:color="auto"/>
        <w:left w:val="none" w:sz="0" w:space="0" w:color="auto"/>
        <w:bottom w:val="none" w:sz="0" w:space="0" w:color="auto"/>
        <w:right w:val="none" w:sz="0" w:space="0" w:color="auto"/>
      </w:divBdr>
    </w:div>
    <w:div w:id="1292828974">
      <w:bodyDiv w:val="1"/>
      <w:marLeft w:val="0"/>
      <w:marRight w:val="0"/>
      <w:marTop w:val="0"/>
      <w:marBottom w:val="0"/>
      <w:divBdr>
        <w:top w:val="none" w:sz="0" w:space="0" w:color="auto"/>
        <w:left w:val="none" w:sz="0" w:space="0" w:color="auto"/>
        <w:bottom w:val="none" w:sz="0" w:space="0" w:color="auto"/>
        <w:right w:val="none" w:sz="0" w:space="0" w:color="auto"/>
      </w:divBdr>
    </w:div>
    <w:div w:id="1337541211">
      <w:bodyDiv w:val="1"/>
      <w:marLeft w:val="0"/>
      <w:marRight w:val="0"/>
      <w:marTop w:val="0"/>
      <w:marBottom w:val="0"/>
      <w:divBdr>
        <w:top w:val="none" w:sz="0" w:space="0" w:color="auto"/>
        <w:left w:val="none" w:sz="0" w:space="0" w:color="auto"/>
        <w:bottom w:val="none" w:sz="0" w:space="0" w:color="auto"/>
        <w:right w:val="none" w:sz="0" w:space="0" w:color="auto"/>
      </w:divBdr>
    </w:div>
    <w:div w:id="1380129627">
      <w:bodyDiv w:val="1"/>
      <w:marLeft w:val="0"/>
      <w:marRight w:val="0"/>
      <w:marTop w:val="0"/>
      <w:marBottom w:val="0"/>
      <w:divBdr>
        <w:top w:val="none" w:sz="0" w:space="0" w:color="auto"/>
        <w:left w:val="none" w:sz="0" w:space="0" w:color="auto"/>
        <w:bottom w:val="none" w:sz="0" w:space="0" w:color="auto"/>
        <w:right w:val="none" w:sz="0" w:space="0" w:color="auto"/>
      </w:divBdr>
    </w:div>
    <w:div w:id="1391658196">
      <w:bodyDiv w:val="1"/>
      <w:marLeft w:val="0"/>
      <w:marRight w:val="0"/>
      <w:marTop w:val="0"/>
      <w:marBottom w:val="0"/>
      <w:divBdr>
        <w:top w:val="none" w:sz="0" w:space="0" w:color="auto"/>
        <w:left w:val="none" w:sz="0" w:space="0" w:color="auto"/>
        <w:bottom w:val="none" w:sz="0" w:space="0" w:color="auto"/>
        <w:right w:val="none" w:sz="0" w:space="0" w:color="auto"/>
      </w:divBdr>
    </w:div>
    <w:div w:id="1485707048">
      <w:bodyDiv w:val="1"/>
      <w:marLeft w:val="0"/>
      <w:marRight w:val="0"/>
      <w:marTop w:val="0"/>
      <w:marBottom w:val="0"/>
      <w:divBdr>
        <w:top w:val="none" w:sz="0" w:space="0" w:color="auto"/>
        <w:left w:val="none" w:sz="0" w:space="0" w:color="auto"/>
        <w:bottom w:val="none" w:sz="0" w:space="0" w:color="auto"/>
        <w:right w:val="none" w:sz="0" w:space="0" w:color="auto"/>
      </w:divBdr>
    </w:div>
    <w:div w:id="1610088536">
      <w:bodyDiv w:val="1"/>
      <w:marLeft w:val="0"/>
      <w:marRight w:val="0"/>
      <w:marTop w:val="0"/>
      <w:marBottom w:val="0"/>
      <w:divBdr>
        <w:top w:val="none" w:sz="0" w:space="0" w:color="auto"/>
        <w:left w:val="none" w:sz="0" w:space="0" w:color="auto"/>
        <w:bottom w:val="none" w:sz="0" w:space="0" w:color="auto"/>
        <w:right w:val="none" w:sz="0" w:space="0" w:color="auto"/>
      </w:divBdr>
    </w:div>
    <w:div w:id="1654093071">
      <w:bodyDiv w:val="1"/>
      <w:marLeft w:val="0"/>
      <w:marRight w:val="0"/>
      <w:marTop w:val="0"/>
      <w:marBottom w:val="0"/>
      <w:divBdr>
        <w:top w:val="none" w:sz="0" w:space="0" w:color="auto"/>
        <w:left w:val="none" w:sz="0" w:space="0" w:color="auto"/>
        <w:bottom w:val="none" w:sz="0" w:space="0" w:color="auto"/>
        <w:right w:val="none" w:sz="0" w:space="0" w:color="auto"/>
      </w:divBdr>
    </w:div>
    <w:div w:id="1727876249">
      <w:bodyDiv w:val="1"/>
      <w:marLeft w:val="0"/>
      <w:marRight w:val="0"/>
      <w:marTop w:val="0"/>
      <w:marBottom w:val="0"/>
      <w:divBdr>
        <w:top w:val="none" w:sz="0" w:space="0" w:color="auto"/>
        <w:left w:val="none" w:sz="0" w:space="0" w:color="auto"/>
        <w:bottom w:val="none" w:sz="0" w:space="0" w:color="auto"/>
        <w:right w:val="none" w:sz="0" w:space="0" w:color="auto"/>
      </w:divBdr>
    </w:div>
    <w:div w:id="1759060805">
      <w:bodyDiv w:val="1"/>
      <w:marLeft w:val="0"/>
      <w:marRight w:val="0"/>
      <w:marTop w:val="0"/>
      <w:marBottom w:val="0"/>
      <w:divBdr>
        <w:top w:val="none" w:sz="0" w:space="0" w:color="auto"/>
        <w:left w:val="none" w:sz="0" w:space="0" w:color="auto"/>
        <w:bottom w:val="none" w:sz="0" w:space="0" w:color="auto"/>
        <w:right w:val="none" w:sz="0" w:space="0" w:color="auto"/>
      </w:divBdr>
    </w:div>
    <w:div w:id="1866018333">
      <w:bodyDiv w:val="1"/>
      <w:marLeft w:val="0"/>
      <w:marRight w:val="0"/>
      <w:marTop w:val="0"/>
      <w:marBottom w:val="0"/>
      <w:divBdr>
        <w:top w:val="none" w:sz="0" w:space="0" w:color="auto"/>
        <w:left w:val="none" w:sz="0" w:space="0" w:color="auto"/>
        <w:bottom w:val="none" w:sz="0" w:space="0" w:color="auto"/>
        <w:right w:val="none" w:sz="0" w:space="0" w:color="auto"/>
      </w:divBdr>
    </w:div>
    <w:div w:id="1891578213">
      <w:bodyDiv w:val="1"/>
      <w:marLeft w:val="0"/>
      <w:marRight w:val="0"/>
      <w:marTop w:val="0"/>
      <w:marBottom w:val="0"/>
      <w:divBdr>
        <w:top w:val="none" w:sz="0" w:space="0" w:color="auto"/>
        <w:left w:val="none" w:sz="0" w:space="0" w:color="auto"/>
        <w:bottom w:val="none" w:sz="0" w:space="0" w:color="auto"/>
        <w:right w:val="none" w:sz="0" w:space="0" w:color="auto"/>
      </w:divBdr>
    </w:div>
    <w:div w:id="1911117307">
      <w:bodyDiv w:val="1"/>
      <w:marLeft w:val="0"/>
      <w:marRight w:val="0"/>
      <w:marTop w:val="0"/>
      <w:marBottom w:val="0"/>
      <w:divBdr>
        <w:top w:val="none" w:sz="0" w:space="0" w:color="auto"/>
        <w:left w:val="none" w:sz="0" w:space="0" w:color="auto"/>
        <w:bottom w:val="none" w:sz="0" w:space="0" w:color="auto"/>
        <w:right w:val="none" w:sz="0" w:space="0" w:color="auto"/>
      </w:divBdr>
    </w:div>
    <w:div w:id="2025862542">
      <w:bodyDiv w:val="1"/>
      <w:marLeft w:val="0"/>
      <w:marRight w:val="0"/>
      <w:marTop w:val="0"/>
      <w:marBottom w:val="0"/>
      <w:divBdr>
        <w:top w:val="none" w:sz="0" w:space="0" w:color="auto"/>
        <w:left w:val="none" w:sz="0" w:space="0" w:color="auto"/>
        <w:bottom w:val="none" w:sz="0" w:space="0" w:color="auto"/>
        <w:right w:val="none" w:sz="0" w:space="0" w:color="auto"/>
      </w:divBdr>
    </w:div>
    <w:div w:id="2044405725">
      <w:bodyDiv w:val="1"/>
      <w:marLeft w:val="0"/>
      <w:marRight w:val="0"/>
      <w:marTop w:val="0"/>
      <w:marBottom w:val="0"/>
      <w:divBdr>
        <w:top w:val="none" w:sz="0" w:space="0" w:color="auto"/>
        <w:left w:val="none" w:sz="0" w:space="0" w:color="auto"/>
        <w:bottom w:val="none" w:sz="0" w:space="0" w:color="auto"/>
        <w:right w:val="none" w:sz="0" w:space="0" w:color="auto"/>
      </w:divBdr>
    </w:div>
    <w:div w:id="2103598768">
      <w:bodyDiv w:val="1"/>
      <w:marLeft w:val="0"/>
      <w:marRight w:val="0"/>
      <w:marTop w:val="0"/>
      <w:marBottom w:val="0"/>
      <w:divBdr>
        <w:top w:val="none" w:sz="0" w:space="0" w:color="auto"/>
        <w:left w:val="none" w:sz="0" w:space="0" w:color="auto"/>
        <w:bottom w:val="none" w:sz="0" w:space="0" w:color="auto"/>
        <w:right w:val="none" w:sz="0" w:space="0" w:color="auto"/>
      </w:divBdr>
    </w:div>
    <w:div w:id="21102706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tsilidis@imperial.ac.uk" TargetMode="External"/><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footer" Target="footer3.xm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actical.icr.ac.uk/"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B85A1DA-FE1A-C647-9FBA-4EE874396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23</Pages>
  <Words>42806</Words>
  <Characters>244000</Characters>
  <Application>Microsoft Office Word</Application>
  <DocSecurity>0</DocSecurity>
  <Lines>2033</Lines>
  <Paragraphs>572</Paragraphs>
  <ScaleCrop>false</ScaleCrop>
  <HeadingPairs>
    <vt:vector size="2" baseType="variant">
      <vt:variant>
        <vt:lpstr>Title</vt:lpstr>
      </vt:variant>
      <vt:variant>
        <vt:i4>1</vt:i4>
      </vt:variant>
    </vt:vector>
  </HeadingPairs>
  <TitlesOfParts>
    <vt:vector size="1" baseType="lpstr">
      <vt:lpstr/>
    </vt:vector>
  </TitlesOfParts>
  <Company>UoI</Company>
  <LinksUpToDate>false</LinksUpToDate>
  <CharactersWithSpaces>286234</CharactersWithSpaces>
  <SharedDoc>false</SharedDoc>
  <HLinks>
    <vt:vector size="18" baseType="variant">
      <vt:variant>
        <vt:i4>8257637</vt:i4>
      </vt:variant>
      <vt:variant>
        <vt:i4>6</vt:i4>
      </vt:variant>
      <vt:variant>
        <vt:i4>0</vt:i4>
      </vt:variant>
      <vt:variant>
        <vt:i4>5</vt:i4>
      </vt:variant>
      <vt:variant>
        <vt:lpwstr>http://practical.icr.ac.uk/</vt:lpwstr>
      </vt:variant>
      <vt:variant>
        <vt:lpwstr/>
      </vt:variant>
      <vt:variant>
        <vt:i4>5373997</vt:i4>
      </vt:variant>
      <vt:variant>
        <vt:i4>3</vt:i4>
      </vt:variant>
      <vt:variant>
        <vt:i4>0</vt:i4>
      </vt:variant>
      <vt:variant>
        <vt:i4>5</vt:i4>
      </vt:variant>
      <vt:variant>
        <vt:lpwstr>mailto:pkraft@hsph.harvard.edu</vt:lpwstr>
      </vt:variant>
      <vt:variant>
        <vt:lpwstr/>
      </vt:variant>
      <vt:variant>
        <vt:i4>8192094</vt:i4>
      </vt:variant>
      <vt:variant>
        <vt:i4>0</vt:i4>
      </vt:variant>
      <vt:variant>
        <vt:i4>0</vt:i4>
      </vt:variant>
      <vt:variant>
        <vt:i4>5</vt:i4>
      </vt:variant>
      <vt:variant>
        <vt:lpwstr>mailto:k.tsilidis@imperial.ac.uk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764</cp:revision>
  <dcterms:created xsi:type="dcterms:W3CDTF">2018-06-14T15:04:00Z</dcterms:created>
  <dcterms:modified xsi:type="dcterms:W3CDTF">2018-10-25T12:45:00Z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zotero-version="5.0.55.1"&gt;&lt;session id="tcJzF7oM"/&gt;&lt;style id="http://www.zotero.org/styles/international-journal-of-epidemiology" hasBibliography="1" bibliographyStyleHasBeenSet="1"/&gt;&lt;prefs&gt;&lt;pref name="fieldType" value="Field"/&gt;&lt;pref</vt:lpwstr>
  </property>
  <property fmtid="{D5CDD505-2E9C-101B-9397-08002B2CF9AE}" pid="3" name="ZOTERO_PREF_2">
    <vt:lpwstr> name="dontAskDelayCitationUpdates" value="true"/&gt;&lt;/prefs&gt;&lt;/data&gt;</vt:lpwstr>
  </property>
</Properties>
</file>