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11BD9" w14:textId="77777777" w:rsidR="00FE53E3" w:rsidRPr="00025049" w:rsidRDefault="00FE53E3" w:rsidP="00FE53E3">
      <w:pPr>
        <w:pStyle w:val="Title1"/>
        <w:rPr>
          <w:lang w:val="en-GB"/>
        </w:rPr>
      </w:pPr>
      <w:r w:rsidRPr="00025049">
        <w:rPr>
          <w:lang w:val="en-GB"/>
        </w:rPr>
        <w:t xml:space="preserve">Carbon Aerogel Based </w:t>
      </w:r>
      <w:r w:rsidRPr="006D67F3">
        <w:rPr>
          <w:lang w:val="en-GB"/>
        </w:rPr>
        <w:t xml:space="preserve">Thin </w:t>
      </w:r>
      <w:r w:rsidRPr="00025049">
        <w:rPr>
          <w:lang w:val="en-GB"/>
        </w:rPr>
        <w:t>Electrodes for Zero-Gap all Vanadium Redox Flow Batteries – Quantifying the Factors Leading to Optimum Performance</w:t>
      </w:r>
    </w:p>
    <w:p w14:paraId="06D62BA7" w14:textId="77777777" w:rsidR="00FE53E3" w:rsidRPr="00025049" w:rsidRDefault="00FE53E3" w:rsidP="00FE53E3">
      <w:pPr>
        <w:pStyle w:val="Authors"/>
      </w:pPr>
      <w:r w:rsidRPr="00025049">
        <w:t>Andres Parra-Puerto</w:t>
      </w:r>
      <w:r w:rsidRPr="00025049">
        <w:rPr>
          <w:vertAlign w:val="superscript"/>
        </w:rPr>
        <w:t>[a]</w:t>
      </w:r>
      <w:r w:rsidRPr="00025049">
        <w:t>, Javier Rubio-Garcia</w:t>
      </w:r>
      <w:r w:rsidRPr="00025049">
        <w:rPr>
          <w:vertAlign w:val="superscript"/>
        </w:rPr>
        <w:t>[a][b]</w:t>
      </w:r>
      <w:r w:rsidRPr="00025049">
        <w:t>, Matthew Markiewicz</w:t>
      </w:r>
      <w:r w:rsidRPr="00025049">
        <w:rPr>
          <w:vertAlign w:val="superscript"/>
        </w:rPr>
        <w:t>[a][c]</w:t>
      </w:r>
      <w:r w:rsidRPr="00025049">
        <w:t xml:space="preserve">, </w:t>
      </w:r>
      <w:proofErr w:type="spellStart"/>
      <w:r w:rsidRPr="00025049">
        <w:t>Zhuo</w:t>
      </w:r>
      <w:proofErr w:type="spellEnd"/>
      <w:r w:rsidRPr="00025049">
        <w:t xml:space="preserve"> Zheng</w:t>
      </w:r>
      <w:r w:rsidRPr="00025049">
        <w:rPr>
          <w:vertAlign w:val="superscript"/>
        </w:rPr>
        <w:t>[a]</w:t>
      </w:r>
      <w:r w:rsidRPr="00025049">
        <w:t xml:space="preserve"> and Anthony Kucernak</w:t>
      </w:r>
      <w:r w:rsidRPr="00025049">
        <w:rPr>
          <w:vertAlign w:val="superscript"/>
        </w:rPr>
        <w:t>[a]</w:t>
      </w:r>
      <w:r w:rsidRPr="00025049">
        <w:t xml:space="preserve">* </w:t>
      </w:r>
    </w:p>
    <w:p w14:paraId="615554A5" w14:textId="77777777" w:rsidR="00FE53E3" w:rsidRPr="00025049" w:rsidRDefault="00FE53E3" w:rsidP="00FE53E3">
      <w:pPr>
        <w:pStyle w:val="Adress"/>
        <w:pBdr>
          <w:top w:val="single" w:sz="4" w:space="1" w:color="000000"/>
        </w:pBdr>
        <w:rPr>
          <w:lang w:val="en-GB"/>
        </w:rPr>
      </w:pPr>
      <w:r w:rsidRPr="00025049">
        <w:rPr>
          <w:lang w:val="en-GB"/>
        </w:rPr>
        <w:t>[a]</w:t>
      </w:r>
      <w:r w:rsidRPr="00025049">
        <w:rPr>
          <w:lang w:val="en-GB"/>
        </w:rPr>
        <w:tab/>
      </w:r>
      <w:proofErr w:type="spellStart"/>
      <w:r w:rsidRPr="00025049">
        <w:rPr>
          <w:lang w:val="en-GB"/>
        </w:rPr>
        <w:t>Dr.</w:t>
      </w:r>
      <w:proofErr w:type="spellEnd"/>
      <w:r w:rsidRPr="00025049">
        <w:rPr>
          <w:lang w:val="en-GB"/>
        </w:rPr>
        <w:t xml:space="preserve"> A. Parra-Puerto, Mr. Z. Zheng, Prof. A. Kucernak</w:t>
      </w:r>
      <w:r w:rsidRPr="00025049">
        <w:rPr>
          <w:lang w:val="en-GB"/>
        </w:rPr>
        <w:br/>
        <w:t>Department of Chemistry</w:t>
      </w:r>
      <w:r w:rsidRPr="00025049">
        <w:rPr>
          <w:lang w:val="en-GB"/>
        </w:rPr>
        <w:br/>
        <w:t>Imperial College London</w:t>
      </w:r>
      <w:r w:rsidRPr="00025049">
        <w:rPr>
          <w:lang w:val="en-GB"/>
        </w:rPr>
        <w:br/>
      </w:r>
      <w:proofErr w:type="spellStart"/>
      <w:r w:rsidRPr="00025049">
        <w:rPr>
          <w:lang w:val="en-GB"/>
        </w:rPr>
        <w:t>London</w:t>
      </w:r>
      <w:proofErr w:type="spellEnd"/>
      <w:r w:rsidRPr="00025049">
        <w:rPr>
          <w:lang w:val="en-GB"/>
        </w:rPr>
        <w:t>, SW7 2AZ, UK</w:t>
      </w:r>
      <w:r w:rsidRPr="00025049">
        <w:rPr>
          <w:lang w:val="en-GB"/>
        </w:rPr>
        <w:br/>
        <w:t xml:space="preserve">E-mail: </w:t>
      </w:r>
      <w:hyperlink r:id="rId7" w:history="1">
        <w:r w:rsidRPr="00025049">
          <w:rPr>
            <w:rStyle w:val="Hyperlink"/>
            <w:lang w:val="en-GB"/>
          </w:rPr>
          <w:t>a.parra-puerto@imperial.ac.uk</w:t>
        </w:r>
      </w:hyperlink>
      <w:r w:rsidRPr="00025049">
        <w:rPr>
          <w:lang w:val="en-GB"/>
        </w:rPr>
        <w:t xml:space="preserve">, </w:t>
      </w:r>
      <w:hyperlink r:id="rId8" w:history="1">
        <w:r w:rsidRPr="00025049">
          <w:rPr>
            <w:rStyle w:val="Hyperlink"/>
            <w:lang w:val="en-GB"/>
          </w:rPr>
          <w:t>anthony@imperial.ac.uk</w:t>
        </w:r>
      </w:hyperlink>
      <w:r w:rsidRPr="00025049">
        <w:rPr>
          <w:rStyle w:val="Hyperlink"/>
          <w:lang w:val="en-GB"/>
        </w:rPr>
        <w:t>*</w:t>
      </w:r>
      <w:r w:rsidRPr="00025049">
        <w:rPr>
          <w:lang w:val="en-GB"/>
        </w:rPr>
        <w:t xml:space="preserve">  </w:t>
      </w:r>
    </w:p>
    <w:p w14:paraId="219D39E0" w14:textId="77777777" w:rsidR="00FE53E3" w:rsidRPr="00025049" w:rsidRDefault="00FE53E3" w:rsidP="00FE53E3">
      <w:pPr>
        <w:pStyle w:val="Adress"/>
        <w:pBdr>
          <w:top w:val="single" w:sz="4" w:space="1" w:color="000000"/>
        </w:pBdr>
        <w:rPr>
          <w:lang w:val="en-GB"/>
        </w:rPr>
      </w:pPr>
      <w:r w:rsidRPr="00025049">
        <w:rPr>
          <w:lang w:val="en-GB"/>
        </w:rPr>
        <w:t>[b]</w:t>
      </w:r>
      <w:r w:rsidRPr="00025049">
        <w:rPr>
          <w:lang w:val="en-GB"/>
        </w:rPr>
        <w:tab/>
      </w:r>
      <w:proofErr w:type="spellStart"/>
      <w:r w:rsidRPr="00025049">
        <w:rPr>
          <w:lang w:val="en-GB"/>
        </w:rPr>
        <w:t>Dr.</w:t>
      </w:r>
      <w:proofErr w:type="spellEnd"/>
      <w:r w:rsidRPr="00025049">
        <w:rPr>
          <w:lang w:val="en-GB"/>
        </w:rPr>
        <w:t xml:space="preserve"> J. Rubio-Garcia</w:t>
      </w:r>
    </w:p>
    <w:p w14:paraId="27C20A7D" w14:textId="77777777" w:rsidR="00FE53E3" w:rsidRPr="00025049" w:rsidRDefault="00FE53E3" w:rsidP="00FE53E3">
      <w:pPr>
        <w:pStyle w:val="Adress"/>
        <w:ind w:firstLine="0"/>
        <w:rPr>
          <w:lang w:val="en-GB"/>
        </w:rPr>
      </w:pPr>
      <w:r w:rsidRPr="00025049">
        <w:rPr>
          <w:lang w:val="en-GB"/>
        </w:rPr>
        <w:t>Current address:</w:t>
      </w:r>
      <w:r w:rsidRPr="00025049">
        <w:rPr>
          <w:lang w:val="en-GB"/>
        </w:rPr>
        <w:br/>
        <w:t>Department of Materials Science &amp; Metallurgy</w:t>
      </w:r>
      <w:r w:rsidRPr="00025049">
        <w:rPr>
          <w:lang w:val="en-GB"/>
        </w:rPr>
        <w:br/>
        <w:t>Cambridge University</w:t>
      </w:r>
      <w:r w:rsidRPr="00025049">
        <w:rPr>
          <w:lang w:val="en-GB"/>
        </w:rPr>
        <w:br/>
        <w:t>Cambridge, CB3 0FS, UK</w:t>
      </w:r>
    </w:p>
    <w:p w14:paraId="5A191528" w14:textId="77777777" w:rsidR="00FE53E3" w:rsidRPr="00025049" w:rsidRDefault="00FE53E3" w:rsidP="00FE53E3">
      <w:pPr>
        <w:pStyle w:val="Adress"/>
        <w:rPr>
          <w:lang w:val="en-GB"/>
        </w:rPr>
      </w:pPr>
      <w:r w:rsidRPr="00025049">
        <w:rPr>
          <w:lang w:val="en-GB"/>
        </w:rPr>
        <w:t>[c]</w:t>
      </w:r>
      <w:r w:rsidRPr="00025049">
        <w:rPr>
          <w:lang w:val="en-GB"/>
        </w:rPr>
        <w:tab/>
      </w:r>
      <w:proofErr w:type="spellStart"/>
      <w:r w:rsidRPr="00025049">
        <w:rPr>
          <w:lang w:val="en-GB"/>
        </w:rPr>
        <w:t>Dr.</w:t>
      </w:r>
      <w:proofErr w:type="spellEnd"/>
      <w:r w:rsidRPr="00025049">
        <w:rPr>
          <w:lang w:val="en-GB"/>
        </w:rPr>
        <w:t xml:space="preserve"> M. Markiewicz</w:t>
      </w:r>
    </w:p>
    <w:p w14:paraId="0F4D7EC5" w14:textId="77777777" w:rsidR="00FE53E3" w:rsidRPr="00025049" w:rsidRDefault="00FE53E3" w:rsidP="00FE53E3">
      <w:pPr>
        <w:pStyle w:val="Adress"/>
        <w:rPr>
          <w:lang w:val="en-GB"/>
        </w:rPr>
      </w:pPr>
      <w:r w:rsidRPr="00025049">
        <w:rPr>
          <w:lang w:val="en-GB"/>
        </w:rPr>
        <w:tab/>
        <w:t xml:space="preserve">Current address: </w:t>
      </w:r>
    </w:p>
    <w:p w14:paraId="2B04F9E0" w14:textId="77777777" w:rsidR="00FE53E3" w:rsidRPr="00025049" w:rsidRDefault="00FE53E3" w:rsidP="00FE53E3">
      <w:pPr>
        <w:pStyle w:val="Adress"/>
        <w:ind w:firstLine="0"/>
        <w:rPr>
          <w:lang w:val="en-GB"/>
        </w:rPr>
      </w:pPr>
      <w:r w:rsidRPr="00025049">
        <w:rPr>
          <w:lang w:val="en-GB"/>
        </w:rPr>
        <w:t>Ballard Power Systems</w:t>
      </w:r>
    </w:p>
    <w:p w14:paraId="78F2C397" w14:textId="77777777" w:rsidR="00FE53E3" w:rsidRPr="00025049" w:rsidRDefault="00FE53E3" w:rsidP="00FE53E3">
      <w:pPr>
        <w:pStyle w:val="Adress"/>
        <w:rPr>
          <w:lang w:val="en-GB"/>
        </w:rPr>
      </w:pPr>
      <w:r w:rsidRPr="00025049">
        <w:rPr>
          <w:lang w:val="en-GB"/>
        </w:rPr>
        <w:tab/>
        <w:t xml:space="preserve">Vancouver, 9000 </w:t>
      </w:r>
      <w:proofErr w:type="spellStart"/>
      <w:r w:rsidRPr="00025049">
        <w:rPr>
          <w:lang w:val="en-GB"/>
        </w:rPr>
        <w:t>Glenlyon</w:t>
      </w:r>
      <w:proofErr w:type="spellEnd"/>
      <w:r w:rsidRPr="00025049">
        <w:rPr>
          <w:lang w:val="en-GB"/>
        </w:rPr>
        <w:t xml:space="preserve"> Pkwy, Burnaby, BC V5J 5J8, Canada</w:t>
      </w:r>
    </w:p>
    <w:p w14:paraId="1446610F" w14:textId="77777777" w:rsidR="00FE53E3" w:rsidRPr="00025049" w:rsidRDefault="00FE53E3" w:rsidP="00FE53E3">
      <w:pPr>
        <w:pStyle w:val="Adress"/>
        <w:rPr>
          <w:lang w:val="en-GB"/>
        </w:rPr>
      </w:pPr>
    </w:p>
    <w:p w14:paraId="6B0630D2" w14:textId="77777777" w:rsidR="00FE53E3" w:rsidRPr="00025049" w:rsidRDefault="00FE53E3" w:rsidP="00FE53E3">
      <w:pPr>
        <w:pStyle w:val="Footnote"/>
        <w:spacing w:after="360"/>
        <w:rPr>
          <w:color w:val="FF0000"/>
        </w:rPr>
      </w:pPr>
      <w:r w:rsidRPr="00025049">
        <w:tab/>
        <w:t xml:space="preserve">Supporting information for this article is given via a link at the end of the document. </w:t>
      </w:r>
    </w:p>
    <w:p w14:paraId="678BE737" w14:textId="77777777" w:rsidR="00FE53E3" w:rsidRPr="00025049" w:rsidRDefault="00FE53E3" w:rsidP="00FE53E3"/>
    <w:p w14:paraId="7D321DCA" w14:textId="77777777" w:rsidR="00FE53E3" w:rsidRPr="00025049" w:rsidRDefault="00FE53E3" w:rsidP="00FE53E3">
      <w:pPr>
        <w:pStyle w:val="Dedication"/>
        <w:rPr>
          <w:lang w:val="en-GB"/>
        </w:rPr>
        <w:sectPr w:rsidR="00FE53E3" w:rsidRPr="00025049" w:rsidSect="0095126A">
          <w:footerReference w:type="default" r:id="rId9"/>
          <w:headerReference w:type="first" r:id="rId10"/>
          <w:pgSz w:w="11906" w:h="16838" w:code="9"/>
          <w:pgMar w:top="1134" w:right="936" w:bottom="1134" w:left="936" w:header="1021" w:footer="0" w:gutter="0"/>
          <w:cols w:space="425"/>
          <w:docGrid w:linePitch="360"/>
        </w:sectPr>
      </w:pPr>
    </w:p>
    <w:p w14:paraId="06ADD568" w14:textId="77777777" w:rsidR="00FE53E3" w:rsidRPr="006D67F3" w:rsidRDefault="00FE53E3" w:rsidP="00FE53E3">
      <w:pPr>
        <w:pStyle w:val="Abstract"/>
      </w:pPr>
      <w:r w:rsidRPr="00025049">
        <w:rPr>
          <w:b/>
        </w:rPr>
        <w:t>Abstract:</w:t>
      </w:r>
      <w:r w:rsidRPr="00025049">
        <w:t xml:space="preserve"> Direct growth of Resorcinol–Formaldehyde Carbon Aerogels (CAGs) on carbon paper electrodes was achieved using a new approach. Materials with variations in density, </w:t>
      </w:r>
      <w:proofErr w:type="spellStart"/>
      <w:r w:rsidRPr="00025049">
        <w:t>mesoporosity</w:t>
      </w:r>
      <w:proofErr w:type="spellEnd"/>
      <w:r w:rsidRPr="00025049">
        <w:t xml:space="preserve"> and microporosity were prepared. Microstructural properties of the resultant electrodes are shown to directly influence performance in zero-gap redox flow battery (RFB). BET analysis shows a total surface area between 643 to 931 m</w:t>
      </w:r>
      <w:r w:rsidRPr="00025049">
        <w:rPr>
          <w:vertAlign w:val="superscript"/>
        </w:rPr>
        <w:t>2</w:t>
      </w:r>
      <w:r w:rsidRPr="00025049">
        <w:t xml:space="preserve"> g</w:t>
      </w:r>
      <w:r w:rsidRPr="00025049">
        <w:rPr>
          <w:vertAlign w:val="superscript"/>
        </w:rPr>
        <w:t>-1</w:t>
      </w:r>
      <w:r w:rsidRPr="00025049">
        <w:t xml:space="preserve">. Deposition of only ~15 wt.% CAG on the carbon electrode leads to a 320-fold increase in electrochemical surface area. Analysis of the results saw a strong positive correlation of RFB performance with surface area. The best performing electrodes had a good balance between microporous and external surface area, and on the macroscopic scale had sufficiently large pores to allow efficient electrolyte permeation. Although the poorest </w:t>
      </w:r>
      <w:r w:rsidRPr="006D67F3">
        <w:t>performing electrodes which had the highest surface area, they also had poor macroscopic porosity leading to large mass transport and solution resistance loses. The best performing electrodes were tested in a zero-gap setup using polarization curves, showing a 25% increase in power density at 100 mA cm</w:t>
      </w:r>
      <w:r w:rsidRPr="006D67F3">
        <w:rPr>
          <w:vertAlign w:val="superscript"/>
        </w:rPr>
        <w:t>-2</w:t>
      </w:r>
      <w:r w:rsidRPr="006D67F3">
        <w:t xml:space="preserve"> and a peak power density of 706 </w:t>
      </w:r>
      <w:proofErr w:type="spellStart"/>
      <w:r w:rsidRPr="006D67F3">
        <w:t>mW</w:t>
      </w:r>
      <w:proofErr w:type="spellEnd"/>
      <w:r w:rsidRPr="006D67F3">
        <w:t xml:space="preserve"> cm</w:t>
      </w:r>
      <w:r w:rsidRPr="006D67F3">
        <w:rPr>
          <w:vertAlign w:val="superscript"/>
        </w:rPr>
        <w:t>-2</w:t>
      </w:r>
      <w:r w:rsidRPr="006D67F3">
        <w:t xml:space="preserve"> at 1 V using thin electrodes.</w:t>
      </w:r>
    </w:p>
    <w:p w14:paraId="55E0B68B" w14:textId="77777777" w:rsidR="00FE53E3" w:rsidRPr="006D67F3" w:rsidRDefault="00FE53E3" w:rsidP="00FE53E3">
      <w:pPr>
        <w:pStyle w:val="H1"/>
      </w:pPr>
      <w:r w:rsidRPr="006D67F3">
        <w:t>Introduction</w:t>
      </w:r>
    </w:p>
    <w:p w14:paraId="28C7E271" w14:textId="77777777" w:rsidR="00FE53E3" w:rsidRPr="00025049" w:rsidRDefault="00FE53E3" w:rsidP="00FE53E3">
      <w:pPr>
        <w:pStyle w:val="P1"/>
        <w:rPr>
          <w:lang w:val="en-GB"/>
        </w:rPr>
      </w:pPr>
      <w:r w:rsidRPr="006D67F3">
        <w:rPr>
          <w:lang w:val="en-GB"/>
        </w:rPr>
        <w:t>Renewable energies such as solar and wind are playing a key role for decarbonization of the electric sector; however, their intermittency require a large scale energy storage system to supply the electricity into the grid during periods of peak demand.</w:t>
      </w:r>
      <w:r w:rsidRPr="006D67F3">
        <w:rPr>
          <w:lang w:val="en-GB"/>
        </w:rPr>
        <w:fldChar w:fldCharType="begin"/>
      </w:r>
      <w:r>
        <w:rPr>
          <w:lang w:val="en-GB"/>
        </w:rPr>
        <w:instrText xml:space="preserve"> ADDIN EN.CITE &lt;EndNote&gt;&lt;Cite&gt;&lt;Author&gt;Dunn&lt;/Author&gt;&lt;Year&gt;2011&lt;/Year&gt;&lt;RecNum&gt;1&lt;/RecNum&gt;&lt;DisplayText&gt;&lt;style face="superscript"&gt;[1]&lt;/style&gt;&lt;/DisplayText&gt;&lt;record&gt;&lt;rec-number&gt;1&lt;/rec-number&gt;&lt;foreign-keys&gt;&lt;key app="EN" db-id="ppwxts2s6f5tsrefwwt5sstvtpasvsep055t" timestamp="1628529868"&gt;1&lt;/key&gt;&lt;/foreign-keys&gt;&lt;ref-type name="Journal Article"&gt;17&lt;/ref-type&gt;&lt;contributors&gt;&lt;authors&gt;&lt;author&gt;Dunn, Bruce&lt;/author&gt;&lt;author&gt;Kamath, Haresh&lt;/author&gt;&lt;author&gt;Tarascon, Jean-Marie&lt;/author&gt;&lt;/authors&gt;&lt;/contributors&gt;&lt;titles&gt;&lt;title&gt;Electrical energy storage for the grid: a battery of choices&lt;/title&gt;&lt;secondary-title&gt;Science (New York, N.Y.)&lt;/secondary-title&gt;&lt;/titles&gt;&lt;periodical&gt;&lt;full-title&gt;Science (New York, N.Y.)&lt;/full-title&gt;&lt;/periodical&gt;&lt;pages&gt;928-35&lt;/pages&gt;&lt;volume&gt;334&lt;/volume&gt;&lt;number&gt;6058&lt;/number&gt;&lt;dates&gt;&lt;year&gt;2011&lt;/year&gt;&lt;/dates&gt;&lt;publisher&gt;American Association for the Advancement of Science&lt;/publisher&gt;&lt;urls&gt;&lt;related-urls&gt;&lt;url&gt;http://www.ncbi.nlm.nih.gov/pubmed/22096188&lt;/url&gt;&lt;/related-urls&gt;&lt;/urls&gt;&lt;electronic-resource-num&gt;10.1126/science.1212741&lt;/electronic-resource-num&gt;&lt;/record&gt;&lt;/Cite&gt;&lt;/EndNote&gt;</w:instrText>
      </w:r>
      <w:r w:rsidRPr="006D67F3">
        <w:rPr>
          <w:lang w:val="en-GB"/>
        </w:rPr>
        <w:fldChar w:fldCharType="separate"/>
      </w:r>
      <w:r w:rsidRPr="00156886">
        <w:rPr>
          <w:noProof/>
          <w:vertAlign w:val="superscript"/>
          <w:lang w:val="en-GB"/>
        </w:rPr>
        <w:t>[1]</w:t>
      </w:r>
      <w:r w:rsidRPr="006D67F3">
        <w:rPr>
          <w:lang w:val="en-GB"/>
        </w:rPr>
        <w:fldChar w:fldCharType="end"/>
      </w:r>
      <w:r w:rsidRPr="006D67F3">
        <w:rPr>
          <w:lang w:val="en-GB"/>
        </w:rPr>
        <w:t xml:space="preserve"> Electrochemical energy storage can play an important role in such applications and have been demonstrated in commercial systems.</w:t>
      </w:r>
      <w:r w:rsidRPr="006D67F3">
        <w:rPr>
          <w:noProof/>
          <w:lang w:val="en-GB"/>
        </w:rPr>
        <w:fldChar w:fldCharType="begin"/>
      </w:r>
      <w:r>
        <w:rPr>
          <w:noProof/>
          <w:lang w:val="en-GB"/>
        </w:rPr>
        <w:instrText xml:space="preserve"> ADDIN EN.CITE &lt;EndNote&gt;&lt;Cite ExcludeYear="1"&gt;&lt;Author&gt;Chu&lt;/Author&gt;&lt;Year&gt;2012&lt;/Year&gt;&lt;RecNum&gt;2&lt;/RecNum&gt;&lt;DisplayText&gt;&lt;style face="superscript"&gt;[2]&lt;/style&gt;&lt;/DisplayText&gt;&lt;record&gt;&lt;rec-number&gt;2&lt;/rec-number&gt;&lt;foreign-keys&gt;&lt;key app="EN" db-id="ppwxts2s6f5tsrefwwt5sstvtpasvsep055t" timestamp="1628529868"&gt;2&lt;/key&gt;&lt;/foreign-keys&gt;&lt;ref-type name="Journal Article"&gt;17&lt;/ref-type&gt;&lt;contributors&gt;&lt;authors&gt;&lt;author&gt;Chu, Steven&lt;/author&gt;&lt;author&gt;Majumdar, Arun&lt;/author&gt;&lt;/authors&gt;&lt;/contributors&gt;&lt;titles&gt;&lt;title&gt;Opportunities and challenges for a sustainable energy future&lt;/title&gt;&lt;secondary-title&gt;Nature&lt;/secondary-title&gt;&lt;/titles&gt;&lt;periodical&gt;&lt;full-title&gt;Nature&lt;/full-title&gt;&lt;/periodical&gt;&lt;pages&gt;294-303&lt;/pages&gt;&lt;volume&gt;488&lt;/volume&gt;&lt;number&gt;7411&lt;/number&gt;&lt;keywords&gt;&lt;keyword&gt;Climate change&lt;/keyword&gt;&lt;keyword&gt;Conservation biology&lt;/keyword&gt;&lt;keyword&gt;Environmental sciences&lt;/keyword&gt;&lt;/keywords&gt;&lt;dates&gt;&lt;year&gt;2012&lt;/year&gt;&lt;/dates&gt;&lt;publisher&gt;Nature Publishing Group&lt;/publisher&gt;&lt;urls&gt;&lt;related-urls&gt;&lt;url&gt;http://www.nature.com/articles/nature11475&lt;/url&gt;&lt;/related-urls&gt;&lt;/urls&gt;&lt;electronic-resource-num&gt;10.1038/nature11475&lt;/electronic-resource-num&gt;&lt;/record&gt;&lt;/Cite&gt;&lt;/EndNote&gt;</w:instrText>
      </w:r>
      <w:r w:rsidRPr="006D67F3">
        <w:rPr>
          <w:noProof/>
          <w:lang w:val="en-GB"/>
        </w:rPr>
        <w:fldChar w:fldCharType="separate"/>
      </w:r>
      <w:r w:rsidRPr="00156886">
        <w:rPr>
          <w:noProof/>
          <w:vertAlign w:val="superscript"/>
          <w:lang w:val="en-GB"/>
        </w:rPr>
        <w:t>[2]</w:t>
      </w:r>
      <w:r w:rsidRPr="006D67F3">
        <w:rPr>
          <w:noProof/>
          <w:lang w:val="en-GB"/>
        </w:rPr>
        <w:fldChar w:fldCharType="end"/>
      </w:r>
      <w:r w:rsidRPr="006D67F3">
        <w:rPr>
          <w:lang w:val="en-GB"/>
        </w:rPr>
        <w:t xml:space="preserve"> In this context, Redox Flow Batteries (RFBs) are a promising class of electrochemical storage system due to their ability to scale to medium/large systems, durability, fast response, low maintenance cost and safety.</w:t>
      </w:r>
      <w:r w:rsidRPr="006D67F3">
        <w:rPr>
          <w:noProof/>
          <w:lang w:val="en-GB"/>
        </w:rPr>
        <w:fldChar w:fldCharType="begin">
          <w:fldData xml:space="preserve">PEVuZE5vdGU+PENpdGUgRXhjbHVkZVllYXI9IjEiPjxBdXRob3I+TG91cmVuc3NlbjwvQXV0aG9y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</w:fldData>
        </w:fldChar>
      </w:r>
      <w:r>
        <w:rPr>
          <w:noProof/>
          <w:lang w:val="en-GB"/>
        </w:rPr>
        <w:instrText xml:space="preserve"> ADDIN EN.CITE </w:instrText>
      </w:r>
      <w:r>
        <w:rPr>
          <w:noProof/>
          <w:lang w:val="en-GB"/>
        </w:rPr>
        <w:fldChar w:fldCharType="begin">
          <w:fldData xml:space="preserve">PEVuZE5vdGU+PENpdGUgRXhjbHVkZVllYXI9IjEiPjxBdXRob3I+TG91cmVuc3NlbjwvQXV0aG9y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</w:fldData>
        </w:fldChar>
      </w:r>
      <w:r>
        <w:rPr>
          <w:noProof/>
          <w:lang w:val="en-GB"/>
        </w:rPr>
        <w:instrText xml:space="preserve"> ADDIN EN.CITE.DATA </w:instrText>
      </w:r>
      <w:r>
        <w:rPr>
          <w:noProof/>
          <w:lang w:val="en-GB"/>
        </w:rPr>
      </w:r>
      <w:r>
        <w:rPr>
          <w:noProof/>
          <w:lang w:val="en-GB"/>
        </w:rPr>
        <w:fldChar w:fldCharType="end"/>
      </w:r>
      <w:r w:rsidRPr="006D67F3">
        <w:rPr>
          <w:noProof/>
          <w:lang w:val="en-GB"/>
        </w:rPr>
      </w:r>
      <w:r w:rsidRPr="006D67F3">
        <w:rPr>
          <w:noProof/>
          <w:lang w:val="en-GB"/>
        </w:rPr>
        <w:fldChar w:fldCharType="separate"/>
      </w:r>
      <w:r w:rsidRPr="00156886">
        <w:rPr>
          <w:noProof/>
          <w:vertAlign w:val="superscript"/>
          <w:lang w:val="en-GB"/>
        </w:rPr>
        <w:t>[3]</w:t>
      </w:r>
      <w:r w:rsidRPr="006D67F3">
        <w:rPr>
          <w:noProof/>
          <w:lang w:val="en-GB"/>
        </w:rPr>
        <w:fldChar w:fldCharType="end"/>
      </w:r>
      <w:r w:rsidRPr="006D67F3">
        <w:rPr>
          <w:lang w:val="en-GB"/>
        </w:rPr>
        <w:t xml:space="preserve"> The core of RFBs are the redox species used in liquid or gas form</w:t>
      </w:r>
      <w:r w:rsidRPr="006D67F3">
        <w:rPr>
          <w:noProof/>
          <w:lang w:val="en-GB"/>
        </w:rPr>
        <w:fldChar w:fldCharType="begin"/>
      </w:r>
      <w:r>
        <w:rPr>
          <w:noProof/>
          <w:lang w:val="en-GB"/>
        </w:rPr>
        <w:instrText xml:space="preserve"> ADDIN EN.CITE &lt;EndNote&gt;&lt;Cite ExcludeYear="1"&gt;&lt;Author&gt;Rubio-Garcia&lt;/Author&gt;&lt;Year&gt;2018&lt;/Year&gt;&lt;RecNum&gt;5&lt;/RecNum&gt;&lt;DisplayText&gt;&lt;style face="superscript"&gt;[4]&lt;/style&gt;&lt;/DisplayText&gt;&lt;record&gt;&lt;rec-number&gt;5&lt;/rec-number&gt;&lt;foreign-keys&gt;&lt;key app="EN" db-id="ppwxts2s6f5tsrefwwt5sstvtpasvsep055t" timestamp="1628529868"&gt;5&lt;/key&gt;&lt;/foreign-keys&gt;&lt;ref-type name="Journal Article"&gt;17&lt;/ref-type&gt;&lt;contributors&gt;&lt;authors&gt;&lt;author&gt;Rubio-Garcia, Javier&lt;/author&gt;&lt;author&gt;Kucernak, Anthony&lt;/author&gt;&lt;author&gt;Zhao, Dong&lt;/author&gt;&lt;author&gt;Li, Danlei&lt;/author&gt;&lt;author&gt;Fahy, Kieran&lt;/author&gt;&lt;author&gt;Yufit, Vladimir&lt;/author&gt;&lt;author&gt;Brandon, Nigel&lt;/author&gt;&lt;author&gt;Gomez-Gonzalez, Miguel&lt;/author&gt;&lt;/authors&gt;&lt;/contributors&gt;&lt;titles&gt;&lt;title&gt;Hydrogen/manganese hybrid redox flow battery&lt;/title&gt;&lt;secondary-title&gt;Journal of Physics: Energy&lt;/secondary-title&gt;&lt;/titles&gt;&lt;periodical&gt;&lt;full-title&gt;Journal of Physics: Energy&lt;/full-title&gt;&lt;/periodical&gt;&lt;pages&gt;015006-015006&lt;/pages&gt;&lt;volume&gt;1&lt;/volume&gt;&lt;number&gt;1&lt;/number&gt;&lt;keywords&gt;&lt;keyword&gt;fuel cell&lt;/keyword&gt;&lt;keyword&gt;hydrogen&lt;/keyword&gt;&lt;keyword&gt;manganese&lt;/keyword&gt;&lt;keyword&gt;redox flow battery&lt;/keyword&gt;&lt;/keywords&gt;&lt;dates&gt;&lt;year&gt;2018&lt;/year&gt;&lt;/dates&gt;&lt;publisher&gt;IOP Publishing&lt;/publisher&gt;&lt;urls&gt;&lt;related-urls&gt;&lt;url&gt;http://stacks.iop.org/2515-7655/1/i=1/a=015006?key=crossref.c17e9fcf54a508126fcb86482936e89d&lt;/url&gt;&lt;/related-urls&gt;&lt;/urls&gt;&lt;electronic-resource-num&gt;10.1088/2515-7655/aaee17&lt;/electronic-resource-num&gt;&lt;/record&gt;&lt;/Cite&gt;&lt;/EndNote&gt;</w:instrText>
      </w:r>
      <w:r w:rsidRPr="006D67F3">
        <w:rPr>
          <w:noProof/>
          <w:lang w:val="en-GB"/>
        </w:rPr>
        <w:fldChar w:fldCharType="separate"/>
      </w:r>
      <w:r w:rsidRPr="00156886">
        <w:rPr>
          <w:noProof/>
          <w:vertAlign w:val="superscript"/>
          <w:lang w:val="en-GB"/>
        </w:rPr>
        <w:t>[4]</w:t>
      </w:r>
      <w:r w:rsidRPr="006D67F3">
        <w:rPr>
          <w:noProof/>
          <w:lang w:val="en-GB"/>
        </w:rPr>
        <w:fldChar w:fldCharType="end"/>
      </w:r>
      <w:r w:rsidRPr="006D67F3">
        <w:rPr>
          <w:lang w:val="en-GB"/>
        </w:rPr>
        <w:t>. The vanadium redox couple is the most commonly used to date.</w:t>
      </w:r>
      <w:r w:rsidRPr="006D67F3">
        <w:rPr>
          <w:noProof/>
          <w:lang w:val="en-GB"/>
        </w:rPr>
        <w:fldChar w:fldCharType="begin">
          <w:fldData xml:space="preserve">PEVuZE5vdGU+PENpdGUgRXhjbHVkZVllYXI9IjEiPjxBdXRob3I+V2FuZzwvQXV0aG9yPjxZZWFy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</w:fldData>
        </w:fldChar>
      </w:r>
      <w:r>
        <w:rPr>
          <w:noProof/>
          <w:lang w:val="en-GB"/>
        </w:rPr>
        <w:instrText xml:space="preserve"> ADDIN EN.CITE </w:instrText>
      </w:r>
      <w:r>
        <w:rPr>
          <w:noProof/>
          <w:lang w:val="en-GB"/>
        </w:rPr>
        <w:fldChar w:fldCharType="begin">
          <w:fldData xml:space="preserve">PEVuZE5vdGU+PENpdGUgRXhjbHVkZVllYXI9IjEiPjxBdXRob3I+V2FuZzwvQXV0aG9yPjxZZWFy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</w:fldData>
        </w:fldChar>
      </w:r>
      <w:r>
        <w:rPr>
          <w:noProof/>
          <w:lang w:val="en-GB"/>
        </w:rPr>
        <w:instrText xml:space="preserve"> ADDIN EN.CITE.DATA </w:instrText>
      </w:r>
      <w:r>
        <w:rPr>
          <w:noProof/>
          <w:lang w:val="en-GB"/>
        </w:rPr>
      </w:r>
      <w:r>
        <w:rPr>
          <w:noProof/>
          <w:lang w:val="en-GB"/>
        </w:rPr>
        <w:fldChar w:fldCharType="end"/>
      </w:r>
      <w:r w:rsidRPr="006D67F3">
        <w:rPr>
          <w:noProof/>
          <w:lang w:val="en-GB"/>
        </w:rPr>
      </w:r>
      <w:r w:rsidRPr="006D67F3">
        <w:rPr>
          <w:noProof/>
          <w:lang w:val="en-GB"/>
        </w:rPr>
        <w:fldChar w:fldCharType="separate"/>
      </w:r>
      <w:r w:rsidRPr="00156886">
        <w:rPr>
          <w:noProof/>
          <w:vertAlign w:val="superscript"/>
          <w:lang w:val="en-GB"/>
        </w:rPr>
        <w:t>[5]</w:t>
      </w:r>
      <w:r w:rsidRPr="006D67F3">
        <w:rPr>
          <w:noProof/>
          <w:lang w:val="en-GB"/>
        </w:rPr>
        <w:fldChar w:fldCharType="end"/>
      </w:r>
      <w:r w:rsidRPr="006D67F3">
        <w:rPr>
          <w:lang w:val="en-GB"/>
        </w:rPr>
        <w:t xml:space="preserve"> All-Vanadium RFBs offer an impressively long calendar and cycling </w:t>
      </w:r>
      <w:r w:rsidRPr="006D67F3">
        <w:rPr>
          <w:lang w:val="en-GB"/>
        </w:rPr>
        <w:t>life (around 10 000 cycles in deep discharge) having a relatively low decay in capacity. However, around 54% of the capital cost for a 10 h storage system is the vanadium electrolyte.</w:t>
      </w:r>
      <w:r w:rsidRPr="006D67F3">
        <w:rPr>
          <w:noProof/>
          <w:lang w:val="en-GB"/>
        </w:rPr>
        <w:fldChar w:fldCharType="begin"/>
      </w:r>
      <w:r>
        <w:rPr>
          <w:noProof/>
          <w:lang w:val="en-GB"/>
        </w:rPr>
        <w:instrText xml:space="preserve"> ADDIN EN.CITE &lt;EndNote&gt;&lt;Cite ExcludeYear="1"&gt;&lt;Author&gt;Joerissen&lt;/Author&gt;&lt;Year&gt;2004&lt;/Year&gt;&lt;RecNum&gt;8&lt;/RecNum&gt;&lt;DisplayText&gt;&lt;style face="superscript"&gt;[6]&lt;/style&gt;&lt;/DisplayText&gt;&lt;record&gt;&lt;rec-number&gt;8&lt;/rec-number&gt;&lt;foreign-keys&gt;&lt;key app="EN" db-id="ppwxts2s6f5tsrefwwt5sstvtpasvsep055t" timestamp="1628529868"&gt;8&lt;/key&gt;&lt;/foreign-keys&gt;&lt;ref-type name="Journal Article"&gt;17&lt;/ref-type&gt;&lt;contributors&gt;&lt;authors&gt;&lt;author&gt;Joerissen, Ludwig&lt;/author&gt;&lt;author&gt;Garche, Juergen&lt;/author&gt;&lt;author&gt;Fabjan, Ch&lt;/author&gt;&lt;author&gt;Tomazic, G.&lt;/author&gt;&lt;/authors&gt;&lt;/contributors&gt;&lt;titles&gt;&lt;title&gt;Possible use of vanadium redox-flow batteries for energy storage in small grids and stand-alone photovoltaic systems&lt;/title&gt;&lt;secondary-title&gt;Journal of Power Sources&lt;/secondary-title&gt;&lt;/titles&gt;&lt;periodical&gt;&lt;full-title&gt;Journal of Power Sources&lt;/full-title&gt;&lt;/periodical&gt;&lt;pages&gt;98-104&lt;/pages&gt;&lt;volume&gt;127&lt;/volume&gt;&lt;number&gt;1-2&lt;/number&gt;&lt;dates&gt;&lt;year&gt;2004&lt;/year&gt;&lt;/dates&gt;&lt;publisher&gt;Elsevier&lt;/publisher&gt;&lt;urls&gt;&lt;related-urls&gt;&lt;url&gt;https://www.sciencedirect.com/science/article/pii/S0378775303009431&lt;/url&gt;&lt;/related-urls&gt;&lt;/urls&gt;&lt;electronic-resource-num&gt;10.1016/J.JPOWSOUR.2003.09.066&lt;/electronic-resource-num&gt;&lt;/record&gt;&lt;/Cite&gt;&lt;/EndNote&gt;</w:instrText>
      </w:r>
      <w:r w:rsidRPr="006D67F3">
        <w:rPr>
          <w:noProof/>
          <w:lang w:val="en-GB"/>
        </w:rPr>
        <w:fldChar w:fldCharType="separate"/>
      </w:r>
      <w:r w:rsidRPr="00156886">
        <w:rPr>
          <w:noProof/>
          <w:vertAlign w:val="superscript"/>
          <w:lang w:val="en-GB"/>
        </w:rPr>
        <w:t>[6]</w:t>
      </w:r>
      <w:r w:rsidRPr="006D67F3">
        <w:rPr>
          <w:noProof/>
          <w:lang w:val="en-GB"/>
        </w:rPr>
        <w:fldChar w:fldCharType="end"/>
      </w:r>
      <w:r w:rsidRPr="006D67F3">
        <w:rPr>
          <w:lang w:val="en-GB"/>
        </w:rPr>
        <w:t xml:space="preserve"> This cost constraint results in RFB operation at current densities at which the utilization of the electroactive species is maximised. To achieve high performance in RFBs, a number of important parameters need to be considered such as: mass transport, electrode degradation, electrical and ionic conductivity, long-term behaviour. Among them mass transport limitations associated with electrode porosity, surface area and wettability</w:t>
      </w:r>
      <w:r w:rsidRPr="006D67F3">
        <w:rPr>
          <w:noProof/>
          <w:lang w:val="en-GB"/>
        </w:rPr>
        <w:fldChar w:fldCharType="begin">
          <w:fldData xml:space="preserve">PEVuZE5vdGU+PENpdGUgRXhjbHVkZVllYXI9IjEiPjxBdXRob3I+U3RyZWV0ZXI8L0F1dGhvcj48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</w:fldData>
        </w:fldChar>
      </w:r>
      <w:r>
        <w:rPr>
          <w:noProof/>
          <w:lang w:val="en-GB"/>
        </w:rPr>
        <w:instrText xml:space="preserve"> ADDIN EN.CITE </w:instrText>
      </w:r>
      <w:r>
        <w:rPr>
          <w:noProof/>
          <w:lang w:val="en-GB"/>
        </w:rPr>
        <w:fldChar w:fldCharType="begin">
          <w:fldData xml:space="preserve">PEVuZE5vdGU+PENpdGUgRXhjbHVkZVllYXI9IjEiPjxBdXRob3I+U3RyZWV0ZXI8L0F1dGhvcj48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</w:fldData>
        </w:fldChar>
      </w:r>
      <w:r>
        <w:rPr>
          <w:noProof/>
          <w:lang w:val="en-GB"/>
        </w:rPr>
        <w:instrText xml:space="preserve"> ADDIN EN.CITE.DATA </w:instrText>
      </w:r>
      <w:r>
        <w:rPr>
          <w:noProof/>
          <w:lang w:val="en-GB"/>
        </w:rPr>
      </w:r>
      <w:r>
        <w:rPr>
          <w:noProof/>
          <w:lang w:val="en-GB"/>
        </w:rPr>
        <w:fldChar w:fldCharType="end"/>
      </w:r>
      <w:r w:rsidRPr="006D67F3">
        <w:rPr>
          <w:noProof/>
          <w:lang w:val="en-GB"/>
        </w:rPr>
      </w:r>
      <w:r w:rsidRPr="006D67F3">
        <w:rPr>
          <w:noProof/>
          <w:lang w:val="en-GB"/>
        </w:rPr>
        <w:fldChar w:fldCharType="separate"/>
      </w:r>
      <w:r w:rsidRPr="00156886">
        <w:rPr>
          <w:noProof/>
          <w:vertAlign w:val="superscript"/>
          <w:lang w:val="en-GB"/>
        </w:rPr>
        <w:t>[3b, 5a, 7]</w:t>
      </w:r>
      <w:r w:rsidRPr="006D67F3">
        <w:rPr>
          <w:noProof/>
          <w:lang w:val="en-GB"/>
        </w:rPr>
        <w:fldChar w:fldCharType="end"/>
      </w:r>
      <w:r w:rsidRPr="006D67F3">
        <w:rPr>
          <w:lang w:val="en-GB"/>
        </w:rPr>
        <w:t xml:space="preserve">  are directly associated to achieving a high electrolyte utilization and lower capacity cost. In this context, the development of high surface area and thinner electrodes can have a positive impact reducing the size of the stack in the zero-gap setup.</w:t>
      </w:r>
      <w:r w:rsidRPr="006D67F3">
        <w:rPr>
          <w:noProof/>
          <w:lang w:val="en-GB"/>
        </w:rPr>
        <w:fldChar w:fldCharType="begin">
          <w:fldData xml:space="preserve">PEVuZE5vdGU+PENpdGUgRXhjbHVkZVllYXI9IjEiPjxBdXRob3I+QWxvdHRvPC9BdXRob3I+PFll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</w:fldData>
        </w:fldChar>
      </w:r>
      <w:r>
        <w:rPr>
          <w:noProof/>
          <w:lang w:val="en-GB"/>
        </w:rPr>
        <w:instrText xml:space="preserve"> ADDIN EN.CITE </w:instrText>
      </w:r>
      <w:r>
        <w:rPr>
          <w:noProof/>
          <w:lang w:val="en-GB"/>
        </w:rPr>
        <w:fldChar w:fldCharType="begin">
          <w:fldData xml:space="preserve">PEVuZE5vdGU+PENpdGUgRXhjbHVkZVllYXI9IjEiPjxBdXRob3I+QWxvdHRvPC9BdXRob3I+PFll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</w:fldData>
        </w:fldChar>
      </w:r>
      <w:r>
        <w:rPr>
          <w:noProof/>
          <w:lang w:val="en-GB"/>
        </w:rPr>
        <w:instrText xml:space="preserve"> ADDIN EN.CITE.DATA </w:instrText>
      </w:r>
      <w:r>
        <w:rPr>
          <w:noProof/>
          <w:lang w:val="en-GB"/>
        </w:rPr>
      </w:r>
      <w:r>
        <w:rPr>
          <w:noProof/>
          <w:lang w:val="en-GB"/>
        </w:rPr>
        <w:fldChar w:fldCharType="end"/>
      </w:r>
      <w:r w:rsidRPr="006D67F3">
        <w:rPr>
          <w:noProof/>
          <w:lang w:val="en-GB"/>
        </w:rPr>
      </w:r>
      <w:r w:rsidRPr="006D67F3">
        <w:rPr>
          <w:noProof/>
          <w:lang w:val="en-GB"/>
        </w:rPr>
        <w:fldChar w:fldCharType="separate"/>
      </w:r>
      <w:r w:rsidRPr="00156886">
        <w:rPr>
          <w:noProof/>
          <w:vertAlign w:val="superscript"/>
          <w:lang w:val="en-GB"/>
        </w:rPr>
        <w:t>[5b, 8]</w:t>
      </w:r>
      <w:r w:rsidRPr="006D67F3">
        <w:rPr>
          <w:noProof/>
          <w:lang w:val="en-GB"/>
        </w:rPr>
        <w:fldChar w:fldCharType="end"/>
      </w:r>
      <w:r w:rsidRPr="006D67F3">
        <w:rPr>
          <w:noProof/>
          <w:lang w:val="en-GB"/>
        </w:rPr>
        <w:t xml:space="preserve"> </w:t>
      </w:r>
      <w:r w:rsidRPr="006D67F3">
        <w:rPr>
          <w:lang w:val="en-GB"/>
        </w:rPr>
        <w:t xml:space="preserve">Furthermore, better performing electrode enable a drop in the total stack cost, as less materials such as bipolar plates or membrane is required for the same power output. On the </w:t>
      </w:r>
      <w:r w:rsidRPr="00025049">
        <w:rPr>
          <w:lang w:val="en-GB"/>
        </w:rPr>
        <w:t>other hand, using thinner electrodes in flow through systems, may lead to an increase of pressure drop</w:t>
      </w:r>
      <w:r w:rsidRPr="00025049">
        <w:rPr>
          <w:noProof/>
          <w:lang w:val="en-GB"/>
        </w:rPr>
        <w:fldChar w:fldCharType="begin"/>
      </w:r>
      <w:r>
        <w:rPr>
          <w:noProof/>
          <w:lang w:val="en-GB"/>
        </w:rPr>
        <w:instrText xml:space="preserve"> ADDIN EN.CITE &lt;EndNote&gt;&lt;Cite ExcludeYear="1"&gt;&lt;Author&gt;Lourenssen&lt;/Author&gt;&lt;Year&gt;2019&lt;/Year&gt;&lt;RecNum&gt;3&lt;/RecNum&gt;&lt;DisplayText&gt;&lt;style face="superscript"&gt;[3a]&lt;/style&gt;&lt;/DisplayText&gt;&lt;record&gt;&lt;rec-number&gt;3&lt;/rec-number&gt;&lt;foreign-keys&gt;&lt;key app="EN" db-id="ppwxts2s6f5tsrefwwt5sstvtpasvsep055t" timestamp="1628529868"&gt;3&lt;/key&gt;&lt;/foreign-keys&gt;&lt;ref-type name="Journal Article"&gt;17&lt;/ref-type&gt;&lt;contributors&gt;&lt;authors&gt;&lt;author&gt;Lourenssen, Kyle&lt;/author&gt;&lt;author&gt;Williams, James&lt;/author&gt;&lt;author&gt;Ahmadpour, Faraz&lt;/author&gt;&lt;author&gt;Clemmer, Ryan&lt;/author&gt;&lt;author&gt;Tasnim, Syeda&lt;/author&gt;&lt;/authors&gt;&lt;/contributors&gt;&lt;titles&gt;&lt;title&gt;Vanadium redox flow batteries: A comprehensive review&lt;/title&gt;&lt;secondary-title&gt;Journal of Energy Storage&lt;/secondary-title&gt;&lt;/titles&gt;&lt;periodical&gt;&lt;full-title&gt;Journal of Energy Storage&lt;/full-title&gt;&lt;/periodical&gt;&lt;pages&gt;100844-100844&lt;/pages&gt;&lt;volume&gt;25&lt;/volume&gt;&lt;dates&gt;&lt;year&gt;2019&lt;/year&gt;&lt;/dates&gt;&lt;publisher&gt;Elsevier&lt;/publisher&gt;&lt;urls&gt;&lt;related-urls&gt;&lt;url&gt;https://www.sciencedirect.com/science/article/pii/S2352152X19302798?via%3Dihub&lt;/url&gt;&lt;/related-urls&gt;&lt;/urls&gt;&lt;electronic-resource-num&gt;10.1016/J.EST.2019.100844&lt;/electronic-resource-num&gt;&lt;/record&gt;&lt;/Cite&gt;&lt;/EndNote&gt;</w:instrText>
      </w:r>
      <w:r w:rsidRPr="00025049">
        <w:rPr>
          <w:noProof/>
          <w:lang w:val="en-GB"/>
        </w:rPr>
        <w:fldChar w:fldCharType="separate"/>
      </w:r>
      <w:r w:rsidRPr="00156886">
        <w:rPr>
          <w:noProof/>
          <w:vertAlign w:val="superscript"/>
          <w:lang w:val="en-GB"/>
        </w:rPr>
        <w:t>[3a]</w:t>
      </w:r>
      <w:r w:rsidRPr="00025049">
        <w:rPr>
          <w:noProof/>
          <w:lang w:val="en-GB"/>
        </w:rPr>
        <w:fldChar w:fldCharType="end"/>
      </w:r>
      <w:r w:rsidRPr="00025049">
        <w:rPr>
          <w:noProof/>
          <w:lang w:val="en-GB"/>
        </w:rPr>
        <w:t xml:space="preserve"> and decrease of surface area, which can be mitigated by tuning the electrode microsture.</w:t>
      </w:r>
    </w:p>
    <w:p w14:paraId="1746CAC4" w14:textId="77777777" w:rsidR="00FE53E3" w:rsidRPr="00025049" w:rsidRDefault="00FE53E3" w:rsidP="00FE53E3">
      <w:pPr>
        <w:pStyle w:val="P1"/>
        <w:rPr>
          <w:noProof/>
          <w:lang w:val="en-GB"/>
        </w:rPr>
      </w:pPr>
      <w:r w:rsidRPr="00025049">
        <w:rPr>
          <w:lang w:val="en-GB"/>
        </w:rPr>
        <w:t>The most commonly used electrode material in RFBs are polyacrylonitrile (PAN) or pitch-based carbon graphite felts (GFs) due to their</w:t>
      </w:r>
      <w:r w:rsidRPr="00025049">
        <w:rPr>
          <w:rStyle w:val="CommentReference"/>
          <w:sz w:val="24"/>
          <w:lang w:val="en-GB"/>
        </w:rPr>
        <w:t xml:space="preserve"> </w:t>
      </w:r>
      <w:r w:rsidRPr="00025049">
        <w:rPr>
          <w:lang w:val="en-GB"/>
        </w:rPr>
        <w:t>chemical stability and low cost.</w:t>
      </w:r>
      <w:r w:rsidRPr="00025049">
        <w:rPr>
          <w:noProof/>
          <w:lang w:val="en-GB"/>
        </w:rPr>
        <w:fldChar w:fldCharType="begin"/>
      </w:r>
      <w:r>
        <w:rPr>
          <w:noProof/>
          <w:lang w:val="en-GB"/>
        </w:rPr>
        <w:instrText xml:space="preserve"> ADDIN EN.CITE &lt;EndNote&gt;&lt;Cite&gt;&lt;Author&gt;Zhong&lt;/Author&gt;&lt;Year&gt;1993&lt;/Year&gt;&lt;RecNum&gt;13&lt;/RecNum&gt;&lt;DisplayText&gt;&lt;style face="superscript"&gt;[9]&lt;/style&gt;&lt;/DisplayText&gt;&lt;record&gt;&lt;rec-number&gt;14&lt;/rec-number&gt;&lt;foreign-keys&gt;&lt;key app="EN" db-id="ppwxts2s6f5tsrefwwt5sstvtpasvsep055t" timestamp="1628529868"&gt;14&lt;/key&gt;&lt;/foreign-keys&gt;&lt;ref-type name="Journal Article"&gt;17&lt;/ref-type&gt;&lt;contributors&gt;&lt;authors&gt;&lt;author&gt;Zhong, S.&lt;/author&gt;&lt;author&gt;Padeste, C.&lt;/author&gt;&lt;author&gt;Kazacos, M.&lt;/author&gt;&lt;author&gt;Skyllas-Kazacos, M.&lt;/author&gt;&lt;/authors&gt;&lt;/contributors&gt;&lt;titles&gt;&lt;title&gt;Comparison of the physical, chemical and electrochemical properties of rayon- and polyacrylonitrile-based graphite felt electrodes&lt;/title&gt;&lt;secondary-title&gt;Journal of Power Sources&lt;/secondary-title&gt;&lt;/titles&gt;&lt;periodical&gt;&lt;full-title&gt;Journal of Power Sources&lt;/full-title&gt;&lt;/periodical&gt;&lt;pages&gt;29-41&lt;/pages&gt;&lt;volume&gt;45&lt;/volume&gt;&lt;number&gt;1&lt;/number&gt;&lt;dates&gt;&lt;year&gt;1993&lt;/year&gt;&lt;/dates&gt;&lt;publisher&gt;Elsevier&lt;/publisher&gt;&lt;urls&gt;&lt;related-urls&gt;&lt;url&gt;https://www.sciencedirect.com/science/article/pii/037877539380006B&lt;/url&gt;&lt;/related-urls&gt;&lt;/urls&gt;&lt;electronic-resource-num&gt;10.1016/0378-7753(93)80006-B&lt;/electronic-resource-num&gt;&lt;/record&gt;&lt;/Cite&gt;&lt;/EndNote&gt;</w:instrText>
      </w:r>
      <w:r w:rsidRPr="00025049">
        <w:rPr>
          <w:noProof/>
          <w:lang w:val="en-GB"/>
        </w:rPr>
        <w:fldChar w:fldCharType="separate"/>
      </w:r>
      <w:r w:rsidRPr="00156886">
        <w:rPr>
          <w:noProof/>
          <w:vertAlign w:val="superscript"/>
          <w:lang w:val="en-GB"/>
        </w:rPr>
        <w:t>[9]</w:t>
      </w:r>
      <w:r w:rsidRPr="00025049">
        <w:rPr>
          <w:noProof/>
          <w:lang w:val="en-GB"/>
        </w:rPr>
        <w:fldChar w:fldCharType="end"/>
      </w:r>
    </w:p>
    <w:p w14:paraId="11DD8025" w14:textId="77777777" w:rsidR="00FE53E3" w:rsidRPr="00025049" w:rsidRDefault="00FE53E3" w:rsidP="00FE53E3">
      <w:pPr>
        <w:pStyle w:val="P1"/>
        <w:rPr>
          <w:lang w:val="en-GB"/>
        </w:rPr>
      </w:pPr>
      <w:r w:rsidRPr="00025049">
        <w:rPr>
          <w:lang w:val="en-GB"/>
        </w:rPr>
        <w:t>A number of studies have attempted to modify the properties of the thick GFs in order to improve their properties.</w:t>
      </w:r>
      <w:r w:rsidRPr="00025049">
        <w:rPr>
          <w:noProof/>
          <w:lang w:val="en-GB"/>
        </w:rPr>
        <w:fldChar w:fldCharType="begin">
          <w:fldData xml:space="preserve">PEVuZE5vdGU+PENpdGUgRXhjbHVkZVllYXI9IjEiPjxBdXRob3I+U3VuPC9BdXRob3I+PFllYXI+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</w:fldData>
        </w:fldChar>
      </w:r>
      <w:r>
        <w:rPr>
          <w:noProof/>
          <w:lang w:val="en-GB"/>
        </w:rPr>
        <w:instrText xml:space="preserve"> ADDIN EN.CITE </w:instrText>
      </w:r>
      <w:r>
        <w:rPr>
          <w:noProof/>
          <w:lang w:val="en-GB"/>
        </w:rPr>
        <w:fldChar w:fldCharType="begin">
          <w:fldData xml:space="preserve">PEVuZE5vdGU+PENpdGUgRXhjbHVkZVllYXI9IjEiPjxBdXRob3I+U3VuPC9BdXRob3I+PFllYXI+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</w:fldData>
        </w:fldChar>
      </w:r>
      <w:r>
        <w:rPr>
          <w:noProof/>
          <w:lang w:val="en-GB"/>
        </w:rPr>
        <w:instrText xml:space="preserve"> ADDIN EN.CITE.DATA </w:instrText>
      </w:r>
      <w:r>
        <w:rPr>
          <w:noProof/>
          <w:lang w:val="en-GB"/>
        </w:rPr>
      </w:r>
      <w:r>
        <w:rPr>
          <w:noProof/>
          <w:lang w:val="en-GB"/>
        </w:rPr>
        <w:fldChar w:fldCharType="end"/>
      </w:r>
      <w:r w:rsidRPr="00025049">
        <w:rPr>
          <w:noProof/>
          <w:lang w:val="en-GB"/>
        </w:rPr>
      </w:r>
      <w:r w:rsidRPr="00025049">
        <w:rPr>
          <w:noProof/>
          <w:lang w:val="en-GB"/>
        </w:rPr>
        <w:fldChar w:fldCharType="separate"/>
      </w:r>
      <w:r w:rsidRPr="00156886">
        <w:rPr>
          <w:noProof/>
          <w:vertAlign w:val="superscript"/>
          <w:lang w:val="en-GB"/>
        </w:rPr>
        <w:t>[10]</w:t>
      </w:r>
      <w:r w:rsidRPr="00025049">
        <w:rPr>
          <w:noProof/>
          <w:lang w:val="en-GB"/>
        </w:rPr>
        <w:fldChar w:fldCharType="end"/>
      </w:r>
      <w:r w:rsidRPr="00025049">
        <w:rPr>
          <w:lang w:val="en-GB"/>
        </w:rPr>
        <w:t xml:space="preserve"> Recently Jiang </w:t>
      </w:r>
      <w:r w:rsidRPr="00025049">
        <w:rPr>
          <w:i/>
          <w:iCs/>
          <w:lang w:val="en-GB"/>
        </w:rPr>
        <w:t>et al.</w:t>
      </w:r>
      <w:r w:rsidRPr="00025049">
        <w:rPr>
          <w:lang w:val="en-GB"/>
        </w:rPr>
        <w:t xml:space="preserve"> reported a carbon aerogel (CAG) supported on a GF for vanadium RFBs, achieving an increase of 33% in energy efficiency compared with the pristine GF.</w:t>
      </w:r>
      <w:r w:rsidRPr="00025049">
        <w:rPr>
          <w:noProof/>
          <w:lang w:val="en-GB"/>
        </w:rPr>
        <w:fldChar w:fldCharType="begin"/>
      </w:r>
      <w:r>
        <w:rPr>
          <w:noProof/>
          <w:lang w:val="en-GB"/>
        </w:rPr>
        <w:instrText xml:space="preserve"> ADDIN EN.CITE &lt;EndNote&gt;&lt;Cite ExcludeYear="1"&gt;&lt;Author&gt;Jiang&lt;/Author&gt;&lt;Year&gt;2019&lt;/Year&gt;&lt;RecNum&gt;20&lt;/RecNum&gt;&lt;DisplayText&gt;&lt;style face="superscript"&gt;[11]&lt;/style&gt;&lt;/DisplayText&gt;&lt;record&gt;&lt;rec-number&gt;19&lt;/rec-number&gt;&lt;foreign-keys&gt;&lt;key app="EN" db-id="ppwxts2s6f5tsrefwwt5sstvtpasvsep055t" timestamp="1628529868"&gt;19&lt;/key&gt;&lt;/foreign-keys&gt;&lt;ref-type name="Journal Article"&gt;17&lt;/ref-type&gt;&lt;contributors&gt;&lt;authors&gt;&lt;author&gt;Jiang, Fengjing&lt;/author&gt;&lt;author&gt;He, Zongqi&lt;/author&gt;&lt;author&gt;Guo, Dingyu&lt;/author&gt;&lt;author&gt;Zhou, Xinjie&lt;/author&gt;&lt;/authors&gt;&lt;/contributors&gt;&lt;titles&gt;&lt;title&gt;Carbon aerogel modified graphite felt as advanced electrodes for vanadium redox flow batteries&lt;/title&gt;&lt;secondary-title&gt;Journal of Power Sources&lt;/secondary-title&gt;&lt;/titles&gt;&lt;periodical&gt;&lt;full-title&gt;Journal of Power Sources&lt;/full-title&gt;&lt;/periodical&gt;&lt;pages&gt;227114-227114&lt;/pages&gt;&lt;volume&gt;440&lt;/volume&gt;&lt;keywords&gt;&lt;keyword&gt;Carbon-carbon composite&lt;/keyword&gt;&lt;keyword&gt;Electode&lt;/keyword&gt;&lt;keyword&gt;Graphite felt&lt;/keyword&gt;&lt;keyword&gt;carbon aerogel&lt;/keyword&gt;&lt;keyword&gt;vanadium redox flow battery&lt;/keyword&gt;&lt;/keywords&gt;&lt;dates&gt;&lt;year&gt;2019&lt;/year&gt;&lt;/dates&gt;&lt;publisher&gt;Elsevier&lt;/publisher&gt;&lt;urls&gt;&lt;related-urls&gt;&lt;url&gt;https://www.sciencedirect.com/science/article/pii/S0378775319311073#fig4&lt;/url&gt;&lt;/related-urls&gt;&lt;/urls&gt;&lt;electronic-resource-num&gt;10.1016/J.JPOWSOUR.2019.227114&lt;/electronic-resource-num&gt;&lt;/record&gt;&lt;/Cite&gt;&lt;/EndNote&gt;</w:instrText>
      </w:r>
      <w:r w:rsidRPr="00025049">
        <w:rPr>
          <w:noProof/>
          <w:lang w:val="en-GB"/>
        </w:rPr>
        <w:fldChar w:fldCharType="separate"/>
      </w:r>
      <w:r w:rsidRPr="00156886">
        <w:rPr>
          <w:noProof/>
          <w:vertAlign w:val="superscript"/>
          <w:lang w:val="en-GB"/>
        </w:rPr>
        <w:t>[11]</w:t>
      </w:r>
      <w:r w:rsidRPr="00025049">
        <w:rPr>
          <w:noProof/>
          <w:lang w:val="en-GB"/>
        </w:rPr>
        <w:fldChar w:fldCharType="end"/>
      </w:r>
      <w:r w:rsidRPr="00025049">
        <w:rPr>
          <w:lang w:val="en-GB"/>
        </w:rPr>
        <w:t xml:space="preserve"> CAG nano-porous materials are very interesting due to their useful properties such as high surface area and electrical conductivity</w:t>
      </w:r>
      <w:r w:rsidRPr="00025049">
        <w:rPr>
          <w:noProof/>
          <w:lang w:val="en-GB"/>
        </w:rPr>
        <w:fldChar w:fldCharType="begin"/>
      </w:r>
      <w:r>
        <w:rPr>
          <w:noProof/>
          <w:lang w:val="en-GB"/>
        </w:rPr>
        <w:instrText xml:space="preserve"> ADDIN EN.CITE &lt;EndNote&gt;&lt;Cite ExcludeYear="1"&gt;&lt;Author&gt;Elkhatat&lt;/Author&gt;&lt;Year&gt;2011&lt;/Year&gt;&lt;RecNum&gt;21&lt;/RecNum&gt;&lt;DisplayText&gt;&lt;style face="superscript"&gt;[12]&lt;/style&gt;&lt;/DisplayText&gt;&lt;record&gt;&lt;rec-number&gt;20&lt;/rec-number&gt;&lt;foreign-keys&gt;&lt;key app="EN" db-id="ppwxts2s6f5tsrefwwt5sstvtpasvsep055t" timestamp="1628529868"&gt;20&lt;/key&gt;&lt;/foreign-keys&gt;&lt;ref-type name="Journal Article"&gt;17&lt;/ref-type&gt;&lt;contributors&gt;&lt;authors&gt;&lt;author&gt;Elkhatat, Ahmed M.&lt;/author&gt;&lt;author&gt;Al-Muhtaseb, Shaheen A.&lt;/author&gt;&lt;/authors&gt;&lt;/contributors&gt;&lt;titles&gt;&lt;title&gt;Advances in tailoring resorcinol-formaldehyde organic and carbon gels&lt;/title&gt;&lt;secondary-title&gt;Advanced Materials&lt;/secondary-title&gt;&lt;/titles&gt;&lt;periodical&gt;&lt;full-title&gt;Advanced Materials&lt;/full-title&gt;&lt;/periodical&gt;&lt;pages&gt;2887-2903&lt;/pages&gt;&lt;volume&gt;23&lt;/volume&gt;&lt;number&gt;26&lt;/number&gt;&lt;keywords&gt;&lt;keyword&gt;aerogels&lt;/keyword&gt;&lt;keyword&gt;cryogels&lt;/keyword&gt;&lt;keyword&gt;resorcinol-formaldehyde&lt;/keyword&gt;&lt;keyword&gt;structural properties&lt;/keyword&gt;&lt;keyword&gt;xerogels&lt;/keyword&gt;&lt;/keywords&gt;&lt;dates&gt;&lt;year&gt;2011&lt;/year&gt;&lt;/dates&gt;&lt;urls&gt;&lt;/urls&gt;&lt;electronic-resource-num&gt;10.1002/adma.201100283&lt;/electronic-resource-num&gt;&lt;/record&gt;&lt;/Cite&gt;&lt;/EndNote&gt;</w:instrText>
      </w:r>
      <w:r w:rsidRPr="00025049">
        <w:rPr>
          <w:noProof/>
          <w:lang w:val="en-GB"/>
        </w:rPr>
        <w:fldChar w:fldCharType="separate"/>
      </w:r>
      <w:r w:rsidRPr="00156886">
        <w:rPr>
          <w:noProof/>
          <w:vertAlign w:val="superscript"/>
          <w:lang w:val="en-GB"/>
        </w:rPr>
        <w:t>[12]</w:t>
      </w:r>
      <w:r w:rsidRPr="00025049">
        <w:rPr>
          <w:noProof/>
          <w:lang w:val="en-GB"/>
        </w:rPr>
        <w:fldChar w:fldCharType="end"/>
      </w:r>
      <w:r w:rsidRPr="00025049">
        <w:rPr>
          <w:lang w:val="en-GB"/>
        </w:rPr>
        <w:t>, and have also been previously used as catalyst support and supercapacitor electrodes materials.</w:t>
      </w:r>
      <w:r w:rsidRPr="00025049">
        <w:rPr>
          <w:noProof/>
          <w:lang w:val="en-GB"/>
        </w:rPr>
        <w:fldChar w:fldCharType="begin">
          <w:fldData xml:space="preserve">PEVuZE5vdGU+PENpdGUgRXhjbHVkZVllYXI9IjEiPjxBdXRob3I+Q2lzemV3c2tpPC9BdXRob3I+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</w:fldData>
        </w:fldChar>
      </w:r>
      <w:r>
        <w:rPr>
          <w:noProof/>
          <w:lang w:val="en-GB"/>
        </w:rPr>
        <w:instrText xml:space="preserve"> ADDIN EN.CITE </w:instrText>
      </w:r>
      <w:r>
        <w:rPr>
          <w:noProof/>
          <w:lang w:val="en-GB"/>
        </w:rPr>
        <w:fldChar w:fldCharType="begin">
          <w:fldData xml:space="preserve">PEVuZE5vdGU+PENpdGUgRXhjbHVkZVllYXI9IjEiPjxBdXRob3I+Q2lzemV3c2tpPC9BdXRob3I+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</w:fldData>
        </w:fldChar>
      </w:r>
      <w:r>
        <w:rPr>
          <w:noProof/>
          <w:lang w:val="en-GB"/>
        </w:rPr>
        <w:instrText xml:space="preserve"> ADDIN EN.CITE.DATA </w:instrText>
      </w:r>
      <w:r>
        <w:rPr>
          <w:noProof/>
          <w:lang w:val="en-GB"/>
        </w:rPr>
      </w:r>
      <w:r>
        <w:rPr>
          <w:noProof/>
          <w:lang w:val="en-GB"/>
        </w:rPr>
        <w:fldChar w:fldCharType="end"/>
      </w:r>
      <w:r w:rsidRPr="00025049">
        <w:rPr>
          <w:noProof/>
          <w:lang w:val="en-GB"/>
        </w:rPr>
      </w:r>
      <w:r w:rsidRPr="00025049">
        <w:rPr>
          <w:noProof/>
          <w:lang w:val="en-GB"/>
        </w:rPr>
        <w:fldChar w:fldCharType="separate"/>
      </w:r>
      <w:r w:rsidRPr="00156886">
        <w:rPr>
          <w:noProof/>
          <w:vertAlign w:val="superscript"/>
          <w:lang w:val="en-GB"/>
        </w:rPr>
        <w:t>[13]</w:t>
      </w:r>
      <w:r w:rsidRPr="00025049">
        <w:rPr>
          <w:noProof/>
          <w:lang w:val="en-GB"/>
        </w:rPr>
        <w:fldChar w:fldCharType="end"/>
      </w:r>
      <w:r w:rsidRPr="00025049">
        <w:rPr>
          <w:lang w:val="en-GB"/>
        </w:rPr>
        <w:t xml:space="preserve"> However those electrodes still have some limitations including a high areal series resistance (ASR) as relatively thick electrodes are required to maximise interfacial (electrochemical) surface area whilst maintaining high porosities.  Suitable strategies aimed to improve the volumetric power density </w:t>
      </w:r>
      <w:r w:rsidRPr="00025049">
        <w:rPr>
          <w:lang w:val="en-GB"/>
        </w:rPr>
        <w:lastRenderedPageBreak/>
        <w:t>of the RFB have been reported relying on replacing the GF with a thinner electrode such as carbon paper (CP),</w:t>
      </w:r>
      <w:r w:rsidRPr="00025049">
        <w:rPr>
          <w:noProof/>
          <w:lang w:val="en-GB"/>
        </w:rPr>
        <w:fldChar w:fldCharType="begin"/>
      </w:r>
      <w:r>
        <w:rPr>
          <w:noProof/>
          <w:lang w:val="en-GB"/>
        </w:rPr>
        <w:instrText xml:space="preserve"> ADDIN EN.CITE &lt;EndNote&gt;&lt;Cite ExcludeYear="1"&gt;&lt;Author&gt;Aaron&lt;/Author&gt;&lt;Year&gt;2012&lt;/Year&gt;&lt;RecNum&gt;14&lt;/RecNum&gt;&lt;DisplayText&gt;&lt;style face="superscript"&gt;[8]&lt;/style&gt;&lt;/DisplayText&gt;&lt;record&gt;&lt;rec-number&gt;13&lt;/rec-number&gt;&lt;foreign-keys&gt;&lt;key app="EN" db-id="ppwxts2s6f5tsrefwwt5sstvtpasvsep055t" timestamp="1628529868"&gt;13&lt;/key&gt;&lt;/foreign-keys&gt;&lt;ref-type name="Journal Article"&gt;17&lt;/ref-type&gt;&lt;contributors&gt;&lt;authors&gt;&lt;author&gt;Aaron, D. S.&lt;/author&gt;&lt;author&gt;Liu, Q.&lt;/author&gt;&lt;author&gt;Tang, Z.&lt;/author&gt;&lt;author&gt;Grim, G. M.&lt;/author&gt;&lt;author&gt;Papandrew, A. B.&lt;/author&gt;&lt;author&gt;Turhan, A.&lt;/author&gt;&lt;author&gt;Zawodzinski, T. A.&lt;/author&gt;&lt;author&gt;Mench, M. M.&lt;/author&gt;&lt;/authors&gt;&lt;/contributors&gt;&lt;titles&gt;&lt;title&gt;Dramatic performance gains in vanadium redox flow batteries through modified cell architecture&lt;/title&gt;&lt;secondary-title&gt;Journal of Power Sources&lt;/secondary-title&gt;&lt;/titles&gt;&lt;periodical&gt;&lt;full-title&gt;Journal of Power Sources&lt;/full-title&gt;&lt;/periodical&gt;&lt;pages&gt;450-453&lt;/pages&gt;&lt;volume&gt;206&lt;/volume&gt;&lt;dates&gt;&lt;year&gt;2012&lt;/year&gt;&lt;/dates&gt;&lt;publisher&gt;Elsevier&lt;/publisher&gt;&lt;urls&gt;&lt;related-urls&gt;&lt;url&gt;https://www.sciencedirect.com/science/article/pii/S0378775311024451&lt;/url&gt;&lt;/related-urls&gt;&lt;/urls&gt;&lt;electronic-resource-num&gt;10.1016/J.JPOWSOUR.2011.12.026&lt;/electronic-resource-num&gt;&lt;/record&gt;&lt;/Cite&gt;&lt;/EndNote&gt;</w:instrText>
      </w:r>
      <w:r w:rsidRPr="00025049">
        <w:rPr>
          <w:noProof/>
          <w:lang w:val="en-GB"/>
        </w:rPr>
        <w:fldChar w:fldCharType="separate"/>
      </w:r>
      <w:r w:rsidRPr="00156886">
        <w:rPr>
          <w:noProof/>
          <w:vertAlign w:val="superscript"/>
          <w:lang w:val="en-GB"/>
        </w:rPr>
        <w:t>[8]</w:t>
      </w:r>
      <w:r w:rsidRPr="00025049">
        <w:rPr>
          <w:noProof/>
          <w:lang w:val="en-GB"/>
        </w:rPr>
        <w:fldChar w:fldCharType="end"/>
      </w:r>
      <w:r w:rsidRPr="00025049">
        <w:rPr>
          <w:lang w:val="en-GB"/>
        </w:rPr>
        <w:t xml:space="preserve"> which is more than 20 times thinner, thus reducing the ASR and increasing the power density with reasonable electrolyte utilisation values, however due to the decrease the active surface area, usually 3 layers of CP are used.</w:t>
      </w:r>
      <w:r w:rsidRPr="00025049">
        <w:rPr>
          <w:noProof/>
          <w:lang w:val="en-GB"/>
        </w:rPr>
        <w:fldChar w:fldCharType="begin"/>
      </w:r>
      <w:r>
        <w:rPr>
          <w:noProof/>
          <w:lang w:val="en-GB"/>
        </w:rPr>
        <w:instrText xml:space="preserve"> ADDIN EN.CITE &lt;EndNote&gt;&lt;Cite ExcludeYear="1"&gt;&lt;Author&gt;Mayrhuber&lt;/Author&gt;&lt;Year&gt;2014&lt;/Year&gt;&lt;RecNum&gt;15&lt;/RecNum&gt;&lt;DisplayText&gt;&lt;style face="superscript"&gt;[14]&lt;/style&gt;&lt;/DisplayText&gt;&lt;record&gt;&lt;rec-number&gt;23&lt;/rec-number&gt;&lt;foreign-keys&gt;&lt;key app="EN" db-id="ppwxts2s6f5tsrefwwt5sstvtpasvsep055t" timestamp="1628529868"&gt;23&lt;/key&gt;&lt;/foreign-keys&gt;&lt;ref-type name="Journal Article"&gt;17&lt;/ref-type&gt;&lt;contributors&gt;&lt;authors&gt;&lt;author&gt;Mayrhuber, I.&lt;/author&gt;&lt;author&gt;Dennison, C. R.&lt;/author&gt;&lt;author&gt;Kalra, V.&lt;/author&gt;&lt;author&gt;Kumbur, E. C.&lt;/author&gt;&lt;/authors&gt;&lt;/contributors&gt;&lt;titles&gt;&lt;title&gt;Laser-perforated carbon paper electrodes for improved mass-transport in high power density vanadium redox flow batteries&lt;/title&gt;&lt;secondary-title&gt;Journal of Power Sources&lt;/secondary-title&gt;&lt;/titles&gt;&lt;periodical&gt;&lt;full-title&gt;Journal of Power Sources&lt;/full-title&gt;&lt;/periodical&gt;&lt;pages&gt;251-258&lt;/pages&gt;&lt;volume&gt;260&lt;/volume&gt;&lt;dates&gt;&lt;year&gt;2014&lt;/year&gt;&lt;/dates&gt;&lt;publisher&gt;Elsevier&lt;/publisher&gt;&lt;urls&gt;&lt;related-urls&gt;&lt;url&gt;https://www.sciencedirect.com/science/article/pii/S0378775314003206#bib16&lt;/url&gt;&lt;/related-urls&gt;&lt;/urls&gt;&lt;electronic-resource-num&gt;10.1016/J.JPOWSOUR.2014.03.007&lt;/electronic-resource-num&gt;&lt;/record&gt;&lt;/Cite&gt;&lt;/EndNote&gt;</w:instrText>
      </w:r>
      <w:r w:rsidRPr="00025049">
        <w:rPr>
          <w:noProof/>
          <w:lang w:val="en-GB"/>
        </w:rPr>
        <w:fldChar w:fldCharType="separate"/>
      </w:r>
      <w:r w:rsidRPr="00156886">
        <w:rPr>
          <w:noProof/>
          <w:vertAlign w:val="superscript"/>
          <w:lang w:val="en-GB"/>
        </w:rPr>
        <w:t>[14]</w:t>
      </w:r>
      <w:r w:rsidRPr="00025049">
        <w:rPr>
          <w:noProof/>
          <w:lang w:val="en-GB"/>
        </w:rPr>
        <w:fldChar w:fldCharType="end"/>
      </w:r>
      <w:r w:rsidRPr="00025049">
        <w:rPr>
          <w:lang w:val="en-GB"/>
        </w:rPr>
        <w:t xml:space="preserve"> </w:t>
      </w:r>
    </w:p>
    <w:p w14:paraId="7989D518" w14:textId="77777777" w:rsidR="00FE53E3" w:rsidRPr="00025049" w:rsidRDefault="00FE53E3" w:rsidP="00FE53E3">
      <w:pPr>
        <w:pStyle w:val="H1"/>
      </w:pPr>
      <w:r w:rsidRPr="00025049">
        <w:t>Results and Discussion</w:t>
      </w:r>
    </w:p>
    <w:p w14:paraId="37C0E8C3" w14:textId="77777777" w:rsidR="00FE53E3" w:rsidRPr="00025049" w:rsidRDefault="00FE53E3" w:rsidP="00FE53E3">
      <w:pPr>
        <w:pStyle w:val="P1"/>
        <w:rPr>
          <w:rStyle w:val="06CHeading"/>
          <w:rFonts w:ascii="Arial" w:hAnsi="Arial"/>
          <w:b w:val="0"/>
          <w:smallCaps w:val="0"/>
          <w:w w:val="100"/>
          <w:sz w:val="17"/>
          <w:szCs w:val="24"/>
        </w:rPr>
      </w:pPr>
      <w:r w:rsidRPr="00025049">
        <w:rPr>
          <w:lang w:val="en-GB"/>
        </w:rPr>
        <w:t xml:space="preserve">The aerogel polycondensation of resorcinol-formaldehyde goes through an addition reaction to produce mono- and </w:t>
      </w:r>
      <w:proofErr w:type="spellStart"/>
      <w:r w:rsidRPr="00025049">
        <w:rPr>
          <w:lang w:val="en-GB"/>
        </w:rPr>
        <w:t>dimethylol</w:t>
      </w:r>
      <w:proofErr w:type="spellEnd"/>
      <w:r w:rsidRPr="00025049">
        <w:rPr>
          <w:lang w:val="en-GB"/>
        </w:rPr>
        <w:t xml:space="preserve"> resorcinol.</w:t>
      </w:r>
      <w:r w:rsidRPr="00025049">
        <w:rPr>
          <w:lang w:val="en-GB"/>
        </w:rPr>
        <w:fldChar w:fldCharType="begin"/>
      </w:r>
      <w:r>
        <w:rPr>
          <w:lang w:val="en-GB"/>
        </w:rPr>
        <w:instrText xml:space="preserve"> ADDIN EN.CITE &lt;EndNote&gt;&lt;Cite&gt;&lt;Author&gt;Durairaj&lt;/Author&gt;&lt;Year&gt;2005&lt;/Year&gt;&lt;RecNum&gt;27&lt;/RecNum&gt;&lt;DisplayText&gt;&lt;style face="superscript"&gt;[15]&lt;/style&gt;&lt;/DisplayText&gt;&lt;record&gt;&lt;rec-number&gt;27&lt;/rec-number&gt;&lt;foreign-keys&gt;&lt;key app="EN" db-id="ppwxts2s6f5tsrefwwt5sstvtpasvsep055t" timestamp="1628529868"&gt;27&lt;/key&gt;&lt;/foreign-keys&gt;&lt;ref-type name="Book"&gt;6&lt;/ref-type&gt;&lt;contributors&gt;&lt;authors&gt;&lt;author&gt;Durairaj, Raj B.&lt;/author&gt;&lt;/authors&gt;&lt;/contributors&gt;&lt;titles&gt;&lt;title&gt;Resorcinol, Chemistry, Technology and Applications | Raj B. Durairaj | Springer&lt;/title&gt;&lt;/titles&gt;&lt;edition&gt;1&lt;/edition&gt;&lt;dates&gt;&lt;year&gt;2005&lt;/year&gt;&lt;/dates&gt;&lt;pub-location&gt;New York&lt;/pub-location&gt;&lt;publisher&gt;Springer-Verlag Berlin Heidelberg&lt;/publisher&gt;&lt;isbn&gt;978-3-540-28090-3&lt;/isbn&gt;&lt;urls&gt;&lt;related-urls&gt;&lt;url&gt;https://www.springer.com/gp/book/9783540251422&lt;/url&gt;&lt;/related-urls&gt;&lt;/urls&gt;&lt;electronic-resource-num&gt;10.1007/3-540-28090-1&lt;/electronic-resource-num&gt;&lt;/record&gt;&lt;/Cite&gt;&lt;/EndNote&gt;</w:instrText>
      </w:r>
      <w:r w:rsidRPr="00025049">
        <w:rPr>
          <w:lang w:val="en-GB"/>
        </w:rPr>
        <w:fldChar w:fldCharType="separate"/>
      </w:r>
      <w:r w:rsidRPr="00156886">
        <w:rPr>
          <w:noProof/>
          <w:vertAlign w:val="superscript"/>
          <w:lang w:val="en-GB"/>
        </w:rPr>
        <w:t>[15]</w:t>
      </w:r>
      <w:r w:rsidRPr="00025049">
        <w:rPr>
          <w:lang w:val="en-GB"/>
        </w:rPr>
        <w:fldChar w:fldCharType="end"/>
      </w:r>
      <w:r w:rsidRPr="00025049">
        <w:rPr>
          <w:lang w:val="en-GB"/>
        </w:rPr>
        <w:t xml:space="preserve"> And after, utilising a basic catalyst, the </w:t>
      </w:r>
      <w:proofErr w:type="spellStart"/>
      <w:r w:rsidRPr="00025049">
        <w:rPr>
          <w:lang w:val="en-GB"/>
        </w:rPr>
        <w:t>methylol</w:t>
      </w:r>
      <w:proofErr w:type="spellEnd"/>
      <w:r w:rsidRPr="00025049">
        <w:rPr>
          <w:lang w:val="en-GB"/>
        </w:rPr>
        <w:t xml:space="preserve"> compounds formed goes through a condensation reaction to </w:t>
      </w:r>
      <w:r w:rsidRPr="00025049">
        <w:rPr>
          <w:lang w:val="en-GB"/>
        </w:rPr>
        <w:t xml:space="preserve">obtain nanometric clusters, which crosslink, producing the gel. </w:t>
      </w:r>
      <w:r w:rsidRPr="00025049">
        <w:rPr>
          <w:rStyle w:val="06CHeading"/>
          <w:rFonts w:ascii="Arial" w:hAnsi="Arial"/>
          <w:b w:val="0"/>
          <w:smallCaps w:val="0"/>
          <w:w w:val="100"/>
          <w:sz w:val="17"/>
          <w:szCs w:val="24"/>
        </w:rPr>
        <w:t xml:space="preserve">The alkaline catalysts used in the synthesis have a </w:t>
      </w:r>
      <w:proofErr w:type="spellStart"/>
      <w:r w:rsidRPr="00025049">
        <w:rPr>
          <w:rStyle w:val="06CHeading"/>
          <w:rFonts w:ascii="Arial" w:hAnsi="Arial"/>
          <w:b w:val="0"/>
          <w:smallCaps w:val="0"/>
          <w:w w:val="100"/>
          <w:sz w:val="17"/>
          <w:szCs w:val="24"/>
        </w:rPr>
        <w:t>pKb</w:t>
      </w:r>
      <w:proofErr w:type="spellEnd"/>
      <w:r w:rsidRPr="00025049">
        <w:rPr>
          <w:rStyle w:val="06CHeading"/>
          <w:rFonts w:ascii="Arial" w:hAnsi="Arial"/>
          <w:b w:val="0"/>
          <w:smallCaps w:val="0"/>
          <w:w w:val="100"/>
          <w:sz w:val="17"/>
          <w:szCs w:val="24"/>
        </w:rPr>
        <w:t xml:space="preserve"> value of 3.67 and -0.5 for the Na</w:t>
      </w:r>
      <w:r w:rsidRPr="00025049">
        <w:rPr>
          <w:rStyle w:val="06CHeading"/>
          <w:rFonts w:ascii="Arial" w:hAnsi="Arial"/>
          <w:b w:val="0"/>
          <w:smallCaps w:val="0"/>
          <w:w w:val="100"/>
          <w:sz w:val="17"/>
          <w:szCs w:val="24"/>
          <w:vertAlign w:val="subscript"/>
        </w:rPr>
        <w:t>2</w:t>
      </w:r>
      <w:r w:rsidRPr="00025049">
        <w:rPr>
          <w:rStyle w:val="06CHeading"/>
          <w:rFonts w:ascii="Arial" w:hAnsi="Arial"/>
          <w:b w:val="0"/>
          <w:smallCaps w:val="0"/>
          <w:w w:val="100"/>
          <w:sz w:val="17"/>
          <w:szCs w:val="24"/>
        </w:rPr>
        <w:t>CO</w:t>
      </w:r>
      <w:r w:rsidRPr="00025049">
        <w:rPr>
          <w:rStyle w:val="06CHeading"/>
          <w:rFonts w:ascii="Arial" w:hAnsi="Arial"/>
          <w:b w:val="0"/>
          <w:smallCaps w:val="0"/>
          <w:w w:val="100"/>
          <w:sz w:val="17"/>
          <w:szCs w:val="24"/>
          <w:vertAlign w:val="subscript"/>
        </w:rPr>
        <w:t>3</w:t>
      </w:r>
      <w:r w:rsidRPr="00025049">
        <w:rPr>
          <w:rStyle w:val="06CHeading"/>
          <w:rFonts w:ascii="Arial" w:hAnsi="Arial"/>
          <w:b w:val="0"/>
          <w:smallCaps w:val="0"/>
          <w:w w:val="100"/>
          <w:sz w:val="17"/>
          <w:szCs w:val="24"/>
        </w:rPr>
        <w:t xml:space="preserve"> and NaOH respectively.</w:t>
      </w:r>
      <w:r w:rsidRPr="00025049">
        <w:rPr>
          <w:rStyle w:val="06CHeading"/>
          <w:rFonts w:ascii="Arial" w:hAnsi="Arial"/>
          <w:b w:val="0"/>
          <w:smallCaps w:val="0"/>
          <w:w w:val="100"/>
          <w:sz w:val="17"/>
          <w:szCs w:val="24"/>
        </w:rPr>
        <w:fldChar w:fldCharType="begin"/>
      </w:r>
      <w:r>
        <w:rPr>
          <w:rStyle w:val="06CHeading"/>
          <w:rFonts w:ascii="Arial" w:hAnsi="Arial"/>
          <w:b w:val="0"/>
          <w:smallCaps w:val="0"/>
          <w:w w:val="100"/>
          <w:sz w:val="17"/>
          <w:szCs w:val="24"/>
        </w:rPr>
        <w:instrText xml:space="preserve"> ADDIN EN.CITE &lt;EndNote&gt;&lt;Cite&gt;&lt;Author&gt;Haynes&lt;/Author&gt;&lt;Year&gt;2018&lt;/Year&gt;&lt;RecNum&gt;28&lt;/RecNum&gt;&lt;DisplayText&gt;&lt;style face="superscript"&gt;[16]&lt;/style&gt;&lt;/DisplayText&gt;&lt;record&gt;&lt;rec-number&gt;28&lt;/rec-number&gt;&lt;foreign-keys&gt;&lt;key app="EN" db-id="ppwxts2s6f5tsrefwwt5sstvtpasvsep055t" timestamp="1628529868"&gt;28&lt;/key&gt;&lt;/foreign-keys&gt;&lt;ref-type name="Book"&gt;6&lt;/ref-type&gt;&lt;contributors&gt;&lt;authors&gt;&lt;author&gt;Haynes, William M.&lt;/author&gt;&lt;/authors&gt;&lt;/contributors&gt;&lt;titles&gt;&lt;title&gt;Handbok of Chemistry and Physics. 99th Edition&lt;/title&gt;&lt;/titles&gt;&lt;pages&gt;4.43-4.101&lt;/pages&gt;&lt;volume&gt;94&lt;/volume&gt;&lt;dates&gt;&lt;year&gt;2018&lt;/year&gt;&lt;/dates&gt;&lt;isbn&gt;9781466571143&lt;/isbn&gt;&lt;urls&gt;&lt;/urls&gt;&lt;/record&gt;&lt;/Cite&gt;&lt;/EndNote&gt;</w:instrText>
      </w:r>
      <w:r w:rsidRPr="00025049">
        <w:rPr>
          <w:rStyle w:val="06CHeading"/>
          <w:rFonts w:ascii="Arial" w:hAnsi="Arial"/>
          <w:b w:val="0"/>
          <w:smallCaps w:val="0"/>
          <w:w w:val="100"/>
          <w:sz w:val="17"/>
          <w:szCs w:val="24"/>
        </w:rPr>
        <w:fldChar w:fldCharType="separate"/>
      </w:r>
      <w:r w:rsidRPr="00156886">
        <w:rPr>
          <w:rStyle w:val="06CHeading"/>
          <w:rFonts w:ascii="Arial" w:hAnsi="Arial"/>
          <w:b w:val="0"/>
          <w:smallCaps w:val="0"/>
          <w:noProof/>
          <w:w w:val="100"/>
          <w:sz w:val="17"/>
          <w:szCs w:val="24"/>
          <w:vertAlign w:val="superscript"/>
        </w:rPr>
        <w:t>[16]</w:t>
      </w:r>
      <w:r w:rsidRPr="00025049">
        <w:rPr>
          <w:rStyle w:val="06CHeading"/>
          <w:rFonts w:ascii="Arial" w:hAnsi="Arial"/>
          <w:b w:val="0"/>
          <w:smallCaps w:val="0"/>
          <w:w w:val="100"/>
          <w:sz w:val="17"/>
          <w:szCs w:val="24"/>
        </w:rPr>
        <w:fldChar w:fldCharType="end"/>
      </w:r>
      <w:r w:rsidRPr="00025049">
        <w:rPr>
          <w:rStyle w:val="06CHeading"/>
          <w:rFonts w:ascii="Arial" w:hAnsi="Arial"/>
          <w:b w:val="0"/>
          <w:smallCaps w:val="0"/>
          <w:w w:val="100"/>
          <w:sz w:val="17"/>
          <w:szCs w:val="24"/>
        </w:rPr>
        <w:t xml:space="preserve"> The </w:t>
      </w:r>
      <w:r w:rsidRPr="00025049">
        <w:rPr>
          <w:lang w:val="en-GB"/>
        </w:rPr>
        <w:t>gelation (cross-linking) time is dependent upon the initial pH of the solution.</w:t>
      </w:r>
      <w:r w:rsidRPr="00025049">
        <w:rPr>
          <w:lang w:val="en-GB"/>
        </w:rPr>
        <w:fldChar w:fldCharType="begin">
          <w:fldData xml:space="preserve">PEVuZE5vdGU+PENpdGU+PEF1dGhvcj5EdXJhaXJhajwvQXV0aG9yPjxZZWFyPjIwMDU8L1llYXI+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</w:fldData>
        </w:fldChar>
      </w:r>
      <w:r>
        <w:rPr>
          <w:lang w:val="en-GB"/>
        </w:rPr>
        <w:instrText xml:space="preserve"> ADDIN EN.CITE </w:instrText>
      </w:r>
      <w:r>
        <w:rPr>
          <w:lang w:val="en-GB"/>
        </w:rPr>
        <w:fldChar w:fldCharType="begin">
          <w:fldData xml:space="preserve">PEVuZE5vdGU+PENpdGU+PEF1dGhvcj5EdXJhaXJhajwvQXV0aG9yPjxZZWFyPjIwMDU8L1llYXI+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</w:fldData>
        </w:fldChar>
      </w:r>
      <w:r>
        <w:rPr>
          <w:lang w:val="en-GB"/>
        </w:rPr>
        <w:instrText xml:space="preserve"> ADDIN EN.CITE.DATA </w:instrText>
      </w:r>
      <w:r>
        <w:rPr>
          <w:lang w:val="en-GB"/>
        </w:rPr>
      </w:r>
      <w:r>
        <w:rPr>
          <w:lang w:val="en-GB"/>
        </w:rPr>
        <w:fldChar w:fldCharType="end"/>
      </w:r>
      <w:r w:rsidRPr="00025049">
        <w:rPr>
          <w:lang w:val="en-GB"/>
        </w:rPr>
      </w:r>
      <w:r w:rsidRPr="00025049">
        <w:rPr>
          <w:lang w:val="en-GB"/>
        </w:rPr>
        <w:fldChar w:fldCharType="separate"/>
      </w:r>
      <w:r w:rsidRPr="00156886">
        <w:rPr>
          <w:noProof/>
          <w:vertAlign w:val="superscript"/>
          <w:lang w:val="en-GB"/>
        </w:rPr>
        <w:t>[13a, 15]</w:t>
      </w:r>
      <w:r w:rsidRPr="00025049">
        <w:rPr>
          <w:lang w:val="en-GB"/>
        </w:rPr>
        <w:fldChar w:fldCharType="end"/>
      </w:r>
      <w:r w:rsidRPr="00025049">
        <w:rPr>
          <w:lang w:val="en-GB"/>
        </w:rPr>
        <w:t xml:space="preserve"> </w:t>
      </w:r>
      <w:r w:rsidRPr="00025049">
        <w:rPr>
          <w:rStyle w:val="06CHeading"/>
          <w:rFonts w:ascii="Arial" w:hAnsi="Arial"/>
          <w:b w:val="0"/>
          <w:smallCaps w:val="0"/>
          <w:w w:val="100"/>
          <w:sz w:val="17"/>
          <w:szCs w:val="24"/>
        </w:rPr>
        <w:t>As investigated by Job et al.</w:t>
      </w:r>
      <w:r w:rsidRPr="00025049">
        <w:rPr>
          <w:rStyle w:val="06CHeading"/>
          <w:rFonts w:ascii="Arial" w:hAnsi="Arial"/>
          <w:b w:val="0"/>
          <w:smallCaps w:val="0"/>
          <w:w w:val="100"/>
          <w:sz w:val="17"/>
          <w:szCs w:val="24"/>
        </w:rPr>
        <w:fldChar w:fldCharType="begin"/>
      </w:r>
      <w:r>
        <w:rPr>
          <w:rStyle w:val="06CHeading"/>
          <w:rFonts w:ascii="Arial" w:hAnsi="Arial"/>
          <w:b w:val="0"/>
          <w:smallCaps w:val="0"/>
          <w:w w:val="100"/>
          <w:sz w:val="17"/>
          <w:szCs w:val="24"/>
        </w:rPr>
        <w:instrText xml:space="preserve"> ADDIN EN.CITE &lt;EndNote&gt;&lt;Cite ExcludeYear="1"&gt;&lt;Author&gt;Job&lt;/Author&gt;&lt;Year&gt;2004&lt;/Year&gt;&lt;RecNum&gt;29&lt;/RecNum&gt;&lt;DisplayText&gt;&lt;style face="superscript"&gt;[17]&lt;/style&gt;&lt;/DisplayText&gt;&lt;record&gt;&lt;rec-number&gt;29&lt;/rec-number&gt;&lt;foreign-keys&gt;&lt;key app="EN" db-id="ppwxts2s6f5tsrefwwt5sstvtpasvsep055t" timestamp="1628529868"&gt;29&lt;/key&gt;&lt;/foreign-keys&gt;&lt;ref-type name="Journal Article"&gt;17&lt;/ref-type&gt;&lt;contributors&gt;&lt;authors&gt;&lt;author&gt;Job, Nathalie&lt;/author&gt;&lt;author&gt;Pirard, René&lt;/author&gt;&lt;author&gt;Marien, José&lt;/author&gt;&lt;author&gt;Pirard, Jean Paul&lt;/author&gt;&lt;/authors&gt;&lt;/contributors&gt;&lt;titles&gt;&lt;title&gt;Porous carbon xerogels with texture tailored by pH control during sol-gel process&lt;/title&gt;&lt;secondary-title&gt;Carbon&lt;/secondary-title&gt;&lt;/titles&gt;&lt;periodical&gt;&lt;full-title&gt;Carbon&lt;/full-title&gt;&lt;/periodical&gt;&lt;pages&gt;619-628&lt;/pages&gt;&lt;volume&gt;42&lt;/volume&gt;&lt;number&gt;3&lt;/number&gt;&lt;keywords&gt;&lt;keyword&gt;A. Carbon xerogels&lt;/keyword&gt;&lt;keyword&gt;B. Catalyst support&lt;/keyword&gt;&lt;keyword&gt;D. Texture&lt;/keyword&gt;&lt;keyword&gt;Porous carbon&lt;/keyword&gt;&lt;/keywords&gt;&lt;dates&gt;&lt;year&gt;2004&lt;/year&gt;&lt;/dates&gt;&lt;publisher&gt;Pergamon&lt;/publisher&gt;&lt;urls&gt;&lt;related-urls&gt;&lt;url&gt;https://www.sciencedirect.com/science/article/pii/S0008622303006730&lt;/url&gt;&lt;/related-urls&gt;&lt;/urls&gt;&lt;electronic-resource-num&gt;10.1016/j.carbon.2003.12.072&lt;/electronic-resource-num&gt;&lt;/record&gt;&lt;/Cite&gt;&lt;/EndNote&gt;</w:instrText>
      </w:r>
      <w:r w:rsidRPr="00025049">
        <w:rPr>
          <w:rStyle w:val="06CHeading"/>
          <w:rFonts w:ascii="Arial" w:hAnsi="Arial"/>
          <w:b w:val="0"/>
          <w:smallCaps w:val="0"/>
          <w:w w:val="100"/>
          <w:sz w:val="17"/>
          <w:szCs w:val="24"/>
        </w:rPr>
        <w:fldChar w:fldCharType="separate"/>
      </w:r>
      <w:r w:rsidRPr="00156886">
        <w:rPr>
          <w:rStyle w:val="06CHeading"/>
          <w:rFonts w:ascii="Arial" w:hAnsi="Arial"/>
          <w:b w:val="0"/>
          <w:smallCaps w:val="0"/>
          <w:noProof/>
          <w:w w:val="100"/>
          <w:sz w:val="17"/>
          <w:szCs w:val="24"/>
          <w:vertAlign w:val="superscript"/>
        </w:rPr>
        <w:t>[17]</w:t>
      </w:r>
      <w:r w:rsidRPr="00025049">
        <w:rPr>
          <w:rStyle w:val="06CHeading"/>
          <w:rFonts w:ascii="Arial" w:hAnsi="Arial"/>
          <w:b w:val="0"/>
          <w:smallCaps w:val="0"/>
          <w:w w:val="100"/>
          <w:sz w:val="17"/>
          <w:szCs w:val="24"/>
        </w:rPr>
        <w:fldChar w:fldCharType="end"/>
      </w:r>
      <w:r w:rsidRPr="00025049">
        <w:rPr>
          <w:rStyle w:val="06CHeading"/>
          <w:rFonts w:ascii="Arial" w:hAnsi="Arial"/>
          <w:b w:val="0"/>
          <w:smallCaps w:val="0"/>
          <w:w w:val="100"/>
          <w:sz w:val="17"/>
          <w:szCs w:val="24"/>
        </w:rPr>
        <w:t xml:space="preserve"> the aerogel generated before and after pyrolysis changes from macro-microporous (isotherm change from type I-II) to microporous (isotherm type I) when the pH is increased in the gelation solution. In our experiments we utilise a similar approach, comparing the effect of the catalyst used during the gelation process, but have taken extra care not to destroy the carbon aerogel structure by using a solvent exchange and freeze-drying process for liquid removal before pyrolysis. The process is described in the experimental section. </w:t>
      </w:r>
    </w:p>
    <w:p w14:paraId="7EAE622B" w14:textId="77777777" w:rsidR="00FE53E3" w:rsidRPr="00025049" w:rsidRDefault="00FE53E3" w:rsidP="00FE53E3">
      <w:pPr>
        <w:pStyle w:val="P1"/>
        <w:rPr>
          <w:lang w:val="en-GB"/>
        </w:rPr>
        <w:sectPr w:rsidR="00FE53E3" w:rsidRPr="00025049" w:rsidSect="0095126A">
          <w:type w:val="continuous"/>
          <w:pgSz w:w="11906" w:h="16838" w:code="9"/>
          <w:pgMar w:top="1673" w:right="936" w:bottom="1134" w:left="936" w:header="709" w:footer="709" w:gutter="0"/>
          <w:cols w:num="2" w:space="284"/>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17"/>
        <w:gridCol w:w="5017"/>
      </w:tblGrid>
      <w:tr w:rsidR="00FE53E3" w:rsidRPr="00025049" w14:paraId="26FF92B6" w14:textId="77777777" w:rsidTr="00ED2E8B">
        <w:trPr>
          <w:trHeight w:val="20"/>
        </w:trPr>
        <w:tc>
          <w:tcPr>
            <w:tcW w:w="5000" w:type="pct"/>
            <w:gridSpan w:val="2"/>
            <w:tcBorders>
              <w:bottom w:val="single" w:sz="18" w:space="0" w:color="FFFFFF"/>
            </w:tcBorders>
            <w:shd w:val="clear" w:color="auto" w:fill="auto"/>
            <w:vAlign w:val="center"/>
          </w:tcPr>
          <w:p w14:paraId="02F909F4" w14:textId="77777777" w:rsidR="00FE53E3" w:rsidRPr="00025049" w:rsidRDefault="00FE53E3" w:rsidP="00ED2E8B">
            <w:pPr>
              <w:pStyle w:val="RSCB02ArticleText"/>
              <w:spacing w:line="160" w:lineRule="exact"/>
              <w:jc w:val="center"/>
            </w:pPr>
          </w:p>
        </w:tc>
      </w:tr>
      <w:tr w:rsidR="00FE53E3" w:rsidRPr="00025049" w14:paraId="519EEB70" w14:textId="77777777" w:rsidTr="00ED2E8B">
        <w:tc>
          <w:tcPr>
            <w:tcW w:w="2500" w:type="pct"/>
            <w:tcBorders>
              <w:bottom w:val="single" w:sz="18" w:space="0" w:color="FFFFFF"/>
              <w:right w:val="single" w:sz="18" w:space="0" w:color="FFFFFF"/>
            </w:tcBorders>
            <w:shd w:val="clear" w:color="auto" w:fill="F2F2F2"/>
            <w:vAlign w:val="center"/>
          </w:tcPr>
          <w:p w14:paraId="35AC0505" w14:textId="77777777" w:rsidR="00FE53E3" w:rsidRPr="00025049" w:rsidRDefault="00FE53E3" w:rsidP="00ED2E8B">
            <w:pPr>
              <w:pStyle w:val="RSCB02ArticleText"/>
              <w:ind w:hanging="111"/>
              <w:jc w:val="center"/>
            </w:pPr>
            <w:bookmarkStart w:id="0" w:name="_Ref69817151"/>
            <w:r w:rsidRPr="00025049">
              <w:t>Na</w:t>
            </w:r>
            <w:r w:rsidRPr="00025049">
              <w:rPr>
                <w:vertAlign w:val="subscript"/>
              </w:rPr>
              <w:t>2</w:t>
            </w:r>
            <w:r w:rsidRPr="00025049">
              <w:t>CO</w:t>
            </w:r>
            <w:r w:rsidRPr="00025049">
              <w:rPr>
                <w:vertAlign w:val="subscript"/>
              </w:rPr>
              <w:t>3</w:t>
            </w:r>
          </w:p>
        </w:tc>
        <w:tc>
          <w:tcPr>
            <w:tcW w:w="2500" w:type="pct"/>
            <w:tcBorders>
              <w:left w:val="single" w:sz="18" w:space="0" w:color="FFFFFF"/>
              <w:bottom w:val="single" w:sz="18" w:space="0" w:color="FFFFFF"/>
            </w:tcBorders>
            <w:shd w:val="clear" w:color="auto" w:fill="F9EDED"/>
            <w:vAlign w:val="center"/>
          </w:tcPr>
          <w:p w14:paraId="23496470" w14:textId="77777777" w:rsidR="00FE53E3" w:rsidRPr="00025049" w:rsidRDefault="00FE53E3" w:rsidP="00ED2E8B">
            <w:pPr>
              <w:pStyle w:val="RSCB02ArticleText"/>
              <w:jc w:val="center"/>
            </w:pPr>
            <w:r w:rsidRPr="00025049">
              <w:t>NaOH</w:t>
            </w:r>
          </w:p>
        </w:tc>
      </w:tr>
      <w:tr w:rsidR="00FE53E3" w:rsidRPr="00025049" w14:paraId="3C08263A" w14:textId="77777777" w:rsidTr="00ED2E8B">
        <w:tc>
          <w:tcPr>
            <w:tcW w:w="2500" w:type="pct"/>
            <w:tcBorders>
              <w:top w:val="single" w:sz="18" w:space="0" w:color="FFFFFF"/>
              <w:bottom w:val="single" w:sz="18" w:space="0" w:color="FFFFFF"/>
              <w:right w:val="single" w:sz="18" w:space="0" w:color="FFFFFF"/>
            </w:tcBorders>
            <w:shd w:val="clear" w:color="auto" w:fill="F2F2F2"/>
            <w:vAlign w:val="center"/>
          </w:tcPr>
          <w:p w14:paraId="58BAFDDB" w14:textId="77777777" w:rsidR="00FE53E3" w:rsidRPr="00025049" w:rsidRDefault="00FE53E3" w:rsidP="00ED2E8B">
            <w:pPr>
              <w:pStyle w:val="RSCB02ArticleText"/>
              <w:keepNext/>
              <w:spacing w:line="240" w:lineRule="auto"/>
              <w:jc w:val="center"/>
              <w:rPr>
                <w:rStyle w:val="06CHeading"/>
                <w:b w:val="0"/>
                <w:smallCaps w:val="0"/>
              </w:rPr>
            </w:pPr>
            <w:r>
              <w:rPr>
                <w:rStyle w:val="06CHeading"/>
                <w:b w:val="0"/>
                <w:smallCaps w:val="0"/>
                <w:noProof/>
              </w:rPr>
              <w:drawing>
                <wp:inline distT="0" distB="0" distL="0" distR="0" wp14:anchorId="4D53B6DE" wp14:editId="1F9B342C">
                  <wp:extent cx="2798470" cy="2016000"/>
                  <wp:effectExtent l="0" t="0" r="1905" b="3810"/>
                  <wp:docPr id="32" name="Imagen 32"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2" descr="Graphical user interface, websit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98470" cy="2016000"/>
                          </a:xfrm>
                          <a:prstGeom prst="rect">
                            <a:avLst/>
                          </a:prstGeom>
                          <a:noFill/>
                        </pic:spPr>
                      </pic:pic>
                    </a:graphicData>
                  </a:graphic>
                </wp:inline>
              </w:drawing>
            </w:r>
          </w:p>
        </w:tc>
        <w:tc>
          <w:tcPr>
            <w:tcW w:w="2500" w:type="pct"/>
            <w:tcBorders>
              <w:top w:val="single" w:sz="18" w:space="0" w:color="FFFFFF"/>
              <w:left w:val="single" w:sz="18" w:space="0" w:color="FFFFFF"/>
              <w:bottom w:val="single" w:sz="18" w:space="0" w:color="FFFFFF"/>
            </w:tcBorders>
            <w:shd w:val="clear" w:color="auto" w:fill="F9EDED"/>
            <w:vAlign w:val="center"/>
          </w:tcPr>
          <w:p w14:paraId="18A9900E" w14:textId="77777777" w:rsidR="00FE53E3" w:rsidRPr="00025049" w:rsidRDefault="00FE53E3" w:rsidP="00ED2E8B">
            <w:pPr>
              <w:pStyle w:val="RSCB02ArticleText"/>
              <w:keepNext/>
              <w:spacing w:line="240" w:lineRule="auto"/>
              <w:ind w:left="24" w:right="-110" w:hanging="132"/>
              <w:jc w:val="center"/>
              <w:rPr>
                <w:rStyle w:val="06CHeading"/>
                <w:b w:val="0"/>
                <w:smallCaps w:val="0"/>
              </w:rPr>
            </w:pPr>
            <w:r>
              <w:rPr>
                <w:rStyle w:val="06CHeading"/>
                <w:b w:val="0"/>
                <w:smallCaps w:val="0"/>
                <w:noProof/>
              </w:rPr>
              <w:drawing>
                <wp:inline distT="0" distB="0" distL="0" distR="0" wp14:anchorId="202D4770" wp14:editId="041A6A29">
                  <wp:extent cx="2796237" cy="2016000"/>
                  <wp:effectExtent l="0" t="0" r="4445" b="3810"/>
                  <wp:docPr id="29" name="Imagen 29" descr="Graphical user interface, website,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descr="Graphical user interface, website, map&#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6237" cy="2016000"/>
                          </a:xfrm>
                          <a:prstGeom prst="rect">
                            <a:avLst/>
                          </a:prstGeom>
                          <a:noFill/>
                        </pic:spPr>
                      </pic:pic>
                    </a:graphicData>
                  </a:graphic>
                </wp:inline>
              </w:drawing>
            </w:r>
          </w:p>
        </w:tc>
      </w:tr>
      <w:tr w:rsidR="00FE53E3" w:rsidRPr="00025049" w14:paraId="4CCAB492" w14:textId="77777777" w:rsidTr="00ED2E8B">
        <w:tc>
          <w:tcPr>
            <w:tcW w:w="2500" w:type="pct"/>
            <w:tcBorders>
              <w:top w:val="single" w:sz="18" w:space="0" w:color="FFFFFF"/>
              <w:right w:val="single" w:sz="18" w:space="0" w:color="FFFFFF"/>
            </w:tcBorders>
            <w:shd w:val="clear" w:color="auto" w:fill="F2F2F2"/>
            <w:vAlign w:val="center"/>
          </w:tcPr>
          <w:p w14:paraId="1FAF614E" w14:textId="77777777" w:rsidR="00FE53E3" w:rsidRPr="00025049" w:rsidRDefault="00FE53E3" w:rsidP="00ED2E8B">
            <w:pPr>
              <w:pStyle w:val="RSCB02ArticleText"/>
              <w:keepNext/>
              <w:spacing w:line="240" w:lineRule="auto"/>
              <w:jc w:val="center"/>
              <w:rPr>
                <w:rStyle w:val="06CHeading"/>
                <w:b w:val="0"/>
                <w:smallCaps w:val="0"/>
                <w:noProof/>
              </w:rPr>
            </w:pPr>
            <w:r>
              <w:rPr>
                <w:rStyle w:val="06CHeading"/>
                <w:b w:val="0"/>
                <w:smallCaps w:val="0"/>
                <w:noProof/>
              </w:rPr>
              <w:drawing>
                <wp:inline distT="0" distB="0" distL="0" distR="0" wp14:anchorId="04674B8A" wp14:editId="09C999CB">
                  <wp:extent cx="2880000" cy="2196000"/>
                  <wp:effectExtent l="0" t="0" r="0" b="0"/>
                  <wp:docPr id="34" name="Imagen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685" r="1452" b="1838"/>
                          <a:stretch/>
                        </pic:blipFill>
                        <pic:spPr bwMode="auto">
                          <a:xfrm>
                            <a:off x="0" y="0"/>
                            <a:ext cx="2880000" cy="2196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00" w:type="pct"/>
            <w:tcBorders>
              <w:top w:val="single" w:sz="18" w:space="0" w:color="FFFFFF"/>
              <w:left w:val="single" w:sz="18" w:space="0" w:color="FFFFFF"/>
            </w:tcBorders>
            <w:shd w:val="clear" w:color="auto" w:fill="F9EDED"/>
            <w:vAlign w:val="center"/>
          </w:tcPr>
          <w:p w14:paraId="2634A5D5" w14:textId="77777777" w:rsidR="00FE53E3" w:rsidRPr="00025049" w:rsidRDefault="00FE53E3" w:rsidP="00ED2E8B">
            <w:pPr>
              <w:pStyle w:val="RSCB02ArticleText"/>
              <w:keepNext/>
              <w:spacing w:line="240" w:lineRule="auto"/>
              <w:ind w:left="24" w:right="-110" w:hanging="132"/>
              <w:jc w:val="center"/>
              <w:rPr>
                <w:rStyle w:val="06CHeading"/>
                <w:b w:val="0"/>
                <w:smallCaps w:val="0"/>
                <w:noProof/>
              </w:rPr>
            </w:pPr>
            <w:r>
              <w:rPr>
                <w:rStyle w:val="06CHeading"/>
                <w:b w:val="0"/>
                <w:smallCaps w:val="0"/>
                <w:noProof/>
              </w:rPr>
              <w:drawing>
                <wp:inline distT="0" distB="0" distL="0" distR="0" wp14:anchorId="161DBE1E" wp14:editId="0E132F50">
                  <wp:extent cx="2880000" cy="2195830"/>
                  <wp:effectExtent l="0" t="0" r="0" b="0"/>
                  <wp:docPr id="33" name="Imagen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455" r="1861" b="1685"/>
                          <a:stretch/>
                        </pic:blipFill>
                        <pic:spPr bwMode="auto">
                          <a:xfrm>
                            <a:off x="0" y="0"/>
                            <a:ext cx="2880000" cy="219583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77E16DD" w14:textId="77777777" w:rsidR="00FE53E3" w:rsidRPr="00025049" w:rsidRDefault="00FE53E3" w:rsidP="00FE53E3">
      <w:pPr>
        <w:pStyle w:val="Caption"/>
        <w:rPr>
          <w:b w:val="0"/>
          <w:bCs w:val="0"/>
        </w:rPr>
        <w:sectPr w:rsidR="00FE53E3" w:rsidRPr="00025049" w:rsidSect="0019172A">
          <w:type w:val="continuous"/>
          <w:pgSz w:w="11906" w:h="16838" w:code="9"/>
          <w:pgMar w:top="1673" w:right="936" w:bottom="1134" w:left="936" w:header="709" w:footer="709" w:gutter="0"/>
          <w:cols w:space="284"/>
          <w:docGrid w:linePitch="360"/>
        </w:sectPr>
      </w:pPr>
      <w:bookmarkStart w:id="1" w:name="_Ref85023299"/>
      <w:bookmarkStart w:id="2" w:name="_Ref90634254"/>
      <w:r w:rsidRPr="00025049">
        <w:t xml:space="preserve">Figure </w:t>
      </w:r>
      <w:r>
        <w:fldChar w:fldCharType="begin"/>
      </w:r>
      <w:r>
        <w:instrText xml:space="preserve"> SEQ Figure \* ARABIC </w:instrText>
      </w:r>
      <w:r>
        <w:fldChar w:fldCharType="separate"/>
      </w:r>
      <w:r>
        <w:rPr>
          <w:noProof/>
        </w:rPr>
        <w:t>1</w:t>
      </w:r>
      <w:r>
        <w:rPr>
          <w:noProof/>
        </w:rPr>
        <w:fldChar w:fldCharType="end"/>
      </w:r>
      <w:bookmarkEnd w:id="0"/>
      <w:bookmarkEnd w:id="1"/>
      <w:r w:rsidRPr="00025049">
        <w:t xml:space="preserve">. </w:t>
      </w:r>
      <w:r w:rsidRPr="00025049">
        <w:rPr>
          <w:b w:val="0"/>
          <w:bCs w:val="0"/>
        </w:rPr>
        <w:t xml:space="preserve">SEM (top) and optical microscopy (bottom) images of the aerogel on carbon paper prepared with the different catalyst ratio and monomer concentration (R/C molar ratio </w:t>
      </w:r>
      <w:r w:rsidRPr="00EF0B7B">
        <w:rPr>
          <w:b w:val="0"/>
          <w:bCs w:val="0"/>
          <w:color w:val="FF0000"/>
        </w:rPr>
        <w:t>|</w:t>
      </w:r>
      <w:r w:rsidRPr="00025049">
        <w:rPr>
          <w:b w:val="0"/>
          <w:bCs w:val="0"/>
        </w:rPr>
        <w:t xml:space="preserve"> R/W weight ratios), using Na</w:t>
      </w:r>
      <w:r w:rsidRPr="00025049">
        <w:rPr>
          <w:b w:val="0"/>
          <w:bCs w:val="0"/>
          <w:vertAlign w:val="subscript"/>
        </w:rPr>
        <w:t>2</w:t>
      </w:r>
      <w:r w:rsidRPr="00025049">
        <w:rPr>
          <w:b w:val="0"/>
          <w:bCs w:val="0"/>
        </w:rPr>
        <w:t>CO</w:t>
      </w:r>
      <w:r w:rsidRPr="00025049">
        <w:rPr>
          <w:b w:val="0"/>
          <w:bCs w:val="0"/>
          <w:vertAlign w:val="subscript"/>
        </w:rPr>
        <w:t>3</w:t>
      </w:r>
      <w:r w:rsidRPr="00025049">
        <w:rPr>
          <w:b w:val="0"/>
          <w:bCs w:val="0"/>
        </w:rPr>
        <w:t xml:space="preserve"> (left, light grey) and NaOH (right, light red) as </w:t>
      </w:r>
      <w:r w:rsidRPr="006D67F3">
        <w:rPr>
          <w:b w:val="0"/>
          <w:bCs w:val="0"/>
        </w:rPr>
        <w:t xml:space="preserve">catalyst (inset on the top right, the scale is 1 </w:t>
      </w:r>
      <w:r w:rsidRPr="006D67F3">
        <w:rPr>
          <w:rFonts w:cs="Arial"/>
          <w:b w:val="0"/>
          <w:bCs w:val="0"/>
        </w:rPr>
        <w:t>µ</w:t>
      </w:r>
      <w:r w:rsidRPr="006D67F3">
        <w:rPr>
          <w:b w:val="0"/>
          <w:bCs w:val="0"/>
        </w:rPr>
        <w:t xml:space="preserve">m), </w:t>
      </w:r>
      <w:r w:rsidRPr="00025049">
        <w:rPr>
          <w:b w:val="0"/>
          <w:bCs w:val="0"/>
        </w:rPr>
        <w:t>respectively.</w:t>
      </w:r>
      <w:bookmarkEnd w:id="2"/>
    </w:p>
    <w:p w14:paraId="5B3FDD3F" w14:textId="77777777" w:rsidR="00FE53E3" w:rsidRPr="006D67F3" w:rsidRDefault="00FE53E3" w:rsidP="00FE53E3">
      <w:pPr>
        <w:pStyle w:val="P1"/>
        <w:rPr>
          <w:rStyle w:val="06CHeading"/>
          <w:rFonts w:ascii="Arial" w:hAnsi="Arial"/>
          <w:b w:val="0"/>
          <w:smallCaps w:val="0"/>
          <w:w w:val="100"/>
          <w:sz w:val="17"/>
          <w:szCs w:val="24"/>
        </w:rPr>
      </w:pPr>
      <w:r w:rsidRPr="00025049">
        <w:rPr>
          <w:b/>
          <w:bCs/>
          <w:lang w:val="en-GB"/>
        </w:rPr>
        <w:fldChar w:fldCharType="begin"/>
      </w:r>
      <w:r w:rsidRPr="00025049">
        <w:rPr>
          <w:b/>
          <w:bCs/>
          <w:lang w:val="en-GB"/>
        </w:rPr>
        <w:instrText xml:space="preserve"> REF _Ref85023299 \h  \* MERGEFORMAT </w:instrText>
      </w:r>
      <w:r w:rsidRPr="00025049">
        <w:rPr>
          <w:b/>
          <w:bCs/>
          <w:lang w:val="en-GB"/>
        </w:rPr>
      </w:r>
      <w:r w:rsidRPr="00025049">
        <w:rPr>
          <w:b/>
          <w:bCs/>
          <w:lang w:val="en-GB"/>
        </w:rPr>
        <w:fldChar w:fldCharType="separate"/>
      </w:r>
      <w:r w:rsidRPr="00AB3850">
        <w:rPr>
          <w:b/>
          <w:bCs/>
          <w:lang w:val="en-GB"/>
        </w:rPr>
        <w:t xml:space="preserve">Figure </w:t>
      </w:r>
      <w:r w:rsidRPr="00AB3850">
        <w:rPr>
          <w:b/>
          <w:bCs/>
          <w:noProof/>
          <w:lang w:val="en-GB"/>
        </w:rPr>
        <w:t>1</w:t>
      </w:r>
      <w:r w:rsidRPr="00025049">
        <w:rPr>
          <w:b/>
          <w:bCs/>
          <w:lang w:val="en-GB"/>
        </w:rPr>
        <w:fldChar w:fldCharType="end"/>
      </w:r>
      <w:r w:rsidRPr="00025049">
        <w:rPr>
          <w:lang w:val="en-GB"/>
        </w:rPr>
        <w:t xml:space="preserve"> shows the SEM and optical microscopy images of the supported CAGs in the carbon paper </w:t>
      </w:r>
      <w:proofErr w:type="spellStart"/>
      <w:r w:rsidRPr="006A7895">
        <w:rPr>
          <w:lang w:val="en-GB"/>
        </w:rPr>
        <w:t>fibers</w:t>
      </w:r>
      <w:proofErr w:type="spellEnd"/>
      <w:r w:rsidRPr="00025049">
        <w:rPr>
          <w:lang w:val="en-GB"/>
        </w:rPr>
        <w:t xml:space="preserve"> after pyrolysis under N</w:t>
      </w:r>
      <w:r w:rsidRPr="00025049">
        <w:rPr>
          <w:vertAlign w:val="subscript"/>
          <w:lang w:val="en-GB"/>
        </w:rPr>
        <w:t>2</w:t>
      </w:r>
      <w:r w:rsidRPr="00025049">
        <w:rPr>
          <w:lang w:val="en-GB"/>
        </w:rPr>
        <w:t xml:space="preserve">, using the different synthetic parameters. In the SEM images (top) it is possible to observe </w:t>
      </w:r>
      <w:r w:rsidRPr="006D67F3">
        <w:rPr>
          <w:lang w:val="en-GB"/>
        </w:rPr>
        <w:t xml:space="preserve">a different growth of the aerogel (clearer in 1000|0.2) using the two catalysts. For both catalysts, when the ratio of resorcinol to catalyst is high, the particles of aerogel tend to be largely associated with a small number of nucleation sites. In contrast, when the R/C ratio is low, the deposition of CAG is much more uniform e.g. a greater dispersity of nucleation points, obtaining a smaller average size of CAG </w:t>
      </w:r>
      <w:r w:rsidRPr="006D67F3">
        <w:rPr>
          <w:lang w:val="en-GB"/>
        </w:rPr>
        <w:t>particles. This observation is in accordance with the aerogel polymerisation mechanism.</w:t>
      </w:r>
      <w:r w:rsidRPr="006D67F3">
        <w:rPr>
          <w:lang w:val="en-GB"/>
        </w:rPr>
        <w:fldChar w:fldCharType="begin"/>
      </w:r>
      <w:r>
        <w:rPr>
          <w:lang w:val="en-GB"/>
        </w:rPr>
        <w:instrText xml:space="preserve"> ADDIN EN.CITE &lt;EndNote&gt;&lt;Cite ExcludeYear="1"&gt;&lt;Author&gt;Li&lt;/Author&gt;&lt;Year&gt;2002&lt;/Year&gt;&lt;RecNum&gt;30&lt;/RecNum&gt;&lt;DisplayText&gt;&lt;style face="superscript"&gt;[18]&lt;/style&gt;&lt;/DisplayText&gt;&lt;record&gt;&lt;rec-number&gt;30&lt;/rec-number&gt;&lt;foreign-keys&gt;&lt;key app="EN" db-id="ppwxts2s6f5tsrefwwt5sstvtpasvsep055t" timestamp="1628529868"&gt;30&lt;/key&gt;&lt;/foreign-keys&gt;&lt;ref-type name="Journal Article"&gt;17&lt;/ref-type&gt;&lt;contributors&gt;&lt;authors&gt;&lt;author&gt;Li, Wencui&lt;/author&gt;&lt;author&gt;Reichenauer, G.&lt;/author&gt;&lt;author&gt;Fricke, J.&lt;/author&gt;&lt;/authors&gt;&lt;/contributors&gt;&lt;titles&gt;&lt;title&gt;Carbon aerogels derived from cresol–resorcinol–formaldehyde for supercapacitors&lt;/title&gt;&lt;secondary-title&gt;Carbon&lt;/secondary-title&gt;&lt;/titles&gt;&lt;periodical&gt;&lt;full-title&gt;Carbon&lt;/full-title&gt;&lt;/periodical&gt;&lt;pages&gt;2955-2959&lt;/pages&gt;&lt;volume&gt;40&lt;/volume&gt;&lt;number&gt;15&lt;/number&gt;&lt;dates&gt;&lt;year&gt;2002&lt;/year&gt;&lt;/dates&gt;&lt;publisher&gt;Pergamon&lt;/publisher&gt;&lt;urls&gt;&lt;related-urls&gt;&lt;url&gt;https://www.sciencedirect.com/science/article/pii/S0008622302002439&lt;/url&gt;&lt;/related-urls&gt;&lt;/urls&gt;&lt;electronic-resource-num&gt;10.1016/S0008-6223(02)00243-9&lt;/electronic-resource-num&gt;&lt;/record&gt;&lt;/Cite&gt;&lt;/EndNote&gt;</w:instrText>
      </w:r>
      <w:r w:rsidRPr="006D67F3">
        <w:rPr>
          <w:lang w:val="en-GB"/>
        </w:rPr>
        <w:fldChar w:fldCharType="separate"/>
      </w:r>
      <w:r w:rsidRPr="00156886">
        <w:rPr>
          <w:noProof/>
          <w:vertAlign w:val="superscript"/>
          <w:lang w:val="en-GB"/>
        </w:rPr>
        <w:t>[18]</w:t>
      </w:r>
      <w:r w:rsidRPr="006D67F3">
        <w:rPr>
          <w:lang w:val="en-GB"/>
        </w:rPr>
        <w:fldChar w:fldCharType="end"/>
      </w:r>
      <w:r w:rsidRPr="006D67F3">
        <w:rPr>
          <w:lang w:val="en-GB"/>
        </w:rPr>
        <w:t xml:space="preserve"> Comparing the samples, the largest morphological differences are seen between changes to the R/C ratio (200</w:t>
      </w:r>
      <w:r w:rsidRPr="006D67F3">
        <w:rPr>
          <w:rStyle w:val="06CHeading"/>
          <w:bCs/>
          <w:sz w:val="24"/>
        </w:rPr>
        <w:t xml:space="preserve"> </w:t>
      </w:r>
      <w:r w:rsidRPr="006D67F3">
        <w:rPr>
          <w:rStyle w:val="06CHeading"/>
          <w:rFonts w:ascii="Arial" w:hAnsi="Arial"/>
          <w:b w:val="0"/>
          <w:smallCaps w:val="0"/>
          <w:w w:val="100"/>
          <w:sz w:val="17"/>
          <w:szCs w:val="24"/>
        </w:rPr>
        <w:t>to 1000) leading to a macroscopic change in the morphology. A secondary effect is seen with changes in pH as the samples show a very clear difference between Na</w:t>
      </w:r>
      <w:r w:rsidRPr="006D67F3">
        <w:rPr>
          <w:rStyle w:val="06CHeading"/>
          <w:rFonts w:ascii="Arial" w:hAnsi="Arial"/>
          <w:b w:val="0"/>
          <w:smallCaps w:val="0"/>
          <w:w w:val="100"/>
          <w:sz w:val="17"/>
          <w:szCs w:val="24"/>
          <w:vertAlign w:val="subscript"/>
        </w:rPr>
        <w:t>2</w:t>
      </w:r>
      <w:r w:rsidRPr="006D67F3">
        <w:rPr>
          <w:rStyle w:val="06CHeading"/>
          <w:rFonts w:ascii="Arial" w:hAnsi="Arial"/>
          <w:b w:val="0"/>
          <w:smallCaps w:val="0"/>
          <w:w w:val="100"/>
          <w:sz w:val="17"/>
          <w:szCs w:val="24"/>
        </w:rPr>
        <w:t>CO</w:t>
      </w:r>
      <w:r w:rsidRPr="006D67F3">
        <w:rPr>
          <w:rStyle w:val="06CHeading"/>
          <w:rFonts w:ascii="Arial" w:hAnsi="Arial"/>
          <w:b w:val="0"/>
          <w:smallCaps w:val="0"/>
          <w:w w:val="100"/>
          <w:sz w:val="17"/>
          <w:szCs w:val="24"/>
          <w:vertAlign w:val="subscript"/>
        </w:rPr>
        <w:t>3</w:t>
      </w:r>
      <w:r w:rsidRPr="006D67F3">
        <w:rPr>
          <w:rStyle w:val="06CHeading"/>
          <w:rFonts w:ascii="Arial" w:hAnsi="Arial"/>
          <w:b w:val="0"/>
          <w:smallCaps w:val="0"/>
          <w:w w:val="100"/>
          <w:sz w:val="17"/>
          <w:szCs w:val="24"/>
        </w:rPr>
        <w:t xml:space="preserve"> and NaOH as catalyst, obtaining a more packed and dense CAGs around the carbon </w:t>
      </w:r>
      <w:proofErr w:type="spellStart"/>
      <w:r w:rsidRPr="006D67F3">
        <w:rPr>
          <w:rStyle w:val="06CHeading"/>
          <w:rFonts w:ascii="Arial" w:hAnsi="Arial"/>
          <w:b w:val="0"/>
          <w:smallCaps w:val="0"/>
          <w:w w:val="100"/>
          <w:sz w:val="17"/>
          <w:szCs w:val="24"/>
        </w:rPr>
        <w:t>fibers</w:t>
      </w:r>
      <w:proofErr w:type="spellEnd"/>
      <w:r w:rsidRPr="006D67F3">
        <w:rPr>
          <w:rStyle w:val="06CHeading"/>
          <w:rFonts w:ascii="Arial" w:hAnsi="Arial"/>
          <w:b w:val="0"/>
          <w:smallCaps w:val="0"/>
          <w:w w:val="100"/>
          <w:sz w:val="17"/>
          <w:szCs w:val="24"/>
        </w:rPr>
        <w:t xml:space="preserve"> of the electrode support using NaOH, as expected, due to the enhancement in the CAG nucleation with the increase of the pH in the solution.</w:t>
      </w:r>
    </w:p>
    <w:p w14:paraId="3C17A63C" w14:textId="77777777" w:rsidR="00FE53E3" w:rsidRPr="006D67F3" w:rsidRDefault="00FE53E3" w:rsidP="00FE53E3">
      <w:pPr>
        <w:pStyle w:val="P1"/>
        <w:rPr>
          <w:lang w:val="en-GB"/>
        </w:rPr>
      </w:pPr>
      <w:r w:rsidRPr="006D67F3">
        <w:rPr>
          <w:rStyle w:val="06CHeading"/>
          <w:rFonts w:ascii="Arial" w:hAnsi="Arial"/>
          <w:b w:val="0"/>
          <w:smallCaps w:val="0"/>
          <w:w w:val="100"/>
          <w:sz w:val="17"/>
          <w:szCs w:val="24"/>
        </w:rPr>
        <w:lastRenderedPageBreak/>
        <w:t>These effects are also seen at larger distance scales in the optical photomicrographs of the materials (</w:t>
      </w:r>
      <w:r w:rsidRPr="006D67F3">
        <w:rPr>
          <w:rStyle w:val="06CHeading"/>
          <w:rFonts w:ascii="Arial" w:hAnsi="Arial"/>
          <w:b w:val="0"/>
          <w:smallCaps w:val="0"/>
          <w:w w:val="100"/>
          <w:sz w:val="17"/>
          <w:szCs w:val="24"/>
        </w:rPr>
        <w:fldChar w:fldCharType="begin"/>
      </w:r>
      <w:r w:rsidRPr="006D67F3">
        <w:rPr>
          <w:rStyle w:val="06CHeading"/>
          <w:rFonts w:ascii="Arial" w:hAnsi="Arial"/>
          <w:b w:val="0"/>
          <w:smallCaps w:val="0"/>
          <w:w w:val="100"/>
          <w:sz w:val="17"/>
          <w:szCs w:val="24"/>
        </w:rPr>
        <w:instrText xml:space="preserve"> REF _Ref85023299 \h  \* MERGEFORMAT </w:instrText>
      </w:r>
      <w:r w:rsidRPr="006D67F3">
        <w:rPr>
          <w:rStyle w:val="06CHeading"/>
          <w:rFonts w:ascii="Arial" w:hAnsi="Arial"/>
          <w:b w:val="0"/>
          <w:smallCaps w:val="0"/>
          <w:w w:val="100"/>
          <w:sz w:val="17"/>
          <w:szCs w:val="24"/>
        </w:rPr>
      </w:r>
      <w:r w:rsidRPr="006D67F3">
        <w:rPr>
          <w:rStyle w:val="06CHeading"/>
          <w:rFonts w:ascii="Arial" w:hAnsi="Arial"/>
          <w:b w:val="0"/>
          <w:smallCaps w:val="0"/>
          <w:w w:val="100"/>
          <w:sz w:val="17"/>
          <w:szCs w:val="24"/>
        </w:rPr>
        <w:fldChar w:fldCharType="separate"/>
      </w:r>
      <w:r w:rsidRPr="00AB3850">
        <w:rPr>
          <w:b/>
          <w:lang w:val="en-GB"/>
        </w:rPr>
        <w:t xml:space="preserve">Figure </w:t>
      </w:r>
      <w:r w:rsidRPr="00AB3850">
        <w:rPr>
          <w:b/>
          <w:noProof/>
          <w:lang w:val="en-GB"/>
        </w:rPr>
        <w:t>1</w:t>
      </w:r>
      <w:r w:rsidRPr="006D67F3">
        <w:rPr>
          <w:rStyle w:val="06CHeading"/>
          <w:rFonts w:ascii="Arial" w:hAnsi="Arial"/>
          <w:b w:val="0"/>
          <w:smallCaps w:val="0"/>
          <w:w w:val="100"/>
          <w:sz w:val="17"/>
          <w:szCs w:val="24"/>
        </w:rPr>
        <w:fldChar w:fldCharType="end"/>
      </w:r>
      <w:r w:rsidRPr="006D67F3">
        <w:rPr>
          <w:rStyle w:val="06CHeading"/>
          <w:rFonts w:ascii="Arial" w:hAnsi="Arial"/>
          <w:b w:val="0"/>
          <w:smallCaps w:val="0"/>
          <w:w w:val="100"/>
          <w:sz w:val="17"/>
          <w:szCs w:val="24"/>
        </w:rPr>
        <w:t>, bottom). I</w:t>
      </w:r>
      <w:r w:rsidRPr="006D67F3">
        <w:rPr>
          <w:lang w:val="en-GB"/>
        </w:rPr>
        <w:t>t is possible to observe a clear difference between those materials made with Na</w:t>
      </w:r>
      <w:r w:rsidRPr="006D67F3">
        <w:rPr>
          <w:vertAlign w:val="subscript"/>
          <w:lang w:val="en-GB"/>
        </w:rPr>
        <w:t>2</w:t>
      </w:r>
      <w:r w:rsidRPr="006D67F3">
        <w:rPr>
          <w:lang w:val="en-GB"/>
        </w:rPr>
        <w:t>CO</w:t>
      </w:r>
      <w:r w:rsidRPr="006D67F3">
        <w:rPr>
          <w:vertAlign w:val="subscript"/>
          <w:lang w:val="en-GB"/>
        </w:rPr>
        <w:t>3</w:t>
      </w:r>
      <w:r w:rsidRPr="006D67F3">
        <w:rPr>
          <w:lang w:val="en-GB"/>
        </w:rPr>
        <w:t xml:space="preserve"> compared to those made with NaOH. The materials produced with Na</w:t>
      </w:r>
      <w:r w:rsidRPr="006D67F3">
        <w:rPr>
          <w:vertAlign w:val="subscript"/>
          <w:lang w:val="en-GB"/>
        </w:rPr>
        <w:t>2</w:t>
      </w:r>
      <w:r w:rsidRPr="006D67F3">
        <w:rPr>
          <w:lang w:val="en-GB"/>
        </w:rPr>
        <w:t>CO</w:t>
      </w:r>
      <w:r w:rsidRPr="006D67F3">
        <w:rPr>
          <w:vertAlign w:val="subscript"/>
          <w:lang w:val="en-GB"/>
        </w:rPr>
        <w:t>3</w:t>
      </w:r>
      <w:r w:rsidRPr="006D67F3">
        <w:rPr>
          <w:lang w:val="en-GB"/>
        </w:rPr>
        <w:t xml:space="preserve"> are in general more porous and less dense than the ones prepared with NaOH. Only in the case of the electrode 200|0.05 which looks more similar using both catalysts. </w:t>
      </w:r>
    </w:p>
    <w:p w14:paraId="7251184C" w14:textId="77777777" w:rsidR="00FE53E3" w:rsidRPr="006D67F3" w:rsidRDefault="00FE53E3" w:rsidP="00FE53E3">
      <w:pPr>
        <w:pStyle w:val="P1"/>
        <w:rPr>
          <w:rStyle w:val="06CHeading"/>
          <w:rFonts w:ascii="Arial" w:hAnsi="Arial"/>
          <w:b w:val="0"/>
          <w:smallCaps w:val="0"/>
          <w:w w:val="100"/>
          <w:sz w:val="17"/>
          <w:szCs w:val="24"/>
        </w:rPr>
      </w:pPr>
      <w:r w:rsidRPr="006D67F3">
        <w:rPr>
          <w:rStyle w:val="06CHeading"/>
          <w:rFonts w:ascii="Arial" w:hAnsi="Arial"/>
          <w:b w:val="0"/>
          <w:smallCaps w:val="0"/>
          <w:w w:val="100"/>
          <w:sz w:val="17"/>
          <w:szCs w:val="24"/>
        </w:rPr>
        <w:t xml:space="preserve">As shown in </w:t>
      </w:r>
      <w:r w:rsidRPr="006D67F3">
        <w:rPr>
          <w:b/>
          <w:bCs/>
          <w:lang w:val="en-GB"/>
        </w:rPr>
        <w:fldChar w:fldCharType="begin"/>
      </w:r>
      <w:r w:rsidRPr="006D67F3">
        <w:rPr>
          <w:rStyle w:val="06CHeading"/>
          <w:rFonts w:ascii="Arial" w:hAnsi="Arial"/>
          <w:b w:val="0"/>
          <w:bCs/>
          <w:smallCaps w:val="0"/>
          <w:w w:val="100"/>
          <w:sz w:val="17"/>
          <w:szCs w:val="24"/>
        </w:rPr>
        <w:instrText xml:space="preserve"> REF _Ref69818388 \h </w:instrText>
      </w:r>
      <w:r w:rsidRPr="006D67F3">
        <w:rPr>
          <w:b/>
          <w:bCs/>
          <w:lang w:val="en-GB"/>
        </w:rPr>
        <w:instrText xml:space="preserve"> \* MERGEFORMAT </w:instrText>
      </w:r>
      <w:r w:rsidRPr="006D67F3">
        <w:rPr>
          <w:b/>
          <w:bCs/>
          <w:lang w:val="en-GB"/>
        </w:rPr>
      </w:r>
      <w:r w:rsidRPr="006D67F3">
        <w:rPr>
          <w:b/>
          <w:bCs/>
          <w:lang w:val="en-GB"/>
        </w:rPr>
        <w:fldChar w:fldCharType="separate"/>
      </w:r>
      <w:r w:rsidRPr="00AB3850">
        <w:rPr>
          <w:b/>
          <w:bCs/>
          <w:lang w:val="en-GB"/>
        </w:rPr>
        <w:t xml:space="preserve">Figure </w:t>
      </w:r>
      <w:r w:rsidRPr="00AB3850">
        <w:rPr>
          <w:b/>
          <w:bCs/>
          <w:noProof/>
          <w:lang w:val="en-GB"/>
        </w:rPr>
        <w:t>2</w:t>
      </w:r>
      <w:r w:rsidRPr="006D67F3">
        <w:rPr>
          <w:b/>
          <w:bCs/>
          <w:lang w:val="en-GB"/>
        </w:rPr>
        <w:fldChar w:fldCharType="end"/>
      </w:r>
      <w:r w:rsidRPr="006D67F3">
        <w:rPr>
          <w:rStyle w:val="06CHeading"/>
          <w:rFonts w:ascii="Arial" w:hAnsi="Arial"/>
          <w:bCs/>
          <w:smallCaps w:val="0"/>
          <w:w w:val="100"/>
          <w:sz w:val="17"/>
          <w:szCs w:val="24"/>
        </w:rPr>
        <w:t>a</w:t>
      </w:r>
      <w:r w:rsidRPr="006D67F3">
        <w:rPr>
          <w:rStyle w:val="06CHeading"/>
          <w:rFonts w:ascii="Arial" w:hAnsi="Arial"/>
          <w:b w:val="0"/>
          <w:smallCaps w:val="0"/>
          <w:w w:val="100"/>
          <w:sz w:val="17"/>
          <w:szCs w:val="24"/>
        </w:rPr>
        <w:t xml:space="preserve"> and </w:t>
      </w:r>
      <w:r w:rsidRPr="006D67F3">
        <w:rPr>
          <w:rStyle w:val="06CHeading"/>
          <w:rFonts w:ascii="Arial" w:hAnsi="Arial"/>
          <w:bCs/>
          <w:smallCaps w:val="0"/>
          <w:w w:val="100"/>
          <w:sz w:val="17"/>
          <w:szCs w:val="24"/>
        </w:rPr>
        <w:t>d</w:t>
      </w:r>
      <w:r w:rsidRPr="006D67F3">
        <w:rPr>
          <w:rStyle w:val="06CHeading"/>
          <w:rFonts w:ascii="Arial" w:hAnsi="Arial"/>
          <w:b w:val="0"/>
          <w:smallCaps w:val="0"/>
          <w:w w:val="100"/>
          <w:sz w:val="17"/>
          <w:szCs w:val="24"/>
        </w:rPr>
        <w:t>, the isotherms generated are type IV (mesoporous) for 200|0.2 and 200|0.05 using Na</w:t>
      </w:r>
      <w:r w:rsidRPr="006D67F3">
        <w:rPr>
          <w:rStyle w:val="06CHeading"/>
          <w:rFonts w:ascii="Arial" w:hAnsi="Arial"/>
          <w:b w:val="0"/>
          <w:smallCaps w:val="0"/>
          <w:w w:val="100"/>
          <w:sz w:val="17"/>
          <w:szCs w:val="24"/>
          <w:vertAlign w:val="subscript"/>
        </w:rPr>
        <w:t>2</w:t>
      </w:r>
      <w:r w:rsidRPr="006D67F3">
        <w:rPr>
          <w:rStyle w:val="06CHeading"/>
          <w:rFonts w:ascii="Arial" w:hAnsi="Arial"/>
          <w:b w:val="0"/>
          <w:smallCaps w:val="0"/>
          <w:w w:val="100"/>
          <w:sz w:val="17"/>
          <w:szCs w:val="24"/>
        </w:rPr>
        <w:t>CO</w:t>
      </w:r>
      <w:r w:rsidRPr="006D67F3">
        <w:rPr>
          <w:rStyle w:val="06CHeading"/>
          <w:rFonts w:ascii="Arial" w:hAnsi="Arial"/>
          <w:b w:val="0"/>
          <w:smallCaps w:val="0"/>
          <w:w w:val="100"/>
          <w:sz w:val="17"/>
          <w:szCs w:val="24"/>
          <w:vertAlign w:val="subscript"/>
        </w:rPr>
        <w:t>3</w:t>
      </w:r>
      <w:r w:rsidRPr="006D67F3">
        <w:rPr>
          <w:rStyle w:val="06CHeading"/>
          <w:rFonts w:ascii="Arial" w:hAnsi="Arial"/>
          <w:b w:val="0"/>
          <w:smallCaps w:val="0"/>
          <w:w w:val="100"/>
          <w:sz w:val="17"/>
          <w:szCs w:val="24"/>
        </w:rPr>
        <w:t xml:space="preserve"> and NaOH respectively, type IV-II (microporous-mesoporous) for the other R/C = 200, and type I for the R/C = 1000 (purely microporous), for both catalysts.</w:t>
      </w:r>
    </w:p>
    <w:p w14:paraId="2C1E06E9" w14:textId="77777777" w:rsidR="00FE53E3" w:rsidRPr="00025049" w:rsidRDefault="00FE53E3" w:rsidP="00FE53E3">
      <w:pPr>
        <w:pStyle w:val="P1"/>
        <w:rPr>
          <w:lang w:val="en-GB"/>
        </w:rPr>
      </w:pPr>
      <w:r w:rsidRPr="006D67F3">
        <w:rPr>
          <w:b/>
          <w:bCs/>
          <w:lang w:val="en-GB"/>
        </w:rPr>
        <w:fldChar w:fldCharType="begin"/>
      </w:r>
      <w:r w:rsidRPr="006D67F3">
        <w:rPr>
          <w:rStyle w:val="06CHeading"/>
          <w:rFonts w:ascii="Arial" w:hAnsi="Arial"/>
          <w:b w:val="0"/>
          <w:bCs/>
          <w:smallCaps w:val="0"/>
          <w:w w:val="100"/>
          <w:sz w:val="17"/>
          <w:szCs w:val="24"/>
        </w:rPr>
        <w:instrText xml:space="preserve"> REF _Ref69818269 \h </w:instrText>
      </w:r>
      <w:r w:rsidRPr="006D67F3">
        <w:rPr>
          <w:b/>
          <w:bCs/>
          <w:lang w:val="en-GB"/>
        </w:rPr>
        <w:instrText xml:space="preserve"> \* MERGEFORMAT </w:instrText>
      </w:r>
      <w:r w:rsidRPr="006D67F3">
        <w:rPr>
          <w:b/>
          <w:bCs/>
          <w:lang w:val="en-GB"/>
        </w:rPr>
      </w:r>
      <w:r w:rsidRPr="006D67F3">
        <w:rPr>
          <w:b/>
          <w:bCs/>
          <w:lang w:val="en-GB"/>
        </w:rPr>
        <w:fldChar w:fldCharType="separate"/>
      </w:r>
      <w:r w:rsidRPr="00AB3850">
        <w:rPr>
          <w:b/>
          <w:bCs/>
          <w:lang w:val="en-GB"/>
        </w:rPr>
        <w:t>Table</w:t>
      </w:r>
      <w:r w:rsidRPr="00025049">
        <w:rPr>
          <w:b/>
          <w:bCs/>
        </w:rPr>
        <w:t xml:space="preserve"> </w:t>
      </w:r>
      <w:r>
        <w:rPr>
          <w:b/>
          <w:bCs/>
          <w:noProof/>
        </w:rPr>
        <w:t>1</w:t>
      </w:r>
      <w:r w:rsidRPr="006D67F3">
        <w:rPr>
          <w:b/>
          <w:bCs/>
          <w:lang w:val="en-GB"/>
        </w:rPr>
        <w:fldChar w:fldCharType="end"/>
      </w:r>
      <w:r w:rsidRPr="006D67F3">
        <w:rPr>
          <w:lang w:val="en-GB"/>
        </w:rPr>
        <w:t xml:space="preserve"> </w:t>
      </w:r>
      <w:r w:rsidRPr="006D67F3">
        <w:rPr>
          <w:rStyle w:val="06CHeading"/>
          <w:rFonts w:ascii="Arial" w:hAnsi="Arial"/>
          <w:b w:val="0"/>
          <w:smallCaps w:val="0"/>
          <w:w w:val="100"/>
          <w:sz w:val="17"/>
          <w:szCs w:val="24"/>
        </w:rPr>
        <w:t>provide further details of the aerogel powder characteristics, obtained from the modified electrode, as a function of composition of the CAG growth medium and the catalyst (Na</w:t>
      </w:r>
      <w:r w:rsidRPr="006D67F3">
        <w:rPr>
          <w:rStyle w:val="06CHeading"/>
          <w:rFonts w:ascii="Arial" w:hAnsi="Arial"/>
          <w:b w:val="0"/>
          <w:smallCaps w:val="0"/>
          <w:w w:val="100"/>
          <w:sz w:val="17"/>
          <w:szCs w:val="24"/>
          <w:vertAlign w:val="subscript"/>
        </w:rPr>
        <w:t>2</w:t>
      </w:r>
      <w:r w:rsidRPr="006D67F3">
        <w:rPr>
          <w:rStyle w:val="06CHeading"/>
          <w:rFonts w:ascii="Arial" w:hAnsi="Arial"/>
          <w:b w:val="0"/>
          <w:smallCaps w:val="0"/>
          <w:w w:val="100"/>
          <w:sz w:val="17"/>
          <w:szCs w:val="24"/>
        </w:rPr>
        <w:t>CO</w:t>
      </w:r>
      <w:r w:rsidRPr="006D67F3">
        <w:rPr>
          <w:rStyle w:val="06CHeading"/>
          <w:rFonts w:ascii="Arial" w:hAnsi="Arial"/>
          <w:b w:val="0"/>
          <w:smallCaps w:val="0"/>
          <w:w w:val="100"/>
          <w:sz w:val="17"/>
          <w:szCs w:val="24"/>
          <w:vertAlign w:val="subscript"/>
        </w:rPr>
        <w:t>3</w:t>
      </w:r>
      <w:r w:rsidRPr="006D67F3">
        <w:rPr>
          <w:rStyle w:val="06CHeading"/>
          <w:rFonts w:ascii="Arial" w:hAnsi="Arial"/>
          <w:b w:val="0"/>
          <w:smallCaps w:val="0"/>
          <w:w w:val="100"/>
          <w:sz w:val="17"/>
          <w:szCs w:val="24"/>
        </w:rPr>
        <w:t xml:space="preserve">: light grey and NaOH: light red). For both catalysts it was observed that gelation did not occur when a low concentration of monomer and/or a low catalyst ratio (e.g. R/C = 1000; R/W = 0.05) was used. Under the other combinations of </w:t>
      </w:r>
      <w:r w:rsidRPr="006D67F3">
        <w:rPr>
          <w:rStyle w:val="06CHeading"/>
          <w:rFonts w:ascii="Arial" w:hAnsi="Arial"/>
          <w:b w:val="0"/>
          <w:smallCaps w:val="0"/>
          <w:w w:val="100"/>
          <w:sz w:val="17"/>
          <w:szCs w:val="24"/>
        </w:rPr>
        <w:t xml:space="preserve">R/C and R/W ratios, the gelation and polymerisation of the CAGs on the activated carbon paper electrode were a success. </w:t>
      </w:r>
      <w:r w:rsidRPr="006D67F3">
        <w:rPr>
          <w:lang w:val="en-GB"/>
        </w:rPr>
        <w:t xml:space="preserve">Regardless of the catalyst, when the resorcinol to catalyst ratio is high (1000), the majority of surface area exists in small micropores, and there is little external area. This is because the CAG seems to form somewhat dense structures which preferentially nucleate and grow on the carbon </w:t>
      </w:r>
      <w:proofErr w:type="spellStart"/>
      <w:r w:rsidRPr="006D67F3">
        <w:rPr>
          <w:lang w:val="en-GB"/>
        </w:rPr>
        <w:t>fibers</w:t>
      </w:r>
      <w:proofErr w:type="spellEnd"/>
      <w:r w:rsidRPr="006D67F3">
        <w:rPr>
          <w:lang w:val="en-GB"/>
        </w:rPr>
        <w:t xml:space="preserve">. In contrast, when the resorcinol/catalyst ratio is lower (200), the distribution of surface area micro/mesopore volume is more balanced and depends on the catalyst used. Pore size distribution during adsorption and desorption are shown in </w:t>
      </w:r>
      <w:r w:rsidRPr="006D67F3">
        <w:rPr>
          <w:b/>
          <w:bCs/>
          <w:lang w:val="en-GB"/>
        </w:rPr>
        <w:fldChar w:fldCharType="begin"/>
      </w:r>
      <w:r w:rsidRPr="006D67F3">
        <w:rPr>
          <w:b/>
          <w:bCs/>
          <w:lang w:val="en-GB"/>
        </w:rPr>
        <w:instrText xml:space="preserve"> REF _Ref69818388 \h  \* MERGEFORMAT </w:instrText>
      </w:r>
      <w:r w:rsidRPr="006D67F3">
        <w:rPr>
          <w:b/>
          <w:bCs/>
          <w:lang w:val="en-GB"/>
        </w:rPr>
      </w:r>
      <w:r w:rsidRPr="006D67F3">
        <w:rPr>
          <w:b/>
          <w:bCs/>
          <w:lang w:val="en-GB"/>
        </w:rPr>
        <w:fldChar w:fldCharType="separate"/>
      </w:r>
      <w:r w:rsidRPr="00AB3850">
        <w:rPr>
          <w:b/>
          <w:bCs/>
          <w:lang w:val="en-GB"/>
        </w:rPr>
        <w:t>Figure 2</w:t>
      </w:r>
      <w:r w:rsidRPr="006D67F3">
        <w:rPr>
          <w:b/>
          <w:bCs/>
          <w:lang w:val="en-GB"/>
        </w:rPr>
        <w:fldChar w:fldCharType="end"/>
      </w:r>
      <w:r w:rsidRPr="006D67F3">
        <w:rPr>
          <w:b/>
          <w:bCs/>
          <w:lang w:val="en-GB"/>
        </w:rPr>
        <w:t>b</w:t>
      </w:r>
      <w:r w:rsidRPr="006D67F3">
        <w:rPr>
          <w:lang w:val="en-GB"/>
        </w:rPr>
        <w:t xml:space="preserve"> and e, for each deposited material. The CAGs grown using Na</w:t>
      </w:r>
      <w:r w:rsidRPr="006D67F3">
        <w:rPr>
          <w:vertAlign w:val="subscript"/>
          <w:lang w:val="en-GB"/>
        </w:rPr>
        <w:t>2</w:t>
      </w:r>
      <w:r w:rsidRPr="006D67F3">
        <w:rPr>
          <w:lang w:val="en-GB"/>
        </w:rPr>
        <w:t>CO</w:t>
      </w:r>
      <w:r w:rsidRPr="006D67F3">
        <w:rPr>
          <w:vertAlign w:val="subscript"/>
          <w:lang w:val="en-GB"/>
        </w:rPr>
        <w:t>3</w:t>
      </w:r>
      <w:r w:rsidRPr="006D67F3">
        <w:rPr>
          <w:lang w:val="en-GB"/>
        </w:rPr>
        <w:t xml:space="preserve"> (</w:t>
      </w:r>
      <w:r w:rsidRPr="006D67F3">
        <w:rPr>
          <w:b/>
          <w:bCs/>
          <w:lang w:val="en-GB"/>
        </w:rPr>
        <w:fldChar w:fldCharType="begin"/>
      </w:r>
      <w:r w:rsidRPr="006D67F3">
        <w:rPr>
          <w:b/>
          <w:bCs/>
          <w:lang w:val="en-GB"/>
        </w:rPr>
        <w:instrText xml:space="preserve"> REF _Ref69818388 \h  \* MERGEFORMAT </w:instrText>
      </w:r>
      <w:r w:rsidRPr="006D67F3">
        <w:rPr>
          <w:b/>
          <w:bCs/>
          <w:lang w:val="en-GB"/>
        </w:rPr>
      </w:r>
      <w:r w:rsidRPr="006D67F3">
        <w:rPr>
          <w:b/>
          <w:bCs/>
          <w:lang w:val="en-GB"/>
        </w:rPr>
        <w:fldChar w:fldCharType="separate"/>
      </w:r>
      <w:r w:rsidRPr="00AB3850">
        <w:rPr>
          <w:b/>
          <w:bCs/>
          <w:lang w:val="en-GB"/>
        </w:rPr>
        <w:t>Figure 2</w:t>
      </w:r>
      <w:r w:rsidRPr="006D67F3">
        <w:rPr>
          <w:b/>
          <w:bCs/>
          <w:lang w:val="en-GB"/>
        </w:rPr>
        <w:fldChar w:fldCharType="end"/>
      </w:r>
      <w:r w:rsidRPr="006D67F3">
        <w:rPr>
          <w:b/>
          <w:bCs/>
          <w:lang w:val="en-GB"/>
        </w:rPr>
        <w:t>b</w:t>
      </w:r>
      <w:r w:rsidRPr="006D67F3">
        <w:rPr>
          <w:lang w:val="en-GB"/>
        </w:rPr>
        <w:t xml:space="preserve">) as catalyst shows a small shift in the pore size distribution, keeping the peak at the same position. In contrast, using NaOH as catalyst, the pore size distribution and the peak </w:t>
      </w:r>
      <w:r w:rsidRPr="00025049">
        <w:rPr>
          <w:lang w:val="en-GB"/>
        </w:rPr>
        <w:t xml:space="preserve">position is shifted, being more affected by the R/W ratio </w:t>
      </w:r>
      <w:r w:rsidRPr="00025049">
        <w:rPr>
          <w:b/>
          <w:bCs/>
          <w:lang w:val="en-GB"/>
        </w:rPr>
        <w:fldChar w:fldCharType="begin"/>
      </w:r>
      <w:r w:rsidRPr="00025049">
        <w:rPr>
          <w:b/>
          <w:bCs/>
          <w:lang w:val="en-GB"/>
        </w:rPr>
        <w:instrText xml:space="preserve"> REF _Ref69818388 \h  \* MERGEFORMAT </w:instrText>
      </w:r>
      <w:r w:rsidRPr="00025049">
        <w:rPr>
          <w:b/>
          <w:bCs/>
          <w:lang w:val="en-GB"/>
        </w:rPr>
      </w:r>
      <w:r w:rsidRPr="00025049">
        <w:rPr>
          <w:b/>
          <w:bCs/>
          <w:lang w:val="en-GB"/>
        </w:rPr>
        <w:fldChar w:fldCharType="separate"/>
      </w:r>
      <w:r w:rsidRPr="00AB3850">
        <w:rPr>
          <w:b/>
          <w:bCs/>
          <w:lang w:val="en-GB"/>
        </w:rPr>
        <w:t>Figure 2</w:t>
      </w:r>
      <w:r w:rsidRPr="00025049">
        <w:rPr>
          <w:b/>
          <w:bCs/>
          <w:lang w:val="en-GB"/>
        </w:rPr>
        <w:fldChar w:fldCharType="end"/>
      </w:r>
      <w:r w:rsidRPr="00025049">
        <w:rPr>
          <w:b/>
          <w:bCs/>
          <w:lang w:val="en-GB"/>
        </w:rPr>
        <w:t>e</w:t>
      </w:r>
      <w:r w:rsidRPr="00025049">
        <w:rPr>
          <w:lang w:val="en-GB"/>
        </w:rPr>
        <w:t>. For both aerogels (200|0.05 and 200|0.2) obtained with Na</w:t>
      </w:r>
      <w:r w:rsidRPr="00025049">
        <w:rPr>
          <w:vertAlign w:val="subscript"/>
          <w:lang w:val="en-GB"/>
        </w:rPr>
        <w:t>2</w:t>
      </w:r>
      <w:r w:rsidRPr="00025049">
        <w:rPr>
          <w:lang w:val="en-GB"/>
        </w:rPr>
        <w:t>CO</w:t>
      </w:r>
      <w:r w:rsidRPr="00025049">
        <w:rPr>
          <w:vertAlign w:val="subscript"/>
          <w:lang w:val="en-GB"/>
        </w:rPr>
        <w:t>3</w:t>
      </w:r>
      <w:r w:rsidRPr="00025049">
        <w:rPr>
          <w:lang w:val="en-GB"/>
        </w:rPr>
        <w:t xml:space="preserve"> (</w:t>
      </w:r>
      <w:r w:rsidRPr="00025049">
        <w:rPr>
          <w:b/>
          <w:bCs/>
          <w:lang w:val="en-GB"/>
        </w:rPr>
        <w:fldChar w:fldCharType="begin"/>
      </w:r>
      <w:r w:rsidRPr="00025049">
        <w:rPr>
          <w:b/>
          <w:bCs/>
          <w:lang w:val="en-GB"/>
        </w:rPr>
        <w:instrText xml:space="preserve"> REF _Ref69818388 \h  \* MERGEFORMAT </w:instrText>
      </w:r>
      <w:r w:rsidRPr="00025049">
        <w:rPr>
          <w:b/>
          <w:bCs/>
          <w:lang w:val="en-GB"/>
        </w:rPr>
      </w:r>
      <w:r w:rsidRPr="00025049">
        <w:rPr>
          <w:b/>
          <w:bCs/>
          <w:lang w:val="en-GB"/>
        </w:rPr>
        <w:fldChar w:fldCharType="separate"/>
      </w:r>
      <w:r w:rsidRPr="00AB3850">
        <w:rPr>
          <w:b/>
          <w:bCs/>
          <w:lang w:val="en-GB"/>
        </w:rPr>
        <w:t>Figure 2</w:t>
      </w:r>
      <w:r w:rsidRPr="00025049">
        <w:rPr>
          <w:b/>
          <w:bCs/>
          <w:lang w:val="en-GB"/>
        </w:rPr>
        <w:fldChar w:fldCharType="end"/>
      </w:r>
      <w:r w:rsidRPr="00025049">
        <w:rPr>
          <w:b/>
          <w:bCs/>
          <w:lang w:val="en-GB"/>
        </w:rPr>
        <w:t>b</w:t>
      </w:r>
      <w:r w:rsidRPr="00025049">
        <w:rPr>
          <w:lang w:val="en-GB"/>
        </w:rPr>
        <w:t>) the pore diameter distribution in the adsorption and desorption processes are quite symmetric in comparison with the ones obtained with NaOH which show asymmetry (</w:t>
      </w:r>
      <w:r w:rsidRPr="00025049">
        <w:rPr>
          <w:b/>
          <w:bCs/>
          <w:lang w:val="en-GB"/>
        </w:rPr>
        <w:fldChar w:fldCharType="begin"/>
      </w:r>
      <w:r w:rsidRPr="00025049">
        <w:rPr>
          <w:b/>
          <w:bCs/>
          <w:lang w:val="en-GB"/>
        </w:rPr>
        <w:instrText xml:space="preserve"> REF _Ref69818388 \h  \* MERGEFORMAT </w:instrText>
      </w:r>
      <w:r w:rsidRPr="00025049">
        <w:rPr>
          <w:b/>
          <w:bCs/>
          <w:lang w:val="en-GB"/>
        </w:rPr>
      </w:r>
      <w:r w:rsidRPr="00025049">
        <w:rPr>
          <w:b/>
          <w:bCs/>
          <w:lang w:val="en-GB"/>
        </w:rPr>
        <w:fldChar w:fldCharType="separate"/>
      </w:r>
      <w:r w:rsidRPr="00AB3850">
        <w:rPr>
          <w:b/>
          <w:bCs/>
          <w:lang w:val="en-GB"/>
        </w:rPr>
        <w:t>Figure 2</w:t>
      </w:r>
      <w:r w:rsidRPr="00025049">
        <w:rPr>
          <w:b/>
          <w:bCs/>
          <w:lang w:val="en-GB"/>
        </w:rPr>
        <w:fldChar w:fldCharType="end"/>
      </w:r>
      <w:r w:rsidRPr="00025049">
        <w:rPr>
          <w:b/>
          <w:bCs/>
          <w:lang w:val="en-GB"/>
        </w:rPr>
        <w:t>e</w:t>
      </w:r>
      <w:r w:rsidRPr="00025049">
        <w:rPr>
          <w:lang w:val="en-GB"/>
        </w:rPr>
        <w:t>).</w:t>
      </w:r>
    </w:p>
    <w:p w14:paraId="16FBD052" w14:textId="77777777" w:rsidR="00FE53E3" w:rsidRPr="00025049" w:rsidRDefault="00FE53E3" w:rsidP="00FE53E3">
      <w:pPr>
        <w:pStyle w:val="P1"/>
        <w:rPr>
          <w:lang w:val="en-GB"/>
        </w:rPr>
        <w:sectPr w:rsidR="00FE53E3" w:rsidRPr="00025049" w:rsidSect="002F4DF4">
          <w:type w:val="continuous"/>
          <w:pgSz w:w="11906" w:h="16838" w:code="9"/>
          <w:pgMar w:top="1673" w:right="936" w:bottom="1134" w:left="936" w:header="709" w:footer="709" w:gutter="0"/>
          <w:cols w:num="2" w:space="284"/>
          <w:docGrid w:linePitch="360"/>
        </w:sectPr>
      </w:pPr>
    </w:p>
    <w:tbl>
      <w:tblPr>
        <w:tblStyle w:val="TableGrid"/>
        <w:tblW w:w="5000" w:type="pct"/>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left w:w="0" w:type="dxa"/>
          <w:right w:w="0" w:type="dxa"/>
        </w:tblCellMar>
        <w:tblLook w:val="04A0" w:firstRow="1" w:lastRow="0" w:firstColumn="1" w:lastColumn="0" w:noHBand="0" w:noVBand="1"/>
      </w:tblPr>
      <w:tblGrid>
        <w:gridCol w:w="346"/>
        <w:gridCol w:w="3304"/>
        <w:gridCol w:w="14"/>
        <w:gridCol w:w="3294"/>
        <w:gridCol w:w="14"/>
        <w:gridCol w:w="3016"/>
      </w:tblGrid>
      <w:tr w:rsidR="00FE53E3" w:rsidRPr="00043AAC" w14:paraId="4CC2DE17" w14:textId="77777777" w:rsidTr="00ED2E8B">
        <w:trPr>
          <w:cantSplit/>
          <w:trHeight w:val="20"/>
        </w:trPr>
        <w:tc>
          <w:tcPr>
            <w:tcW w:w="5000" w:type="pct"/>
            <w:gridSpan w:val="6"/>
            <w:shd w:val="clear" w:color="auto" w:fill="auto"/>
            <w:vAlign w:val="center"/>
          </w:tcPr>
          <w:p w14:paraId="55738BB1" w14:textId="77777777" w:rsidR="00FE53E3" w:rsidRPr="00025049" w:rsidRDefault="00FE53E3" w:rsidP="00ED2E8B">
            <w:pPr>
              <w:spacing w:line="160" w:lineRule="exact"/>
              <w:jc w:val="center"/>
              <w:rPr>
                <w:noProof/>
              </w:rPr>
            </w:pPr>
          </w:p>
        </w:tc>
      </w:tr>
      <w:tr w:rsidR="00FE53E3" w:rsidRPr="00025049" w14:paraId="50C9BA89" w14:textId="77777777" w:rsidTr="00ED2E8B">
        <w:trPr>
          <w:cantSplit/>
          <w:trHeight w:val="907"/>
        </w:trPr>
        <w:tc>
          <w:tcPr>
            <w:tcW w:w="173" w:type="pct"/>
            <w:shd w:val="clear" w:color="auto" w:fill="F2F2F2"/>
            <w:textDirection w:val="btLr"/>
            <w:vAlign w:val="center"/>
          </w:tcPr>
          <w:p w14:paraId="6ACEFB8F" w14:textId="77777777" w:rsidR="00FE53E3" w:rsidRPr="00025049" w:rsidRDefault="00FE53E3" w:rsidP="00ED2E8B">
            <w:pPr>
              <w:pStyle w:val="P1"/>
              <w:spacing w:line="240" w:lineRule="auto"/>
              <w:jc w:val="center"/>
              <w:rPr>
                <w:rStyle w:val="06CHeading"/>
                <w:rFonts w:ascii="Arial" w:hAnsi="Arial" w:cs="Arial"/>
                <w:b w:val="0"/>
                <w:smallCaps w:val="0"/>
                <w:sz w:val="16"/>
                <w:szCs w:val="16"/>
              </w:rPr>
            </w:pPr>
            <w:r w:rsidRPr="00025049">
              <w:rPr>
                <w:rStyle w:val="06CHeading"/>
                <w:rFonts w:ascii="Arial" w:hAnsi="Arial" w:cs="Arial"/>
                <w:b w:val="0"/>
                <w:smallCaps w:val="0"/>
                <w:sz w:val="16"/>
                <w:szCs w:val="16"/>
              </w:rPr>
              <w:t>Na</w:t>
            </w:r>
            <w:r w:rsidRPr="00025049">
              <w:rPr>
                <w:rStyle w:val="06CHeading"/>
                <w:rFonts w:ascii="Arial" w:hAnsi="Arial" w:cs="Arial"/>
                <w:b w:val="0"/>
                <w:smallCaps w:val="0"/>
                <w:sz w:val="16"/>
                <w:szCs w:val="16"/>
                <w:vertAlign w:val="subscript"/>
              </w:rPr>
              <w:t>2</w:t>
            </w:r>
            <w:r w:rsidRPr="00025049">
              <w:rPr>
                <w:rStyle w:val="06CHeading"/>
                <w:rFonts w:ascii="Arial" w:hAnsi="Arial" w:cs="Arial"/>
                <w:b w:val="0"/>
                <w:smallCaps w:val="0"/>
                <w:sz w:val="16"/>
                <w:szCs w:val="16"/>
              </w:rPr>
              <w:t>CO</w:t>
            </w:r>
            <w:r w:rsidRPr="00025049">
              <w:rPr>
                <w:rStyle w:val="06CHeading"/>
                <w:rFonts w:ascii="Arial" w:hAnsi="Arial" w:cs="Arial"/>
                <w:b w:val="0"/>
                <w:smallCaps w:val="0"/>
                <w:sz w:val="16"/>
                <w:szCs w:val="16"/>
                <w:vertAlign w:val="subscript"/>
              </w:rPr>
              <w:t>3</w:t>
            </w:r>
          </w:p>
        </w:tc>
        <w:tc>
          <w:tcPr>
            <w:tcW w:w="1654" w:type="pct"/>
            <w:shd w:val="clear" w:color="auto" w:fill="F2F2F2"/>
            <w:vAlign w:val="center"/>
          </w:tcPr>
          <w:p w14:paraId="219589AC" w14:textId="77777777" w:rsidR="00FE53E3" w:rsidRPr="00025049" w:rsidRDefault="00FE53E3" w:rsidP="00ED2E8B">
            <w:pPr>
              <w:jc w:val="center"/>
              <w:rPr>
                <w:rStyle w:val="06CHeading"/>
                <w:b w:val="0"/>
                <w:bCs/>
                <w:smallCaps w:val="0"/>
                <w:sz w:val="20"/>
                <w:szCs w:val="20"/>
              </w:rPr>
            </w:pPr>
            <w:r w:rsidRPr="00025049">
              <w:rPr>
                <w:noProof/>
              </w:rPr>
              <w:drawing>
                <wp:inline distT="0" distB="0" distL="0" distR="0" wp14:anchorId="110ABC33" wp14:editId="63E2A37A">
                  <wp:extent cx="1980565" cy="1570990"/>
                  <wp:effectExtent l="0" t="0" r="0" b="0"/>
                  <wp:docPr id="1771" name="Imagen 1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1"/>
                          <pic:cNvPicPr>
                            <a:picLocks noChangeAspect="1" noChangeArrowheads="1"/>
                          </pic:cNvPicPr>
                        </pic:nvPicPr>
                        <pic:blipFill>
                          <a:blip r:embed="rId15" cstate="print">
                            <a:extLst>
                              <a:ext uri="{28A0092B-C50C-407E-A947-70E740481C1C}">
                                <a14:useLocalDpi xmlns:a14="http://schemas.microsoft.com/office/drawing/2010/main" val="0"/>
                              </a:ext>
                            </a:extLst>
                          </a:blip>
                          <a:srcRect r="3781"/>
                          <a:stretch>
                            <a:fillRect/>
                          </a:stretch>
                        </pic:blipFill>
                        <pic:spPr bwMode="auto">
                          <a:xfrm>
                            <a:off x="0" y="0"/>
                            <a:ext cx="1980565" cy="1570990"/>
                          </a:xfrm>
                          <a:prstGeom prst="rect">
                            <a:avLst/>
                          </a:prstGeom>
                          <a:noFill/>
                          <a:ln>
                            <a:noFill/>
                          </a:ln>
                        </pic:spPr>
                      </pic:pic>
                    </a:graphicData>
                  </a:graphic>
                </wp:inline>
              </w:drawing>
            </w:r>
          </w:p>
        </w:tc>
        <w:tc>
          <w:tcPr>
            <w:tcW w:w="1656" w:type="pct"/>
            <w:gridSpan w:val="2"/>
            <w:shd w:val="clear" w:color="auto" w:fill="F2F2F2"/>
            <w:vAlign w:val="center"/>
          </w:tcPr>
          <w:p w14:paraId="00CF548B" w14:textId="77777777" w:rsidR="00FE53E3" w:rsidRPr="00025049" w:rsidRDefault="00FE53E3" w:rsidP="00ED2E8B">
            <w:pPr>
              <w:jc w:val="center"/>
              <w:rPr>
                <w:rStyle w:val="06CHeading"/>
                <w:b w:val="0"/>
                <w:bCs/>
                <w:smallCaps w:val="0"/>
                <w:sz w:val="20"/>
                <w:szCs w:val="20"/>
              </w:rPr>
            </w:pPr>
            <w:r w:rsidRPr="00025049">
              <w:rPr>
                <w:noProof/>
              </w:rPr>
              <w:drawing>
                <wp:inline distT="0" distB="0" distL="0" distR="0" wp14:anchorId="08A66CF2" wp14:editId="73AE296C">
                  <wp:extent cx="1980565" cy="1340485"/>
                  <wp:effectExtent l="0" t="0" r="0" b="0"/>
                  <wp:docPr id="1770" name="Imagen 1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80565" cy="1340485"/>
                          </a:xfrm>
                          <a:prstGeom prst="rect">
                            <a:avLst/>
                          </a:prstGeom>
                          <a:noFill/>
                          <a:ln>
                            <a:noFill/>
                          </a:ln>
                        </pic:spPr>
                      </pic:pic>
                    </a:graphicData>
                  </a:graphic>
                </wp:inline>
              </w:drawing>
            </w:r>
          </w:p>
        </w:tc>
        <w:tc>
          <w:tcPr>
            <w:tcW w:w="1518" w:type="pct"/>
            <w:gridSpan w:val="2"/>
            <w:shd w:val="clear" w:color="auto" w:fill="F2F2F2"/>
            <w:vAlign w:val="center"/>
          </w:tcPr>
          <w:p w14:paraId="2CEB0FCB" w14:textId="77777777" w:rsidR="00FE53E3" w:rsidRPr="00025049" w:rsidRDefault="00FE53E3" w:rsidP="00ED2E8B">
            <w:pPr>
              <w:jc w:val="center"/>
              <w:rPr>
                <w:rStyle w:val="06CHeading"/>
                <w:b w:val="0"/>
                <w:bCs/>
                <w:smallCaps w:val="0"/>
                <w:sz w:val="20"/>
                <w:szCs w:val="20"/>
              </w:rPr>
            </w:pPr>
            <w:r w:rsidRPr="00025049">
              <w:rPr>
                <w:noProof/>
              </w:rPr>
              <w:drawing>
                <wp:inline distT="0" distB="0" distL="0" distR="0" wp14:anchorId="7B780632" wp14:editId="4692B702">
                  <wp:extent cx="1806575" cy="1537335"/>
                  <wp:effectExtent l="0" t="0" r="0" b="0"/>
                  <wp:docPr id="1769" name="Imagen 1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9"/>
                          <pic:cNvPicPr>
                            <a:picLocks noChangeAspect="1" noChangeArrowheads="1"/>
                          </pic:cNvPicPr>
                        </pic:nvPicPr>
                        <pic:blipFill>
                          <a:blip r:embed="rId17" cstate="print">
                            <a:extLst>
                              <a:ext uri="{28A0092B-C50C-407E-A947-70E740481C1C}">
                                <a14:useLocalDpi xmlns:a14="http://schemas.microsoft.com/office/drawing/2010/main" val="0"/>
                              </a:ext>
                            </a:extLst>
                          </a:blip>
                          <a:srcRect r="9840"/>
                          <a:stretch>
                            <a:fillRect/>
                          </a:stretch>
                        </pic:blipFill>
                        <pic:spPr bwMode="auto">
                          <a:xfrm>
                            <a:off x="0" y="0"/>
                            <a:ext cx="1806575" cy="1537335"/>
                          </a:xfrm>
                          <a:prstGeom prst="rect">
                            <a:avLst/>
                          </a:prstGeom>
                          <a:noFill/>
                          <a:ln>
                            <a:noFill/>
                          </a:ln>
                        </pic:spPr>
                      </pic:pic>
                    </a:graphicData>
                  </a:graphic>
                </wp:inline>
              </w:drawing>
            </w:r>
          </w:p>
        </w:tc>
      </w:tr>
      <w:tr w:rsidR="00FE53E3" w:rsidRPr="00025049" w14:paraId="69CBC67A" w14:textId="77777777" w:rsidTr="00ED2E8B">
        <w:trPr>
          <w:cantSplit/>
          <w:trHeight w:val="907"/>
        </w:trPr>
        <w:tc>
          <w:tcPr>
            <w:tcW w:w="173" w:type="pct"/>
            <w:shd w:val="clear" w:color="auto" w:fill="F9EDED"/>
            <w:textDirection w:val="btLr"/>
            <w:vAlign w:val="center"/>
          </w:tcPr>
          <w:p w14:paraId="6605EC4D" w14:textId="77777777" w:rsidR="00FE53E3" w:rsidRPr="00025049" w:rsidRDefault="00FE53E3" w:rsidP="00ED2E8B">
            <w:pPr>
              <w:pStyle w:val="P1"/>
              <w:spacing w:line="240" w:lineRule="auto"/>
              <w:jc w:val="center"/>
              <w:rPr>
                <w:rStyle w:val="06CHeading"/>
                <w:rFonts w:ascii="Arial" w:hAnsi="Arial" w:cs="Arial"/>
                <w:b w:val="0"/>
                <w:smallCaps w:val="0"/>
                <w:sz w:val="16"/>
                <w:szCs w:val="16"/>
              </w:rPr>
            </w:pPr>
            <w:r w:rsidRPr="00025049">
              <w:rPr>
                <w:rStyle w:val="06CHeading"/>
                <w:rFonts w:ascii="Arial" w:hAnsi="Arial" w:cs="Arial"/>
                <w:b w:val="0"/>
                <w:smallCaps w:val="0"/>
                <w:sz w:val="16"/>
                <w:szCs w:val="16"/>
              </w:rPr>
              <w:t>NaOH</w:t>
            </w:r>
          </w:p>
        </w:tc>
        <w:tc>
          <w:tcPr>
            <w:tcW w:w="1661" w:type="pct"/>
            <w:gridSpan w:val="2"/>
            <w:shd w:val="clear" w:color="auto" w:fill="F9EDED"/>
            <w:vAlign w:val="center"/>
          </w:tcPr>
          <w:p w14:paraId="0C4735EB" w14:textId="77777777" w:rsidR="00FE53E3" w:rsidRPr="00025049" w:rsidRDefault="00FE53E3" w:rsidP="00ED2E8B">
            <w:pPr>
              <w:jc w:val="center"/>
              <w:rPr>
                <w:rStyle w:val="06CHeading"/>
                <w:b w:val="0"/>
                <w:bCs/>
                <w:smallCaps w:val="0"/>
                <w:sz w:val="20"/>
                <w:szCs w:val="20"/>
              </w:rPr>
            </w:pPr>
            <w:r w:rsidRPr="00025049">
              <w:rPr>
                <w:noProof/>
              </w:rPr>
              <w:drawing>
                <wp:inline distT="0" distB="0" distL="0" distR="0" wp14:anchorId="05839189" wp14:editId="2372E507">
                  <wp:extent cx="1980565" cy="1508760"/>
                  <wp:effectExtent l="0" t="0" r="0" b="0"/>
                  <wp:docPr id="1774" name="Imagen 1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80565" cy="1508760"/>
                          </a:xfrm>
                          <a:prstGeom prst="rect">
                            <a:avLst/>
                          </a:prstGeom>
                          <a:noFill/>
                          <a:ln>
                            <a:noFill/>
                          </a:ln>
                        </pic:spPr>
                      </pic:pic>
                    </a:graphicData>
                  </a:graphic>
                </wp:inline>
              </w:drawing>
            </w:r>
          </w:p>
        </w:tc>
        <w:tc>
          <w:tcPr>
            <w:tcW w:w="1656" w:type="pct"/>
            <w:gridSpan w:val="2"/>
            <w:shd w:val="clear" w:color="auto" w:fill="F9EDED"/>
            <w:vAlign w:val="center"/>
          </w:tcPr>
          <w:p w14:paraId="22EC3A16" w14:textId="77777777" w:rsidR="00FE53E3" w:rsidRPr="00025049" w:rsidRDefault="00FE53E3" w:rsidP="00ED2E8B">
            <w:pPr>
              <w:jc w:val="center"/>
              <w:rPr>
                <w:rStyle w:val="06CHeading"/>
                <w:b w:val="0"/>
                <w:bCs/>
                <w:smallCaps w:val="0"/>
                <w:sz w:val="20"/>
                <w:szCs w:val="20"/>
              </w:rPr>
            </w:pPr>
            <w:r w:rsidRPr="00025049">
              <w:rPr>
                <w:noProof/>
              </w:rPr>
              <w:drawing>
                <wp:inline distT="0" distB="0" distL="0" distR="0" wp14:anchorId="09C8F020" wp14:editId="7CB0A009">
                  <wp:extent cx="1980565" cy="1391285"/>
                  <wp:effectExtent l="0" t="0" r="0" b="0"/>
                  <wp:docPr id="1773" name="Imagen 1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80565" cy="1391285"/>
                          </a:xfrm>
                          <a:prstGeom prst="rect">
                            <a:avLst/>
                          </a:prstGeom>
                          <a:noFill/>
                          <a:ln>
                            <a:noFill/>
                          </a:ln>
                        </pic:spPr>
                      </pic:pic>
                    </a:graphicData>
                  </a:graphic>
                </wp:inline>
              </w:drawing>
            </w:r>
          </w:p>
        </w:tc>
        <w:tc>
          <w:tcPr>
            <w:tcW w:w="1511" w:type="pct"/>
            <w:shd w:val="clear" w:color="auto" w:fill="F9EDED"/>
            <w:vAlign w:val="center"/>
          </w:tcPr>
          <w:p w14:paraId="5B7D1CEE" w14:textId="77777777" w:rsidR="00FE53E3" w:rsidRPr="00025049" w:rsidRDefault="00FE53E3" w:rsidP="00ED2E8B">
            <w:pPr>
              <w:keepNext/>
              <w:jc w:val="center"/>
              <w:rPr>
                <w:rStyle w:val="06CHeading"/>
                <w:b w:val="0"/>
                <w:bCs/>
                <w:smallCaps w:val="0"/>
                <w:sz w:val="20"/>
                <w:szCs w:val="20"/>
              </w:rPr>
            </w:pPr>
            <w:r w:rsidRPr="00025049">
              <w:rPr>
                <w:noProof/>
              </w:rPr>
              <w:drawing>
                <wp:inline distT="0" distB="0" distL="0" distR="0" wp14:anchorId="1EF8841D" wp14:editId="3EF11657">
                  <wp:extent cx="1744345" cy="1464310"/>
                  <wp:effectExtent l="0" t="0" r="0" b="0"/>
                  <wp:docPr id="1772" name="Imagen 1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2"/>
                          <pic:cNvPicPr>
                            <a:picLocks noChangeAspect="1" noChangeArrowheads="1"/>
                          </pic:cNvPicPr>
                        </pic:nvPicPr>
                        <pic:blipFill>
                          <a:blip r:embed="rId20" cstate="print">
                            <a:extLst>
                              <a:ext uri="{28A0092B-C50C-407E-A947-70E740481C1C}">
                                <a14:useLocalDpi xmlns:a14="http://schemas.microsoft.com/office/drawing/2010/main" val="0"/>
                              </a:ext>
                            </a:extLst>
                          </a:blip>
                          <a:srcRect r="8768"/>
                          <a:stretch>
                            <a:fillRect/>
                          </a:stretch>
                        </pic:blipFill>
                        <pic:spPr bwMode="auto">
                          <a:xfrm>
                            <a:off x="0" y="0"/>
                            <a:ext cx="1744345" cy="1464310"/>
                          </a:xfrm>
                          <a:prstGeom prst="rect">
                            <a:avLst/>
                          </a:prstGeom>
                          <a:noFill/>
                          <a:ln>
                            <a:noFill/>
                          </a:ln>
                        </pic:spPr>
                      </pic:pic>
                    </a:graphicData>
                  </a:graphic>
                </wp:inline>
              </w:drawing>
            </w:r>
          </w:p>
        </w:tc>
      </w:tr>
    </w:tbl>
    <w:p w14:paraId="498A255D" w14:textId="77777777" w:rsidR="00FE53E3" w:rsidRDefault="00FE53E3" w:rsidP="00FE53E3">
      <w:pPr>
        <w:pStyle w:val="Caption"/>
        <w:rPr>
          <w:b w:val="0"/>
          <w:bCs w:val="0"/>
        </w:rPr>
      </w:pPr>
      <w:bookmarkStart w:id="3" w:name="_Ref69818388"/>
      <w:r w:rsidRPr="00025049">
        <w:t xml:space="preserve">Figure </w:t>
      </w:r>
      <w:r>
        <w:fldChar w:fldCharType="begin"/>
      </w:r>
      <w:r>
        <w:instrText xml:space="preserve"> SEQ Figure \* ARABIC </w:instrText>
      </w:r>
      <w:r>
        <w:fldChar w:fldCharType="separate"/>
      </w:r>
      <w:r>
        <w:rPr>
          <w:noProof/>
        </w:rPr>
        <w:t>2</w:t>
      </w:r>
      <w:r>
        <w:rPr>
          <w:noProof/>
        </w:rPr>
        <w:fldChar w:fldCharType="end"/>
      </w:r>
      <w:bookmarkEnd w:id="3"/>
      <w:r w:rsidRPr="00025049">
        <w:t xml:space="preserve">. </w:t>
      </w:r>
      <w:r w:rsidRPr="00025049">
        <w:rPr>
          <w:b w:val="0"/>
          <w:bCs w:val="0"/>
        </w:rPr>
        <w:t>Surface analysis plots of the different aerogels modified with different R/C and R/W ratios. Left column plots, (a) and (d), N</w:t>
      </w:r>
      <w:r w:rsidRPr="00025049">
        <w:rPr>
          <w:b w:val="0"/>
          <w:bCs w:val="0"/>
          <w:vertAlign w:val="subscript"/>
        </w:rPr>
        <w:t>2</w:t>
      </w:r>
      <w:r w:rsidRPr="00025049">
        <w:rPr>
          <w:b w:val="0"/>
          <w:bCs w:val="0"/>
        </w:rPr>
        <w:t xml:space="preserve"> adsorption-desorption isotherms at 77 K. Middle plots, (b) and (e), pore diameter change distribution of the prepared aerogels. Right column plots, (c) and (f), surface area with the external and micropores ratios. Using Na</w:t>
      </w:r>
      <w:r w:rsidRPr="00025049">
        <w:rPr>
          <w:b w:val="0"/>
          <w:bCs w:val="0"/>
          <w:vertAlign w:val="subscript"/>
        </w:rPr>
        <w:t>2</w:t>
      </w:r>
      <w:r w:rsidRPr="00025049">
        <w:rPr>
          <w:b w:val="0"/>
          <w:bCs w:val="0"/>
        </w:rPr>
        <w:t>CO</w:t>
      </w:r>
      <w:r w:rsidRPr="00025049">
        <w:rPr>
          <w:b w:val="0"/>
          <w:bCs w:val="0"/>
          <w:vertAlign w:val="subscript"/>
        </w:rPr>
        <w:t>3</w:t>
      </w:r>
      <w:r w:rsidRPr="00025049">
        <w:rPr>
          <w:b w:val="0"/>
          <w:bCs w:val="0"/>
        </w:rPr>
        <w:t xml:space="preserve"> (light green background) and NaOH (red light background).</w:t>
      </w:r>
    </w:p>
    <w:p w14:paraId="53C841F7" w14:textId="77777777" w:rsidR="00FE53E3" w:rsidRDefault="00FE53E3" w:rsidP="00FE53E3">
      <w:pPr>
        <w:rPr>
          <w:lang w:eastAsia="en-GB"/>
        </w:rPr>
      </w:pPr>
    </w:p>
    <w:p w14:paraId="4497911F" w14:textId="77777777" w:rsidR="00FE53E3" w:rsidRPr="00007677" w:rsidRDefault="00FE53E3" w:rsidP="00FE53E3">
      <w:pPr>
        <w:rPr>
          <w:lang w:eastAsia="en-GB"/>
        </w:rPr>
      </w:pPr>
    </w:p>
    <w:p w14:paraId="05A73DCA" w14:textId="77777777" w:rsidR="00FE53E3" w:rsidRDefault="00FE53E3" w:rsidP="00FE53E3">
      <w:pPr>
        <w:rPr>
          <w:lang w:eastAsia="en-GB"/>
        </w:rPr>
      </w:pPr>
    </w:p>
    <w:p w14:paraId="7BFA1498" w14:textId="77777777" w:rsidR="00FE53E3" w:rsidRDefault="00FE53E3" w:rsidP="00FE53E3">
      <w:pPr>
        <w:rPr>
          <w:lang w:eastAsia="en-GB"/>
        </w:rPr>
      </w:pPr>
    </w:p>
    <w:p w14:paraId="43F4FD7C" w14:textId="77777777" w:rsidR="00FE53E3" w:rsidRPr="00A57E94" w:rsidRDefault="00FE53E3" w:rsidP="00FE53E3">
      <w:pPr>
        <w:rPr>
          <w:lang w:eastAsia="en-GB"/>
        </w:rPr>
      </w:pPr>
    </w:p>
    <w:p w14:paraId="28AD580A" w14:textId="77777777" w:rsidR="00FE53E3" w:rsidRPr="00025049" w:rsidRDefault="00FE53E3" w:rsidP="00FE53E3">
      <w:pPr>
        <w:pStyle w:val="TableCaption"/>
      </w:pPr>
      <w:bookmarkStart w:id="4" w:name="_Ref69818269"/>
      <w:r w:rsidRPr="00025049">
        <w:rPr>
          <w:b/>
          <w:bCs/>
        </w:rPr>
        <w:lastRenderedPageBreak/>
        <w:t xml:space="preserve">Table </w:t>
      </w:r>
      <w:r w:rsidRPr="00025049">
        <w:rPr>
          <w:b/>
          <w:bCs/>
        </w:rPr>
        <w:fldChar w:fldCharType="begin"/>
      </w:r>
      <w:r w:rsidRPr="00025049">
        <w:rPr>
          <w:b/>
          <w:bCs/>
        </w:rPr>
        <w:instrText xml:space="preserve"> SEQ Table \* ARABIC </w:instrText>
      </w:r>
      <w:r w:rsidRPr="00025049">
        <w:rPr>
          <w:b/>
          <w:bCs/>
        </w:rPr>
        <w:fldChar w:fldCharType="separate"/>
      </w:r>
      <w:r>
        <w:rPr>
          <w:b/>
          <w:bCs/>
          <w:noProof/>
        </w:rPr>
        <w:t>1</w:t>
      </w:r>
      <w:r w:rsidRPr="00025049">
        <w:rPr>
          <w:b/>
          <w:bCs/>
        </w:rPr>
        <w:fldChar w:fldCharType="end"/>
      </w:r>
      <w:bookmarkEnd w:id="4"/>
      <w:r w:rsidRPr="00025049">
        <w:t>. CAGs surface properties using different growth mediums for the microstructure modification prepared on carbon paper, the values obtained come from the scratched powder form the electrode prior single cell test (not the electrode with the CAG); S (Surface Area), V (Pore Volume) and D (pore average diameter).</w:t>
      </w:r>
    </w:p>
    <w:tbl>
      <w:tblPr>
        <w:tblStyle w:val="PlainTable5"/>
        <w:tblW w:w="5000" w:type="pct"/>
        <w:tblLayout w:type="fixed"/>
        <w:tblCellMar>
          <w:left w:w="57" w:type="dxa"/>
          <w:right w:w="57" w:type="dxa"/>
        </w:tblCellMar>
        <w:tblLook w:val="04A0" w:firstRow="1" w:lastRow="0" w:firstColumn="1" w:lastColumn="0" w:noHBand="0" w:noVBand="1"/>
      </w:tblPr>
      <w:tblGrid>
        <w:gridCol w:w="735"/>
        <w:gridCol w:w="726"/>
        <w:gridCol w:w="554"/>
        <w:gridCol w:w="861"/>
        <w:gridCol w:w="981"/>
        <w:gridCol w:w="981"/>
        <w:gridCol w:w="979"/>
        <w:gridCol w:w="841"/>
        <w:gridCol w:w="837"/>
        <w:gridCol w:w="839"/>
        <w:gridCol w:w="837"/>
        <w:gridCol w:w="863"/>
      </w:tblGrid>
      <w:tr w:rsidR="00FE53E3" w:rsidRPr="00025049" w14:paraId="4E7793CE" w14:textId="77777777" w:rsidTr="00ED2E8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66" w:type="pct"/>
            <w:tcBorders>
              <w:top w:val="single" w:sz="4" w:space="0" w:color="auto"/>
              <w:bottom w:val="single" w:sz="4" w:space="0" w:color="auto"/>
            </w:tcBorders>
            <w:vAlign w:val="center"/>
          </w:tcPr>
          <w:p w14:paraId="1D1730E1" w14:textId="77777777" w:rsidR="00FE53E3" w:rsidRPr="00025049" w:rsidRDefault="00FE53E3" w:rsidP="00ED2E8B">
            <w:pPr>
              <w:pStyle w:val="RSCT03TableBody"/>
              <w:rPr>
                <w:rFonts w:ascii="Arial" w:hAnsi="Arial" w:cs="Arial"/>
                <w:b/>
                <w:bCs/>
                <w:i w:val="0"/>
                <w:iCs w:val="0"/>
                <w:sz w:val="14"/>
                <w:szCs w:val="14"/>
              </w:rPr>
            </w:pPr>
            <w:r w:rsidRPr="00025049">
              <w:rPr>
                <w:rFonts w:ascii="Arial" w:hAnsi="Arial" w:cs="Arial"/>
                <w:b/>
                <w:bCs/>
                <w:i w:val="0"/>
                <w:iCs w:val="0"/>
                <w:sz w:val="14"/>
                <w:szCs w:val="14"/>
              </w:rPr>
              <w:t>Catalyst</w:t>
            </w:r>
          </w:p>
        </w:tc>
        <w:tc>
          <w:tcPr>
            <w:tcW w:w="362" w:type="pct"/>
            <w:tcBorders>
              <w:top w:val="single" w:sz="4" w:space="0" w:color="auto"/>
              <w:bottom w:val="single" w:sz="4" w:space="0" w:color="auto"/>
            </w:tcBorders>
            <w:vAlign w:val="center"/>
          </w:tcPr>
          <w:p w14:paraId="1DBAF8E3" w14:textId="77777777" w:rsidR="00FE53E3" w:rsidRPr="00025049" w:rsidRDefault="00FE53E3" w:rsidP="00ED2E8B">
            <w:pPr>
              <w:pStyle w:val="RSCT03TableBody"/>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4"/>
                <w:szCs w:val="14"/>
              </w:rPr>
            </w:pPr>
            <w:r w:rsidRPr="00025049">
              <w:rPr>
                <w:rFonts w:ascii="Arial" w:hAnsi="Arial" w:cs="Arial"/>
                <w:b/>
                <w:bCs/>
                <w:i w:val="0"/>
                <w:iCs w:val="0"/>
                <w:sz w:val="14"/>
                <w:szCs w:val="14"/>
              </w:rPr>
              <w:t>R/C</w:t>
            </w:r>
          </w:p>
        </w:tc>
        <w:tc>
          <w:tcPr>
            <w:tcW w:w="276" w:type="pct"/>
            <w:tcBorders>
              <w:top w:val="single" w:sz="4" w:space="0" w:color="auto"/>
              <w:bottom w:val="single" w:sz="4" w:space="0" w:color="auto"/>
            </w:tcBorders>
            <w:vAlign w:val="center"/>
          </w:tcPr>
          <w:p w14:paraId="28EAEB71" w14:textId="77777777" w:rsidR="00FE53E3" w:rsidRPr="00025049" w:rsidRDefault="00FE53E3" w:rsidP="00ED2E8B">
            <w:pPr>
              <w:pStyle w:val="RSCT03TableBody"/>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4"/>
                <w:szCs w:val="14"/>
              </w:rPr>
            </w:pPr>
            <w:r w:rsidRPr="00025049">
              <w:rPr>
                <w:rFonts w:ascii="Arial" w:hAnsi="Arial" w:cs="Arial"/>
                <w:b/>
                <w:bCs/>
                <w:i w:val="0"/>
                <w:iCs w:val="0"/>
                <w:sz w:val="14"/>
                <w:szCs w:val="14"/>
              </w:rPr>
              <w:t>R/W</w:t>
            </w:r>
          </w:p>
        </w:tc>
        <w:tc>
          <w:tcPr>
            <w:tcW w:w="429" w:type="pct"/>
            <w:tcBorders>
              <w:top w:val="single" w:sz="4" w:space="0" w:color="auto"/>
              <w:bottom w:val="single" w:sz="4" w:space="0" w:color="auto"/>
            </w:tcBorders>
            <w:vAlign w:val="center"/>
          </w:tcPr>
          <w:p w14:paraId="575712C2" w14:textId="77777777" w:rsidR="00FE53E3" w:rsidRPr="00025049" w:rsidRDefault="00FE53E3" w:rsidP="00ED2E8B">
            <w:pPr>
              <w:pStyle w:val="RSCT03TableBody"/>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4"/>
                <w:szCs w:val="14"/>
                <w:vertAlign w:val="subscript"/>
              </w:rPr>
            </w:pPr>
            <w:r w:rsidRPr="00025049">
              <w:rPr>
                <w:rFonts w:ascii="Arial" w:hAnsi="Arial" w:cs="Arial"/>
                <w:b/>
                <w:bCs/>
                <w:i w:val="0"/>
                <w:iCs w:val="0"/>
                <w:sz w:val="14"/>
                <w:szCs w:val="14"/>
              </w:rPr>
              <w:t>S</w:t>
            </w:r>
            <w:r w:rsidRPr="00025049">
              <w:rPr>
                <w:rFonts w:ascii="Arial" w:hAnsi="Arial" w:cs="Arial"/>
                <w:b/>
                <w:bCs/>
                <w:i w:val="0"/>
                <w:iCs w:val="0"/>
                <w:sz w:val="14"/>
                <w:szCs w:val="14"/>
                <w:vertAlign w:val="subscript"/>
              </w:rPr>
              <w:t xml:space="preserve">BET </w:t>
            </w:r>
            <w:r w:rsidRPr="00025049">
              <w:rPr>
                <w:rFonts w:ascii="Arial" w:hAnsi="Arial" w:cs="Arial"/>
                <w:b/>
                <w:bCs/>
                <w:i w:val="0"/>
                <w:iCs w:val="0"/>
                <w:sz w:val="14"/>
                <w:szCs w:val="14"/>
              </w:rPr>
              <w:t>/m</w:t>
            </w:r>
            <w:r w:rsidRPr="00025049">
              <w:rPr>
                <w:rFonts w:ascii="Arial" w:hAnsi="Arial" w:cs="Arial"/>
                <w:b/>
                <w:bCs/>
                <w:i w:val="0"/>
                <w:iCs w:val="0"/>
                <w:sz w:val="14"/>
                <w:szCs w:val="14"/>
                <w:vertAlign w:val="superscript"/>
              </w:rPr>
              <w:t>2</w:t>
            </w:r>
            <w:r w:rsidRPr="00025049">
              <w:rPr>
                <w:rFonts w:ascii="Arial" w:hAnsi="Arial" w:cs="Arial"/>
                <w:b/>
                <w:bCs/>
                <w:i w:val="0"/>
                <w:iCs w:val="0"/>
                <w:sz w:val="14"/>
                <w:szCs w:val="14"/>
              </w:rPr>
              <w:t xml:space="preserve"> g</w:t>
            </w:r>
            <w:r w:rsidRPr="00025049">
              <w:rPr>
                <w:rFonts w:ascii="Arial" w:hAnsi="Arial" w:cs="Arial"/>
                <w:b/>
                <w:bCs/>
                <w:i w:val="0"/>
                <w:iCs w:val="0"/>
                <w:sz w:val="14"/>
                <w:szCs w:val="14"/>
                <w:vertAlign w:val="superscript"/>
              </w:rPr>
              <w:t>-1</w:t>
            </w:r>
          </w:p>
        </w:tc>
        <w:tc>
          <w:tcPr>
            <w:tcW w:w="489" w:type="pct"/>
            <w:tcBorders>
              <w:top w:val="single" w:sz="4" w:space="0" w:color="auto"/>
              <w:bottom w:val="single" w:sz="4" w:space="0" w:color="auto"/>
            </w:tcBorders>
            <w:vAlign w:val="center"/>
          </w:tcPr>
          <w:p w14:paraId="42778BF8" w14:textId="77777777" w:rsidR="00FE53E3" w:rsidRPr="00025049" w:rsidRDefault="00FE53E3" w:rsidP="00ED2E8B">
            <w:pPr>
              <w:pStyle w:val="RSCT03TableBody"/>
              <w:cnfStyle w:val="100000000000" w:firstRow="1" w:lastRow="0" w:firstColumn="0" w:lastColumn="0" w:oddVBand="0" w:evenVBand="0" w:oddHBand="0" w:evenHBand="0" w:firstRowFirstColumn="0" w:firstRowLastColumn="0" w:lastRowFirstColumn="0" w:lastRowLastColumn="0"/>
              <w:rPr>
                <w:rFonts w:ascii="Arial" w:hAnsi="Arial" w:cs="Arial"/>
                <w:i w:val="0"/>
                <w:iCs w:val="0"/>
                <w:sz w:val="14"/>
                <w:szCs w:val="14"/>
              </w:rPr>
            </w:pPr>
            <w:r w:rsidRPr="00025049">
              <w:rPr>
                <w:rFonts w:ascii="Arial" w:hAnsi="Arial" w:cs="Arial"/>
                <w:b/>
                <w:bCs/>
                <w:i w:val="0"/>
                <w:iCs w:val="0"/>
                <w:sz w:val="14"/>
                <w:szCs w:val="14"/>
              </w:rPr>
              <w:t>Micropore Area / %</w:t>
            </w:r>
          </w:p>
        </w:tc>
        <w:tc>
          <w:tcPr>
            <w:tcW w:w="489" w:type="pct"/>
            <w:tcBorders>
              <w:top w:val="single" w:sz="4" w:space="0" w:color="auto"/>
              <w:bottom w:val="single" w:sz="4" w:space="0" w:color="auto"/>
            </w:tcBorders>
            <w:vAlign w:val="center"/>
          </w:tcPr>
          <w:p w14:paraId="7F418DB8" w14:textId="77777777" w:rsidR="00FE53E3" w:rsidRPr="00025049" w:rsidRDefault="00FE53E3" w:rsidP="00ED2E8B">
            <w:pPr>
              <w:pStyle w:val="RSCT03TableBody"/>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4"/>
                <w:szCs w:val="14"/>
              </w:rPr>
            </w:pPr>
            <w:r w:rsidRPr="00025049">
              <w:rPr>
                <w:rFonts w:ascii="Arial" w:hAnsi="Arial" w:cs="Arial"/>
                <w:b/>
                <w:bCs/>
                <w:i w:val="0"/>
                <w:iCs w:val="0"/>
                <w:sz w:val="14"/>
                <w:szCs w:val="14"/>
              </w:rPr>
              <w:t>External Area / %</w:t>
            </w:r>
          </w:p>
        </w:tc>
        <w:tc>
          <w:tcPr>
            <w:tcW w:w="488" w:type="pct"/>
            <w:tcBorders>
              <w:top w:val="single" w:sz="4" w:space="0" w:color="auto"/>
              <w:bottom w:val="single" w:sz="4" w:space="0" w:color="auto"/>
            </w:tcBorders>
            <w:vAlign w:val="center"/>
          </w:tcPr>
          <w:p w14:paraId="10E6C9E0" w14:textId="77777777" w:rsidR="00FE53E3" w:rsidRPr="00025049" w:rsidRDefault="00FE53E3" w:rsidP="00ED2E8B">
            <w:pPr>
              <w:pStyle w:val="RSCT03TableBody"/>
              <w:ind w:left="284" w:hanging="284"/>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4"/>
                <w:szCs w:val="14"/>
              </w:rPr>
            </w:pPr>
            <w:r w:rsidRPr="00025049">
              <w:rPr>
                <w:rFonts w:ascii="Arial" w:hAnsi="Arial" w:cs="Arial"/>
                <w:b/>
                <w:bCs/>
                <w:i w:val="0"/>
                <w:iCs w:val="0"/>
                <w:sz w:val="14"/>
                <w:szCs w:val="14"/>
              </w:rPr>
              <w:t xml:space="preserve">V </w:t>
            </w:r>
            <w:r w:rsidRPr="00025049">
              <w:rPr>
                <w:rFonts w:ascii="Arial" w:hAnsi="Arial" w:cs="Arial"/>
                <w:b/>
                <w:bCs/>
                <w:i w:val="0"/>
                <w:iCs w:val="0"/>
                <w:sz w:val="14"/>
                <w:szCs w:val="14"/>
                <w:vertAlign w:val="subscript"/>
              </w:rPr>
              <w:t xml:space="preserve">Cum. &lt;50 nm </w:t>
            </w:r>
            <w:r w:rsidRPr="00025049">
              <w:rPr>
                <w:rFonts w:ascii="Arial" w:hAnsi="Arial" w:cs="Arial"/>
                <w:b/>
                <w:bCs/>
                <w:i w:val="0"/>
                <w:iCs w:val="0"/>
                <w:sz w:val="14"/>
                <w:szCs w:val="14"/>
              </w:rPr>
              <w:t>/cm</w:t>
            </w:r>
            <w:r w:rsidRPr="00025049">
              <w:rPr>
                <w:rFonts w:ascii="Arial" w:hAnsi="Arial" w:cs="Arial"/>
                <w:b/>
                <w:bCs/>
                <w:i w:val="0"/>
                <w:iCs w:val="0"/>
                <w:sz w:val="14"/>
                <w:szCs w:val="14"/>
                <w:vertAlign w:val="superscript"/>
              </w:rPr>
              <w:t>3</w:t>
            </w:r>
            <w:r w:rsidRPr="00025049">
              <w:rPr>
                <w:rFonts w:ascii="Arial" w:hAnsi="Arial" w:cs="Arial"/>
                <w:b/>
                <w:bCs/>
                <w:i w:val="0"/>
                <w:iCs w:val="0"/>
                <w:sz w:val="14"/>
                <w:szCs w:val="14"/>
              </w:rPr>
              <w:t xml:space="preserve"> g</w:t>
            </w:r>
            <w:r w:rsidRPr="00025049">
              <w:rPr>
                <w:rFonts w:ascii="Arial" w:hAnsi="Arial" w:cs="Arial"/>
                <w:b/>
                <w:bCs/>
                <w:i w:val="0"/>
                <w:iCs w:val="0"/>
                <w:sz w:val="14"/>
                <w:szCs w:val="14"/>
                <w:vertAlign w:val="superscript"/>
              </w:rPr>
              <w:t>-1</w:t>
            </w:r>
          </w:p>
        </w:tc>
        <w:tc>
          <w:tcPr>
            <w:tcW w:w="419" w:type="pct"/>
            <w:tcBorders>
              <w:top w:val="single" w:sz="4" w:space="0" w:color="auto"/>
              <w:bottom w:val="single" w:sz="4" w:space="0" w:color="auto"/>
            </w:tcBorders>
            <w:vAlign w:val="center"/>
          </w:tcPr>
          <w:p w14:paraId="00DB5DF0" w14:textId="77777777" w:rsidR="00FE53E3" w:rsidRPr="00025049" w:rsidRDefault="00FE53E3" w:rsidP="00ED2E8B">
            <w:pPr>
              <w:pStyle w:val="RSCT03TableBody"/>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4"/>
                <w:szCs w:val="14"/>
              </w:rPr>
            </w:pPr>
            <w:proofErr w:type="spellStart"/>
            <w:r w:rsidRPr="00025049">
              <w:rPr>
                <w:rFonts w:ascii="Arial" w:hAnsi="Arial" w:cs="Arial"/>
                <w:b/>
                <w:bCs/>
                <w:i w:val="0"/>
                <w:iCs w:val="0"/>
                <w:sz w:val="14"/>
                <w:szCs w:val="14"/>
              </w:rPr>
              <w:t>V</w:t>
            </w:r>
            <w:r w:rsidRPr="00025049">
              <w:rPr>
                <w:rFonts w:ascii="Arial" w:hAnsi="Arial" w:cs="Arial"/>
                <w:b/>
                <w:bCs/>
                <w:i w:val="0"/>
                <w:iCs w:val="0"/>
                <w:sz w:val="14"/>
                <w:szCs w:val="14"/>
                <w:vertAlign w:val="subscript"/>
              </w:rPr>
              <w:t>Micropore</w:t>
            </w:r>
            <w:proofErr w:type="spellEnd"/>
            <w:r w:rsidRPr="00025049">
              <w:rPr>
                <w:rFonts w:ascii="Arial" w:hAnsi="Arial" w:cs="Arial"/>
                <w:b/>
                <w:bCs/>
                <w:i w:val="0"/>
                <w:iCs w:val="0"/>
                <w:sz w:val="14"/>
                <w:szCs w:val="14"/>
                <w:vertAlign w:val="subscript"/>
              </w:rPr>
              <w:t xml:space="preserve"> </w:t>
            </w:r>
            <w:r w:rsidRPr="00025049">
              <w:rPr>
                <w:rFonts w:ascii="Arial" w:hAnsi="Arial" w:cs="Arial"/>
                <w:b/>
                <w:bCs/>
                <w:i w:val="0"/>
                <w:iCs w:val="0"/>
                <w:sz w:val="14"/>
                <w:szCs w:val="14"/>
              </w:rPr>
              <w:t>/cm</w:t>
            </w:r>
            <w:r w:rsidRPr="00025049">
              <w:rPr>
                <w:rFonts w:ascii="Arial" w:hAnsi="Arial" w:cs="Arial"/>
                <w:b/>
                <w:bCs/>
                <w:i w:val="0"/>
                <w:iCs w:val="0"/>
                <w:sz w:val="14"/>
                <w:szCs w:val="14"/>
                <w:vertAlign w:val="superscript"/>
              </w:rPr>
              <w:t>3</w:t>
            </w:r>
            <w:r w:rsidRPr="00025049">
              <w:rPr>
                <w:rFonts w:ascii="Arial" w:hAnsi="Arial" w:cs="Arial"/>
                <w:b/>
                <w:bCs/>
                <w:i w:val="0"/>
                <w:iCs w:val="0"/>
                <w:sz w:val="14"/>
                <w:szCs w:val="14"/>
              </w:rPr>
              <w:t xml:space="preserve"> g</w:t>
            </w:r>
            <w:r w:rsidRPr="00025049">
              <w:rPr>
                <w:rFonts w:ascii="Arial" w:hAnsi="Arial" w:cs="Arial"/>
                <w:b/>
                <w:bCs/>
                <w:i w:val="0"/>
                <w:iCs w:val="0"/>
                <w:sz w:val="14"/>
                <w:szCs w:val="14"/>
                <w:vertAlign w:val="superscript"/>
              </w:rPr>
              <w:t>-1</w:t>
            </w:r>
          </w:p>
        </w:tc>
        <w:tc>
          <w:tcPr>
            <w:tcW w:w="417" w:type="pct"/>
            <w:tcBorders>
              <w:top w:val="single" w:sz="4" w:space="0" w:color="auto"/>
              <w:bottom w:val="single" w:sz="4" w:space="0" w:color="auto"/>
            </w:tcBorders>
            <w:vAlign w:val="center"/>
          </w:tcPr>
          <w:p w14:paraId="7AAF5F34" w14:textId="77777777" w:rsidR="00FE53E3" w:rsidRPr="00025049" w:rsidRDefault="00FE53E3" w:rsidP="00ED2E8B">
            <w:pPr>
              <w:pStyle w:val="RSCT03TableBody"/>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4"/>
                <w:szCs w:val="14"/>
              </w:rPr>
            </w:pPr>
            <w:proofErr w:type="spellStart"/>
            <w:r w:rsidRPr="00025049">
              <w:rPr>
                <w:rFonts w:ascii="Arial" w:hAnsi="Arial" w:cs="Arial"/>
                <w:b/>
                <w:bCs/>
                <w:i w:val="0"/>
                <w:iCs w:val="0"/>
                <w:sz w:val="14"/>
                <w:szCs w:val="14"/>
              </w:rPr>
              <w:t>V</w:t>
            </w:r>
            <w:r w:rsidRPr="00025049">
              <w:rPr>
                <w:rFonts w:ascii="Arial" w:hAnsi="Arial" w:cs="Arial"/>
                <w:b/>
                <w:bCs/>
                <w:i w:val="0"/>
                <w:iCs w:val="0"/>
                <w:sz w:val="14"/>
                <w:szCs w:val="14"/>
                <w:vertAlign w:val="subscript"/>
              </w:rPr>
              <w:t>Mesopore</w:t>
            </w:r>
            <w:proofErr w:type="spellEnd"/>
            <w:r w:rsidRPr="00025049">
              <w:rPr>
                <w:rFonts w:ascii="Arial" w:hAnsi="Arial" w:cs="Arial"/>
                <w:b/>
                <w:bCs/>
                <w:i w:val="0"/>
                <w:iCs w:val="0"/>
                <w:sz w:val="14"/>
                <w:szCs w:val="14"/>
                <w:vertAlign w:val="subscript"/>
              </w:rPr>
              <w:t xml:space="preserve"> </w:t>
            </w:r>
            <w:r w:rsidRPr="00025049">
              <w:rPr>
                <w:rFonts w:ascii="Arial" w:hAnsi="Arial" w:cs="Arial"/>
                <w:b/>
                <w:bCs/>
                <w:i w:val="0"/>
                <w:iCs w:val="0"/>
                <w:sz w:val="14"/>
                <w:szCs w:val="14"/>
              </w:rPr>
              <w:t>/cm</w:t>
            </w:r>
            <w:r w:rsidRPr="00025049">
              <w:rPr>
                <w:rFonts w:ascii="Arial" w:hAnsi="Arial" w:cs="Arial"/>
                <w:b/>
                <w:bCs/>
                <w:i w:val="0"/>
                <w:iCs w:val="0"/>
                <w:sz w:val="14"/>
                <w:szCs w:val="14"/>
                <w:vertAlign w:val="superscript"/>
              </w:rPr>
              <w:t>3</w:t>
            </w:r>
            <w:r w:rsidRPr="00025049">
              <w:rPr>
                <w:rFonts w:ascii="Arial" w:hAnsi="Arial" w:cs="Arial"/>
                <w:b/>
                <w:bCs/>
                <w:i w:val="0"/>
                <w:iCs w:val="0"/>
                <w:sz w:val="14"/>
                <w:szCs w:val="14"/>
              </w:rPr>
              <w:t xml:space="preserve"> g</w:t>
            </w:r>
            <w:r w:rsidRPr="00025049">
              <w:rPr>
                <w:rFonts w:ascii="Arial" w:hAnsi="Arial" w:cs="Arial"/>
                <w:b/>
                <w:bCs/>
                <w:i w:val="0"/>
                <w:iCs w:val="0"/>
                <w:sz w:val="14"/>
                <w:szCs w:val="14"/>
                <w:vertAlign w:val="superscript"/>
              </w:rPr>
              <w:t>-1</w:t>
            </w:r>
          </w:p>
        </w:tc>
        <w:tc>
          <w:tcPr>
            <w:tcW w:w="418" w:type="pct"/>
            <w:tcBorders>
              <w:top w:val="single" w:sz="4" w:space="0" w:color="auto"/>
              <w:bottom w:val="single" w:sz="4" w:space="0" w:color="auto"/>
            </w:tcBorders>
            <w:vAlign w:val="center"/>
          </w:tcPr>
          <w:p w14:paraId="34E455BD" w14:textId="77777777" w:rsidR="00FE53E3" w:rsidRPr="00025049" w:rsidRDefault="00FE53E3" w:rsidP="00ED2E8B">
            <w:pPr>
              <w:pStyle w:val="RSCT03TableBody"/>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4"/>
                <w:szCs w:val="14"/>
              </w:rPr>
            </w:pPr>
            <w:proofErr w:type="spellStart"/>
            <w:r w:rsidRPr="00025049">
              <w:rPr>
                <w:rFonts w:ascii="Arial" w:hAnsi="Arial" w:cs="Arial"/>
                <w:b/>
                <w:bCs/>
                <w:i w:val="0"/>
                <w:iCs w:val="0"/>
                <w:sz w:val="14"/>
                <w:szCs w:val="14"/>
              </w:rPr>
              <w:t>V</w:t>
            </w:r>
            <w:r w:rsidRPr="00025049">
              <w:rPr>
                <w:rFonts w:ascii="Arial" w:hAnsi="Arial" w:cs="Arial"/>
                <w:b/>
                <w:bCs/>
                <w:i w:val="0"/>
                <w:iCs w:val="0"/>
                <w:sz w:val="14"/>
                <w:szCs w:val="14"/>
                <w:vertAlign w:val="subscript"/>
              </w:rPr>
              <w:t>Micro</w:t>
            </w:r>
            <w:proofErr w:type="spellEnd"/>
            <w:r w:rsidRPr="00025049">
              <w:rPr>
                <w:rFonts w:ascii="Arial" w:hAnsi="Arial" w:cs="Arial"/>
                <w:b/>
                <w:bCs/>
                <w:i w:val="0"/>
                <w:iCs w:val="0"/>
                <w:sz w:val="14"/>
                <w:szCs w:val="14"/>
                <w:vertAlign w:val="subscript"/>
              </w:rPr>
              <w:t xml:space="preserve"> </w:t>
            </w:r>
            <w:r w:rsidRPr="00025049">
              <w:rPr>
                <w:rFonts w:ascii="Arial" w:hAnsi="Arial" w:cs="Arial"/>
                <w:b/>
                <w:bCs/>
                <w:i w:val="0"/>
                <w:iCs w:val="0"/>
                <w:sz w:val="14"/>
                <w:szCs w:val="14"/>
              </w:rPr>
              <w:t>/ %</w:t>
            </w:r>
          </w:p>
        </w:tc>
        <w:tc>
          <w:tcPr>
            <w:tcW w:w="417" w:type="pct"/>
            <w:tcBorders>
              <w:top w:val="single" w:sz="4" w:space="0" w:color="auto"/>
              <w:bottom w:val="single" w:sz="4" w:space="0" w:color="auto"/>
            </w:tcBorders>
            <w:vAlign w:val="center"/>
          </w:tcPr>
          <w:p w14:paraId="36B9FED0" w14:textId="77777777" w:rsidR="00FE53E3" w:rsidRPr="00025049" w:rsidRDefault="00FE53E3" w:rsidP="00ED2E8B">
            <w:pPr>
              <w:pStyle w:val="RSCT03TableBody"/>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4"/>
                <w:szCs w:val="14"/>
              </w:rPr>
            </w:pPr>
            <w:proofErr w:type="spellStart"/>
            <w:r w:rsidRPr="00025049">
              <w:rPr>
                <w:rFonts w:ascii="Arial" w:hAnsi="Arial" w:cs="Arial"/>
                <w:b/>
                <w:bCs/>
                <w:i w:val="0"/>
                <w:iCs w:val="0"/>
                <w:sz w:val="14"/>
                <w:szCs w:val="14"/>
              </w:rPr>
              <w:t>V</w:t>
            </w:r>
            <w:r w:rsidRPr="00025049">
              <w:rPr>
                <w:rFonts w:ascii="Arial" w:hAnsi="Arial" w:cs="Arial"/>
                <w:b/>
                <w:bCs/>
                <w:i w:val="0"/>
                <w:iCs w:val="0"/>
                <w:sz w:val="14"/>
                <w:szCs w:val="14"/>
                <w:vertAlign w:val="subscript"/>
              </w:rPr>
              <w:t>Meso</w:t>
            </w:r>
            <w:proofErr w:type="spellEnd"/>
            <w:r w:rsidRPr="00025049">
              <w:rPr>
                <w:rFonts w:ascii="Arial" w:hAnsi="Arial" w:cs="Arial"/>
                <w:b/>
                <w:bCs/>
                <w:i w:val="0"/>
                <w:iCs w:val="0"/>
                <w:sz w:val="14"/>
                <w:szCs w:val="14"/>
                <w:vertAlign w:val="subscript"/>
              </w:rPr>
              <w:t xml:space="preserve"> </w:t>
            </w:r>
            <w:r w:rsidRPr="00025049">
              <w:rPr>
                <w:rFonts w:ascii="Arial" w:hAnsi="Arial" w:cs="Arial"/>
                <w:b/>
                <w:bCs/>
                <w:i w:val="0"/>
                <w:iCs w:val="0"/>
                <w:sz w:val="14"/>
                <w:szCs w:val="14"/>
              </w:rPr>
              <w:t>/ %</w:t>
            </w:r>
          </w:p>
        </w:tc>
        <w:tc>
          <w:tcPr>
            <w:tcW w:w="432" w:type="pct"/>
            <w:tcBorders>
              <w:top w:val="single" w:sz="4" w:space="0" w:color="auto"/>
              <w:bottom w:val="single" w:sz="4" w:space="0" w:color="auto"/>
            </w:tcBorders>
            <w:vAlign w:val="center"/>
          </w:tcPr>
          <w:p w14:paraId="18715286" w14:textId="77777777" w:rsidR="00FE53E3" w:rsidRPr="00025049" w:rsidRDefault="00FE53E3" w:rsidP="00ED2E8B">
            <w:pPr>
              <w:pStyle w:val="RSCT03TableBody"/>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4"/>
                <w:szCs w:val="14"/>
              </w:rPr>
            </w:pPr>
            <w:proofErr w:type="spellStart"/>
            <w:r w:rsidRPr="00025049">
              <w:rPr>
                <w:rFonts w:ascii="Arial" w:hAnsi="Arial" w:cs="Arial"/>
                <w:b/>
                <w:bCs/>
                <w:i w:val="0"/>
                <w:iCs w:val="0"/>
                <w:sz w:val="14"/>
                <w:szCs w:val="14"/>
              </w:rPr>
              <w:t>D</w:t>
            </w:r>
            <w:r w:rsidRPr="00025049">
              <w:rPr>
                <w:rFonts w:ascii="Arial" w:hAnsi="Arial" w:cs="Arial"/>
                <w:b/>
                <w:bCs/>
                <w:i w:val="0"/>
                <w:iCs w:val="0"/>
                <w:sz w:val="14"/>
                <w:szCs w:val="14"/>
                <w:vertAlign w:val="subscript"/>
              </w:rPr>
              <w:t>avg</w:t>
            </w:r>
            <w:proofErr w:type="spellEnd"/>
            <w:r w:rsidRPr="00025049">
              <w:rPr>
                <w:rFonts w:ascii="Arial" w:hAnsi="Arial" w:cs="Arial"/>
                <w:b/>
                <w:bCs/>
                <w:i w:val="0"/>
                <w:iCs w:val="0"/>
                <w:sz w:val="14"/>
                <w:szCs w:val="14"/>
                <w:vertAlign w:val="subscript"/>
              </w:rPr>
              <w:t xml:space="preserve"> </w:t>
            </w:r>
            <w:r w:rsidRPr="00025049">
              <w:rPr>
                <w:rFonts w:ascii="Arial" w:hAnsi="Arial" w:cs="Arial"/>
                <w:b/>
                <w:bCs/>
                <w:i w:val="0"/>
                <w:iCs w:val="0"/>
                <w:sz w:val="14"/>
                <w:szCs w:val="14"/>
              </w:rPr>
              <w:t>/nm</w:t>
            </w:r>
          </w:p>
        </w:tc>
      </w:tr>
      <w:tr w:rsidR="00FE53E3" w:rsidRPr="00025049" w14:paraId="4FCD5F1E" w14:textId="77777777" w:rsidTr="00ED2E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 w:type="pct"/>
            <w:vMerge w:val="restart"/>
            <w:tcBorders>
              <w:top w:val="single" w:sz="4" w:space="0" w:color="auto"/>
            </w:tcBorders>
            <w:shd w:val="clear" w:color="auto" w:fill="F2F2F2"/>
            <w:vAlign w:val="center"/>
          </w:tcPr>
          <w:p w14:paraId="5C6E175B" w14:textId="77777777" w:rsidR="00FE53E3" w:rsidRPr="00025049" w:rsidRDefault="00FE53E3" w:rsidP="00ED2E8B">
            <w:pPr>
              <w:pStyle w:val="RSCT03TableBody"/>
              <w:rPr>
                <w:rFonts w:ascii="Arial" w:hAnsi="Arial" w:cs="Arial"/>
                <w:sz w:val="14"/>
                <w:szCs w:val="14"/>
              </w:rPr>
            </w:pPr>
            <w:r w:rsidRPr="00025049">
              <w:rPr>
                <w:rFonts w:ascii="Arial" w:hAnsi="Arial" w:cs="Arial"/>
                <w:sz w:val="14"/>
                <w:szCs w:val="14"/>
              </w:rPr>
              <w:t>Na</w:t>
            </w:r>
            <w:r w:rsidRPr="00025049">
              <w:rPr>
                <w:rFonts w:ascii="Arial" w:hAnsi="Arial" w:cs="Arial"/>
                <w:sz w:val="14"/>
                <w:szCs w:val="14"/>
                <w:vertAlign w:val="subscript"/>
              </w:rPr>
              <w:t>2</w:t>
            </w:r>
            <w:r w:rsidRPr="00025049">
              <w:rPr>
                <w:rFonts w:ascii="Arial" w:hAnsi="Arial" w:cs="Arial"/>
                <w:sz w:val="14"/>
                <w:szCs w:val="14"/>
              </w:rPr>
              <w:t>CO</w:t>
            </w:r>
            <w:r w:rsidRPr="00025049">
              <w:rPr>
                <w:rFonts w:ascii="Arial" w:hAnsi="Arial" w:cs="Arial"/>
                <w:sz w:val="14"/>
                <w:szCs w:val="14"/>
                <w:vertAlign w:val="subscript"/>
              </w:rPr>
              <w:t>3</w:t>
            </w:r>
          </w:p>
        </w:tc>
        <w:tc>
          <w:tcPr>
            <w:tcW w:w="362" w:type="pct"/>
            <w:tcBorders>
              <w:top w:val="single" w:sz="4" w:space="0" w:color="auto"/>
            </w:tcBorders>
            <w:shd w:val="clear" w:color="auto" w:fill="D9D9D9"/>
          </w:tcPr>
          <w:p w14:paraId="0682EFE1"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b/>
                <w:bCs/>
                <w:color w:val="FF0000"/>
                <w:sz w:val="14"/>
                <w:szCs w:val="14"/>
              </w:rPr>
            </w:pPr>
            <w:r w:rsidRPr="00025049">
              <w:rPr>
                <w:rFonts w:ascii="Arial" w:hAnsi="Arial" w:cs="Arial"/>
                <w:b/>
                <w:bCs/>
                <w:color w:val="FF0000"/>
                <w:sz w:val="14"/>
                <w:szCs w:val="14"/>
              </w:rPr>
              <w:t>200</w:t>
            </w:r>
          </w:p>
        </w:tc>
        <w:tc>
          <w:tcPr>
            <w:tcW w:w="276" w:type="pct"/>
            <w:tcBorders>
              <w:top w:val="single" w:sz="4" w:space="0" w:color="auto"/>
            </w:tcBorders>
            <w:shd w:val="clear" w:color="auto" w:fill="D9D9D9"/>
          </w:tcPr>
          <w:p w14:paraId="68393AD7"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b/>
                <w:bCs/>
                <w:color w:val="FF0000"/>
                <w:sz w:val="14"/>
                <w:szCs w:val="14"/>
              </w:rPr>
            </w:pPr>
            <w:r w:rsidRPr="00025049">
              <w:rPr>
                <w:rFonts w:ascii="Arial" w:hAnsi="Arial" w:cs="Arial"/>
                <w:b/>
                <w:bCs/>
                <w:color w:val="FF0000"/>
                <w:sz w:val="14"/>
                <w:szCs w:val="14"/>
              </w:rPr>
              <w:t>0.05</w:t>
            </w:r>
          </w:p>
        </w:tc>
        <w:tc>
          <w:tcPr>
            <w:tcW w:w="429" w:type="pct"/>
            <w:tcBorders>
              <w:top w:val="single" w:sz="4" w:space="0" w:color="auto"/>
            </w:tcBorders>
            <w:shd w:val="clear" w:color="auto" w:fill="D9D9D9"/>
          </w:tcPr>
          <w:p w14:paraId="76933B78"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791.7</w:t>
            </w:r>
          </w:p>
        </w:tc>
        <w:tc>
          <w:tcPr>
            <w:tcW w:w="489" w:type="pct"/>
            <w:tcBorders>
              <w:top w:val="single" w:sz="4" w:space="0" w:color="auto"/>
            </w:tcBorders>
            <w:shd w:val="clear" w:color="auto" w:fill="D9D9D9"/>
          </w:tcPr>
          <w:p w14:paraId="095D63FB"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47</w:t>
            </w:r>
          </w:p>
        </w:tc>
        <w:tc>
          <w:tcPr>
            <w:tcW w:w="489" w:type="pct"/>
            <w:tcBorders>
              <w:top w:val="single" w:sz="4" w:space="0" w:color="auto"/>
            </w:tcBorders>
            <w:shd w:val="clear" w:color="auto" w:fill="D9D9D9"/>
          </w:tcPr>
          <w:p w14:paraId="5ED1518C"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53</w:t>
            </w:r>
          </w:p>
        </w:tc>
        <w:tc>
          <w:tcPr>
            <w:tcW w:w="488" w:type="pct"/>
            <w:tcBorders>
              <w:top w:val="single" w:sz="4" w:space="0" w:color="auto"/>
            </w:tcBorders>
            <w:shd w:val="clear" w:color="auto" w:fill="D9D9D9"/>
          </w:tcPr>
          <w:p w14:paraId="1F325EFF"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1.324</w:t>
            </w:r>
          </w:p>
        </w:tc>
        <w:tc>
          <w:tcPr>
            <w:tcW w:w="419" w:type="pct"/>
            <w:tcBorders>
              <w:top w:val="single" w:sz="4" w:space="0" w:color="auto"/>
            </w:tcBorders>
            <w:shd w:val="clear" w:color="auto" w:fill="D9D9D9"/>
          </w:tcPr>
          <w:p w14:paraId="6A732F21"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0.179</w:t>
            </w:r>
          </w:p>
        </w:tc>
        <w:tc>
          <w:tcPr>
            <w:tcW w:w="417" w:type="pct"/>
            <w:tcBorders>
              <w:top w:val="single" w:sz="4" w:space="0" w:color="auto"/>
            </w:tcBorders>
            <w:shd w:val="clear" w:color="auto" w:fill="D9D9D9"/>
          </w:tcPr>
          <w:p w14:paraId="5FE404AA"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1.145</w:t>
            </w:r>
          </w:p>
        </w:tc>
        <w:tc>
          <w:tcPr>
            <w:tcW w:w="418" w:type="pct"/>
            <w:tcBorders>
              <w:top w:val="single" w:sz="4" w:space="0" w:color="auto"/>
            </w:tcBorders>
            <w:shd w:val="clear" w:color="auto" w:fill="D9D9D9"/>
          </w:tcPr>
          <w:p w14:paraId="4993DB61"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14</w:t>
            </w:r>
          </w:p>
        </w:tc>
        <w:tc>
          <w:tcPr>
            <w:tcW w:w="417" w:type="pct"/>
            <w:tcBorders>
              <w:top w:val="single" w:sz="4" w:space="0" w:color="auto"/>
            </w:tcBorders>
            <w:shd w:val="clear" w:color="auto" w:fill="D9D9D9"/>
          </w:tcPr>
          <w:p w14:paraId="4853E81D"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86</w:t>
            </w:r>
          </w:p>
        </w:tc>
        <w:tc>
          <w:tcPr>
            <w:tcW w:w="432" w:type="pct"/>
            <w:tcBorders>
              <w:top w:val="single" w:sz="4" w:space="0" w:color="auto"/>
            </w:tcBorders>
            <w:shd w:val="clear" w:color="auto" w:fill="D9D9D9"/>
          </w:tcPr>
          <w:p w14:paraId="55FC6C23"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16.1</w:t>
            </w:r>
          </w:p>
        </w:tc>
      </w:tr>
      <w:tr w:rsidR="00FE53E3" w:rsidRPr="00025049" w14:paraId="69C3E3AF" w14:textId="77777777" w:rsidTr="00ED2E8B">
        <w:tc>
          <w:tcPr>
            <w:cnfStyle w:val="001000000000" w:firstRow="0" w:lastRow="0" w:firstColumn="1" w:lastColumn="0" w:oddVBand="0" w:evenVBand="0" w:oddHBand="0" w:evenHBand="0" w:firstRowFirstColumn="0" w:firstRowLastColumn="0" w:lastRowFirstColumn="0" w:lastRowLastColumn="0"/>
            <w:tcW w:w="366" w:type="pct"/>
            <w:vMerge/>
            <w:shd w:val="clear" w:color="auto" w:fill="F2F2F2"/>
            <w:vAlign w:val="center"/>
          </w:tcPr>
          <w:p w14:paraId="14C6EB07" w14:textId="77777777" w:rsidR="00FE53E3" w:rsidRPr="00025049" w:rsidRDefault="00FE53E3" w:rsidP="00ED2E8B">
            <w:pPr>
              <w:pStyle w:val="RSCT03TableBody"/>
              <w:rPr>
                <w:rFonts w:ascii="Arial" w:hAnsi="Arial" w:cs="Arial"/>
                <w:sz w:val="14"/>
                <w:szCs w:val="14"/>
              </w:rPr>
            </w:pPr>
          </w:p>
        </w:tc>
        <w:tc>
          <w:tcPr>
            <w:tcW w:w="362" w:type="pct"/>
            <w:shd w:val="clear" w:color="auto" w:fill="F2F2F2"/>
          </w:tcPr>
          <w:p w14:paraId="2E3318F3"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b/>
                <w:bCs/>
                <w:color w:val="0000FF"/>
                <w:sz w:val="14"/>
                <w:szCs w:val="14"/>
              </w:rPr>
            </w:pPr>
            <w:r w:rsidRPr="00025049">
              <w:rPr>
                <w:rFonts w:ascii="Arial" w:hAnsi="Arial" w:cs="Arial"/>
                <w:b/>
                <w:bCs/>
                <w:color w:val="0000FF"/>
                <w:sz w:val="14"/>
                <w:szCs w:val="14"/>
              </w:rPr>
              <w:t>200</w:t>
            </w:r>
          </w:p>
        </w:tc>
        <w:tc>
          <w:tcPr>
            <w:tcW w:w="276" w:type="pct"/>
            <w:shd w:val="clear" w:color="auto" w:fill="F2F2F2"/>
          </w:tcPr>
          <w:p w14:paraId="7950FEF6"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b/>
                <w:bCs/>
                <w:color w:val="0000FF"/>
                <w:sz w:val="14"/>
                <w:szCs w:val="14"/>
              </w:rPr>
            </w:pPr>
            <w:r w:rsidRPr="00025049">
              <w:rPr>
                <w:rFonts w:ascii="Arial" w:hAnsi="Arial" w:cs="Arial"/>
                <w:b/>
                <w:bCs/>
                <w:color w:val="0000FF"/>
                <w:sz w:val="14"/>
                <w:szCs w:val="14"/>
              </w:rPr>
              <w:t>0.2</w:t>
            </w:r>
          </w:p>
        </w:tc>
        <w:tc>
          <w:tcPr>
            <w:tcW w:w="429" w:type="pct"/>
            <w:shd w:val="clear" w:color="auto" w:fill="F2F2F2"/>
          </w:tcPr>
          <w:p w14:paraId="335217A8"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25049">
              <w:rPr>
                <w:rFonts w:ascii="Arial" w:hAnsi="Arial" w:cs="Arial"/>
                <w:sz w:val="14"/>
                <w:szCs w:val="14"/>
              </w:rPr>
              <w:t>763.5</w:t>
            </w:r>
          </w:p>
        </w:tc>
        <w:tc>
          <w:tcPr>
            <w:tcW w:w="489" w:type="pct"/>
            <w:shd w:val="clear" w:color="auto" w:fill="F2F2F2"/>
          </w:tcPr>
          <w:p w14:paraId="6F625E45"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25049">
              <w:rPr>
                <w:rFonts w:ascii="Arial" w:hAnsi="Arial" w:cs="Arial"/>
                <w:sz w:val="14"/>
                <w:szCs w:val="14"/>
              </w:rPr>
              <w:t>54</w:t>
            </w:r>
          </w:p>
        </w:tc>
        <w:tc>
          <w:tcPr>
            <w:tcW w:w="489" w:type="pct"/>
            <w:shd w:val="clear" w:color="auto" w:fill="F2F2F2"/>
          </w:tcPr>
          <w:p w14:paraId="2BC77FE5"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25049">
              <w:rPr>
                <w:rFonts w:ascii="Arial" w:hAnsi="Arial" w:cs="Arial"/>
                <w:sz w:val="14"/>
                <w:szCs w:val="14"/>
              </w:rPr>
              <w:t>46</w:t>
            </w:r>
          </w:p>
        </w:tc>
        <w:tc>
          <w:tcPr>
            <w:tcW w:w="488" w:type="pct"/>
            <w:shd w:val="clear" w:color="auto" w:fill="F2F2F2"/>
          </w:tcPr>
          <w:p w14:paraId="1F822D5D"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25049">
              <w:rPr>
                <w:rFonts w:ascii="Arial" w:hAnsi="Arial" w:cs="Arial"/>
                <w:sz w:val="14"/>
                <w:szCs w:val="14"/>
              </w:rPr>
              <w:t>1.718</w:t>
            </w:r>
          </w:p>
        </w:tc>
        <w:tc>
          <w:tcPr>
            <w:tcW w:w="419" w:type="pct"/>
            <w:shd w:val="clear" w:color="auto" w:fill="F2F2F2"/>
          </w:tcPr>
          <w:p w14:paraId="601312F6"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25049">
              <w:rPr>
                <w:rFonts w:ascii="Arial" w:hAnsi="Arial" w:cs="Arial"/>
                <w:sz w:val="14"/>
                <w:szCs w:val="14"/>
              </w:rPr>
              <w:t>0.154</w:t>
            </w:r>
          </w:p>
        </w:tc>
        <w:tc>
          <w:tcPr>
            <w:tcW w:w="417" w:type="pct"/>
            <w:shd w:val="clear" w:color="auto" w:fill="F2F2F2"/>
          </w:tcPr>
          <w:p w14:paraId="56CB60D3"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25049">
              <w:rPr>
                <w:rFonts w:ascii="Arial" w:hAnsi="Arial" w:cs="Arial"/>
                <w:sz w:val="14"/>
                <w:szCs w:val="14"/>
              </w:rPr>
              <w:t>1.565</w:t>
            </w:r>
          </w:p>
        </w:tc>
        <w:tc>
          <w:tcPr>
            <w:tcW w:w="418" w:type="pct"/>
            <w:shd w:val="clear" w:color="auto" w:fill="F2F2F2"/>
          </w:tcPr>
          <w:p w14:paraId="534E6959"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25049">
              <w:rPr>
                <w:rFonts w:ascii="Arial" w:hAnsi="Arial" w:cs="Arial"/>
                <w:sz w:val="14"/>
                <w:szCs w:val="14"/>
              </w:rPr>
              <w:t>9</w:t>
            </w:r>
          </w:p>
        </w:tc>
        <w:tc>
          <w:tcPr>
            <w:tcW w:w="417" w:type="pct"/>
            <w:shd w:val="clear" w:color="auto" w:fill="F2F2F2"/>
          </w:tcPr>
          <w:p w14:paraId="022C6E5A"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25049">
              <w:rPr>
                <w:rFonts w:ascii="Arial" w:hAnsi="Arial" w:cs="Arial"/>
                <w:sz w:val="14"/>
                <w:szCs w:val="14"/>
              </w:rPr>
              <w:t>91</w:t>
            </w:r>
          </w:p>
        </w:tc>
        <w:tc>
          <w:tcPr>
            <w:tcW w:w="432" w:type="pct"/>
            <w:shd w:val="clear" w:color="auto" w:fill="F2F2F2"/>
          </w:tcPr>
          <w:p w14:paraId="7D921F33"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25049">
              <w:rPr>
                <w:rFonts w:ascii="Arial" w:hAnsi="Arial" w:cs="Arial"/>
                <w:sz w:val="14"/>
                <w:szCs w:val="14"/>
              </w:rPr>
              <w:t>13.9</w:t>
            </w:r>
          </w:p>
        </w:tc>
      </w:tr>
      <w:tr w:rsidR="00FE53E3" w:rsidRPr="00025049" w14:paraId="588E2CC5" w14:textId="77777777" w:rsidTr="00ED2E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 w:type="pct"/>
            <w:vMerge/>
            <w:tcBorders>
              <w:bottom w:val="single" w:sz="4" w:space="0" w:color="auto"/>
            </w:tcBorders>
            <w:shd w:val="clear" w:color="auto" w:fill="F2F2F2"/>
            <w:vAlign w:val="center"/>
          </w:tcPr>
          <w:p w14:paraId="1B02A098" w14:textId="77777777" w:rsidR="00FE53E3" w:rsidRPr="00025049" w:rsidRDefault="00FE53E3" w:rsidP="00ED2E8B">
            <w:pPr>
              <w:pStyle w:val="RSCT03TableBody"/>
              <w:rPr>
                <w:rFonts w:ascii="Arial" w:hAnsi="Arial" w:cs="Arial"/>
                <w:sz w:val="14"/>
                <w:szCs w:val="14"/>
              </w:rPr>
            </w:pPr>
          </w:p>
        </w:tc>
        <w:tc>
          <w:tcPr>
            <w:tcW w:w="362" w:type="pct"/>
            <w:tcBorders>
              <w:bottom w:val="single" w:sz="4" w:space="0" w:color="auto"/>
            </w:tcBorders>
            <w:shd w:val="clear" w:color="auto" w:fill="D9D9D9"/>
          </w:tcPr>
          <w:p w14:paraId="4ED7AFE6"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b/>
                <w:bCs/>
                <w:color w:val="008000"/>
                <w:sz w:val="14"/>
                <w:szCs w:val="14"/>
              </w:rPr>
            </w:pPr>
            <w:r w:rsidRPr="00025049">
              <w:rPr>
                <w:rFonts w:ascii="Arial" w:hAnsi="Arial" w:cs="Arial"/>
                <w:b/>
                <w:bCs/>
                <w:color w:val="008000"/>
                <w:sz w:val="14"/>
                <w:szCs w:val="14"/>
              </w:rPr>
              <w:t>1000</w:t>
            </w:r>
          </w:p>
        </w:tc>
        <w:tc>
          <w:tcPr>
            <w:tcW w:w="276" w:type="pct"/>
            <w:tcBorders>
              <w:bottom w:val="single" w:sz="4" w:space="0" w:color="auto"/>
            </w:tcBorders>
            <w:shd w:val="clear" w:color="auto" w:fill="D9D9D9"/>
          </w:tcPr>
          <w:p w14:paraId="4383EBBD"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b/>
                <w:bCs/>
                <w:color w:val="008000"/>
                <w:sz w:val="14"/>
                <w:szCs w:val="14"/>
              </w:rPr>
            </w:pPr>
            <w:r w:rsidRPr="00025049">
              <w:rPr>
                <w:rFonts w:ascii="Arial" w:hAnsi="Arial" w:cs="Arial"/>
                <w:b/>
                <w:bCs/>
                <w:color w:val="008000"/>
                <w:sz w:val="14"/>
                <w:szCs w:val="14"/>
              </w:rPr>
              <w:t>0.2</w:t>
            </w:r>
          </w:p>
        </w:tc>
        <w:tc>
          <w:tcPr>
            <w:tcW w:w="429" w:type="pct"/>
            <w:tcBorders>
              <w:bottom w:val="single" w:sz="4" w:space="0" w:color="auto"/>
            </w:tcBorders>
            <w:shd w:val="clear" w:color="auto" w:fill="D9D9D9"/>
          </w:tcPr>
          <w:p w14:paraId="36F77BB1"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643.2</w:t>
            </w:r>
          </w:p>
        </w:tc>
        <w:tc>
          <w:tcPr>
            <w:tcW w:w="489" w:type="pct"/>
            <w:tcBorders>
              <w:bottom w:val="single" w:sz="4" w:space="0" w:color="auto"/>
            </w:tcBorders>
            <w:shd w:val="clear" w:color="auto" w:fill="D9D9D9"/>
          </w:tcPr>
          <w:p w14:paraId="4F50FA76"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92</w:t>
            </w:r>
          </w:p>
        </w:tc>
        <w:tc>
          <w:tcPr>
            <w:tcW w:w="489" w:type="pct"/>
            <w:tcBorders>
              <w:bottom w:val="single" w:sz="4" w:space="0" w:color="auto"/>
            </w:tcBorders>
            <w:shd w:val="clear" w:color="auto" w:fill="D9D9D9"/>
          </w:tcPr>
          <w:p w14:paraId="70A54D71"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8</w:t>
            </w:r>
          </w:p>
        </w:tc>
        <w:tc>
          <w:tcPr>
            <w:tcW w:w="488" w:type="pct"/>
            <w:tcBorders>
              <w:bottom w:val="single" w:sz="4" w:space="0" w:color="auto"/>
            </w:tcBorders>
            <w:shd w:val="clear" w:color="auto" w:fill="D9D9D9"/>
          </w:tcPr>
          <w:p w14:paraId="1098DA52"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0.311</w:t>
            </w:r>
          </w:p>
        </w:tc>
        <w:tc>
          <w:tcPr>
            <w:tcW w:w="419" w:type="pct"/>
            <w:tcBorders>
              <w:bottom w:val="single" w:sz="4" w:space="0" w:color="auto"/>
            </w:tcBorders>
            <w:shd w:val="clear" w:color="auto" w:fill="D9D9D9"/>
          </w:tcPr>
          <w:p w14:paraId="52FC2F6A"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0.229</w:t>
            </w:r>
          </w:p>
        </w:tc>
        <w:tc>
          <w:tcPr>
            <w:tcW w:w="417" w:type="pct"/>
            <w:tcBorders>
              <w:bottom w:val="single" w:sz="4" w:space="0" w:color="auto"/>
            </w:tcBorders>
            <w:shd w:val="clear" w:color="auto" w:fill="D9D9D9"/>
          </w:tcPr>
          <w:p w14:paraId="2FB3D51E"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0.083</w:t>
            </w:r>
          </w:p>
        </w:tc>
        <w:tc>
          <w:tcPr>
            <w:tcW w:w="418" w:type="pct"/>
            <w:tcBorders>
              <w:bottom w:val="single" w:sz="4" w:space="0" w:color="auto"/>
            </w:tcBorders>
            <w:shd w:val="clear" w:color="auto" w:fill="D9D9D9"/>
          </w:tcPr>
          <w:p w14:paraId="2103B10C"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73</w:t>
            </w:r>
          </w:p>
        </w:tc>
        <w:tc>
          <w:tcPr>
            <w:tcW w:w="417" w:type="pct"/>
            <w:tcBorders>
              <w:bottom w:val="single" w:sz="4" w:space="0" w:color="auto"/>
            </w:tcBorders>
            <w:shd w:val="clear" w:color="auto" w:fill="D9D9D9"/>
          </w:tcPr>
          <w:p w14:paraId="25ABE856"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27</w:t>
            </w:r>
          </w:p>
        </w:tc>
        <w:tc>
          <w:tcPr>
            <w:tcW w:w="432" w:type="pct"/>
            <w:tcBorders>
              <w:bottom w:val="single" w:sz="4" w:space="0" w:color="auto"/>
            </w:tcBorders>
            <w:shd w:val="clear" w:color="auto" w:fill="D9D9D9"/>
          </w:tcPr>
          <w:p w14:paraId="4EFCEFF3"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15.3</w:t>
            </w:r>
          </w:p>
        </w:tc>
      </w:tr>
      <w:tr w:rsidR="00FE53E3" w:rsidRPr="00025049" w14:paraId="2C9FFE2B" w14:textId="77777777" w:rsidTr="00ED2E8B">
        <w:tc>
          <w:tcPr>
            <w:cnfStyle w:val="001000000000" w:firstRow="0" w:lastRow="0" w:firstColumn="1" w:lastColumn="0" w:oddVBand="0" w:evenVBand="0" w:oddHBand="0" w:evenHBand="0" w:firstRowFirstColumn="0" w:firstRowLastColumn="0" w:lastRowFirstColumn="0" w:lastRowLastColumn="0"/>
            <w:tcW w:w="366" w:type="pct"/>
            <w:vMerge w:val="restart"/>
            <w:tcBorders>
              <w:top w:val="single" w:sz="4" w:space="0" w:color="auto"/>
            </w:tcBorders>
            <w:shd w:val="clear" w:color="auto" w:fill="F9EDED"/>
            <w:vAlign w:val="center"/>
          </w:tcPr>
          <w:p w14:paraId="61586632" w14:textId="77777777" w:rsidR="00FE53E3" w:rsidRPr="00025049" w:rsidRDefault="00FE53E3" w:rsidP="00ED2E8B">
            <w:pPr>
              <w:pStyle w:val="RSCT03TableBody"/>
              <w:rPr>
                <w:rFonts w:ascii="Arial" w:hAnsi="Arial" w:cs="Arial"/>
                <w:sz w:val="14"/>
                <w:szCs w:val="14"/>
              </w:rPr>
            </w:pPr>
            <w:r w:rsidRPr="00025049">
              <w:rPr>
                <w:rFonts w:ascii="Arial" w:hAnsi="Arial" w:cs="Arial"/>
                <w:sz w:val="14"/>
                <w:szCs w:val="14"/>
              </w:rPr>
              <w:t>NaOH</w:t>
            </w:r>
          </w:p>
        </w:tc>
        <w:tc>
          <w:tcPr>
            <w:tcW w:w="362" w:type="pct"/>
            <w:tcBorders>
              <w:top w:val="single" w:sz="4" w:space="0" w:color="auto"/>
            </w:tcBorders>
            <w:shd w:val="clear" w:color="auto" w:fill="F9EDED"/>
          </w:tcPr>
          <w:p w14:paraId="175563D5"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b/>
                <w:bCs/>
                <w:color w:val="FF0000"/>
                <w:sz w:val="14"/>
                <w:szCs w:val="14"/>
              </w:rPr>
            </w:pPr>
            <w:r w:rsidRPr="00025049">
              <w:rPr>
                <w:rFonts w:ascii="Arial" w:hAnsi="Arial" w:cs="Arial"/>
                <w:b/>
                <w:bCs/>
                <w:color w:val="FF0000"/>
                <w:sz w:val="14"/>
                <w:szCs w:val="14"/>
              </w:rPr>
              <w:t>200</w:t>
            </w:r>
          </w:p>
        </w:tc>
        <w:tc>
          <w:tcPr>
            <w:tcW w:w="276" w:type="pct"/>
            <w:tcBorders>
              <w:top w:val="single" w:sz="4" w:space="0" w:color="auto"/>
            </w:tcBorders>
            <w:shd w:val="clear" w:color="auto" w:fill="F9EDED"/>
          </w:tcPr>
          <w:p w14:paraId="41E3A9C9"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b/>
                <w:bCs/>
                <w:color w:val="FF0000"/>
                <w:sz w:val="14"/>
                <w:szCs w:val="14"/>
              </w:rPr>
            </w:pPr>
            <w:r w:rsidRPr="00025049">
              <w:rPr>
                <w:rFonts w:ascii="Arial" w:hAnsi="Arial" w:cs="Arial"/>
                <w:b/>
                <w:bCs/>
                <w:color w:val="FF0000"/>
                <w:sz w:val="14"/>
                <w:szCs w:val="14"/>
              </w:rPr>
              <w:t>0.05</w:t>
            </w:r>
          </w:p>
        </w:tc>
        <w:tc>
          <w:tcPr>
            <w:tcW w:w="429" w:type="pct"/>
            <w:tcBorders>
              <w:top w:val="single" w:sz="4" w:space="0" w:color="auto"/>
            </w:tcBorders>
            <w:shd w:val="clear" w:color="auto" w:fill="F9EDED"/>
          </w:tcPr>
          <w:p w14:paraId="55F561D4"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25049">
              <w:rPr>
                <w:rFonts w:ascii="Arial" w:hAnsi="Arial" w:cs="Arial"/>
                <w:sz w:val="14"/>
                <w:szCs w:val="14"/>
              </w:rPr>
              <w:t>931.1</w:t>
            </w:r>
          </w:p>
        </w:tc>
        <w:tc>
          <w:tcPr>
            <w:tcW w:w="489" w:type="pct"/>
            <w:tcBorders>
              <w:top w:val="single" w:sz="4" w:space="0" w:color="auto"/>
            </w:tcBorders>
            <w:shd w:val="clear" w:color="auto" w:fill="F9EDED"/>
          </w:tcPr>
          <w:p w14:paraId="41B6EBBD"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25049">
              <w:rPr>
                <w:rFonts w:ascii="Arial" w:hAnsi="Arial" w:cs="Arial"/>
                <w:sz w:val="14"/>
                <w:szCs w:val="14"/>
              </w:rPr>
              <w:t>77</w:t>
            </w:r>
          </w:p>
        </w:tc>
        <w:tc>
          <w:tcPr>
            <w:tcW w:w="489" w:type="pct"/>
            <w:tcBorders>
              <w:top w:val="single" w:sz="4" w:space="0" w:color="auto"/>
            </w:tcBorders>
            <w:shd w:val="clear" w:color="auto" w:fill="F9EDED"/>
          </w:tcPr>
          <w:p w14:paraId="217E96D1"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25049">
              <w:rPr>
                <w:rFonts w:ascii="Arial" w:hAnsi="Arial" w:cs="Arial"/>
                <w:sz w:val="14"/>
                <w:szCs w:val="14"/>
              </w:rPr>
              <w:t>23</w:t>
            </w:r>
          </w:p>
        </w:tc>
        <w:tc>
          <w:tcPr>
            <w:tcW w:w="488" w:type="pct"/>
            <w:tcBorders>
              <w:top w:val="single" w:sz="4" w:space="0" w:color="auto"/>
            </w:tcBorders>
            <w:shd w:val="clear" w:color="auto" w:fill="F9EDED"/>
          </w:tcPr>
          <w:p w14:paraId="106C8BA6"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25049">
              <w:rPr>
                <w:rFonts w:ascii="Arial" w:hAnsi="Arial" w:cs="Arial"/>
                <w:sz w:val="14"/>
                <w:szCs w:val="14"/>
              </w:rPr>
              <w:t>1.195</w:t>
            </w:r>
          </w:p>
        </w:tc>
        <w:tc>
          <w:tcPr>
            <w:tcW w:w="419" w:type="pct"/>
            <w:tcBorders>
              <w:top w:val="single" w:sz="4" w:space="0" w:color="auto"/>
            </w:tcBorders>
            <w:shd w:val="clear" w:color="auto" w:fill="F9EDED"/>
          </w:tcPr>
          <w:p w14:paraId="2F3609DE"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25049">
              <w:rPr>
                <w:rFonts w:ascii="Arial" w:hAnsi="Arial" w:cs="Arial"/>
                <w:sz w:val="14"/>
                <w:szCs w:val="14"/>
              </w:rPr>
              <w:t>0.280</w:t>
            </w:r>
          </w:p>
        </w:tc>
        <w:tc>
          <w:tcPr>
            <w:tcW w:w="417" w:type="pct"/>
            <w:tcBorders>
              <w:top w:val="single" w:sz="4" w:space="0" w:color="auto"/>
            </w:tcBorders>
            <w:shd w:val="clear" w:color="auto" w:fill="F9EDED"/>
          </w:tcPr>
          <w:p w14:paraId="472543B8"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25049">
              <w:rPr>
                <w:rFonts w:ascii="Arial" w:hAnsi="Arial" w:cs="Arial"/>
                <w:sz w:val="14"/>
                <w:szCs w:val="14"/>
              </w:rPr>
              <w:t>0.915</w:t>
            </w:r>
          </w:p>
        </w:tc>
        <w:tc>
          <w:tcPr>
            <w:tcW w:w="418" w:type="pct"/>
            <w:tcBorders>
              <w:top w:val="single" w:sz="4" w:space="0" w:color="auto"/>
            </w:tcBorders>
            <w:shd w:val="clear" w:color="auto" w:fill="F9EDED"/>
          </w:tcPr>
          <w:p w14:paraId="7BA3BAEA"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25049">
              <w:rPr>
                <w:rFonts w:ascii="Arial" w:hAnsi="Arial" w:cs="Arial"/>
                <w:sz w:val="14"/>
                <w:szCs w:val="14"/>
              </w:rPr>
              <w:t>23</w:t>
            </w:r>
          </w:p>
        </w:tc>
        <w:tc>
          <w:tcPr>
            <w:tcW w:w="417" w:type="pct"/>
            <w:tcBorders>
              <w:top w:val="single" w:sz="4" w:space="0" w:color="auto"/>
            </w:tcBorders>
            <w:shd w:val="clear" w:color="auto" w:fill="F9EDED"/>
          </w:tcPr>
          <w:p w14:paraId="53469160"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25049">
              <w:rPr>
                <w:rFonts w:ascii="Arial" w:hAnsi="Arial" w:cs="Arial"/>
                <w:sz w:val="14"/>
                <w:szCs w:val="14"/>
              </w:rPr>
              <w:t>77</w:t>
            </w:r>
          </w:p>
        </w:tc>
        <w:tc>
          <w:tcPr>
            <w:tcW w:w="432" w:type="pct"/>
            <w:tcBorders>
              <w:top w:val="single" w:sz="4" w:space="0" w:color="auto"/>
            </w:tcBorders>
            <w:shd w:val="clear" w:color="auto" w:fill="F9EDED"/>
          </w:tcPr>
          <w:p w14:paraId="5543FF24"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25049">
              <w:rPr>
                <w:rFonts w:ascii="Arial" w:hAnsi="Arial" w:cs="Arial"/>
                <w:sz w:val="14"/>
                <w:szCs w:val="14"/>
              </w:rPr>
              <w:t>16.8</w:t>
            </w:r>
          </w:p>
        </w:tc>
      </w:tr>
      <w:tr w:rsidR="00FE53E3" w:rsidRPr="00025049" w14:paraId="1C7581A7" w14:textId="77777777" w:rsidTr="00ED2E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 w:type="pct"/>
            <w:vMerge/>
            <w:shd w:val="clear" w:color="auto" w:fill="F9EDED"/>
          </w:tcPr>
          <w:p w14:paraId="10E6754A" w14:textId="77777777" w:rsidR="00FE53E3" w:rsidRPr="00025049" w:rsidRDefault="00FE53E3" w:rsidP="00ED2E8B">
            <w:pPr>
              <w:pStyle w:val="RSCT03TableBody"/>
              <w:rPr>
                <w:rFonts w:ascii="Arial" w:hAnsi="Arial" w:cs="Arial"/>
                <w:sz w:val="14"/>
                <w:szCs w:val="14"/>
              </w:rPr>
            </w:pPr>
          </w:p>
        </w:tc>
        <w:tc>
          <w:tcPr>
            <w:tcW w:w="362" w:type="pct"/>
            <w:shd w:val="clear" w:color="auto" w:fill="F2DBDB"/>
          </w:tcPr>
          <w:p w14:paraId="742E5E2A"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b/>
                <w:bCs/>
                <w:color w:val="0000FF"/>
                <w:sz w:val="14"/>
                <w:szCs w:val="14"/>
              </w:rPr>
            </w:pPr>
            <w:r w:rsidRPr="00025049">
              <w:rPr>
                <w:rFonts w:ascii="Arial" w:hAnsi="Arial" w:cs="Arial"/>
                <w:b/>
                <w:bCs/>
                <w:color w:val="0000FF"/>
                <w:sz w:val="14"/>
                <w:szCs w:val="14"/>
              </w:rPr>
              <w:t>200</w:t>
            </w:r>
          </w:p>
        </w:tc>
        <w:tc>
          <w:tcPr>
            <w:tcW w:w="276" w:type="pct"/>
            <w:shd w:val="clear" w:color="auto" w:fill="F2DBDB"/>
          </w:tcPr>
          <w:p w14:paraId="31DF59A2"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b/>
                <w:bCs/>
                <w:color w:val="0000FF"/>
                <w:sz w:val="14"/>
                <w:szCs w:val="14"/>
              </w:rPr>
            </w:pPr>
            <w:r w:rsidRPr="00025049">
              <w:rPr>
                <w:rFonts w:ascii="Arial" w:hAnsi="Arial" w:cs="Arial"/>
                <w:b/>
                <w:bCs/>
                <w:color w:val="0000FF"/>
                <w:sz w:val="14"/>
                <w:szCs w:val="14"/>
              </w:rPr>
              <w:t>0.2</w:t>
            </w:r>
          </w:p>
        </w:tc>
        <w:tc>
          <w:tcPr>
            <w:tcW w:w="429" w:type="pct"/>
            <w:shd w:val="clear" w:color="auto" w:fill="F2DBDB"/>
          </w:tcPr>
          <w:p w14:paraId="607E76BD"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689.8</w:t>
            </w:r>
          </w:p>
        </w:tc>
        <w:tc>
          <w:tcPr>
            <w:tcW w:w="489" w:type="pct"/>
            <w:shd w:val="clear" w:color="auto" w:fill="F2DBDB"/>
          </w:tcPr>
          <w:p w14:paraId="6E9E1729"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63</w:t>
            </w:r>
          </w:p>
        </w:tc>
        <w:tc>
          <w:tcPr>
            <w:tcW w:w="489" w:type="pct"/>
            <w:shd w:val="clear" w:color="auto" w:fill="F2DBDB"/>
          </w:tcPr>
          <w:p w14:paraId="41EB6C51"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37</w:t>
            </w:r>
          </w:p>
        </w:tc>
        <w:tc>
          <w:tcPr>
            <w:tcW w:w="488" w:type="pct"/>
            <w:shd w:val="clear" w:color="auto" w:fill="F2DBDB"/>
          </w:tcPr>
          <w:p w14:paraId="7FA732F8"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1.375</w:t>
            </w:r>
          </w:p>
        </w:tc>
        <w:tc>
          <w:tcPr>
            <w:tcW w:w="419" w:type="pct"/>
            <w:shd w:val="clear" w:color="auto" w:fill="F2DBDB"/>
          </w:tcPr>
          <w:p w14:paraId="4C5B423D"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0.177</w:t>
            </w:r>
          </w:p>
        </w:tc>
        <w:tc>
          <w:tcPr>
            <w:tcW w:w="417" w:type="pct"/>
            <w:shd w:val="clear" w:color="auto" w:fill="F2DBDB"/>
          </w:tcPr>
          <w:p w14:paraId="6408F899"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1.198</w:t>
            </w:r>
          </w:p>
        </w:tc>
        <w:tc>
          <w:tcPr>
            <w:tcW w:w="418" w:type="pct"/>
            <w:shd w:val="clear" w:color="auto" w:fill="F2DBDB"/>
          </w:tcPr>
          <w:p w14:paraId="4735E8A3"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13</w:t>
            </w:r>
          </w:p>
        </w:tc>
        <w:tc>
          <w:tcPr>
            <w:tcW w:w="417" w:type="pct"/>
            <w:shd w:val="clear" w:color="auto" w:fill="F2DBDB"/>
          </w:tcPr>
          <w:p w14:paraId="7A2A93FF"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87</w:t>
            </w:r>
          </w:p>
        </w:tc>
        <w:tc>
          <w:tcPr>
            <w:tcW w:w="432" w:type="pct"/>
            <w:shd w:val="clear" w:color="auto" w:fill="F2DBDB"/>
          </w:tcPr>
          <w:p w14:paraId="4E7C9539"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42.8</w:t>
            </w:r>
          </w:p>
        </w:tc>
      </w:tr>
      <w:tr w:rsidR="00FE53E3" w:rsidRPr="00025049" w14:paraId="181BBA8B" w14:textId="77777777" w:rsidTr="00ED2E8B">
        <w:tc>
          <w:tcPr>
            <w:cnfStyle w:val="001000000000" w:firstRow="0" w:lastRow="0" w:firstColumn="1" w:lastColumn="0" w:oddVBand="0" w:evenVBand="0" w:oddHBand="0" w:evenHBand="0" w:firstRowFirstColumn="0" w:firstRowLastColumn="0" w:lastRowFirstColumn="0" w:lastRowLastColumn="0"/>
            <w:tcW w:w="366" w:type="pct"/>
            <w:vMerge/>
            <w:tcBorders>
              <w:bottom w:val="single" w:sz="4" w:space="0" w:color="auto"/>
            </w:tcBorders>
            <w:shd w:val="clear" w:color="auto" w:fill="F9EDED"/>
          </w:tcPr>
          <w:p w14:paraId="62FBA441" w14:textId="77777777" w:rsidR="00FE53E3" w:rsidRPr="00025049" w:rsidRDefault="00FE53E3" w:rsidP="00ED2E8B">
            <w:pPr>
              <w:pStyle w:val="RSCT03TableBody"/>
              <w:rPr>
                <w:rFonts w:ascii="Arial" w:hAnsi="Arial" w:cs="Arial"/>
                <w:sz w:val="14"/>
                <w:szCs w:val="14"/>
              </w:rPr>
            </w:pPr>
          </w:p>
        </w:tc>
        <w:tc>
          <w:tcPr>
            <w:tcW w:w="362" w:type="pct"/>
            <w:tcBorders>
              <w:bottom w:val="single" w:sz="4" w:space="0" w:color="auto"/>
            </w:tcBorders>
            <w:shd w:val="clear" w:color="auto" w:fill="F9EDED"/>
          </w:tcPr>
          <w:p w14:paraId="6AD9417B"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b/>
                <w:bCs/>
                <w:color w:val="008000"/>
                <w:sz w:val="14"/>
                <w:szCs w:val="14"/>
              </w:rPr>
            </w:pPr>
            <w:r w:rsidRPr="00025049">
              <w:rPr>
                <w:rFonts w:ascii="Arial" w:hAnsi="Arial" w:cs="Arial"/>
                <w:b/>
                <w:bCs/>
                <w:color w:val="008000"/>
                <w:sz w:val="14"/>
                <w:szCs w:val="14"/>
              </w:rPr>
              <w:t>1000</w:t>
            </w:r>
          </w:p>
        </w:tc>
        <w:tc>
          <w:tcPr>
            <w:tcW w:w="276" w:type="pct"/>
            <w:tcBorders>
              <w:bottom w:val="single" w:sz="4" w:space="0" w:color="auto"/>
            </w:tcBorders>
            <w:shd w:val="clear" w:color="auto" w:fill="F9EDED"/>
          </w:tcPr>
          <w:p w14:paraId="2BB1ECCB"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b/>
                <w:bCs/>
                <w:color w:val="008000"/>
                <w:sz w:val="14"/>
                <w:szCs w:val="14"/>
              </w:rPr>
            </w:pPr>
            <w:r w:rsidRPr="00025049">
              <w:rPr>
                <w:rFonts w:ascii="Arial" w:hAnsi="Arial" w:cs="Arial"/>
                <w:b/>
                <w:bCs/>
                <w:color w:val="008000"/>
                <w:sz w:val="14"/>
                <w:szCs w:val="14"/>
              </w:rPr>
              <w:t>0.2</w:t>
            </w:r>
          </w:p>
        </w:tc>
        <w:tc>
          <w:tcPr>
            <w:tcW w:w="429" w:type="pct"/>
            <w:tcBorders>
              <w:bottom w:val="single" w:sz="4" w:space="0" w:color="auto"/>
            </w:tcBorders>
            <w:shd w:val="clear" w:color="auto" w:fill="F9EDED"/>
          </w:tcPr>
          <w:p w14:paraId="63D5EACE"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25049">
              <w:rPr>
                <w:rFonts w:ascii="Arial" w:hAnsi="Arial" w:cs="Arial"/>
                <w:sz w:val="14"/>
                <w:szCs w:val="14"/>
              </w:rPr>
              <w:t>655.6</w:t>
            </w:r>
          </w:p>
        </w:tc>
        <w:tc>
          <w:tcPr>
            <w:tcW w:w="489" w:type="pct"/>
            <w:tcBorders>
              <w:bottom w:val="single" w:sz="4" w:space="0" w:color="auto"/>
            </w:tcBorders>
            <w:shd w:val="clear" w:color="auto" w:fill="F9EDED"/>
          </w:tcPr>
          <w:p w14:paraId="209DD07B"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25049">
              <w:rPr>
                <w:rFonts w:ascii="Arial" w:hAnsi="Arial" w:cs="Arial"/>
                <w:sz w:val="14"/>
                <w:szCs w:val="14"/>
              </w:rPr>
              <w:t>99</w:t>
            </w:r>
          </w:p>
        </w:tc>
        <w:tc>
          <w:tcPr>
            <w:tcW w:w="489" w:type="pct"/>
            <w:tcBorders>
              <w:bottom w:val="single" w:sz="4" w:space="0" w:color="auto"/>
            </w:tcBorders>
            <w:shd w:val="clear" w:color="auto" w:fill="F9EDED"/>
          </w:tcPr>
          <w:p w14:paraId="6153CAE2"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25049">
              <w:rPr>
                <w:rFonts w:ascii="Arial" w:hAnsi="Arial" w:cs="Arial"/>
                <w:sz w:val="14"/>
                <w:szCs w:val="14"/>
              </w:rPr>
              <w:t>1</w:t>
            </w:r>
          </w:p>
        </w:tc>
        <w:tc>
          <w:tcPr>
            <w:tcW w:w="488" w:type="pct"/>
            <w:tcBorders>
              <w:bottom w:val="single" w:sz="4" w:space="0" w:color="auto"/>
            </w:tcBorders>
            <w:shd w:val="clear" w:color="auto" w:fill="F9EDED"/>
          </w:tcPr>
          <w:p w14:paraId="669B35E3"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25049">
              <w:rPr>
                <w:rFonts w:ascii="Arial" w:hAnsi="Arial" w:cs="Arial"/>
                <w:sz w:val="14"/>
                <w:szCs w:val="14"/>
              </w:rPr>
              <w:t>0.249</w:t>
            </w:r>
          </w:p>
        </w:tc>
        <w:tc>
          <w:tcPr>
            <w:tcW w:w="419" w:type="pct"/>
            <w:tcBorders>
              <w:bottom w:val="single" w:sz="4" w:space="0" w:color="auto"/>
            </w:tcBorders>
            <w:shd w:val="clear" w:color="auto" w:fill="F9EDED"/>
          </w:tcPr>
          <w:p w14:paraId="6B6F33FB"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25049">
              <w:rPr>
                <w:rFonts w:ascii="Arial" w:hAnsi="Arial" w:cs="Arial"/>
                <w:sz w:val="14"/>
                <w:szCs w:val="14"/>
              </w:rPr>
              <w:t>0.246</w:t>
            </w:r>
          </w:p>
        </w:tc>
        <w:tc>
          <w:tcPr>
            <w:tcW w:w="417" w:type="pct"/>
            <w:tcBorders>
              <w:bottom w:val="single" w:sz="4" w:space="0" w:color="auto"/>
            </w:tcBorders>
            <w:shd w:val="clear" w:color="auto" w:fill="F9EDED"/>
          </w:tcPr>
          <w:p w14:paraId="242A2151"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25049">
              <w:rPr>
                <w:rFonts w:ascii="Arial" w:hAnsi="Arial" w:cs="Arial"/>
                <w:sz w:val="14"/>
                <w:szCs w:val="14"/>
              </w:rPr>
              <w:t>0.003</w:t>
            </w:r>
          </w:p>
        </w:tc>
        <w:tc>
          <w:tcPr>
            <w:tcW w:w="418" w:type="pct"/>
            <w:tcBorders>
              <w:bottom w:val="single" w:sz="4" w:space="0" w:color="auto"/>
            </w:tcBorders>
            <w:shd w:val="clear" w:color="auto" w:fill="F9EDED"/>
          </w:tcPr>
          <w:p w14:paraId="7F4CE116"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25049">
              <w:rPr>
                <w:rFonts w:ascii="Arial" w:hAnsi="Arial" w:cs="Arial"/>
                <w:sz w:val="14"/>
                <w:szCs w:val="14"/>
              </w:rPr>
              <w:t>99</w:t>
            </w:r>
          </w:p>
        </w:tc>
        <w:tc>
          <w:tcPr>
            <w:tcW w:w="417" w:type="pct"/>
            <w:tcBorders>
              <w:bottom w:val="single" w:sz="4" w:space="0" w:color="auto"/>
            </w:tcBorders>
            <w:shd w:val="clear" w:color="auto" w:fill="F9EDED"/>
          </w:tcPr>
          <w:p w14:paraId="4363FFD4"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25049">
              <w:rPr>
                <w:rFonts w:ascii="Arial" w:hAnsi="Arial" w:cs="Arial"/>
                <w:sz w:val="14"/>
                <w:szCs w:val="14"/>
              </w:rPr>
              <w:t>1</w:t>
            </w:r>
          </w:p>
        </w:tc>
        <w:tc>
          <w:tcPr>
            <w:tcW w:w="432" w:type="pct"/>
            <w:tcBorders>
              <w:bottom w:val="single" w:sz="4" w:space="0" w:color="auto"/>
            </w:tcBorders>
            <w:shd w:val="clear" w:color="auto" w:fill="F9EDED"/>
          </w:tcPr>
          <w:p w14:paraId="6E5A4526"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25049">
              <w:rPr>
                <w:rFonts w:ascii="Arial" w:hAnsi="Arial" w:cs="Arial"/>
                <w:sz w:val="14"/>
                <w:szCs w:val="14"/>
              </w:rPr>
              <w:t>2.2</w:t>
            </w:r>
          </w:p>
        </w:tc>
      </w:tr>
    </w:tbl>
    <w:p w14:paraId="7AD02429" w14:textId="77777777" w:rsidR="00FE53E3" w:rsidRPr="00025049" w:rsidRDefault="00FE53E3" w:rsidP="00FE53E3">
      <w:pPr>
        <w:pStyle w:val="Caption"/>
        <w:spacing w:before="60" w:after="240"/>
      </w:pPr>
      <w:r w:rsidRPr="00025049">
        <w:rPr>
          <w:b w:val="0"/>
          <w:bCs w:val="0"/>
          <w:i/>
          <w:iCs/>
        </w:rPr>
        <w:t>Considering pore size diameter of the Micro(pore) &lt;2 nm and Meso</w:t>
      </w:r>
      <w:r w:rsidRPr="00025049">
        <w:rPr>
          <w:rFonts w:cs="Calibri"/>
          <w:b w:val="0"/>
          <w:bCs w:val="0"/>
          <w:i/>
          <w:iCs/>
        </w:rPr>
        <w:t>(pore)</w:t>
      </w:r>
      <w:r w:rsidRPr="00025049">
        <w:rPr>
          <w:b w:val="0"/>
          <w:bCs w:val="0"/>
          <w:i/>
          <w:iCs/>
        </w:rPr>
        <w:t xml:space="preserve"> between 2 to 50 nm.</w:t>
      </w:r>
    </w:p>
    <w:p w14:paraId="1E08258B" w14:textId="77777777" w:rsidR="00FE53E3" w:rsidRPr="00025049" w:rsidRDefault="00FE53E3" w:rsidP="00FE53E3">
      <w:pPr>
        <w:rPr>
          <w:lang w:eastAsia="en-GB"/>
        </w:rPr>
        <w:sectPr w:rsidR="00FE53E3" w:rsidRPr="00025049" w:rsidSect="00507D01">
          <w:type w:val="continuous"/>
          <w:pgSz w:w="11906" w:h="16838" w:code="9"/>
          <w:pgMar w:top="1673" w:right="936" w:bottom="1134" w:left="936" w:header="709" w:footer="709" w:gutter="0"/>
          <w:cols w:space="284"/>
          <w:docGrid w:linePitch="360"/>
        </w:sectPr>
      </w:pPr>
    </w:p>
    <w:p w14:paraId="399507A9" w14:textId="77777777" w:rsidR="00FE53E3" w:rsidRPr="00025049" w:rsidRDefault="00FE53E3" w:rsidP="00FE53E3">
      <w:pPr>
        <w:pStyle w:val="P1"/>
        <w:rPr>
          <w:lang w:val="en-GB"/>
        </w:rPr>
      </w:pPr>
      <w:r w:rsidRPr="00025049">
        <w:rPr>
          <w:lang w:val="en-GB"/>
        </w:rPr>
        <w:t xml:space="preserve">The 200|0.2 loses its symmetry obtaining different shapes for adsorption and desorption, </w:t>
      </w:r>
      <w:r w:rsidRPr="00025049">
        <w:rPr>
          <w:b/>
          <w:lang w:val="en-GB"/>
        </w:rPr>
        <w:fldChar w:fldCharType="begin"/>
      </w:r>
      <w:r w:rsidRPr="00025049">
        <w:rPr>
          <w:b/>
          <w:lang w:val="en-GB"/>
        </w:rPr>
        <w:instrText xml:space="preserve"> REF _Ref69818388 \h  \* MERGEFORMAT </w:instrText>
      </w:r>
      <w:r w:rsidRPr="00025049">
        <w:rPr>
          <w:b/>
          <w:lang w:val="en-GB"/>
        </w:rPr>
      </w:r>
      <w:r w:rsidRPr="00025049">
        <w:rPr>
          <w:b/>
          <w:lang w:val="en-GB"/>
        </w:rPr>
        <w:fldChar w:fldCharType="separate"/>
      </w:r>
      <w:r w:rsidRPr="00AB3850">
        <w:rPr>
          <w:b/>
          <w:lang w:val="en-GB"/>
        </w:rPr>
        <w:t xml:space="preserve">Figure </w:t>
      </w:r>
      <w:r w:rsidRPr="00AB3850">
        <w:rPr>
          <w:b/>
          <w:noProof/>
          <w:lang w:val="en-GB"/>
        </w:rPr>
        <w:t>2</w:t>
      </w:r>
      <w:r w:rsidRPr="00025049">
        <w:rPr>
          <w:b/>
          <w:lang w:val="en-GB"/>
        </w:rPr>
        <w:fldChar w:fldCharType="end"/>
      </w:r>
      <w:r w:rsidRPr="00025049">
        <w:rPr>
          <w:b/>
          <w:bCs/>
          <w:lang w:val="en-GB"/>
        </w:rPr>
        <w:t>e</w:t>
      </w:r>
      <w:r w:rsidRPr="00025049">
        <w:rPr>
          <w:lang w:val="en-GB"/>
        </w:rPr>
        <w:t xml:space="preserve">. This is an indication of the formation of pore necks. </w:t>
      </w:r>
      <w:r w:rsidRPr="00025049">
        <w:rPr>
          <w:b/>
          <w:lang w:val="en-GB"/>
        </w:rPr>
        <w:fldChar w:fldCharType="begin"/>
      </w:r>
      <w:r w:rsidRPr="00025049">
        <w:rPr>
          <w:b/>
          <w:lang w:val="en-GB"/>
        </w:rPr>
        <w:instrText xml:space="preserve"> REF _Ref69818388 \h  \* MERGEFORMAT </w:instrText>
      </w:r>
      <w:r w:rsidRPr="00025049">
        <w:rPr>
          <w:b/>
          <w:lang w:val="en-GB"/>
        </w:rPr>
      </w:r>
      <w:r w:rsidRPr="00025049">
        <w:rPr>
          <w:b/>
          <w:lang w:val="en-GB"/>
        </w:rPr>
        <w:fldChar w:fldCharType="separate"/>
      </w:r>
      <w:r w:rsidRPr="00AB3850">
        <w:rPr>
          <w:b/>
          <w:lang w:val="en-GB"/>
        </w:rPr>
        <w:t xml:space="preserve">Figure </w:t>
      </w:r>
      <w:r w:rsidRPr="00AB3850">
        <w:rPr>
          <w:b/>
          <w:noProof/>
          <w:lang w:val="en-GB"/>
        </w:rPr>
        <w:t>2</w:t>
      </w:r>
      <w:r w:rsidRPr="00025049">
        <w:rPr>
          <w:b/>
          <w:lang w:val="en-GB"/>
        </w:rPr>
        <w:fldChar w:fldCharType="end"/>
      </w:r>
      <w:r w:rsidRPr="00025049">
        <w:rPr>
          <w:b/>
          <w:bCs/>
          <w:lang w:val="en-GB"/>
        </w:rPr>
        <w:t>c</w:t>
      </w:r>
      <w:r w:rsidRPr="00025049">
        <w:rPr>
          <w:lang w:val="en-GB"/>
        </w:rPr>
        <w:t xml:space="preserve"> and </w:t>
      </w:r>
      <w:r w:rsidRPr="00025049">
        <w:rPr>
          <w:b/>
          <w:bCs/>
          <w:lang w:val="en-GB"/>
        </w:rPr>
        <w:t>f</w:t>
      </w:r>
      <w:r w:rsidRPr="00025049">
        <w:rPr>
          <w:lang w:val="en-GB"/>
        </w:rPr>
        <w:t xml:space="preserve"> show the external and micropore areas of the different aerogels. The total surface areas of all samples are quite close to each other, being within 25% of the mean surface area for all the samples. However, there is a significant variation between internal and external surface areas. For the 200|0.05 and 200|0.2 samples the %microporous area is similar although the average value of the ratio depends on the catalyst being about 50% for Na</w:t>
      </w:r>
      <w:r w:rsidRPr="00025049">
        <w:rPr>
          <w:vertAlign w:val="subscript"/>
          <w:lang w:val="en-GB"/>
        </w:rPr>
        <w:t>2</w:t>
      </w:r>
      <w:r w:rsidRPr="00025049">
        <w:rPr>
          <w:lang w:val="en-GB"/>
        </w:rPr>
        <w:t>CO</w:t>
      </w:r>
      <w:r w:rsidRPr="00025049">
        <w:rPr>
          <w:vertAlign w:val="subscript"/>
          <w:lang w:val="en-GB"/>
        </w:rPr>
        <w:t>3</w:t>
      </w:r>
      <w:r w:rsidRPr="00025049">
        <w:rPr>
          <w:lang w:val="en-GB"/>
        </w:rPr>
        <w:t xml:space="preserve"> and 70% for NaOH. In contrast, the 1000|0.2 sample gives close to 100% microporous </w:t>
      </w:r>
      <w:r w:rsidRPr="00716831">
        <w:rPr>
          <w:lang w:val="en-GB"/>
        </w:rPr>
        <w:t>area, w</w:t>
      </w:r>
      <w:r w:rsidRPr="00025049">
        <w:rPr>
          <w:lang w:val="en-GB"/>
        </w:rPr>
        <w:t xml:space="preserve">hich is correlated </w:t>
      </w:r>
      <w:r w:rsidRPr="004A2C86">
        <w:rPr>
          <w:lang w:val="en-GB"/>
        </w:rPr>
        <w:t xml:space="preserve">with </w:t>
      </w:r>
      <w:r w:rsidRPr="004A2C86">
        <w:rPr>
          <w:b/>
          <w:lang w:val="en-GB"/>
        </w:rPr>
        <w:fldChar w:fldCharType="begin"/>
      </w:r>
      <w:r w:rsidRPr="004A2C86">
        <w:rPr>
          <w:b/>
          <w:lang w:val="en-GB"/>
        </w:rPr>
        <w:instrText xml:space="preserve"> REF _Ref69818388 \h  \* MERGEFORMAT </w:instrText>
      </w:r>
      <w:r w:rsidRPr="004A2C86">
        <w:rPr>
          <w:b/>
          <w:lang w:val="en-GB"/>
        </w:rPr>
      </w:r>
      <w:r w:rsidRPr="004A2C86">
        <w:rPr>
          <w:b/>
          <w:lang w:val="en-GB"/>
        </w:rPr>
        <w:fldChar w:fldCharType="separate"/>
      </w:r>
      <w:r w:rsidRPr="00AB3850">
        <w:rPr>
          <w:b/>
          <w:lang w:val="en-GB"/>
        </w:rPr>
        <w:t xml:space="preserve">Figure </w:t>
      </w:r>
      <w:r w:rsidRPr="00AB3850">
        <w:rPr>
          <w:b/>
          <w:noProof/>
          <w:lang w:val="en-GB"/>
        </w:rPr>
        <w:t>2</w:t>
      </w:r>
      <w:r w:rsidRPr="004A2C86">
        <w:rPr>
          <w:b/>
          <w:lang w:val="en-GB"/>
        </w:rPr>
        <w:fldChar w:fldCharType="end"/>
      </w:r>
      <w:r w:rsidRPr="004A2C86">
        <w:rPr>
          <w:b/>
          <w:bCs/>
          <w:lang w:val="en-GB"/>
        </w:rPr>
        <w:t>a</w:t>
      </w:r>
      <w:r w:rsidRPr="004A2C86">
        <w:rPr>
          <w:lang w:val="en-GB"/>
        </w:rPr>
        <w:t>, which shows a high level of microporous structure in the aerogel (</w:t>
      </w:r>
      <w:r w:rsidRPr="004A2C86">
        <w:rPr>
          <w:b/>
          <w:bCs/>
          <w:lang w:val="en-GB"/>
        </w:rPr>
        <w:fldChar w:fldCharType="begin"/>
      </w:r>
      <w:r w:rsidRPr="004A2C86">
        <w:rPr>
          <w:b/>
          <w:bCs/>
          <w:lang w:val="en-GB"/>
        </w:rPr>
        <w:instrText xml:space="preserve"> REF _Ref69818269 \h  \* MERGEFORMAT </w:instrText>
      </w:r>
      <w:r w:rsidRPr="004A2C86">
        <w:rPr>
          <w:b/>
          <w:bCs/>
          <w:lang w:val="en-GB"/>
        </w:rPr>
      </w:r>
      <w:r w:rsidRPr="004A2C86">
        <w:rPr>
          <w:b/>
          <w:bCs/>
          <w:lang w:val="en-GB"/>
        </w:rPr>
        <w:fldChar w:fldCharType="separate"/>
      </w:r>
      <w:r w:rsidRPr="00AB3850">
        <w:rPr>
          <w:b/>
          <w:bCs/>
          <w:lang w:val="en-GB"/>
        </w:rPr>
        <w:t>Table</w:t>
      </w:r>
      <w:r w:rsidRPr="00025049">
        <w:rPr>
          <w:b/>
          <w:bCs/>
        </w:rPr>
        <w:t xml:space="preserve"> </w:t>
      </w:r>
      <w:r>
        <w:rPr>
          <w:b/>
          <w:bCs/>
          <w:noProof/>
        </w:rPr>
        <w:t>1</w:t>
      </w:r>
      <w:r w:rsidRPr="004A2C86">
        <w:rPr>
          <w:b/>
          <w:bCs/>
          <w:lang w:val="en-GB"/>
        </w:rPr>
        <w:fldChar w:fldCharType="end"/>
      </w:r>
      <w:r w:rsidRPr="004A2C86">
        <w:rPr>
          <w:lang w:val="en-GB"/>
        </w:rPr>
        <w:t>)</w:t>
      </w:r>
      <w:r w:rsidRPr="00025049">
        <w:rPr>
          <w:lang w:val="en-GB"/>
        </w:rPr>
        <w:t xml:space="preserve">. The effect of the pore size was modelled by Huang </w:t>
      </w:r>
      <w:r w:rsidRPr="00025049">
        <w:rPr>
          <w:i/>
          <w:iCs/>
          <w:lang w:val="en-GB"/>
        </w:rPr>
        <w:t>et al.</w:t>
      </w:r>
      <w:r w:rsidRPr="00025049">
        <w:rPr>
          <w:iCs/>
          <w:noProof/>
          <w:lang w:val="en-GB"/>
        </w:rPr>
        <w:fldChar w:fldCharType="begin"/>
      </w:r>
      <w:r>
        <w:rPr>
          <w:iCs/>
          <w:noProof/>
          <w:lang w:val="en-GB"/>
        </w:rPr>
        <w:instrText xml:space="preserve"> ADDIN EN.CITE &lt;EndNote&gt;&lt;Cite&gt;&lt;Author&gt;Huang&lt;/Author&gt;&lt;Year&gt;2008&lt;/Year&gt;&lt;RecNum&gt;31&lt;/RecNum&gt;&lt;IDText&gt;and electrolytes&lt;/IDText&gt;&lt;DisplayText&gt;&lt;style face="superscript"&gt;[19]&lt;/style&gt;&lt;/DisplayText&gt;&lt;record&gt;&lt;rec-number&gt;31&lt;/rec-number&gt;&lt;foreign-keys&gt;&lt;key app="EN" db-id="ppwxts2s6f5tsrefwwt5sstvtpasvsep055t" timestamp="1628529868"&gt;31&lt;/key&gt;&lt;/foreign-keys&gt;&lt;ref-type name="Journal Article"&gt;17&lt;/ref-type&gt;&lt;contributors&gt;&lt;authors&gt;&lt;author&gt;Huang, Jingsong&lt;/author&gt;&lt;author&gt;Sumpter, Bobby G. G.&lt;/author&gt;&lt;author&gt;Meunier, Vincent&lt;/author&gt;&lt;/authors&gt;&lt;/contributors&gt;&lt;titles&gt;&lt;title&gt;A universal model for nanoporous carbon supercapacitors applicable to diverse pore regimes, carbon materials, and electrolytes&lt;/title&gt;&lt;secondary-title&gt;Chemistry - A European Journal&lt;/secondary-title&gt;&lt;/titles&gt;&lt;periodical&gt;&lt;full-title&gt;Chemistry - A European Journal&lt;/full-title&gt;&lt;/periodical&gt;&lt;pages&gt;6614-6626&lt;/pages&gt;&lt;volume&gt;14&lt;/volume&gt;&lt;number&gt;22&lt;/number&gt;&lt;keywords&gt;&lt;keyword&gt;Carbon&lt;/keyword&gt;&lt;keyword&gt;Density functional calculations&lt;/keyword&gt;&lt;keyword&gt;Electric double layer&lt;/keyword&gt;&lt;keyword&gt;Mesoporous materials&lt;/keyword&gt;&lt;keyword&gt;Supercapacitors&lt;/keyword&gt;&lt;/keywords&gt;&lt;dates&gt;&lt;year&gt;2008&lt;/year&gt;&lt;/dates&gt;&lt;publisher&gt;John Wiley &amp;amp; Sons, Ltd&lt;/publisher&gt;&lt;urls&gt;&lt;related-urls&gt;&lt;url&gt;http://doi.wiley.com/10.1002/chem.200800639&lt;/url&gt;&lt;/related-urls&gt;&lt;/urls&gt;&lt;electronic-resource-num&gt;10.1002/chem.200800639&lt;/electronic-resource-num&gt;&lt;/record&gt;&lt;/Cite&gt;&lt;/EndNote&gt;</w:instrText>
      </w:r>
      <w:r w:rsidRPr="00025049">
        <w:rPr>
          <w:iCs/>
          <w:noProof/>
          <w:lang w:val="en-GB"/>
        </w:rPr>
        <w:fldChar w:fldCharType="separate"/>
      </w:r>
      <w:r w:rsidRPr="00156886">
        <w:rPr>
          <w:iCs/>
          <w:noProof/>
          <w:vertAlign w:val="superscript"/>
          <w:lang w:val="en-GB"/>
        </w:rPr>
        <w:t>[19]</w:t>
      </w:r>
      <w:r w:rsidRPr="00025049">
        <w:rPr>
          <w:iCs/>
          <w:noProof/>
          <w:lang w:val="en-GB"/>
        </w:rPr>
        <w:fldChar w:fldCharType="end"/>
      </w:r>
      <w:r w:rsidRPr="00025049">
        <w:rPr>
          <w:lang w:val="en-GB"/>
        </w:rPr>
        <w:t xml:space="preserve"> for organic and aqueous electrolytes and different pore regimes, mentioning </w:t>
      </w:r>
      <w:r w:rsidRPr="008A6963">
        <w:rPr>
          <w:lang w:val="en-GB"/>
        </w:rPr>
        <w:t xml:space="preserve">that, </w:t>
      </w:r>
      <w:r w:rsidRPr="00025049">
        <w:rPr>
          <w:lang w:val="en-GB"/>
        </w:rPr>
        <w:t xml:space="preserve">for aqueous electrolytes the influence of the micropore materials in energy densities is minimal compared with mesopores. On the other hand, Sillars </w:t>
      </w:r>
      <w:r w:rsidRPr="00025049">
        <w:rPr>
          <w:i/>
          <w:iCs/>
          <w:lang w:val="en-GB"/>
        </w:rPr>
        <w:t>et al</w:t>
      </w:r>
      <w:r w:rsidRPr="00025049">
        <w:rPr>
          <w:lang w:val="en-GB"/>
        </w:rPr>
        <w:t>.</w:t>
      </w:r>
      <w:r w:rsidRPr="00025049">
        <w:rPr>
          <w:noProof/>
          <w:lang w:val="en-GB"/>
        </w:rPr>
        <w:fldChar w:fldCharType="begin"/>
      </w:r>
      <w:r>
        <w:rPr>
          <w:noProof/>
          <w:lang w:val="en-GB"/>
        </w:rPr>
        <w:instrText xml:space="preserve"> ADDIN EN.CITE &lt;EndNote&gt;&lt;Cite ExcludeYear="1"&gt;&lt;Author&gt;Sillars&lt;/Author&gt;&lt;Year&gt;2011&lt;/Year&gt;&lt;RecNum&gt;32&lt;/RecNum&gt;&lt;DisplayText&gt;&lt;style face="superscript"&gt;[20]&lt;/style&gt;&lt;/DisplayText&gt;&lt;record&gt;&lt;rec-number&gt;32&lt;/rec-number&gt;&lt;foreign-keys&gt;&lt;key app="EN" db-id="ppwxts2s6f5tsrefwwt5sstvtpasvsep055t" timestamp="1628529868"&gt;32&lt;/key&gt;&lt;/foreign-keys&gt;&lt;ref-type name="Journal Article"&gt;17&lt;/ref-type&gt;&lt;contributors&gt;&lt;authors&gt;&lt;author&gt;Sillars, Fiona B.&lt;/author&gt;&lt;author&gt;Fletcher, S. Isobel&lt;/author&gt;&lt;author&gt;Mirzaeian, Mojtaba&lt;/author&gt;&lt;author&gt;Hall, Peter J.&lt;/author&gt;&lt;/authors&gt;&lt;/contributors&gt;&lt;titles&gt;&lt;title&gt;Effect of activated carbon xerogel pore size on the capacitance performance of ionic liquid electrolytes&lt;/title&gt;&lt;secondary-title&gt;Energy Environ. Sci.&lt;/secondary-title&gt;&lt;/titles&gt;&lt;periodical&gt;&lt;full-title&gt;Energy Environ. Sci.&lt;/full-title&gt;&lt;/periodical&gt;&lt;pages&gt;695-706&lt;/pages&gt;&lt;volume&gt;4&lt;/volume&gt;&lt;number&gt;3&lt;/number&gt;&lt;dates&gt;&lt;year&gt;2011&lt;/year&gt;&lt;/dates&gt;&lt;publisher&gt;The Royal Society of Chemistry&lt;/publisher&gt;&lt;urls&gt;&lt;related-urls&gt;&lt;url&gt;http://xlink.rsc.org/?DOI=C0EE00337A&lt;/url&gt;&lt;/related-urls&gt;&lt;/urls&gt;&lt;electronic-resource-num&gt;10.1039/C0EE00337A&lt;/electronic-resource-num&gt;&lt;/record&gt;&lt;/Cite&gt;&lt;/EndNote&gt;</w:instrText>
      </w:r>
      <w:r w:rsidRPr="00025049">
        <w:rPr>
          <w:noProof/>
          <w:lang w:val="en-GB"/>
        </w:rPr>
        <w:fldChar w:fldCharType="separate"/>
      </w:r>
      <w:r w:rsidRPr="00156886">
        <w:rPr>
          <w:noProof/>
          <w:vertAlign w:val="superscript"/>
          <w:lang w:val="en-GB"/>
        </w:rPr>
        <w:t>[20]</w:t>
      </w:r>
      <w:r w:rsidRPr="00025049">
        <w:rPr>
          <w:noProof/>
          <w:lang w:val="en-GB"/>
        </w:rPr>
        <w:fldChar w:fldCharType="end"/>
      </w:r>
      <w:r w:rsidRPr="00025049">
        <w:rPr>
          <w:lang w:val="en-GB"/>
        </w:rPr>
        <w:t xml:space="preserve"> investigated the influence in the capacitance of aerogels with different pore sizes using ionic liquids (ILs), and concluded that for the optimum capacitance and rate performance the pore size is different, achieving better mass transport with a pore size of around 6.5 nm and the optimal pore size for the capacitance of 4.5 nm. </w:t>
      </w:r>
    </w:p>
    <w:p w14:paraId="2553A0C8" w14:textId="77777777" w:rsidR="00FE53E3" w:rsidRPr="00007677" w:rsidRDefault="00FE53E3" w:rsidP="00FE53E3">
      <w:pPr>
        <w:pStyle w:val="P1"/>
        <w:rPr>
          <w:color w:val="000000" w:themeColor="text1"/>
          <w:lang w:val="en-GB"/>
        </w:rPr>
      </w:pPr>
      <w:r w:rsidRPr="00025049">
        <w:rPr>
          <w:lang w:val="en-GB"/>
        </w:rPr>
        <w:t xml:space="preserve">To understand how the </w:t>
      </w:r>
      <w:r w:rsidRPr="00025049">
        <w:rPr>
          <w:color w:val="000000"/>
          <w:lang w:val="en-GB"/>
        </w:rPr>
        <w:t xml:space="preserve">porosity of the </w:t>
      </w:r>
      <w:r w:rsidRPr="004A2C86">
        <w:rPr>
          <w:lang w:val="en-GB"/>
        </w:rPr>
        <w:t>CAG thin</w:t>
      </w:r>
      <w:r>
        <w:rPr>
          <w:color w:val="000000"/>
          <w:lang w:val="en-GB"/>
        </w:rPr>
        <w:t xml:space="preserve"> </w:t>
      </w:r>
      <w:r w:rsidRPr="00025049">
        <w:rPr>
          <w:color w:val="000000"/>
          <w:lang w:val="en-GB"/>
        </w:rPr>
        <w:t xml:space="preserve">electrodes influences the electrochemical performance in </w:t>
      </w:r>
      <w:r w:rsidRPr="00007677">
        <w:rPr>
          <w:color w:val="000000" w:themeColor="text1"/>
          <w:lang w:val="en-GB"/>
        </w:rPr>
        <w:t>a thin electrode Zero-Gap RFB setup with only one electrode in each side, all electrodes were tested using the same electrode structure as anode and cathode. The polarization curves were measured with a 100% SoC electrolyte. This is a very useful method to test the electrodes and assess how the CAG structure affects mass transport and ohmic drop as a function of current density.</w:t>
      </w:r>
      <w:r w:rsidRPr="00007677">
        <w:rPr>
          <w:noProof/>
          <w:color w:val="000000" w:themeColor="text1"/>
          <w:lang w:val="en-GB"/>
        </w:rPr>
        <w:fldChar w:fldCharType="begin"/>
      </w:r>
      <w:r>
        <w:rPr>
          <w:noProof/>
          <w:color w:val="000000" w:themeColor="text1"/>
          <w:lang w:val="en-GB"/>
        </w:rPr>
        <w:instrText xml:space="preserve"> ADDIN EN.CITE &lt;EndNote&gt;&lt;Cite ExcludeYear="1"&gt;&lt;Author&gt;Aaron&lt;/Author&gt;&lt;Year&gt;2011&lt;/Year&gt;&lt;RecNum&gt;33&lt;/RecNum&gt;&lt;DisplayText&gt;&lt;style face="superscript"&gt;[21]&lt;/style&gt;&lt;/DisplayText&gt;&lt;record&gt;&lt;rec-number&gt;33&lt;/rec-number&gt;&lt;foreign-keys&gt;&lt;key app="EN" db-id="ppwxts2s6f5tsrefwwt5sstvtpasvsep055t" timestamp="1628529868"&gt;33&lt;/key&gt;&lt;/foreign-keys&gt;&lt;ref-type name="Journal Article"&gt;17&lt;/ref-type&gt;&lt;contributors&gt;&lt;authors&gt;&lt;author&gt;Aaron, Doug&lt;/author&gt;&lt;author&gt;Tang, Zhijiang&lt;/author&gt;&lt;author&gt;Papandrew, Alexander B.&lt;/author&gt;&lt;author&gt;Zawodzinski, Thomas A.&lt;/author&gt;&lt;/authors&gt;&lt;/contributors&gt;&lt;titles&gt;&lt;title&gt;Polarization curve analysis of all-vanadium redox flow batteries&lt;/title&gt;&lt;secondary-title&gt;Journal of Applied Electrochemistry&lt;/secondary-title&gt;&lt;/titles&gt;&lt;periodical&gt;&lt;full-title&gt;Journal of Applied Electrochemistry&lt;/full-title&gt;&lt;/periodical&gt;&lt;pages&gt;1175-1182&lt;/pages&gt;&lt;volume&gt;41&lt;/volume&gt;&lt;number&gt;10&lt;/number&gt;&lt;keywords&gt;&lt;keyword&gt;Flow battery&lt;/keyword&gt;&lt;keyword&gt;Polarization curve&lt;/keyword&gt;&lt;keyword&gt;RFB&lt;/keyword&gt;&lt;keyword&gt;VRB&lt;/keyword&gt;&lt;keyword&gt;Vanadium redox flow battery&lt;/keyword&gt;&lt;/keywords&gt;&lt;dates&gt;&lt;year&gt;2011&lt;/year&gt;&lt;/dates&gt;&lt;publisher&gt;Springer Netherlands&lt;/publisher&gt;&lt;urls&gt;&lt;related-urls&gt;&lt;url&gt;http://link.springer.com/10.1007/s10800-011-0335-7&lt;/url&gt;&lt;/related-urls&gt;&lt;/urls&gt;&lt;electronic-resource-num&gt;10.1007/s10800-011-0335-7&lt;/electronic-resource-num&gt;&lt;/record&gt;&lt;/Cite&gt;&lt;/EndNote&gt;</w:instrText>
      </w:r>
      <w:r w:rsidRPr="00007677">
        <w:rPr>
          <w:noProof/>
          <w:color w:val="000000" w:themeColor="text1"/>
          <w:lang w:val="en-GB"/>
        </w:rPr>
        <w:fldChar w:fldCharType="separate"/>
      </w:r>
      <w:r w:rsidRPr="00156886">
        <w:rPr>
          <w:noProof/>
          <w:color w:val="000000" w:themeColor="text1"/>
          <w:vertAlign w:val="superscript"/>
          <w:lang w:val="en-GB"/>
        </w:rPr>
        <w:t>[21]</w:t>
      </w:r>
      <w:r w:rsidRPr="00007677">
        <w:rPr>
          <w:noProof/>
          <w:color w:val="000000" w:themeColor="text1"/>
          <w:lang w:val="en-GB"/>
        </w:rPr>
        <w:fldChar w:fldCharType="end"/>
      </w:r>
      <w:r w:rsidRPr="00007677">
        <w:rPr>
          <w:color w:val="000000" w:themeColor="text1"/>
          <w:lang w:val="en-GB"/>
        </w:rPr>
        <w:t xml:space="preserve"> From </w:t>
      </w:r>
      <w:r w:rsidRPr="00007677">
        <w:rPr>
          <w:b/>
          <w:color w:val="000000" w:themeColor="text1"/>
          <w:lang w:val="en-GB"/>
        </w:rPr>
        <w:fldChar w:fldCharType="begin"/>
      </w:r>
      <w:r w:rsidRPr="00007677">
        <w:rPr>
          <w:b/>
          <w:color w:val="000000" w:themeColor="text1"/>
          <w:lang w:val="en-GB"/>
        </w:rPr>
        <w:instrText xml:space="preserve"> REF _Ref69818865 \h  \* MERGEFORMAT </w:instrText>
      </w:r>
      <w:r w:rsidRPr="00007677">
        <w:rPr>
          <w:b/>
          <w:color w:val="000000" w:themeColor="text1"/>
          <w:lang w:val="en-GB"/>
        </w:rPr>
      </w:r>
      <w:r w:rsidRPr="00007677">
        <w:rPr>
          <w:b/>
          <w:color w:val="000000" w:themeColor="text1"/>
          <w:lang w:val="en-GB"/>
        </w:rPr>
        <w:fldChar w:fldCharType="separate"/>
      </w:r>
      <w:r w:rsidRPr="00AB3850">
        <w:rPr>
          <w:b/>
          <w:color w:val="000000" w:themeColor="text1"/>
          <w:lang w:val="en-GB"/>
        </w:rPr>
        <w:t xml:space="preserve">Figure </w:t>
      </w:r>
      <w:r w:rsidRPr="00AB3850">
        <w:rPr>
          <w:b/>
          <w:noProof/>
          <w:color w:val="000000" w:themeColor="text1"/>
          <w:lang w:val="en-GB"/>
        </w:rPr>
        <w:t>3</w:t>
      </w:r>
      <w:r w:rsidRPr="00007677">
        <w:rPr>
          <w:b/>
          <w:color w:val="000000" w:themeColor="text1"/>
          <w:lang w:val="en-GB"/>
        </w:rPr>
        <w:fldChar w:fldCharType="end"/>
      </w:r>
      <w:r w:rsidRPr="00007677">
        <w:rPr>
          <w:b/>
          <w:bCs/>
          <w:color w:val="000000" w:themeColor="text1"/>
          <w:lang w:val="en-GB"/>
        </w:rPr>
        <w:t>a</w:t>
      </w:r>
      <w:r w:rsidRPr="00007677">
        <w:rPr>
          <w:color w:val="000000" w:themeColor="text1"/>
          <w:lang w:val="en-GB"/>
        </w:rPr>
        <w:t xml:space="preserve"> and </w:t>
      </w:r>
      <w:r w:rsidRPr="00007677">
        <w:rPr>
          <w:b/>
          <w:bCs/>
          <w:color w:val="000000" w:themeColor="text1"/>
          <w:lang w:val="en-GB"/>
        </w:rPr>
        <w:t xml:space="preserve">b </w:t>
      </w:r>
      <w:r w:rsidRPr="00007677">
        <w:rPr>
          <w:color w:val="000000" w:themeColor="text1"/>
          <w:lang w:val="en-GB"/>
        </w:rPr>
        <w:t>it</w:t>
      </w:r>
      <w:r w:rsidRPr="00007677">
        <w:rPr>
          <w:b/>
          <w:bCs/>
          <w:color w:val="000000" w:themeColor="text1"/>
          <w:lang w:val="en-GB"/>
        </w:rPr>
        <w:t xml:space="preserve"> </w:t>
      </w:r>
      <w:r w:rsidRPr="00007677">
        <w:rPr>
          <w:color w:val="000000" w:themeColor="text1"/>
          <w:lang w:val="en-GB"/>
        </w:rPr>
        <w:t>is clear that the Na</w:t>
      </w:r>
      <w:r w:rsidRPr="00007677">
        <w:rPr>
          <w:color w:val="000000" w:themeColor="text1"/>
          <w:vertAlign w:val="subscript"/>
          <w:lang w:val="en-GB"/>
        </w:rPr>
        <w:t>2</w:t>
      </w:r>
      <w:r w:rsidRPr="00007677">
        <w:rPr>
          <w:color w:val="000000" w:themeColor="text1"/>
          <w:lang w:val="en-GB"/>
        </w:rPr>
        <w:t>CO</w:t>
      </w:r>
      <w:r w:rsidRPr="00007677">
        <w:rPr>
          <w:color w:val="000000" w:themeColor="text1"/>
          <w:vertAlign w:val="subscript"/>
          <w:lang w:val="en-GB"/>
        </w:rPr>
        <w:t>3</w:t>
      </w:r>
      <w:r w:rsidRPr="00007677">
        <w:rPr>
          <w:color w:val="000000" w:themeColor="text1"/>
          <w:lang w:val="en-GB"/>
        </w:rPr>
        <w:t xml:space="preserve"> catalyst improves the performance of the RFB compared with the non-modified commercial electrode (</w:t>
      </w:r>
      <w:r w:rsidRPr="00007677">
        <w:rPr>
          <w:b/>
          <w:bCs/>
          <w:color w:val="000000" w:themeColor="text1"/>
          <w:lang w:val="en-GB"/>
        </w:rPr>
        <w:t>SGL SIGRACET 10 AA</w:t>
      </w:r>
      <w:r w:rsidRPr="00007677">
        <w:rPr>
          <w:color w:val="000000" w:themeColor="text1"/>
          <w:sz w:val="22"/>
          <w:szCs w:val="22"/>
          <w:lang w:val="en-GB"/>
        </w:rPr>
        <w:t>)</w:t>
      </w:r>
      <w:r w:rsidRPr="00007677">
        <w:rPr>
          <w:color w:val="000000" w:themeColor="text1"/>
          <w:lang w:val="en-GB"/>
        </w:rPr>
        <w:t xml:space="preserve">, whereas when NaOH is used as the catalyst the performance is generally lower than the underivatized carbon paper.  </w:t>
      </w:r>
    </w:p>
    <w:p w14:paraId="144BEFF3" w14:textId="77777777" w:rsidR="00FE53E3" w:rsidRPr="00007677" w:rsidRDefault="00FE53E3" w:rsidP="00FE53E3">
      <w:pPr>
        <w:pStyle w:val="P1"/>
        <w:rPr>
          <w:color w:val="000000" w:themeColor="text1"/>
          <w:lang w:val="en-GB"/>
        </w:rPr>
      </w:pPr>
      <w:r w:rsidRPr="00007677">
        <w:rPr>
          <w:color w:val="000000" w:themeColor="text1"/>
          <w:lang w:val="en-GB"/>
        </w:rPr>
        <w:t>However, all of the aerogels prepared (apart from 1000|0.2|NaOH) show higher performance in the low current region (Current density (</w:t>
      </w:r>
      <w:r w:rsidRPr="00007677">
        <w:rPr>
          <w:i/>
          <w:iCs/>
          <w:color w:val="000000" w:themeColor="text1"/>
          <w:lang w:val="en-GB"/>
        </w:rPr>
        <w:t>j</w:t>
      </w:r>
      <w:r w:rsidRPr="00007677">
        <w:rPr>
          <w:color w:val="000000" w:themeColor="text1"/>
          <w:lang w:val="en-GB"/>
        </w:rPr>
        <w:t xml:space="preserve">) </w:t>
      </w:r>
      <w:r w:rsidRPr="00007677">
        <w:rPr>
          <w:color w:val="000000" w:themeColor="text1"/>
          <w:lang w:val="en-GB"/>
        </w:rPr>
        <w:sym w:font="Symbol" w:char="F0A3"/>
      </w:r>
      <w:r w:rsidRPr="00007677">
        <w:rPr>
          <w:color w:val="000000" w:themeColor="text1"/>
          <w:lang w:val="en-GB"/>
        </w:rPr>
        <w:t>100 mA cm</w:t>
      </w:r>
      <w:r w:rsidRPr="00007677">
        <w:rPr>
          <w:color w:val="000000" w:themeColor="text1"/>
          <w:vertAlign w:val="superscript"/>
          <w:lang w:val="en-GB"/>
        </w:rPr>
        <w:t>-2</w:t>
      </w:r>
      <w:r w:rsidRPr="00007677">
        <w:rPr>
          <w:color w:val="000000" w:themeColor="text1"/>
          <w:lang w:val="en-GB"/>
        </w:rPr>
        <w:t>) compared to the substrate material, indicating a smaller kinetic overpotential loss associated with higher specific surface area and higher kinetic activity. It is important to note that typically redox flow batteries operate with current densities in the 75-140 mA cm</w:t>
      </w:r>
      <w:r w:rsidRPr="00007677">
        <w:rPr>
          <w:color w:val="000000" w:themeColor="text1"/>
          <w:vertAlign w:val="superscript"/>
          <w:lang w:val="en-GB"/>
        </w:rPr>
        <w:t>-2</w:t>
      </w:r>
      <w:r w:rsidRPr="00007677">
        <w:rPr>
          <w:color w:val="000000" w:themeColor="text1"/>
          <w:lang w:val="en-GB"/>
        </w:rPr>
        <w:t xml:space="preserve"> range. If we focus on </w:t>
      </w:r>
      <w:r w:rsidRPr="00007677">
        <w:rPr>
          <w:b/>
          <w:color w:val="000000" w:themeColor="text1"/>
          <w:lang w:val="en-GB"/>
        </w:rPr>
        <w:fldChar w:fldCharType="begin"/>
      </w:r>
      <w:r w:rsidRPr="00007677">
        <w:rPr>
          <w:b/>
          <w:color w:val="000000" w:themeColor="text1"/>
          <w:lang w:val="en-GB"/>
        </w:rPr>
        <w:instrText xml:space="preserve"> REF _Ref69818865 \h  \* MERGEFORMAT </w:instrText>
      </w:r>
      <w:r w:rsidRPr="00007677">
        <w:rPr>
          <w:b/>
          <w:color w:val="000000" w:themeColor="text1"/>
          <w:lang w:val="en-GB"/>
        </w:rPr>
      </w:r>
      <w:r w:rsidRPr="00007677">
        <w:rPr>
          <w:b/>
          <w:color w:val="000000" w:themeColor="text1"/>
          <w:lang w:val="en-GB"/>
        </w:rPr>
        <w:fldChar w:fldCharType="separate"/>
      </w:r>
      <w:r w:rsidRPr="00AB3850">
        <w:rPr>
          <w:b/>
          <w:color w:val="000000" w:themeColor="text1"/>
          <w:lang w:val="en-GB"/>
        </w:rPr>
        <w:t xml:space="preserve">Figure </w:t>
      </w:r>
      <w:r w:rsidRPr="00AB3850">
        <w:rPr>
          <w:b/>
          <w:noProof/>
          <w:color w:val="000000" w:themeColor="text1"/>
          <w:lang w:val="en-GB"/>
        </w:rPr>
        <w:t>3</w:t>
      </w:r>
      <w:r w:rsidRPr="00007677">
        <w:rPr>
          <w:b/>
          <w:color w:val="000000" w:themeColor="text1"/>
          <w:lang w:val="en-GB"/>
        </w:rPr>
        <w:fldChar w:fldCharType="end"/>
      </w:r>
      <w:r w:rsidRPr="00007677">
        <w:rPr>
          <w:b/>
          <w:bCs/>
          <w:color w:val="000000" w:themeColor="text1"/>
          <w:lang w:val="en-GB"/>
        </w:rPr>
        <w:t>a</w:t>
      </w:r>
      <w:r w:rsidRPr="00007677">
        <w:rPr>
          <w:color w:val="000000" w:themeColor="text1"/>
          <w:lang w:val="en-GB"/>
        </w:rPr>
        <w:t xml:space="preserve">, the activation losses of 200|0.05 and 200|0.2 are small compared to the other two substrates. At high current densities, useful for establishing mass transport and kinetic overpotential effects, these two electrodes achieve a peak power close to 1 V of 562 and 706 </w:t>
      </w:r>
      <w:proofErr w:type="spellStart"/>
      <w:r w:rsidRPr="00007677">
        <w:rPr>
          <w:color w:val="000000" w:themeColor="text1"/>
          <w:lang w:val="en-GB"/>
        </w:rPr>
        <w:t>mW</w:t>
      </w:r>
      <w:proofErr w:type="spellEnd"/>
      <w:r w:rsidRPr="00007677">
        <w:rPr>
          <w:color w:val="000000" w:themeColor="text1"/>
          <w:lang w:val="en-GB"/>
        </w:rPr>
        <w:t xml:space="preserve"> cm</w:t>
      </w:r>
      <w:r w:rsidRPr="00007677">
        <w:rPr>
          <w:color w:val="000000" w:themeColor="text1"/>
          <w:vertAlign w:val="superscript"/>
          <w:lang w:val="en-GB"/>
        </w:rPr>
        <w:t>-2</w:t>
      </w:r>
      <w:r w:rsidRPr="00007677">
        <w:rPr>
          <w:color w:val="000000" w:themeColor="text1"/>
          <w:lang w:val="en-GB"/>
        </w:rPr>
        <w:t xml:space="preserve">, respectively. Both </w:t>
      </w:r>
      <w:r w:rsidRPr="00007677">
        <w:rPr>
          <w:color w:val="000000" w:themeColor="text1"/>
          <w:lang w:val="en-GB"/>
        </w:rPr>
        <w:t>electrodes have quite similar microstructural properties (</w:t>
      </w:r>
      <w:r w:rsidRPr="00007677">
        <w:rPr>
          <w:b/>
          <w:bCs/>
          <w:color w:val="000000" w:themeColor="text1"/>
          <w:lang w:val="en-GB"/>
        </w:rPr>
        <w:fldChar w:fldCharType="begin"/>
      </w:r>
      <w:r w:rsidRPr="00007677">
        <w:rPr>
          <w:b/>
          <w:bCs/>
          <w:color w:val="000000" w:themeColor="text1"/>
          <w:lang w:val="en-GB"/>
        </w:rPr>
        <w:instrText xml:space="preserve"> REF _Ref69818269 \h  \* MERGEFORMAT </w:instrText>
      </w:r>
      <w:r w:rsidRPr="00007677">
        <w:rPr>
          <w:b/>
          <w:bCs/>
          <w:color w:val="000000" w:themeColor="text1"/>
          <w:lang w:val="en-GB"/>
        </w:rPr>
      </w:r>
      <w:r w:rsidRPr="00007677">
        <w:rPr>
          <w:b/>
          <w:bCs/>
          <w:color w:val="000000" w:themeColor="text1"/>
          <w:lang w:val="en-GB"/>
        </w:rPr>
        <w:fldChar w:fldCharType="separate"/>
      </w:r>
      <w:r w:rsidRPr="00AB3850">
        <w:rPr>
          <w:b/>
          <w:bCs/>
          <w:color w:val="000000" w:themeColor="text1"/>
          <w:lang w:val="en-GB"/>
        </w:rPr>
        <w:t>Table</w:t>
      </w:r>
      <w:r w:rsidRPr="00AB3850">
        <w:rPr>
          <w:b/>
          <w:bCs/>
          <w:color w:val="000000" w:themeColor="text1"/>
        </w:rPr>
        <w:t xml:space="preserve"> </w:t>
      </w:r>
      <w:r w:rsidRPr="00AB3850">
        <w:rPr>
          <w:b/>
          <w:bCs/>
          <w:noProof/>
          <w:color w:val="000000" w:themeColor="text1"/>
        </w:rPr>
        <w:t>1</w:t>
      </w:r>
      <w:r w:rsidRPr="00007677">
        <w:rPr>
          <w:b/>
          <w:bCs/>
          <w:color w:val="000000" w:themeColor="text1"/>
          <w:lang w:val="en-GB"/>
        </w:rPr>
        <w:fldChar w:fldCharType="end"/>
      </w:r>
      <w:r w:rsidRPr="00007677">
        <w:rPr>
          <w:color w:val="000000" w:themeColor="text1"/>
          <w:lang w:val="en-GB"/>
        </w:rPr>
        <w:t xml:space="preserve">), the only difference is that the 200|0.05 electrode has a lower mesopore volume compared with the 200|0.2, giving worse performance in the polarization curve due to mass transport losses, meaning a lower utilization of the electroactive species. However, this electrode has the higher OCP potential suggesting that the </w:t>
      </w:r>
      <w:proofErr w:type="spellStart"/>
      <w:r w:rsidRPr="00007677">
        <w:rPr>
          <w:color w:val="000000" w:themeColor="text1"/>
          <w:lang w:val="en-GB"/>
        </w:rPr>
        <w:t>mesoporosity</w:t>
      </w:r>
      <w:proofErr w:type="spellEnd"/>
      <w:r w:rsidRPr="00007677">
        <w:rPr>
          <w:color w:val="000000" w:themeColor="text1"/>
          <w:lang w:val="en-GB"/>
        </w:rPr>
        <w:t xml:space="preserve"> plays an important role in the electrocatalytic performance of the vanadium RFB electrode, due to the large solvation radius of the electroactive ions.</w:t>
      </w:r>
    </w:p>
    <w:p w14:paraId="40410835" w14:textId="77777777" w:rsidR="00FE53E3" w:rsidRPr="00007677" w:rsidRDefault="00FE53E3" w:rsidP="00FE53E3">
      <w:pPr>
        <w:pStyle w:val="P1"/>
        <w:rPr>
          <w:noProof/>
          <w:color w:val="000000" w:themeColor="text1"/>
          <w:lang w:val="en-GB"/>
        </w:rPr>
      </w:pPr>
      <w:r w:rsidRPr="00007677">
        <w:rPr>
          <w:color w:val="000000" w:themeColor="text1"/>
          <w:lang w:val="en-GB"/>
        </w:rPr>
        <w:t>This range of pore sizes, not only allows pore flooding with the electrolyte, improving the electrochemically active surface area, but is an advantageous microstructure which enhances the exchange of electroactive species to/from the bulk to the pores.</w:t>
      </w:r>
      <w:r w:rsidRPr="00007677">
        <w:rPr>
          <w:noProof/>
          <w:color w:val="000000" w:themeColor="text1"/>
          <w:lang w:val="en-GB"/>
        </w:rPr>
        <w:fldChar w:fldCharType="begin"/>
      </w:r>
      <w:r>
        <w:rPr>
          <w:noProof/>
          <w:color w:val="000000" w:themeColor="text1"/>
          <w:lang w:val="en-GB"/>
        </w:rPr>
        <w:instrText xml:space="preserve"> ADDIN EN.CITE &lt;EndNote&gt;&lt;Cite ExcludeYear="1"&gt;&lt;Author&gt;Sillars&lt;/Author&gt;&lt;Year&gt;2011&lt;/Year&gt;&lt;RecNum&gt;32&lt;/RecNum&gt;&lt;DisplayText&gt;&lt;style face="superscript"&gt;[20]&lt;/style&gt;&lt;/DisplayText&gt;&lt;record&gt;&lt;rec-number&gt;32&lt;/rec-number&gt;&lt;foreign-keys&gt;&lt;key app="EN" db-id="ppwxts2s6f5tsrefwwt5sstvtpasvsep055t" timestamp="1628529868"&gt;32&lt;/key&gt;&lt;/foreign-keys&gt;&lt;ref-type name="Journal Article"&gt;17&lt;/ref-type&gt;&lt;contributors&gt;&lt;authors&gt;&lt;author&gt;Sillars, Fiona B.&lt;/author&gt;&lt;author&gt;Fletcher, S. Isobel&lt;/author&gt;&lt;author&gt;Mirzaeian, Mojtaba&lt;/author&gt;&lt;author&gt;Hall, Peter J.&lt;/author&gt;&lt;/authors&gt;&lt;/contributors&gt;&lt;titles&gt;&lt;title&gt;Effect of activated carbon xerogel pore size on the capacitance performance of ionic liquid electrolytes&lt;/title&gt;&lt;secondary-title&gt;Energy Environ. Sci.&lt;/secondary-title&gt;&lt;/titles&gt;&lt;periodical&gt;&lt;full-title&gt;Energy Environ. Sci.&lt;/full-title&gt;&lt;/periodical&gt;&lt;pages&gt;695-706&lt;/pages&gt;&lt;volume&gt;4&lt;/volume&gt;&lt;number&gt;3&lt;/number&gt;&lt;dates&gt;&lt;year&gt;2011&lt;/year&gt;&lt;/dates&gt;&lt;publisher&gt;The Royal Society of Chemistry&lt;/publisher&gt;&lt;urls&gt;&lt;related-urls&gt;&lt;url&gt;http://xlink.rsc.org/?DOI=C0EE00337A&lt;/url&gt;&lt;/related-urls&gt;&lt;/urls&gt;&lt;electronic-resource-num&gt;10.1039/C0EE00337A&lt;/electronic-resource-num&gt;&lt;/record&gt;&lt;/Cite&gt;&lt;/EndNote&gt;</w:instrText>
      </w:r>
      <w:r w:rsidRPr="00007677">
        <w:rPr>
          <w:noProof/>
          <w:color w:val="000000" w:themeColor="text1"/>
          <w:lang w:val="en-GB"/>
        </w:rPr>
        <w:fldChar w:fldCharType="separate"/>
      </w:r>
      <w:r w:rsidRPr="00156886">
        <w:rPr>
          <w:noProof/>
          <w:color w:val="000000" w:themeColor="text1"/>
          <w:vertAlign w:val="superscript"/>
          <w:lang w:val="en-GB"/>
        </w:rPr>
        <w:t>[20]</w:t>
      </w:r>
      <w:r w:rsidRPr="00007677">
        <w:rPr>
          <w:noProof/>
          <w:color w:val="000000" w:themeColor="text1"/>
          <w:lang w:val="en-GB"/>
        </w:rPr>
        <w:fldChar w:fldCharType="end"/>
      </w:r>
      <w:r w:rsidRPr="00007677">
        <w:rPr>
          <w:noProof/>
          <w:color w:val="000000" w:themeColor="text1"/>
          <w:lang w:val="en-GB"/>
        </w:rPr>
        <w:t xml:space="preserve"> Having a look in the resistance of the electrodes at the different current densities applied, </w:t>
      </w:r>
      <w:r w:rsidRPr="00007677">
        <w:rPr>
          <w:b/>
          <w:color w:val="000000" w:themeColor="text1"/>
          <w:lang w:val="en-GB"/>
        </w:rPr>
        <w:fldChar w:fldCharType="begin"/>
      </w:r>
      <w:r w:rsidRPr="00007677">
        <w:rPr>
          <w:b/>
          <w:color w:val="000000" w:themeColor="text1"/>
          <w:lang w:val="en-GB"/>
        </w:rPr>
        <w:instrText xml:space="preserve"> REF _Ref69818865 \h  \* MERGEFORMAT </w:instrText>
      </w:r>
      <w:r w:rsidRPr="00007677">
        <w:rPr>
          <w:b/>
          <w:color w:val="000000" w:themeColor="text1"/>
          <w:lang w:val="en-GB"/>
        </w:rPr>
      </w:r>
      <w:r w:rsidRPr="00007677">
        <w:rPr>
          <w:b/>
          <w:color w:val="000000" w:themeColor="text1"/>
          <w:lang w:val="en-GB"/>
        </w:rPr>
        <w:fldChar w:fldCharType="separate"/>
      </w:r>
      <w:r w:rsidRPr="00AB3850">
        <w:rPr>
          <w:b/>
          <w:color w:val="000000" w:themeColor="text1"/>
          <w:lang w:val="en-GB"/>
        </w:rPr>
        <w:t xml:space="preserve">Figure </w:t>
      </w:r>
      <w:r w:rsidRPr="00AB3850">
        <w:rPr>
          <w:b/>
          <w:noProof/>
          <w:color w:val="000000" w:themeColor="text1"/>
          <w:lang w:val="en-GB"/>
        </w:rPr>
        <w:t>3</w:t>
      </w:r>
      <w:r w:rsidRPr="00007677">
        <w:rPr>
          <w:b/>
          <w:color w:val="000000" w:themeColor="text1"/>
          <w:lang w:val="en-GB"/>
        </w:rPr>
        <w:fldChar w:fldCharType="end"/>
      </w:r>
      <w:r w:rsidRPr="00007677">
        <w:rPr>
          <w:b/>
          <w:bCs/>
          <w:noProof/>
          <w:color w:val="000000" w:themeColor="text1"/>
          <w:lang w:val="en-GB"/>
        </w:rPr>
        <w:t>c</w:t>
      </w:r>
      <w:r w:rsidRPr="00007677">
        <w:rPr>
          <w:noProof/>
          <w:color w:val="000000" w:themeColor="text1"/>
          <w:lang w:val="en-GB"/>
        </w:rPr>
        <w:t xml:space="preserve"> and </w:t>
      </w:r>
      <w:r w:rsidRPr="00007677">
        <w:rPr>
          <w:b/>
          <w:bCs/>
          <w:noProof/>
          <w:color w:val="000000" w:themeColor="text1"/>
          <w:lang w:val="en-GB"/>
        </w:rPr>
        <w:t>d</w:t>
      </w:r>
      <w:r w:rsidRPr="00007677">
        <w:rPr>
          <w:noProof/>
          <w:color w:val="000000" w:themeColor="text1"/>
          <w:lang w:val="en-GB"/>
        </w:rPr>
        <w:t>, for Na</w:t>
      </w:r>
      <w:r w:rsidRPr="00007677">
        <w:rPr>
          <w:noProof/>
          <w:color w:val="000000" w:themeColor="text1"/>
          <w:vertAlign w:val="subscript"/>
          <w:lang w:val="en-GB"/>
        </w:rPr>
        <w:t>2</w:t>
      </w:r>
      <w:r w:rsidRPr="00007677">
        <w:rPr>
          <w:noProof/>
          <w:color w:val="000000" w:themeColor="text1"/>
          <w:lang w:val="en-GB"/>
        </w:rPr>
        <w:t>CO</w:t>
      </w:r>
      <w:r w:rsidRPr="00007677">
        <w:rPr>
          <w:noProof/>
          <w:color w:val="000000" w:themeColor="text1"/>
          <w:vertAlign w:val="subscript"/>
          <w:lang w:val="en-GB"/>
        </w:rPr>
        <w:t>3</w:t>
      </w:r>
      <w:r w:rsidRPr="00007677">
        <w:rPr>
          <w:noProof/>
          <w:color w:val="000000" w:themeColor="text1"/>
          <w:lang w:val="en-GB"/>
        </w:rPr>
        <w:t xml:space="preserve"> and NaOH respectively. It is possible to observe that all the CAGs electrodes have lower values of HFR compared with the plain SGL, only in the case of 1000|0.2 using NaOH has the higher resistance. This high HFR value for this electrode is possible due to the CAG nature, as it has the smaller pore size and is purely microporosity.</w:t>
      </w:r>
    </w:p>
    <w:p w14:paraId="19E4A54F" w14:textId="77777777" w:rsidR="00FE53E3" w:rsidRPr="00007677" w:rsidRDefault="00FE53E3" w:rsidP="00FE53E3">
      <w:pPr>
        <w:pStyle w:val="P1"/>
        <w:rPr>
          <w:noProof/>
          <w:color w:val="000000" w:themeColor="text1"/>
          <w:lang w:val="en-GB"/>
        </w:rPr>
      </w:pPr>
      <w:r w:rsidRPr="00007677">
        <w:rPr>
          <w:color w:val="000000" w:themeColor="text1"/>
        </w:rPr>
        <w:t>Of significant interest is the performance of sample 200|0.2 NaOH, this sample has similar porosity as the Na</w:t>
      </w:r>
      <w:r w:rsidRPr="00007677">
        <w:rPr>
          <w:color w:val="000000" w:themeColor="text1"/>
          <w:vertAlign w:val="subscript"/>
        </w:rPr>
        <w:t>2</w:t>
      </w:r>
      <w:r w:rsidRPr="00007677">
        <w:rPr>
          <w:color w:val="000000" w:themeColor="text1"/>
        </w:rPr>
        <w:t>CO</w:t>
      </w:r>
      <w:r w:rsidRPr="00007677">
        <w:rPr>
          <w:color w:val="000000" w:themeColor="text1"/>
          <w:vertAlign w:val="subscript"/>
        </w:rPr>
        <w:t>3</w:t>
      </w:r>
      <w:r w:rsidRPr="00007677">
        <w:rPr>
          <w:color w:val="000000" w:themeColor="text1"/>
        </w:rPr>
        <w:t xml:space="preserve"> samples 200|0.05 and 200|0.2, and also fairly similar to the NaOH sample 200|0.05 but with almost double pore size and a bit more microporous nature</w:t>
      </w:r>
      <w:r w:rsidRPr="00007677">
        <w:rPr>
          <w:noProof/>
          <w:color w:val="000000" w:themeColor="text1"/>
          <w:lang w:val="en-GB"/>
        </w:rPr>
        <w:t xml:space="preserve"> (</w:t>
      </w:r>
      <w:r w:rsidRPr="00007677">
        <w:rPr>
          <w:noProof/>
          <w:color w:val="000000" w:themeColor="text1"/>
          <w:lang w:val="en-GB"/>
        </w:rPr>
        <w:fldChar w:fldCharType="begin"/>
      </w:r>
      <w:r w:rsidRPr="00007677">
        <w:rPr>
          <w:noProof/>
          <w:color w:val="000000" w:themeColor="text1"/>
          <w:lang w:val="en-GB"/>
        </w:rPr>
        <w:instrText xml:space="preserve"> REF _Ref69818269 \h </w:instrText>
      </w:r>
      <w:r w:rsidRPr="00007677">
        <w:rPr>
          <w:noProof/>
          <w:color w:val="000000" w:themeColor="text1"/>
          <w:lang w:val="en-GB"/>
        </w:rPr>
      </w:r>
      <w:r w:rsidRPr="00007677">
        <w:rPr>
          <w:noProof/>
          <w:color w:val="000000" w:themeColor="text1"/>
          <w:lang w:val="en-GB"/>
        </w:rPr>
        <w:fldChar w:fldCharType="separate"/>
      </w:r>
      <w:r w:rsidRPr="00025049">
        <w:rPr>
          <w:b/>
          <w:bCs/>
        </w:rPr>
        <w:t xml:space="preserve">Table </w:t>
      </w:r>
      <w:r>
        <w:rPr>
          <w:b/>
          <w:bCs/>
          <w:noProof/>
        </w:rPr>
        <w:t>1</w:t>
      </w:r>
      <w:r w:rsidRPr="00007677">
        <w:rPr>
          <w:noProof/>
          <w:color w:val="000000" w:themeColor="text1"/>
          <w:lang w:val="en-GB"/>
        </w:rPr>
        <w:fldChar w:fldCharType="end"/>
      </w:r>
      <w:r w:rsidRPr="00007677">
        <w:rPr>
          <w:noProof/>
          <w:color w:val="000000" w:themeColor="text1"/>
          <w:lang w:val="en-GB"/>
        </w:rPr>
        <w:t xml:space="preserve">). </w:t>
      </w:r>
      <w:r w:rsidRPr="00007677">
        <w:rPr>
          <w:color w:val="000000" w:themeColor="text1"/>
        </w:rPr>
        <w:t xml:space="preserve">In the </w:t>
      </w:r>
      <w:r w:rsidRPr="00007677">
        <w:rPr>
          <w:b/>
          <w:bCs/>
          <w:color w:val="000000" w:themeColor="text1"/>
        </w:rPr>
        <w:t>low</w:t>
      </w:r>
      <w:r w:rsidRPr="00007677">
        <w:rPr>
          <w:color w:val="000000" w:themeColor="text1"/>
        </w:rPr>
        <w:t xml:space="preserve"> current region (current density (j) </w:t>
      </w:r>
      <w:r w:rsidRPr="00007677">
        <w:rPr>
          <w:rFonts w:eastAsiaTheme="minorHAnsi"/>
          <w:color w:val="000000" w:themeColor="text1"/>
        </w:rPr>
        <w:t>≤</w:t>
      </w:r>
      <w:r w:rsidRPr="00007677">
        <w:rPr>
          <w:color w:val="000000" w:themeColor="text1"/>
        </w:rPr>
        <w:t>100 mA cm</w:t>
      </w:r>
      <w:r w:rsidRPr="00007677">
        <w:rPr>
          <w:color w:val="000000" w:themeColor="text1"/>
          <w:vertAlign w:val="superscript"/>
        </w:rPr>
        <w:t>-2</w:t>
      </w:r>
      <w:r w:rsidRPr="00007677">
        <w:rPr>
          <w:color w:val="000000" w:themeColor="text1"/>
        </w:rPr>
        <w:t>) it performs the best of all the NaOH samples and not dissimilar to the 200|0.2 Na</w:t>
      </w:r>
      <w:r w:rsidRPr="00007677">
        <w:rPr>
          <w:color w:val="000000" w:themeColor="text1"/>
          <w:vertAlign w:val="subscript"/>
        </w:rPr>
        <w:t>2</w:t>
      </w:r>
      <w:r w:rsidRPr="00007677">
        <w:rPr>
          <w:color w:val="000000" w:themeColor="text1"/>
        </w:rPr>
        <w:t>CO</w:t>
      </w:r>
      <w:r w:rsidRPr="00007677">
        <w:rPr>
          <w:color w:val="000000" w:themeColor="text1"/>
          <w:vertAlign w:val="subscript"/>
        </w:rPr>
        <w:t>3</w:t>
      </w:r>
      <w:r w:rsidRPr="00007677">
        <w:rPr>
          <w:color w:val="000000" w:themeColor="text1"/>
        </w:rPr>
        <w:t>. However, at higher currents (current density (</w:t>
      </w:r>
      <w:r w:rsidRPr="00371950">
        <w:rPr>
          <w:i/>
          <w:iCs/>
          <w:color w:val="000000" w:themeColor="text1"/>
        </w:rPr>
        <w:t>j</w:t>
      </w:r>
      <w:r w:rsidRPr="00007677">
        <w:rPr>
          <w:color w:val="000000" w:themeColor="text1"/>
        </w:rPr>
        <w:t xml:space="preserve">) </w:t>
      </w:r>
      <w:r w:rsidRPr="00007677">
        <w:rPr>
          <w:rFonts w:eastAsiaTheme="minorHAnsi"/>
          <w:color w:val="000000" w:themeColor="text1"/>
        </w:rPr>
        <w:t>&gt;</w:t>
      </w:r>
      <w:r w:rsidRPr="00007677">
        <w:rPr>
          <w:color w:val="000000" w:themeColor="text1"/>
        </w:rPr>
        <w:t>100 mA cm</w:t>
      </w:r>
      <w:r w:rsidRPr="00007677">
        <w:rPr>
          <w:color w:val="000000" w:themeColor="text1"/>
          <w:vertAlign w:val="superscript"/>
        </w:rPr>
        <w:t>-2</w:t>
      </w:r>
      <w:r w:rsidRPr="00007677">
        <w:rPr>
          <w:color w:val="000000" w:themeColor="text1"/>
        </w:rPr>
        <w:t xml:space="preserve">) the performance shows a significant drop. </w:t>
      </w:r>
      <w:bookmarkStart w:id="5" w:name="_Hlk93308475"/>
      <w:r w:rsidRPr="00007677">
        <w:rPr>
          <w:color w:val="000000" w:themeColor="text1"/>
        </w:rPr>
        <w:t xml:space="preserve">Comparing the features of the different samples in </w:t>
      </w:r>
      <w:r w:rsidRPr="00007677">
        <w:rPr>
          <w:noProof/>
          <w:color w:val="000000" w:themeColor="text1"/>
          <w:lang w:val="en-GB"/>
        </w:rPr>
        <w:fldChar w:fldCharType="begin"/>
      </w:r>
      <w:r w:rsidRPr="00007677">
        <w:rPr>
          <w:noProof/>
          <w:color w:val="000000" w:themeColor="text1"/>
          <w:lang w:val="en-GB"/>
        </w:rPr>
        <w:instrText xml:space="preserve"> REF _Ref69818269 \h </w:instrText>
      </w:r>
      <w:r w:rsidRPr="00007677">
        <w:rPr>
          <w:noProof/>
          <w:color w:val="000000" w:themeColor="text1"/>
          <w:lang w:val="en-GB"/>
        </w:rPr>
      </w:r>
      <w:r w:rsidRPr="00007677">
        <w:rPr>
          <w:noProof/>
          <w:color w:val="000000" w:themeColor="text1"/>
          <w:lang w:val="en-GB"/>
        </w:rPr>
        <w:fldChar w:fldCharType="separate"/>
      </w:r>
      <w:r w:rsidRPr="00025049">
        <w:rPr>
          <w:b/>
          <w:bCs/>
        </w:rPr>
        <w:t xml:space="preserve">Table </w:t>
      </w:r>
      <w:r>
        <w:rPr>
          <w:b/>
          <w:bCs/>
          <w:noProof/>
        </w:rPr>
        <w:t>1</w:t>
      </w:r>
      <w:r w:rsidRPr="00007677">
        <w:rPr>
          <w:noProof/>
          <w:color w:val="000000" w:themeColor="text1"/>
          <w:lang w:val="en-GB"/>
        </w:rPr>
        <w:fldChar w:fldCharType="end"/>
      </w:r>
      <w:r w:rsidRPr="00007677">
        <w:rPr>
          <w:noProof/>
          <w:color w:val="000000" w:themeColor="text1"/>
          <w:lang w:val="en-GB"/>
        </w:rPr>
        <w:t xml:space="preserve"> it is not immediately obvious why the </w:t>
      </w:r>
      <w:r w:rsidRPr="00007677">
        <w:rPr>
          <w:color w:val="000000" w:themeColor="text1"/>
        </w:rPr>
        <w:t xml:space="preserve">200|0.2 NaOH sample should perform so poorly at high current densities.  </w:t>
      </w:r>
      <w:bookmarkEnd w:id="5"/>
      <w:r w:rsidRPr="00007677">
        <w:rPr>
          <w:color w:val="000000" w:themeColor="text1"/>
        </w:rPr>
        <w:t xml:space="preserve">The reason for this significant performance drop is revealed by the differential adsorption plots in </w:t>
      </w:r>
      <w:r w:rsidRPr="00007677">
        <w:rPr>
          <w:b/>
          <w:color w:val="000000" w:themeColor="text1"/>
          <w:lang w:val="en-GB"/>
        </w:rPr>
        <w:fldChar w:fldCharType="begin"/>
      </w:r>
      <w:r w:rsidRPr="00007677">
        <w:rPr>
          <w:b/>
          <w:color w:val="000000" w:themeColor="text1"/>
          <w:lang w:val="en-GB"/>
        </w:rPr>
        <w:instrText xml:space="preserve"> REF _Ref69818388 \h  \* MERGEFORMAT </w:instrText>
      </w:r>
      <w:r w:rsidRPr="00007677">
        <w:rPr>
          <w:b/>
          <w:color w:val="000000" w:themeColor="text1"/>
          <w:lang w:val="en-GB"/>
        </w:rPr>
      </w:r>
      <w:r w:rsidRPr="00007677">
        <w:rPr>
          <w:b/>
          <w:color w:val="000000" w:themeColor="text1"/>
          <w:lang w:val="en-GB"/>
        </w:rPr>
        <w:fldChar w:fldCharType="separate"/>
      </w:r>
      <w:r w:rsidRPr="00AB3850">
        <w:rPr>
          <w:b/>
          <w:color w:val="000000" w:themeColor="text1"/>
          <w:lang w:val="en-GB"/>
        </w:rPr>
        <w:t xml:space="preserve">Figure </w:t>
      </w:r>
      <w:r w:rsidRPr="00AB3850">
        <w:rPr>
          <w:b/>
          <w:noProof/>
          <w:color w:val="000000" w:themeColor="text1"/>
          <w:lang w:val="en-GB"/>
        </w:rPr>
        <w:t>2</w:t>
      </w:r>
      <w:r w:rsidRPr="00007677">
        <w:rPr>
          <w:b/>
          <w:color w:val="000000" w:themeColor="text1"/>
          <w:lang w:val="en-GB"/>
        </w:rPr>
        <w:fldChar w:fldCharType="end"/>
      </w:r>
      <w:r w:rsidRPr="00007677">
        <w:rPr>
          <w:color w:val="000000" w:themeColor="text1"/>
        </w:rPr>
        <w:t xml:space="preserve"> (e). The 200|0.2 NaOH sample shows a significant </w:t>
      </w:r>
      <w:r w:rsidRPr="00007677">
        <w:rPr>
          <w:b/>
          <w:bCs/>
          <w:color w:val="000000" w:themeColor="text1"/>
        </w:rPr>
        <w:t xml:space="preserve">hysteresis </w:t>
      </w:r>
      <w:r w:rsidRPr="00007677">
        <w:rPr>
          <w:color w:val="000000" w:themeColor="text1"/>
        </w:rPr>
        <w:t>in these plots indicating that the large pores in the sample are connected by small “necks”. Thus, even though the sample might appear to have a good distribution of surface area in reasonably large pores, that surface area is poorly accessible due to the way the pores are interconnected. This means that at high current densities, the “necks” limit mass transport of reactant to a significant proportion of the electrode surface area, leading to a large effective mass-transport loss. In contrast, the electrodes which perform well at high current densities, Na</w:t>
      </w:r>
      <w:r w:rsidRPr="00007677">
        <w:rPr>
          <w:color w:val="000000" w:themeColor="text1"/>
          <w:vertAlign w:val="subscript"/>
        </w:rPr>
        <w:t>2</w:t>
      </w:r>
      <w:r w:rsidRPr="00007677">
        <w:rPr>
          <w:color w:val="000000" w:themeColor="text1"/>
        </w:rPr>
        <w:t>CO</w:t>
      </w:r>
      <w:r w:rsidRPr="00007677">
        <w:rPr>
          <w:color w:val="000000" w:themeColor="text1"/>
          <w:vertAlign w:val="subscript"/>
        </w:rPr>
        <w:t>3</w:t>
      </w:r>
      <w:r w:rsidRPr="00007677">
        <w:rPr>
          <w:color w:val="000000" w:themeColor="text1"/>
        </w:rPr>
        <w:t xml:space="preserve"> samples 200|0.05 and 200|0.2 show very symmetrical differential plots (</w:t>
      </w:r>
      <w:r w:rsidRPr="00007677">
        <w:rPr>
          <w:b/>
          <w:color w:val="000000" w:themeColor="text1"/>
          <w:lang w:val="en-GB"/>
        </w:rPr>
        <w:fldChar w:fldCharType="begin"/>
      </w:r>
      <w:r w:rsidRPr="00007677">
        <w:rPr>
          <w:b/>
          <w:color w:val="000000" w:themeColor="text1"/>
          <w:lang w:val="en-GB"/>
        </w:rPr>
        <w:instrText xml:space="preserve"> REF _Ref69818388 \h  \* MERGEFORMAT </w:instrText>
      </w:r>
      <w:r w:rsidRPr="00007677">
        <w:rPr>
          <w:b/>
          <w:color w:val="000000" w:themeColor="text1"/>
          <w:lang w:val="en-GB"/>
        </w:rPr>
      </w:r>
      <w:r w:rsidRPr="00007677">
        <w:rPr>
          <w:b/>
          <w:color w:val="000000" w:themeColor="text1"/>
          <w:lang w:val="en-GB"/>
        </w:rPr>
        <w:fldChar w:fldCharType="separate"/>
      </w:r>
      <w:r w:rsidRPr="00AB3850">
        <w:rPr>
          <w:b/>
          <w:color w:val="000000" w:themeColor="text1"/>
          <w:lang w:val="en-GB"/>
        </w:rPr>
        <w:t xml:space="preserve">Figure </w:t>
      </w:r>
      <w:r w:rsidRPr="00AB3850">
        <w:rPr>
          <w:b/>
          <w:noProof/>
          <w:color w:val="000000" w:themeColor="text1"/>
          <w:lang w:val="en-GB"/>
        </w:rPr>
        <w:t>2</w:t>
      </w:r>
      <w:r w:rsidRPr="00007677">
        <w:rPr>
          <w:b/>
          <w:color w:val="000000" w:themeColor="text1"/>
          <w:lang w:val="en-GB"/>
        </w:rPr>
        <w:fldChar w:fldCharType="end"/>
      </w:r>
      <w:r w:rsidRPr="00007677">
        <w:rPr>
          <w:color w:val="000000" w:themeColor="text1"/>
        </w:rPr>
        <w:t xml:space="preserve"> (b)), indicating that access to the high surface area is not hindered by pore “necks”. Such a structure is also replicated in the optical microscope images </w:t>
      </w:r>
      <w:r w:rsidRPr="00007677">
        <w:rPr>
          <w:b/>
          <w:bCs/>
          <w:color w:val="000000" w:themeColor="text1"/>
        </w:rPr>
        <w:t>Figure 1</w:t>
      </w:r>
      <w:r w:rsidRPr="00007677">
        <w:rPr>
          <w:color w:val="000000" w:themeColor="text1"/>
        </w:rPr>
        <w:t xml:space="preserve">: it is possible to notice that the CAG density over the </w:t>
      </w:r>
      <w:proofErr w:type="spellStart"/>
      <w:r w:rsidRPr="00007677">
        <w:rPr>
          <w:color w:val="000000" w:themeColor="text1"/>
        </w:rPr>
        <w:t>fibres</w:t>
      </w:r>
      <w:proofErr w:type="spellEnd"/>
      <w:r w:rsidRPr="00007677">
        <w:rPr>
          <w:color w:val="000000" w:themeColor="text1"/>
        </w:rPr>
        <w:t xml:space="preserve"> is much greater compared to </w:t>
      </w:r>
      <w:r w:rsidRPr="00007677">
        <w:rPr>
          <w:color w:val="000000" w:themeColor="text1"/>
        </w:rPr>
        <w:lastRenderedPageBreak/>
        <w:t>the analogous in Na</w:t>
      </w:r>
      <w:r w:rsidRPr="00007677">
        <w:rPr>
          <w:color w:val="000000" w:themeColor="text1"/>
          <w:vertAlign w:val="subscript"/>
        </w:rPr>
        <w:t>2</w:t>
      </w:r>
      <w:r w:rsidRPr="00007677">
        <w:rPr>
          <w:color w:val="000000" w:themeColor="text1"/>
        </w:rPr>
        <w:t>CO</w:t>
      </w:r>
      <w:r w:rsidRPr="00007677">
        <w:rPr>
          <w:color w:val="000000" w:themeColor="text1"/>
          <w:vertAlign w:val="subscript"/>
        </w:rPr>
        <w:t>3</w:t>
      </w:r>
      <w:r w:rsidRPr="00007677">
        <w:rPr>
          <w:color w:val="000000" w:themeColor="text1"/>
        </w:rPr>
        <w:t xml:space="preserve"> and the 200|0.05 in NaOH, obtaining a much compact layer over the </w:t>
      </w:r>
      <w:proofErr w:type="spellStart"/>
      <w:r w:rsidRPr="00007677">
        <w:rPr>
          <w:color w:val="000000" w:themeColor="text1"/>
        </w:rPr>
        <w:t>fibres</w:t>
      </w:r>
      <w:proofErr w:type="spellEnd"/>
      <w:r w:rsidRPr="00007677">
        <w:rPr>
          <w:color w:val="000000" w:themeColor="text1"/>
        </w:rPr>
        <w:t xml:space="preserve"> of the carbon paper.</w:t>
      </w:r>
      <w:r w:rsidRPr="00007677">
        <w:rPr>
          <w:noProof/>
          <w:color w:val="000000" w:themeColor="text1"/>
          <w:lang w:val="en-GB"/>
        </w:rPr>
        <w:t xml:space="preserve"> </w:t>
      </w:r>
    </w:p>
    <w:p w14:paraId="73A6892F" w14:textId="77777777" w:rsidR="00FE53E3" w:rsidRPr="00025049" w:rsidRDefault="00FE53E3" w:rsidP="00FE53E3">
      <w:pPr>
        <w:pStyle w:val="P1"/>
        <w:rPr>
          <w:lang w:val="en-GB"/>
        </w:rPr>
        <w:sectPr w:rsidR="00FE53E3" w:rsidRPr="00025049" w:rsidSect="00BB7722">
          <w:type w:val="continuous"/>
          <w:pgSz w:w="11906" w:h="16838" w:code="9"/>
          <w:pgMar w:top="1673" w:right="936" w:bottom="1134" w:left="936" w:header="709" w:footer="709" w:gutter="0"/>
          <w:cols w:num="2" w:space="284"/>
          <w:docGrid w:linePitch="360"/>
        </w:sectPr>
      </w:pPr>
      <w:r w:rsidRPr="00007677">
        <w:rPr>
          <w:color w:val="000000" w:themeColor="text1"/>
          <w:lang w:val="en-GB"/>
        </w:rPr>
        <w:t xml:space="preserve">In order to understand which morphological </w:t>
      </w:r>
      <w:r w:rsidRPr="00025049">
        <w:rPr>
          <w:lang w:val="en-GB"/>
        </w:rPr>
        <w:t>parameters had the biggest effect on performance, the RFB cell potential at a current density of 100 mA cm</w:t>
      </w:r>
      <w:r w:rsidRPr="00025049">
        <w:rPr>
          <w:vertAlign w:val="superscript"/>
          <w:lang w:val="en-GB"/>
        </w:rPr>
        <w:t>-2</w:t>
      </w:r>
      <w:r w:rsidRPr="00025049">
        <w:rPr>
          <w:lang w:val="en-GB"/>
        </w:rPr>
        <w:t xml:space="preserve"> (a common operational performance point) was compared to that on the underivatized carbon electrode as a function of the morphological parameters in </w:t>
      </w:r>
      <w:r w:rsidRPr="00025049">
        <w:rPr>
          <w:b/>
          <w:bCs/>
          <w:lang w:val="en-GB"/>
        </w:rPr>
        <w:fldChar w:fldCharType="begin"/>
      </w:r>
      <w:r w:rsidRPr="00025049">
        <w:rPr>
          <w:b/>
          <w:bCs/>
          <w:lang w:val="en-GB"/>
        </w:rPr>
        <w:instrText xml:space="preserve"> REF _Ref69818269 \h  \* MERGEFORMAT </w:instrText>
      </w:r>
      <w:r w:rsidRPr="00025049">
        <w:rPr>
          <w:b/>
          <w:bCs/>
          <w:lang w:val="en-GB"/>
        </w:rPr>
      </w:r>
      <w:r w:rsidRPr="00025049">
        <w:rPr>
          <w:b/>
          <w:bCs/>
          <w:lang w:val="en-GB"/>
        </w:rPr>
        <w:fldChar w:fldCharType="separate"/>
      </w:r>
      <w:r w:rsidRPr="00AB3850">
        <w:rPr>
          <w:b/>
          <w:bCs/>
          <w:lang w:val="en-GB"/>
        </w:rPr>
        <w:t>Table</w:t>
      </w:r>
      <w:r w:rsidRPr="00025049">
        <w:rPr>
          <w:b/>
          <w:bCs/>
        </w:rPr>
        <w:t xml:space="preserve"> </w:t>
      </w:r>
      <w:r>
        <w:rPr>
          <w:b/>
          <w:bCs/>
          <w:noProof/>
        </w:rPr>
        <w:t>1</w:t>
      </w:r>
      <w:r w:rsidRPr="00025049">
        <w:rPr>
          <w:b/>
          <w:bCs/>
          <w:lang w:val="en-GB"/>
        </w:rPr>
        <w:fldChar w:fldCharType="end"/>
      </w:r>
      <w:r w:rsidRPr="009341CB">
        <w:rPr>
          <w:lang w:val="en-GB"/>
        </w:rPr>
        <w:t>.</w:t>
      </w:r>
      <w:r>
        <w:rPr>
          <w:b/>
          <w:bCs/>
          <w:lang w:val="en-GB"/>
        </w:rPr>
        <w:t xml:space="preserve"> </w:t>
      </w:r>
      <w:r w:rsidRPr="00025049">
        <w:rPr>
          <w:lang w:val="en-GB"/>
        </w:rPr>
        <w:t xml:space="preserve">The strongest correlation was found for the external surface area, </w:t>
      </w:r>
      <w:r w:rsidRPr="00025049">
        <w:rPr>
          <w:b/>
          <w:lang w:val="en-GB"/>
        </w:rPr>
        <w:fldChar w:fldCharType="begin"/>
      </w:r>
      <w:r w:rsidRPr="00025049">
        <w:rPr>
          <w:b/>
          <w:lang w:val="en-GB"/>
        </w:rPr>
        <w:instrText xml:space="preserve"> REF _Ref69818865 \h  \* MERGEFORMAT </w:instrText>
      </w:r>
      <w:r w:rsidRPr="00025049">
        <w:rPr>
          <w:b/>
          <w:lang w:val="en-GB"/>
        </w:rPr>
      </w:r>
      <w:r w:rsidRPr="00025049">
        <w:rPr>
          <w:b/>
          <w:lang w:val="en-GB"/>
        </w:rPr>
        <w:fldChar w:fldCharType="separate"/>
      </w:r>
      <w:r w:rsidRPr="00AB3850">
        <w:rPr>
          <w:b/>
          <w:lang w:val="en-GB"/>
        </w:rPr>
        <w:t xml:space="preserve">Figure </w:t>
      </w:r>
      <w:r w:rsidRPr="00AB3850">
        <w:rPr>
          <w:b/>
          <w:noProof/>
          <w:lang w:val="en-GB"/>
        </w:rPr>
        <w:t>3</w:t>
      </w:r>
      <w:r w:rsidRPr="00025049">
        <w:rPr>
          <w:b/>
          <w:lang w:val="en-GB"/>
        </w:rPr>
        <w:fldChar w:fldCharType="end"/>
      </w:r>
      <w:r w:rsidRPr="00025049">
        <w:rPr>
          <w:b/>
          <w:bCs/>
          <w:lang w:val="en-GB"/>
        </w:rPr>
        <w:t>e</w:t>
      </w:r>
      <w:r w:rsidRPr="00025049">
        <w:rPr>
          <w:lang w:val="en-GB"/>
        </w:rPr>
        <w:t>. The positive correlation with external surface area suggests that easily accessible surface area is important in achieving good performance at technologically relevant current densities</w:t>
      </w:r>
      <w:r w:rsidRPr="00025049">
        <w:rPr>
          <w:b/>
          <w:bCs/>
          <w:color w:val="000000"/>
          <w:lang w:val="en-GB"/>
        </w:rPr>
        <w:t>. Increasing the external surface area to 400 m</w:t>
      </w:r>
      <w:r w:rsidRPr="00025049">
        <w:rPr>
          <w:b/>
          <w:bCs/>
          <w:color w:val="000000"/>
          <w:vertAlign w:val="superscript"/>
          <w:lang w:val="en-GB"/>
        </w:rPr>
        <w:t>2</w:t>
      </w:r>
      <w:r w:rsidRPr="00025049">
        <w:rPr>
          <w:b/>
          <w:bCs/>
          <w:color w:val="000000"/>
          <w:lang w:val="en-GB"/>
        </w:rPr>
        <w:t xml:space="preserve"> g</w:t>
      </w:r>
      <w:r w:rsidRPr="00025049">
        <w:rPr>
          <w:b/>
          <w:bCs/>
          <w:color w:val="000000"/>
          <w:vertAlign w:val="superscript"/>
          <w:lang w:val="en-GB"/>
        </w:rPr>
        <w:t>-1</w:t>
      </w:r>
      <w:r w:rsidRPr="00025049">
        <w:rPr>
          <w:b/>
          <w:bCs/>
          <w:color w:val="000000"/>
          <w:lang w:val="en-GB"/>
        </w:rPr>
        <w:t xml:space="preserve"> leads to a 25% improvement in cell voltage.</w:t>
      </w:r>
    </w:p>
    <w:tbl>
      <w:tblPr>
        <w:tblStyle w:val="TableGrid"/>
        <w:tblW w:w="500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16"/>
        <w:gridCol w:w="5028"/>
      </w:tblGrid>
      <w:tr w:rsidR="00FE53E3" w:rsidRPr="00043AAC" w14:paraId="617DD5D5" w14:textId="77777777" w:rsidTr="00ED2E8B">
        <w:trPr>
          <w:trHeight w:val="20"/>
        </w:trPr>
        <w:tc>
          <w:tcPr>
            <w:tcW w:w="5000" w:type="pct"/>
            <w:gridSpan w:val="2"/>
            <w:tcBorders>
              <w:bottom w:val="single" w:sz="18" w:space="0" w:color="FFFFFF"/>
            </w:tcBorders>
            <w:shd w:val="clear" w:color="auto" w:fill="auto"/>
            <w:vAlign w:val="center"/>
          </w:tcPr>
          <w:p w14:paraId="56E9C6D6" w14:textId="77777777" w:rsidR="00FE53E3" w:rsidRPr="00025049" w:rsidRDefault="00FE53E3" w:rsidP="00ED2E8B">
            <w:pPr>
              <w:spacing w:line="160" w:lineRule="exact"/>
              <w:jc w:val="center"/>
            </w:pPr>
          </w:p>
        </w:tc>
      </w:tr>
      <w:tr w:rsidR="00FE53E3" w:rsidRPr="00025049" w14:paraId="3C86395F" w14:textId="77777777" w:rsidTr="00ED2E8B">
        <w:trPr>
          <w:trHeight w:val="283"/>
        </w:trPr>
        <w:tc>
          <w:tcPr>
            <w:tcW w:w="2497" w:type="pct"/>
            <w:tcBorders>
              <w:bottom w:val="single" w:sz="18" w:space="0" w:color="FFFFFF"/>
              <w:right w:val="single" w:sz="18" w:space="0" w:color="FFFFFF"/>
            </w:tcBorders>
            <w:shd w:val="clear" w:color="auto" w:fill="F2F2F2"/>
            <w:vAlign w:val="center"/>
          </w:tcPr>
          <w:p w14:paraId="33814145" w14:textId="77777777" w:rsidR="00FE53E3" w:rsidRPr="00025049" w:rsidRDefault="00FE53E3" w:rsidP="00ED2E8B">
            <w:pPr>
              <w:jc w:val="center"/>
              <w:rPr>
                <w:rFonts w:ascii="Arial" w:hAnsi="Arial" w:cs="Arial"/>
              </w:rPr>
            </w:pPr>
            <w:r w:rsidRPr="00025049">
              <w:rPr>
                <w:rFonts w:ascii="Arial" w:hAnsi="Arial" w:cs="Arial"/>
              </w:rPr>
              <w:t>Na</w:t>
            </w:r>
            <w:r w:rsidRPr="00025049">
              <w:rPr>
                <w:rFonts w:ascii="Arial" w:hAnsi="Arial" w:cs="Arial"/>
                <w:vertAlign w:val="subscript"/>
              </w:rPr>
              <w:t>2</w:t>
            </w:r>
            <w:r w:rsidRPr="00025049">
              <w:rPr>
                <w:rFonts w:ascii="Arial" w:hAnsi="Arial" w:cs="Arial"/>
              </w:rPr>
              <w:t>CO</w:t>
            </w:r>
            <w:r w:rsidRPr="00025049">
              <w:rPr>
                <w:rFonts w:ascii="Arial" w:hAnsi="Arial" w:cs="Arial"/>
                <w:vertAlign w:val="subscript"/>
              </w:rPr>
              <w:t>3</w:t>
            </w:r>
          </w:p>
        </w:tc>
        <w:tc>
          <w:tcPr>
            <w:tcW w:w="2497" w:type="pct"/>
            <w:tcBorders>
              <w:left w:val="single" w:sz="18" w:space="0" w:color="FFFFFF"/>
              <w:bottom w:val="single" w:sz="18" w:space="0" w:color="FFFFFF"/>
            </w:tcBorders>
            <w:shd w:val="clear" w:color="auto" w:fill="F9EDED"/>
            <w:vAlign w:val="center"/>
          </w:tcPr>
          <w:p w14:paraId="00B1B555" w14:textId="77777777" w:rsidR="00FE53E3" w:rsidRPr="00025049" w:rsidRDefault="00FE53E3" w:rsidP="00ED2E8B">
            <w:pPr>
              <w:jc w:val="center"/>
              <w:rPr>
                <w:rFonts w:ascii="Arial" w:hAnsi="Arial" w:cs="Arial"/>
              </w:rPr>
            </w:pPr>
            <w:r w:rsidRPr="00025049">
              <w:rPr>
                <w:rFonts w:ascii="Arial" w:hAnsi="Arial" w:cs="Arial"/>
              </w:rPr>
              <w:t>NaOH</w:t>
            </w:r>
          </w:p>
        </w:tc>
      </w:tr>
      <w:tr w:rsidR="00FE53E3" w:rsidRPr="00025049" w14:paraId="2FF99C4A" w14:textId="77777777" w:rsidTr="00ED2E8B">
        <w:tc>
          <w:tcPr>
            <w:tcW w:w="2497" w:type="pct"/>
            <w:tcBorders>
              <w:top w:val="single" w:sz="18" w:space="0" w:color="FFFFFF"/>
              <w:right w:val="single" w:sz="18" w:space="0" w:color="FFFFFF"/>
            </w:tcBorders>
            <w:shd w:val="clear" w:color="auto" w:fill="F2F2F2"/>
            <w:vAlign w:val="center"/>
          </w:tcPr>
          <w:p w14:paraId="0453D3E6" w14:textId="77777777" w:rsidR="00FE53E3" w:rsidRPr="00025049" w:rsidRDefault="00FE53E3" w:rsidP="00ED2E8B">
            <w:pPr>
              <w:jc w:val="center"/>
            </w:pPr>
            <w:r w:rsidRPr="00025049">
              <w:rPr>
                <w:noProof/>
              </w:rPr>
              <w:drawing>
                <wp:inline distT="0" distB="0" distL="0" distR="0" wp14:anchorId="41F2DE39" wp14:editId="1D4409A6">
                  <wp:extent cx="2698115" cy="2070100"/>
                  <wp:effectExtent l="0" t="0" r="0" b="0"/>
                  <wp:docPr id="1779"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98115" cy="2070100"/>
                          </a:xfrm>
                          <a:prstGeom prst="rect">
                            <a:avLst/>
                          </a:prstGeom>
                          <a:noFill/>
                          <a:ln>
                            <a:noFill/>
                          </a:ln>
                        </pic:spPr>
                      </pic:pic>
                    </a:graphicData>
                  </a:graphic>
                </wp:inline>
              </w:drawing>
            </w:r>
          </w:p>
        </w:tc>
        <w:tc>
          <w:tcPr>
            <w:tcW w:w="2497" w:type="pct"/>
            <w:tcBorders>
              <w:top w:val="single" w:sz="18" w:space="0" w:color="FFFFFF"/>
              <w:left w:val="single" w:sz="18" w:space="0" w:color="FFFFFF"/>
            </w:tcBorders>
            <w:shd w:val="clear" w:color="auto" w:fill="F9EDED"/>
            <w:vAlign w:val="center"/>
          </w:tcPr>
          <w:p w14:paraId="1EF4CA17" w14:textId="77777777" w:rsidR="00FE53E3" w:rsidRPr="00025049" w:rsidRDefault="00FE53E3" w:rsidP="00ED2E8B">
            <w:pPr>
              <w:jc w:val="center"/>
            </w:pPr>
            <w:r w:rsidRPr="00025049">
              <w:rPr>
                <w:noProof/>
              </w:rPr>
              <w:drawing>
                <wp:inline distT="0" distB="0" distL="0" distR="0" wp14:anchorId="5632F015" wp14:editId="7B313A1B">
                  <wp:extent cx="2698115" cy="2064385"/>
                  <wp:effectExtent l="0" t="0" r="0" b="0"/>
                  <wp:docPr id="177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98115" cy="2064385"/>
                          </a:xfrm>
                          <a:prstGeom prst="rect">
                            <a:avLst/>
                          </a:prstGeom>
                          <a:noFill/>
                          <a:ln>
                            <a:noFill/>
                          </a:ln>
                        </pic:spPr>
                      </pic:pic>
                    </a:graphicData>
                  </a:graphic>
                </wp:inline>
              </w:drawing>
            </w:r>
          </w:p>
        </w:tc>
      </w:tr>
      <w:tr w:rsidR="00FE53E3" w:rsidRPr="00025049" w14:paraId="2D1BD21E" w14:textId="77777777" w:rsidTr="00ED2E8B">
        <w:tc>
          <w:tcPr>
            <w:tcW w:w="2497" w:type="pct"/>
            <w:tcBorders>
              <w:bottom w:val="single" w:sz="18" w:space="0" w:color="FFFFFF"/>
              <w:right w:val="single" w:sz="18" w:space="0" w:color="FFFFFF"/>
            </w:tcBorders>
            <w:shd w:val="clear" w:color="auto" w:fill="F2F2F2"/>
            <w:vAlign w:val="center"/>
          </w:tcPr>
          <w:p w14:paraId="15ED84BF" w14:textId="77777777" w:rsidR="00FE53E3" w:rsidRPr="00025049" w:rsidRDefault="00FE53E3" w:rsidP="00ED2E8B">
            <w:pPr>
              <w:jc w:val="center"/>
            </w:pPr>
            <w:r w:rsidRPr="00025049">
              <w:rPr>
                <w:noProof/>
              </w:rPr>
              <w:drawing>
                <wp:inline distT="0" distB="0" distL="0" distR="0" wp14:anchorId="2A8F0DE7" wp14:editId="4D152691">
                  <wp:extent cx="2698115" cy="2288540"/>
                  <wp:effectExtent l="0" t="0" r="0" b="0"/>
                  <wp:docPr id="1777"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23" cstate="print">
                            <a:extLst>
                              <a:ext uri="{28A0092B-C50C-407E-A947-70E740481C1C}">
                                <a14:useLocalDpi xmlns:a14="http://schemas.microsoft.com/office/drawing/2010/main" val="0"/>
                              </a:ext>
                            </a:extLst>
                          </a:blip>
                          <a:srcRect r="9669"/>
                          <a:stretch>
                            <a:fillRect/>
                          </a:stretch>
                        </pic:blipFill>
                        <pic:spPr bwMode="auto">
                          <a:xfrm>
                            <a:off x="0" y="0"/>
                            <a:ext cx="2698115" cy="2288540"/>
                          </a:xfrm>
                          <a:prstGeom prst="rect">
                            <a:avLst/>
                          </a:prstGeom>
                          <a:noFill/>
                          <a:ln>
                            <a:noFill/>
                          </a:ln>
                        </pic:spPr>
                      </pic:pic>
                    </a:graphicData>
                  </a:graphic>
                </wp:inline>
              </w:drawing>
            </w:r>
          </w:p>
        </w:tc>
        <w:tc>
          <w:tcPr>
            <w:tcW w:w="2497" w:type="pct"/>
            <w:tcBorders>
              <w:left w:val="single" w:sz="18" w:space="0" w:color="FFFFFF"/>
              <w:bottom w:val="single" w:sz="18" w:space="0" w:color="FFFFFF"/>
            </w:tcBorders>
            <w:shd w:val="clear" w:color="auto" w:fill="F9EDED"/>
            <w:vAlign w:val="center"/>
          </w:tcPr>
          <w:p w14:paraId="540A6043" w14:textId="77777777" w:rsidR="00FE53E3" w:rsidRPr="00025049" w:rsidRDefault="00FE53E3" w:rsidP="00ED2E8B">
            <w:pPr>
              <w:jc w:val="center"/>
            </w:pPr>
            <w:r>
              <w:rPr>
                <w:noProof/>
              </w:rPr>
              <w:drawing>
                <wp:inline distT="0" distB="0" distL="0" distR="0" wp14:anchorId="3F7565BD" wp14:editId="15CCCE11">
                  <wp:extent cx="2700000" cy="2368063"/>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rotWithShape="1">
                          <a:blip r:embed="rId24" cstate="print">
                            <a:extLst>
                              <a:ext uri="{28A0092B-C50C-407E-A947-70E740481C1C}">
                                <a14:useLocalDpi xmlns:a14="http://schemas.microsoft.com/office/drawing/2010/main" val="0"/>
                              </a:ext>
                            </a:extLst>
                          </a:blip>
                          <a:srcRect l="2047" r="10661"/>
                          <a:stretch/>
                        </pic:blipFill>
                        <pic:spPr bwMode="auto">
                          <a:xfrm>
                            <a:off x="0" y="0"/>
                            <a:ext cx="2700000" cy="2368063"/>
                          </a:xfrm>
                          <a:prstGeom prst="rect">
                            <a:avLst/>
                          </a:prstGeom>
                          <a:ln>
                            <a:noFill/>
                          </a:ln>
                          <a:extLst>
                            <a:ext uri="{53640926-AAD7-44D8-BBD7-CCE9431645EC}">
                              <a14:shadowObscured xmlns:a14="http://schemas.microsoft.com/office/drawing/2010/main"/>
                            </a:ext>
                          </a:extLst>
                        </pic:spPr>
                      </pic:pic>
                    </a:graphicData>
                  </a:graphic>
                </wp:inline>
              </w:drawing>
            </w:r>
          </w:p>
        </w:tc>
      </w:tr>
      <w:tr w:rsidR="00FE53E3" w:rsidRPr="00025049" w14:paraId="23F27AA8" w14:textId="77777777" w:rsidTr="00ED2E8B">
        <w:trPr>
          <w:trHeight w:val="3236"/>
        </w:trPr>
        <w:tc>
          <w:tcPr>
            <w:tcW w:w="4995" w:type="pct"/>
            <w:gridSpan w:val="2"/>
            <w:vAlign w:val="center"/>
          </w:tcPr>
          <w:p w14:paraId="1F589255" w14:textId="77777777" w:rsidR="00FE53E3" w:rsidRPr="00025049" w:rsidRDefault="00FE53E3" w:rsidP="00ED2E8B">
            <w:pPr>
              <w:keepNext/>
              <w:jc w:val="center"/>
            </w:pPr>
            <w:r w:rsidRPr="00025049">
              <w:rPr>
                <w:noProof/>
              </w:rPr>
              <w:drawing>
                <wp:inline distT="0" distB="0" distL="0" distR="0" wp14:anchorId="6D0A23CF" wp14:editId="390CC0E6">
                  <wp:extent cx="2698115" cy="2064385"/>
                  <wp:effectExtent l="0" t="0" r="0" b="0"/>
                  <wp:docPr id="1775"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98115" cy="2064385"/>
                          </a:xfrm>
                          <a:prstGeom prst="rect">
                            <a:avLst/>
                          </a:prstGeom>
                          <a:noFill/>
                          <a:ln>
                            <a:noFill/>
                          </a:ln>
                        </pic:spPr>
                      </pic:pic>
                    </a:graphicData>
                  </a:graphic>
                </wp:inline>
              </w:drawing>
            </w:r>
          </w:p>
        </w:tc>
      </w:tr>
    </w:tbl>
    <w:p w14:paraId="28584637" w14:textId="77777777" w:rsidR="00FE53E3" w:rsidRPr="00025049" w:rsidRDefault="00FE53E3" w:rsidP="00FE53E3">
      <w:pPr>
        <w:pStyle w:val="Caption"/>
        <w:rPr>
          <w:b w:val="0"/>
          <w:bCs w:val="0"/>
        </w:rPr>
      </w:pPr>
      <w:bookmarkStart w:id="6" w:name="_Ref69818865"/>
      <w:r w:rsidRPr="00025049">
        <w:t xml:space="preserve">Figure </w:t>
      </w:r>
      <w:r>
        <w:fldChar w:fldCharType="begin"/>
      </w:r>
      <w:r>
        <w:instrText xml:space="preserve"> SEQ Figure \* ARABIC </w:instrText>
      </w:r>
      <w:r>
        <w:fldChar w:fldCharType="separate"/>
      </w:r>
      <w:r>
        <w:rPr>
          <w:noProof/>
        </w:rPr>
        <w:t>3</w:t>
      </w:r>
      <w:r>
        <w:rPr>
          <w:noProof/>
        </w:rPr>
        <w:fldChar w:fldCharType="end"/>
      </w:r>
      <w:bookmarkEnd w:id="6"/>
      <w:r w:rsidRPr="00025049">
        <w:t xml:space="preserve">. </w:t>
      </w:r>
      <w:r w:rsidRPr="00025049">
        <w:rPr>
          <w:b w:val="0"/>
          <w:bCs w:val="0"/>
        </w:rPr>
        <w:t>Polarization curves using a zero-gap RFB with one electrode layer in each side of the CAG-CP samples with the different R/C ratios and (a) Na</w:t>
      </w:r>
      <w:r w:rsidRPr="00025049">
        <w:rPr>
          <w:b w:val="0"/>
          <w:bCs w:val="0"/>
          <w:vertAlign w:val="subscript"/>
        </w:rPr>
        <w:t>2</w:t>
      </w:r>
      <w:r w:rsidRPr="00025049">
        <w:rPr>
          <w:b w:val="0"/>
          <w:bCs w:val="0"/>
        </w:rPr>
        <w:t>CO</w:t>
      </w:r>
      <w:r w:rsidRPr="00025049">
        <w:rPr>
          <w:b w:val="0"/>
          <w:bCs w:val="0"/>
          <w:vertAlign w:val="subscript"/>
        </w:rPr>
        <w:t>3</w:t>
      </w:r>
      <w:r w:rsidRPr="00025049">
        <w:rPr>
          <w:b w:val="0"/>
          <w:bCs w:val="0"/>
        </w:rPr>
        <w:t xml:space="preserve"> and (b) NaOH catalyst and the respectively High Frequency Resistance (HFR) (c) and (d). (e) correlation of improvement in cell potential at a current density of 100 mA cm</w:t>
      </w:r>
      <w:r w:rsidRPr="00025049">
        <w:rPr>
          <w:b w:val="0"/>
          <w:bCs w:val="0"/>
          <w:vertAlign w:val="superscript"/>
        </w:rPr>
        <w:t>-2</w:t>
      </w:r>
      <w:r w:rsidRPr="00025049">
        <w:rPr>
          <w:b w:val="0"/>
          <w:bCs w:val="0"/>
        </w:rPr>
        <w:t xml:space="preserve"> as a function of external surface area. Operating conditions: 300 mL of electrolyte at 100% SoC, with a current step of 100 mA and holding each point during 10 sec.</w:t>
      </w:r>
    </w:p>
    <w:p w14:paraId="5D8A74E2" w14:textId="77777777" w:rsidR="00FE53E3" w:rsidRPr="00025049" w:rsidRDefault="00FE53E3" w:rsidP="00FE53E3">
      <w:pPr>
        <w:rPr>
          <w:lang w:eastAsia="en-GB"/>
        </w:rPr>
        <w:sectPr w:rsidR="00FE53E3" w:rsidRPr="00025049" w:rsidSect="00806D41">
          <w:type w:val="continuous"/>
          <w:pgSz w:w="11906" w:h="16838" w:code="9"/>
          <w:pgMar w:top="1673" w:right="936" w:bottom="1134" w:left="936" w:header="709" w:footer="709" w:gutter="0"/>
          <w:cols w:space="284"/>
          <w:docGrid w:linePitch="360"/>
        </w:sectPr>
      </w:pPr>
    </w:p>
    <w:p w14:paraId="23B2F831" w14:textId="77777777" w:rsidR="00FE53E3" w:rsidRPr="00007677" w:rsidRDefault="00FE53E3" w:rsidP="00FE53E3">
      <w:pPr>
        <w:pStyle w:val="P1"/>
        <w:rPr>
          <w:b/>
          <w:bCs/>
          <w:color w:val="000000" w:themeColor="text1"/>
          <w:lang w:val="en-GB"/>
        </w:rPr>
      </w:pPr>
      <w:r w:rsidRPr="00007677">
        <w:rPr>
          <w:color w:val="000000" w:themeColor="text1"/>
          <w:lang w:val="en-GB"/>
        </w:rPr>
        <w:lastRenderedPageBreak/>
        <w:t xml:space="preserve">We have also analysed the </w:t>
      </w:r>
      <w:r w:rsidRPr="00007677">
        <w:rPr>
          <w:color w:val="000000" w:themeColor="text1"/>
          <w:u w:val="single"/>
          <w:lang w:val="en-GB"/>
        </w:rPr>
        <w:t xml:space="preserve">cyclic voltammograms (CVs) </w:t>
      </w:r>
      <w:r w:rsidRPr="00007677">
        <w:rPr>
          <w:color w:val="000000" w:themeColor="text1"/>
          <w:lang w:val="en-GB"/>
        </w:rPr>
        <w:t>of the electrodes tested in a three electrode cell using 10 mM V (IV) in 1 M H</w:t>
      </w:r>
      <w:r w:rsidRPr="00007677">
        <w:rPr>
          <w:color w:val="000000" w:themeColor="text1"/>
          <w:vertAlign w:val="subscript"/>
          <w:lang w:val="en-GB"/>
        </w:rPr>
        <w:t>2</w:t>
      </w:r>
      <w:r w:rsidRPr="00007677">
        <w:rPr>
          <w:color w:val="000000" w:themeColor="text1"/>
          <w:lang w:val="en-GB"/>
        </w:rPr>
        <w:t>SO</w:t>
      </w:r>
      <w:r w:rsidRPr="00007677">
        <w:rPr>
          <w:color w:val="000000" w:themeColor="text1"/>
          <w:vertAlign w:val="subscript"/>
          <w:lang w:val="en-GB"/>
        </w:rPr>
        <w:t>4</w:t>
      </w:r>
      <w:r w:rsidRPr="00007677">
        <w:rPr>
          <w:color w:val="000000" w:themeColor="text1"/>
          <w:lang w:val="en-GB"/>
        </w:rPr>
        <w:t xml:space="preserve"> solution, </w:t>
      </w:r>
      <w:r w:rsidRPr="00007677">
        <w:rPr>
          <w:b/>
          <w:bCs/>
          <w:color w:val="000000" w:themeColor="text1"/>
          <w:lang w:val="en-GB"/>
        </w:rPr>
        <w:t>Figure S2</w:t>
      </w:r>
      <w:r w:rsidRPr="00007677">
        <w:rPr>
          <w:color w:val="000000" w:themeColor="text1"/>
          <w:lang w:val="en-GB"/>
        </w:rPr>
        <w:t>. Although the CV curves are modified by the different amounts of capacitance associated with the different electrodes, it is possible to estimate the relative activity of each electrode by monitoring the difference in potential of the oxidation/reduction peaks (</w:t>
      </w:r>
      <w:proofErr w:type="spellStart"/>
      <w:r w:rsidRPr="00007677">
        <w:rPr>
          <w:color w:val="000000" w:themeColor="text1"/>
          <w:lang w:val="en-GB"/>
        </w:rPr>
        <w:t>ΔE</w:t>
      </w:r>
      <w:r w:rsidRPr="00007677">
        <w:rPr>
          <w:color w:val="000000" w:themeColor="text1"/>
          <w:vertAlign w:val="subscript"/>
          <w:lang w:val="en-GB"/>
        </w:rPr>
        <w:t>p</w:t>
      </w:r>
      <w:proofErr w:type="spellEnd"/>
      <w:r w:rsidRPr="00007677">
        <w:rPr>
          <w:color w:val="000000" w:themeColor="text1"/>
          <w:lang w:val="en-GB"/>
        </w:rPr>
        <w:t xml:space="preserve">) on the respective materials. The </w:t>
      </w:r>
      <w:proofErr w:type="spellStart"/>
      <w:r w:rsidRPr="00007677">
        <w:rPr>
          <w:color w:val="000000" w:themeColor="text1"/>
          <w:lang w:val="en-GB"/>
        </w:rPr>
        <w:t>ΔE</w:t>
      </w:r>
      <w:r w:rsidRPr="00007677">
        <w:rPr>
          <w:color w:val="000000" w:themeColor="text1"/>
          <w:vertAlign w:val="subscript"/>
          <w:lang w:val="en-GB"/>
        </w:rPr>
        <w:t>p</w:t>
      </w:r>
      <w:proofErr w:type="spellEnd"/>
      <w:r w:rsidRPr="00007677">
        <w:rPr>
          <w:color w:val="000000" w:themeColor="text1"/>
          <w:lang w:val="en-GB"/>
        </w:rPr>
        <w:t xml:space="preserve"> values follows the same trend with the performance obtained in the polarization curves at low current densities. The best value is for the 200|0.2 in Na</w:t>
      </w:r>
      <w:r w:rsidRPr="00007677">
        <w:rPr>
          <w:color w:val="000000" w:themeColor="text1"/>
          <w:vertAlign w:val="subscript"/>
          <w:lang w:val="en-GB"/>
        </w:rPr>
        <w:t>2</w:t>
      </w:r>
      <w:r w:rsidRPr="00007677">
        <w:rPr>
          <w:color w:val="000000" w:themeColor="text1"/>
          <w:lang w:val="en-GB"/>
        </w:rPr>
        <w:t>CO</w:t>
      </w:r>
      <w:r w:rsidRPr="00007677">
        <w:rPr>
          <w:color w:val="000000" w:themeColor="text1"/>
          <w:vertAlign w:val="subscript"/>
          <w:lang w:val="en-GB"/>
        </w:rPr>
        <w:t>3</w:t>
      </w:r>
      <w:r w:rsidRPr="00007677">
        <w:rPr>
          <w:color w:val="000000" w:themeColor="text1"/>
          <w:lang w:val="en-GB"/>
        </w:rPr>
        <w:t xml:space="preserve"> (69 mV), and the second best is for the same composition but in NaOH (75 mV). Although the CVs provide useful information in terms of the </w:t>
      </w:r>
      <w:r w:rsidRPr="00007677">
        <w:rPr>
          <w:color w:val="000000" w:themeColor="text1"/>
          <w:lang w:val="en-GB"/>
        </w:rPr>
        <w:t xml:space="preserve">catalytic performance of the electrodes, we cannot obtain all the information from the solid electrode structure in the absence of mass transport effects, which instead must be obtained using the polarization curve under the full RFB operating conditions. </w:t>
      </w:r>
      <w:r w:rsidRPr="00007677">
        <w:rPr>
          <w:b/>
          <w:bCs/>
          <w:color w:val="000000" w:themeColor="text1"/>
          <w:lang w:val="en-GB"/>
        </w:rPr>
        <w:t xml:space="preserve"> </w:t>
      </w:r>
    </w:p>
    <w:p w14:paraId="23E82D78" w14:textId="77777777" w:rsidR="00FE53E3" w:rsidRPr="00007677" w:rsidRDefault="00FE53E3" w:rsidP="00FE53E3">
      <w:pPr>
        <w:pStyle w:val="P1"/>
        <w:rPr>
          <w:color w:val="000000" w:themeColor="text1"/>
          <w:lang w:val="en-GB"/>
        </w:rPr>
        <w:sectPr w:rsidR="00FE53E3" w:rsidRPr="00007677" w:rsidSect="003A744D">
          <w:type w:val="continuous"/>
          <w:pgSz w:w="11906" w:h="16838" w:code="9"/>
          <w:pgMar w:top="1673" w:right="936" w:bottom="1134" w:left="936" w:header="709" w:footer="709" w:gutter="0"/>
          <w:cols w:num="2" w:space="284"/>
          <w:docGrid w:linePitch="360"/>
        </w:sectPr>
      </w:pPr>
      <w:r w:rsidRPr="00007677">
        <w:rPr>
          <w:color w:val="000000" w:themeColor="text1"/>
          <w:lang w:val="en-GB"/>
        </w:rPr>
        <w:t>To further probe the electrochemical performance of the best performing electrodes produced using Na</w:t>
      </w:r>
      <w:r w:rsidRPr="00007677">
        <w:rPr>
          <w:color w:val="000000" w:themeColor="text1"/>
          <w:vertAlign w:val="subscript"/>
          <w:lang w:val="en-GB"/>
        </w:rPr>
        <w:t>2</w:t>
      </w:r>
      <w:r w:rsidRPr="00007677">
        <w:rPr>
          <w:color w:val="000000" w:themeColor="text1"/>
          <w:lang w:val="en-GB"/>
        </w:rPr>
        <w:t>CO</w:t>
      </w:r>
      <w:r w:rsidRPr="00007677">
        <w:rPr>
          <w:color w:val="000000" w:themeColor="text1"/>
          <w:vertAlign w:val="subscript"/>
          <w:lang w:val="en-GB"/>
        </w:rPr>
        <w:t>3</w:t>
      </w:r>
      <w:r w:rsidRPr="00007677">
        <w:rPr>
          <w:color w:val="000000" w:themeColor="text1"/>
          <w:lang w:val="en-GB"/>
        </w:rPr>
        <w:t>, double layer capacitance measurements were performed in 0.5 M H</w:t>
      </w:r>
      <w:r w:rsidRPr="00007677">
        <w:rPr>
          <w:color w:val="000000" w:themeColor="text1"/>
          <w:vertAlign w:val="subscript"/>
          <w:lang w:val="en-GB"/>
        </w:rPr>
        <w:t>2</w:t>
      </w:r>
      <w:r w:rsidRPr="00007677">
        <w:rPr>
          <w:color w:val="000000" w:themeColor="text1"/>
          <w:lang w:val="en-GB"/>
        </w:rPr>
        <w:t>SO</w:t>
      </w:r>
      <w:r w:rsidRPr="00007677">
        <w:rPr>
          <w:color w:val="000000" w:themeColor="text1"/>
          <w:vertAlign w:val="subscript"/>
          <w:lang w:val="en-GB"/>
        </w:rPr>
        <w:t xml:space="preserve">4 </w:t>
      </w:r>
      <w:r w:rsidRPr="00007677">
        <w:rPr>
          <w:color w:val="000000" w:themeColor="text1"/>
          <w:lang w:val="en-GB"/>
        </w:rPr>
        <w:t xml:space="preserve">in a three-electrode cell setup at different scan rates. </w:t>
      </w:r>
      <w:r w:rsidRPr="00007677">
        <w:rPr>
          <w:b/>
          <w:bCs/>
          <w:color w:val="000000" w:themeColor="text1"/>
          <w:lang w:val="en-GB"/>
        </w:rPr>
        <w:fldChar w:fldCharType="begin"/>
      </w:r>
      <w:r w:rsidRPr="00007677">
        <w:rPr>
          <w:b/>
          <w:bCs/>
          <w:color w:val="000000" w:themeColor="text1"/>
          <w:lang w:val="en-GB"/>
        </w:rPr>
        <w:instrText xml:space="preserve"> REF _Ref69819091 \h  \* MERGEFORMAT </w:instrText>
      </w:r>
      <w:r w:rsidRPr="00007677">
        <w:rPr>
          <w:b/>
          <w:bCs/>
          <w:color w:val="000000" w:themeColor="text1"/>
          <w:lang w:val="en-GB"/>
        </w:rPr>
      </w:r>
      <w:r w:rsidRPr="00007677">
        <w:rPr>
          <w:b/>
          <w:bCs/>
          <w:color w:val="000000" w:themeColor="text1"/>
          <w:lang w:val="en-GB"/>
        </w:rPr>
        <w:fldChar w:fldCharType="separate"/>
      </w:r>
      <w:r w:rsidRPr="00AB3850">
        <w:rPr>
          <w:b/>
          <w:bCs/>
          <w:color w:val="000000" w:themeColor="text1"/>
          <w:lang w:val="en-GB"/>
        </w:rPr>
        <w:t xml:space="preserve">Figure </w:t>
      </w:r>
      <w:r w:rsidRPr="00AB3850">
        <w:rPr>
          <w:b/>
          <w:bCs/>
          <w:noProof/>
          <w:color w:val="000000" w:themeColor="text1"/>
          <w:lang w:val="en-GB"/>
        </w:rPr>
        <w:t>4</w:t>
      </w:r>
      <w:r w:rsidRPr="00007677">
        <w:rPr>
          <w:b/>
          <w:bCs/>
          <w:color w:val="000000" w:themeColor="text1"/>
          <w:lang w:val="en-GB"/>
        </w:rPr>
        <w:fldChar w:fldCharType="end"/>
      </w:r>
      <w:r w:rsidRPr="00007677">
        <w:rPr>
          <w:color w:val="000000" w:themeColor="text1"/>
          <w:lang w:val="en-GB"/>
        </w:rPr>
        <w:t xml:space="preserve">, shows the double layer capacitance plots of the different electrodes, normalised by the scan rate and the total electrode weight (shown in </w:t>
      </w:r>
      <w:r w:rsidRPr="00007677">
        <w:rPr>
          <w:b/>
          <w:bCs/>
          <w:color w:val="000000" w:themeColor="text1"/>
          <w:lang w:val="en-GB"/>
        </w:rPr>
        <w:fldChar w:fldCharType="begin"/>
      </w:r>
      <w:r w:rsidRPr="00007677">
        <w:rPr>
          <w:b/>
          <w:bCs/>
          <w:color w:val="000000" w:themeColor="text1"/>
          <w:lang w:val="en-GB"/>
        </w:rPr>
        <w:instrText xml:space="preserve"> REF _Ref69749211 \h  \* MERGEFORMAT </w:instrText>
      </w:r>
      <w:r w:rsidRPr="00007677">
        <w:rPr>
          <w:b/>
          <w:bCs/>
          <w:color w:val="000000" w:themeColor="text1"/>
          <w:lang w:val="en-GB"/>
        </w:rPr>
      </w:r>
      <w:r w:rsidRPr="00007677">
        <w:rPr>
          <w:b/>
          <w:bCs/>
          <w:color w:val="000000" w:themeColor="text1"/>
          <w:lang w:val="en-GB"/>
        </w:rPr>
        <w:fldChar w:fldCharType="separate"/>
      </w:r>
      <w:r w:rsidRPr="00AB3850">
        <w:rPr>
          <w:b/>
          <w:bCs/>
          <w:color w:val="000000" w:themeColor="text1"/>
          <w:lang w:val="en-GB"/>
        </w:rPr>
        <w:t xml:space="preserve">Table </w:t>
      </w:r>
      <w:r w:rsidRPr="00AB3850">
        <w:rPr>
          <w:b/>
          <w:bCs/>
          <w:noProof/>
          <w:color w:val="000000" w:themeColor="text1"/>
          <w:lang w:val="en-GB"/>
        </w:rPr>
        <w:t>3</w:t>
      </w:r>
      <w:r w:rsidRPr="00007677">
        <w:rPr>
          <w:b/>
          <w:bCs/>
          <w:color w:val="000000" w:themeColor="text1"/>
          <w:lang w:val="en-GB"/>
        </w:rPr>
        <w:fldChar w:fldCharType="end"/>
      </w:r>
      <w:r w:rsidRPr="00007677">
        <w:rPr>
          <w:color w:val="000000" w:themeColor="text1"/>
          <w:lang w:val="en-GB"/>
        </w:rPr>
        <w:t>) for each electrode, allowing observation of specific capacitance in the non-Faradaic region.</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3"/>
        <w:gridCol w:w="4911"/>
      </w:tblGrid>
      <w:tr w:rsidR="00FE53E3" w:rsidRPr="00025049" w14:paraId="0D54FF91" w14:textId="77777777" w:rsidTr="00ED2E8B">
        <w:trPr>
          <w:jc w:val="center"/>
        </w:trPr>
        <w:tc>
          <w:tcPr>
            <w:tcW w:w="2553" w:type="pct"/>
            <w:vAlign w:val="center"/>
          </w:tcPr>
          <w:p w14:paraId="1D251AE1" w14:textId="77777777" w:rsidR="00FE53E3" w:rsidRPr="00025049" w:rsidRDefault="00FE53E3" w:rsidP="00ED2E8B">
            <w:pPr>
              <w:pStyle w:val="RSCB02ArticleText"/>
              <w:spacing w:line="240" w:lineRule="auto"/>
              <w:jc w:val="center"/>
            </w:pPr>
            <w:r w:rsidRPr="00025049">
              <w:rPr>
                <w:noProof/>
              </w:rPr>
              <w:drawing>
                <wp:inline distT="0" distB="0" distL="0" distR="0" wp14:anchorId="39510568" wp14:editId="7449360D">
                  <wp:extent cx="2519045" cy="2153920"/>
                  <wp:effectExtent l="0" t="0" r="0" b="0"/>
                  <wp:docPr id="178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26" cstate="print">
                            <a:extLst>
                              <a:ext uri="{28A0092B-C50C-407E-A947-70E740481C1C}">
                                <a14:useLocalDpi xmlns:a14="http://schemas.microsoft.com/office/drawing/2010/main" val="0"/>
                              </a:ext>
                            </a:extLst>
                          </a:blip>
                          <a:srcRect l="1996" r="8255"/>
                          <a:stretch>
                            <a:fillRect/>
                          </a:stretch>
                        </pic:blipFill>
                        <pic:spPr bwMode="auto">
                          <a:xfrm>
                            <a:off x="0" y="0"/>
                            <a:ext cx="2519045" cy="2153920"/>
                          </a:xfrm>
                          <a:prstGeom prst="rect">
                            <a:avLst/>
                          </a:prstGeom>
                          <a:noFill/>
                          <a:ln>
                            <a:noFill/>
                          </a:ln>
                        </pic:spPr>
                      </pic:pic>
                    </a:graphicData>
                  </a:graphic>
                </wp:inline>
              </w:drawing>
            </w:r>
          </w:p>
        </w:tc>
        <w:tc>
          <w:tcPr>
            <w:tcW w:w="2447" w:type="pct"/>
            <w:vAlign w:val="center"/>
          </w:tcPr>
          <w:p w14:paraId="3384EBC0" w14:textId="77777777" w:rsidR="00FE53E3" w:rsidRPr="00025049" w:rsidRDefault="00FE53E3" w:rsidP="00ED2E8B">
            <w:pPr>
              <w:pStyle w:val="RSCB02ArticleText"/>
              <w:spacing w:line="240" w:lineRule="auto"/>
              <w:jc w:val="center"/>
            </w:pPr>
            <w:r w:rsidRPr="00025049">
              <w:rPr>
                <w:noProof/>
              </w:rPr>
              <w:drawing>
                <wp:inline distT="0" distB="0" distL="0" distR="0" wp14:anchorId="37AB97AB" wp14:editId="4CE65A34">
                  <wp:extent cx="2519045" cy="2153920"/>
                  <wp:effectExtent l="0" t="0" r="0" b="0"/>
                  <wp:docPr id="1782"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pic:cNvPicPr>
                            <a:picLocks noChangeAspect="1" noChangeArrowheads="1"/>
                          </pic:cNvPicPr>
                        </pic:nvPicPr>
                        <pic:blipFill>
                          <a:blip r:embed="rId27" cstate="print">
                            <a:extLst>
                              <a:ext uri="{28A0092B-C50C-407E-A947-70E740481C1C}">
                                <a14:useLocalDpi xmlns:a14="http://schemas.microsoft.com/office/drawing/2010/main" val="0"/>
                              </a:ext>
                            </a:extLst>
                          </a:blip>
                          <a:srcRect l="1938" r="9293"/>
                          <a:stretch>
                            <a:fillRect/>
                          </a:stretch>
                        </pic:blipFill>
                        <pic:spPr bwMode="auto">
                          <a:xfrm>
                            <a:off x="0" y="0"/>
                            <a:ext cx="2519045" cy="2153920"/>
                          </a:xfrm>
                          <a:prstGeom prst="rect">
                            <a:avLst/>
                          </a:prstGeom>
                          <a:noFill/>
                          <a:ln>
                            <a:noFill/>
                          </a:ln>
                        </pic:spPr>
                      </pic:pic>
                    </a:graphicData>
                  </a:graphic>
                </wp:inline>
              </w:drawing>
            </w:r>
          </w:p>
        </w:tc>
      </w:tr>
      <w:tr w:rsidR="00FE53E3" w:rsidRPr="00025049" w14:paraId="15113F30" w14:textId="77777777" w:rsidTr="00ED2E8B">
        <w:trPr>
          <w:jc w:val="center"/>
        </w:trPr>
        <w:tc>
          <w:tcPr>
            <w:tcW w:w="2553" w:type="pct"/>
            <w:vAlign w:val="center"/>
          </w:tcPr>
          <w:p w14:paraId="10DD16D9" w14:textId="77777777" w:rsidR="00FE53E3" w:rsidRPr="00025049" w:rsidRDefault="00FE53E3" w:rsidP="00ED2E8B">
            <w:pPr>
              <w:pStyle w:val="RSCB02ArticleText"/>
              <w:spacing w:line="240" w:lineRule="auto"/>
              <w:jc w:val="center"/>
              <w:rPr>
                <w:noProof/>
              </w:rPr>
            </w:pPr>
            <w:r w:rsidRPr="00025049">
              <w:rPr>
                <w:noProof/>
              </w:rPr>
              <w:drawing>
                <wp:inline distT="0" distB="0" distL="0" distR="0" wp14:anchorId="3C1F69FD" wp14:editId="1C31D45F">
                  <wp:extent cx="2519045" cy="2182495"/>
                  <wp:effectExtent l="0" t="0" r="0" b="0"/>
                  <wp:docPr id="1781"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pic:cNvPicPr>
                            <a:picLocks noChangeAspect="1" noChangeArrowheads="1"/>
                          </pic:cNvPicPr>
                        </pic:nvPicPr>
                        <pic:blipFill>
                          <a:blip r:embed="rId28" cstate="print">
                            <a:extLst>
                              <a:ext uri="{28A0092B-C50C-407E-A947-70E740481C1C}">
                                <a14:useLocalDpi xmlns:a14="http://schemas.microsoft.com/office/drawing/2010/main" val="0"/>
                              </a:ext>
                            </a:extLst>
                          </a:blip>
                          <a:srcRect l="2647" r="9236"/>
                          <a:stretch>
                            <a:fillRect/>
                          </a:stretch>
                        </pic:blipFill>
                        <pic:spPr bwMode="auto">
                          <a:xfrm>
                            <a:off x="0" y="0"/>
                            <a:ext cx="2519045" cy="2182495"/>
                          </a:xfrm>
                          <a:prstGeom prst="rect">
                            <a:avLst/>
                          </a:prstGeom>
                          <a:noFill/>
                          <a:ln>
                            <a:noFill/>
                          </a:ln>
                        </pic:spPr>
                      </pic:pic>
                    </a:graphicData>
                  </a:graphic>
                </wp:inline>
              </w:drawing>
            </w:r>
          </w:p>
        </w:tc>
        <w:tc>
          <w:tcPr>
            <w:tcW w:w="2447" w:type="pct"/>
            <w:vAlign w:val="center"/>
          </w:tcPr>
          <w:p w14:paraId="0CC24D04" w14:textId="77777777" w:rsidR="00FE53E3" w:rsidRPr="00025049" w:rsidRDefault="00FE53E3" w:rsidP="00ED2E8B">
            <w:pPr>
              <w:pStyle w:val="RSCB02ArticleText"/>
              <w:keepNext/>
              <w:spacing w:line="240" w:lineRule="auto"/>
              <w:jc w:val="center"/>
              <w:rPr>
                <w:noProof/>
              </w:rPr>
            </w:pPr>
            <w:r w:rsidRPr="00025049">
              <w:rPr>
                <w:noProof/>
              </w:rPr>
              <w:drawing>
                <wp:inline distT="0" distB="0" distL="0" distR="0" wp14:anchorId="3EAD0299" wp14:editId="0E49895E">
                  <wp:extent cx="2519045" cy="2176780"/>
                  <wp:effectExtent l="0" t="0" r="0" b="0"/>
                  <wp:docPr id="178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a:picLocks noChangeAspect="1" noChangeArrowheads="1"/>
                          </pic:cNvPicPr>
                        </pic:nvPicPr>
                        <pic:blipFill>
                          <a:blip r:embed="rId29" cstate="print">
                            <a:extLst>
                              <a:ext uri="{28A0092B-C50C-407E-A947-70E740481C1C}">
                                <a14:useLocalDpi xmlns:a14="http://schemas.microsoft.com/office/drawing/2010/main" val="0"/>
                              </a:ext>
                            </a:extLst>
                          </a:blip>
                          <a:srcRect l="2647" r="8820"/>
                          <a:stretch>
                            <a:fillRect/>
                          </a:stretch>
                        </pic:blipFill>
                        <pic:spPr bwMode="auto">
                          <a:xfrm>
                            <a:off x="0" y="0"/>
                            <a:ext cx="2519045" cy="2176780"/>
                          </a:xfrm>
                          <a:prstGeom prst="rect">
                            <a:avLst/>
                          </a:prstGeom>
                          <a:noFill/>
                          <a:ln>
                            <a:noFill/>
                          </a:ln>
                        </pic:spPr>
                      </pic:pic>
                    </a:graphicData>
                  </a:graphic>
                </wp:inline>
              </w:drawing>
            </w:r>
          </w:p>
        </w:tc>
      </w:tr>
    </w:tbl>
    <w:p w14:paraId="51B1D8C5" w14:textId="77777777" w:rsidR="00FE53E3" w:rsidRPr="00025049" w:rsidRDefault="00FE53E3" w:rsidP="00FE53E3">
      <w:pPr>
        <w:pStyle w:val="Caption"/>
        <w:rPr>
          <w:rStyle w:val="RSCI05CaptiontoFigureSchemeChartwithbottombarChar"/>
          <w:b w:val="0"/>
          <w:sz w:val="24"/>
          <w:szCs w:val="24"/>
        </w:rPr>
      </w:pPr>
      <w:bookmarkStart w:id="7" w:name="_Ref69819091"/>
      <w:bookmarkStart w:id="8" w:name="_Ref56710040"/>
      <w:r w:rsidRPr="00025049">
        <w:t xml:space="preserve">Figure </w:t>
      </w:r>
      <w:r>
        <w:fldChar w:fldCharType="begin"/>
      </w:r>
      <w:r>
        <w:instrText xml:space="preserve"> SEQ Figure \* ARABIC </w:instrText>
      </w:r>
      <w:r>
        <w:fldChar w:fldCharType="separate"/>
      </w:r>
      <w:r>
        <w:rPr>
          <w:noProof/>
        </w:rPr>
        <w:t>4</w:t>
      </w:r>
      <w:r>
        <w:rPr>
          <w:noProof/>
        </w:rPr>
        <w:fldChar w:fldCharType="end"/>
      </w:r>
      <w:bookmarkEnd w:id="7"/>
      <w:r w:rsidRPr="00025049">
        <w:t>.</w:t>
      </w:r>
      <w:bookmarkEnd w:id="8"/>
      <w:r w:rsidRPr="00025049">
        <w:t xml:space="preserve"> </w:t>
      </w:r>
      <w:r w:rsidRPr="00025049">
        <w:rPr>
          <w:b w:val="0"/>
          <w:bCs w:val="0"/>
        </w:rPr>
        <w:t>Capacitance measurements at different scan rates (the capacitance is normalised by the scan rate and the total loading) for each electrode prepared with Na</w:t>
      </w:r>
      <w:r w:rsidRPr="00025049">
        <w:rPr>
          <w:b w:val="0"/>
          <w:bCs w:val="0"/>
          <w:vertAlign w:val="subscript"/>
        </w:rPr>
        <w:t>2</w:t>
      </w:r>
      <w:r w:rsidRPr="00025049">
        <w:rPr>
          <w:b w:val="0"/>
          <w:bCs w:val="0"/>
        </w:rPr>
        <w:t>CO</w:t>
      </w:r>
      <w:r w:rsidRPr="00025049">
        <w:rPr>
          <w:b w:val="0"/>
          <w:bCs w:val="0"/>
          <w:vertAlign w:val="subscript"/>
        </w:rPr>
        <w:t>3</w:t>
      </w:r>
      <w:r w:rsidRPr="00025049">
        <w:rPr>
          <w:b w:val="0"/>
          <w:bCs w:val="0"/>
        </w:rPr>
        <w:t xml:space="preserve"> (a) SGL, (b) </w:t>
      </w:r>
      <w:bookmarkStart w:id="9" w:name="_Hlk62543004"/>
      <w:r w:rsidRPr="00025049">
        <w:rPr>
          <w:b w:val="0"/>
          <w:bCs w:val="0"/>
        </w:rPr>
        <w:t xml:space="preserve">200|0.05, (c) 200|0.2 </w:t>
      </w:r>
      <w:bookmarkEnd w:id="9"/>
      <w:r w:rsidRPr="00025049">
        <w:rPr>
          <w:b w:val="0"/>
          <w:bCs w:val="0"/>
        </w:rPr>
        <w:t>and (d) 1000|0.2 with the range of potentials (between dashed lines) used to calculate the average capacitance values for each electrode. (d) Capacitance measurements of the electrodes prepared with the Na</w:t>
      </w:r>
      <w:r w:rsidRPr="00025049">
        <w:rPr>
          <w:b w:val="0"/>
          <w:bCs w:val="0"/>
          <w:vertAlign w:val="subscript"/>
        </w:rPr>
        <w:t>2</w:t>
      </w:r>
      <w:r w:rsidRPr="00025049">
        <w:rPr>
          <w:b w:val="0"/>
          <w:bCs w:val="0"/>
        </w:rPr>
        <w:t>CO</w:t>
      </w:r>
      <w:r w:rsidRPr="00025049">
        <w:rPr>
          <w:b w:val="0"/>
          <w:bCs w:val="0"/>
          <w:vertAlign w:val="subscript"/>
        </w:rPr>
        <w:t>3</w:t>
      </w:r>
      <w:r w:rsidRPr="00025049">
        <w:rPr>
          <w:b w:val="0"/>
          <w:bCs w:val="0"/>
        </w:rPr>
        <w:t xml:space="preserve"> catalyst. At 1 mV s</w:t>
      </w:r>
      <w:r w:rsidRPr="00025049">
        <w:rPr>
          <w:b w:val="0"/>
          <w:bCs w:val="0"/>
          <w:vertAlign w:val="superscript"/>
        </w:rPr>
        <w:t>-1</w:t>
      </w:r>
      <w:r w:rsidRPr="00025049">
        <w:rPr>
          <w:b w:val="0"/>
          <w:bCs w:val="0"/>
        </w:rPr>
        <w:t>, 0.5 M H</w:t>
      </w:r>
      <w:r w:rsidRPr="00025049">
        <w:rPr>
          <w:b w:val="0"/>
          <w:bCs w:val="0"/>
          <w:vertAlign w:val="subscript"/>
        </w:rPr>
        <w:t>2</w:t>
      </w:r>
      <w:r w:rsidRPr="00025049">
        <w:rPr>
          <w:b w:val="0"/>
          <w:bCs w:val="0"/>
        </w:rPr>
        <w:t>SO</w:t>
      </w:r>
      <w:r w:rsidRPr="00025049">
        <w:rPr>
          <w:b w:val="0"/>
          <w:bCs w:val="0"/>
          <w:vertAlign w:val="subscript"/>
        </w:rPr>
        <w:t>4</w:t>
      </w:r>
      <w:r w:rsidRPr="00025049">
        <w:rPr>
          <w:b w:val="0"/>
          <w:bCs w:val="0"/>
        </w:rPr>
        <w:t>, purged with N</w:t>
      </w:r>
      <w:r w:rsidRPr="00025049">
        <w:rPr>
          <w:b w:val="0"/>
          <w:bCs w:val="0"/>
          <w:vertAlign w:val="subscript"/>
        </w:rPr>
        <w:t>2</w:t>
      </w:r>
      <w:r w:rsidRPr="00025049">
        <w:rPr>
          <w:b w:val="0"/>
          <w:bCs w:val="0"/>
        </w:rPr>
        <w:t xml:space="preserve"> at 298 K</w:t>
      </w:r>
      <w:r w:rsidRPr="00025049">
        <w:rPr>
          <w:rStyle w:val="RSCI05CaptiontoFigureSchemeChartwithbottombarChar"/>
          <w:b w:val="0"/>
          <w:sz w:val="24"/>
          <w:szCs w:val="24"/>
        </w:rPr>
        <w:t>.</w:t>
      </w:r>
    </w:p>
    <w:p w14:paraId="2ED5F095" w14:textId="77777777" w:rsidR="00FE53E3" w:rsidRPr="00025049" w:rsidRDefault="00FE53E3" w:rsidP="00FE53E3">
      <w:pPr>
        <w:sectPr w:rsidR="00FE53E3" w:rsidRPr="00025049" w:rsidSect="0089792E">
          <w:type w:val="continuous"/>
          <w:pgSz w:w="11906" w:h="16838" w:code="9"/>
          <w:pgMar w:top="1673" w:right="936" w:bottom="1134" w:left="936" w:header="709" w:footer="709" w:gutter="0"/>
          <w:cols w:space="284"/>
          <w:docGrid w:linePitch="360"/>
        </w:sectPr>
      </w:pPr>
    </w:p>
    <w:p w14:paraId="607B56FF" w14:textId="77777777" w:rsidR="00FE53E3" w:rsidRPr="00025049" w:rsidRDefault="00FE53E3" w:rsidP="00FE53E3">
      <w:pPr>
        <w:pStyle w:val="P1"/>
        <w:rPr>
          <w:lang w:val="en-GB"/>
        </w:rPr>
        <w:sectPr w:rsidR="00FE53E3" w:rsidRPr="00025049" w:rsidSect="00A4644A">
          <w:type w:val="continuous"/>
          <w:pgSz w:w="11906" w:h="16838" w:code="9"/>
          <w:pgMar w:top="1673" w:right="936" w:bottom="1134" w:left="936" w:header="709" w:footer="709" w:gutter="0"/>
          <w:cols w:num="2" w:space="284"/>
          <w:docGrid w:linePitch="360"/>
        </w:sectPr>
      </w:pPr>
      <w:r w:rsidRPr="00025049">
        <w:rPr>
          <w:b/>
          <w:bCs/>
          <w:lang w:val="en-GB"/>
        </w:rPr>
        <w:fldChar w:fldCharType="begin"/>
      </w:r>
      <w:r w:rsidRPr="00025049">
        <w:rPr>
          <w:b/>
          <w:bCs/>
          <w:lang w:val="en-GB"/>
        </w:rPr>
        <w:instrText xml:space="preserve"> REF _Ref69819091 \h  \* MERGEFORMAT </w:instrText>
      </w:r>
      <w:r w:rsidRPr="00025049">
        <w:rPr>
          <w:b/>
          <w:bCs/>
          <w:lang w:val="en-GB"/>
        </w:rPr>
      </w:r>
      <w:r w:rsidRPr="00025049">
        <w:rPr>
          <w:b/>
          <w:bCs/>
          <w:lang w:val="en-GB"/>
        </w:rPr>
        <w:fldChar w:fldCharType="separate"/>
      </w:r>
      <w:r w:rsidRPr="00AB3850">
        <w:rPr>
          <w:b/>
          <w:bCs/>
          <w:lang w:val="en-GB"/>
        </w:rPr>
        <w:t xml:space="preserve">Figure </w:t>
      </w:r>
      <w:r w:rsidRPr="00AB3850">
        <w:rPr>
          <w:b/>
          <w:bCs/>
          <w:noProof/>
          <w:lang w:val="en-GB"/>
        </w:rPr>
        <w:t>4</w:t>
      </w:r>
      <w:r w:rsidRPr="00025049">
        <w:rPr>
          <w:b/>
          <w:bCs/>
          <w:lang w:val="en-GB"/>
        </w:rPr>
        <w:fldChar w:fldCharType="end"/>
      </w:r>
      <w:r w:rsidRPr="00025049">
        <w:rPr>
          <w:b/>
          <w:bCs/>
          <w:lang w:val="en-GB"/>
        </w:rPr>
        <w:t>a</w:t>
      </w:r>
      <w:r w:rsidRPr="00025049">
        <w:rPr>
          <w:lang w:val="en-GB"/>
        </w:rPr>
        <w:t xml:space="preserve"> shows the plain carbon paper electrode (SGL) without any supported CAG, showing at lower scan rates some Faradaic processes possibly associated with electroreduction of small amounts of residual oxygen in solution (note that the y-axis scale is </w:t>
      </w:r>
      <w:r w:rsidRPr="00025049">
        <w:rPr>
          <w:b/>
          <w:bCs/>
          <w:lang w:val="en-GB"/>
        </w:rPr>
        <w:t>100-fold</w:t>
      </w:r>
      <w:r w:rsidRPr="00025049">
        <w:rPr>
          <w:lang w:val="en-GB"/>
        </w:rPr>
        <w:t xml:space="preserve"> smaller than the CAG containing electrodes). </w:t>
      </w:r>
      <w:r w:rsidRPr="00025049">
        <w:rPr>
          <w:b/>
          <w:bCs/>
          <w:lang w:val="en-GB"/>
        </w:rPr>
        <w:fldChar w:fldCharType="begin"/>
      </w:r>
      <w:r w:rsidRPr="00025049">
        <w:rPr>
          <w:b/>
          <w:bCs/>
          <w:lang w:val="en-GB"/>
        </w:rPr>
        <w:instrText xml:space="preserve"> REF _Ref69819091 \h  \* MERGEFORMAT </w:instrText>
      </w:r>
      <w:r w:rsidRPr="00025049">
        <w:rPr>
          <w:b/>
          <w:bCs/>
          <w:lang w:val="en-GB"/>
        </w:rPr>
      </w:r>
      <w:r w:rsidRPr="00025049">
        <w:rPr>
          <w:b/>
          <w:bCs/>
          <w:lang w:val="en-GB"/>
        </w:rPr>
        <w:fldChar w:fldCharType="separate"/>
      </w:r>
      <w:r w:rsidRPr="00AB3850">
        <w:rPr>
          <w:b/>
          <w:bCs/>
          <w:lang w:val="en-GB"/>
        </w:rPr>
        <w:t xml:space="preserve">Figure </w:t>
      </w:r>
      <w:r w:rsidRPr="00AB3850">
        <w:rPr>
          <w:b/>
          <w:bCs/>
          <w:noProof/>
          <w:lang w:val="en-GB"/>
        </w:rPr>
        <w:t>4</w:t>
      </w:r>
      <w:r w:rsidRPr="00025049">
        <w:rPr>
          <w:b/>
          <w:bCs/>
          <w:lang w:val="en-GB"/>
        </w:rPr>
        <w:fldChar w:fldCharType="end"/>
      </w:r>
      <w:r w:rsidRPr="00025049">
        <w:rPr>
          <w:b/>
          <w:bCs/>
          <w:lang w:val="en-GB"/>
        </w:rPr>
        <w:t xml:space="preserve">b, c </w:t>
      </w:r>
      <w:r w:rsidRPr="00025049">
        <w:rPr>
          <w:lang w:val="en-GB"/>
        </w:rPr>
        <w:t xml:space="preserve">and </w:t>
      </w:r>
      <w:r w:rsidRPr="00025049">
        <w:rPr>
          <w:b/>
          <w:bCs/>
          <w:lang w:val="en-GB"/>
        </w:rPr>
        <w:t>d</w:t>
      </w:r>
      <w:r w:rsidRPr="00025049">
        <w:rPr>
          <w:lang w:val="en-GB"/>
        </w:rPr>
        <w:t xml:space="preserve">, show the data from the three CAG-based electrodes. There is a significant capacitance increase compared with the plain carbon paper electrode. There are also different degrees of deviation from ideal supercapacitor behaviour, which should look like a square response at all scan rates. Deviations from this form, especially at faster scan rates indicate the presence of ionic (and possibly electronic) transport limitations within the materials </w:t>
      </w:r>
      <w:r w:rsidRPr="00025049">
        <w:rPr>
          <w:lang w:val="en-GB"/>
        </w:rPr>
        <w:t xml:space="preserve">leading to internal </w:t>
      </w:r>
      <w:proofErr w:type="spellStart"/>
      <w:r w:rsidRPr="00025049">
        <w:rPr>
          <w:lang w:val="en-GB"/>
        </w:rPr>
        <w:t>iR</w:t>
      </w:r>
      <w:proofErr w:type="spellEnd"/>
      <w:r w:rsidRPr="00025049">
        <w:rPr>
          <w:lang w:val="en-GB"/>
        </w:rPr>
        <w:t xml:space="preserve"> drops and limitations to the charging rate.  Of the three CAG electrodes, the 200|0.05 and 200|0.2 compositions show the smallest deviation from ideal behaviour at the faster scan rates</w:t>
      </w:r>
      <w:r>
        <w:rPr>
          <w:color w:val="FF0000"/>
          <w:lang w:val="en-GB"/>
        </w:rPr>
        <w:t>,</w:t>
      </w:r>
      <w:r w:rsidRPr="00025049">
        <w:rPr>
          <w:lang w:val="en-GB"/>
        </w:rPr>
        <w:t xml:space="preserve"> whereas the 1000|0.2 shows significant non-ideal behaviour especially at faster scan rates. The significant deviations seen for the latter electrode is not surprising as it is composed almost entirely of micropores (99% by volume, </w:t>
      </w:r>
      <w:r w:rsidRPr="00025049">
        <w:rPr>
          <w:b/>
          <w:bCs/>
          <w:lang w:val="en-GB"/>
        </w:rPr>
        <w:fldChar w:fldCharType="begin"/>
      </w:r>
      <w:r w:rsidRPr="00025049">
        <w:rPr>
          <w:b/>
          <w:bCs/>
          <w:lang w:val="en-GB"/>
        </w:rPr>
        <w:instrText xml:space="preserve"> REF _Ref69818269 \h  \* MERGEFORMAT </w:instrText>
      </w:r>
      <w:r w:rsidRPr="00025049">
        <w:rPr>
          <w:b/>
          <w:bCs/>
          <w:lang w:val="en-GB"/>
        </w:rPr>
      </w:r>
      <w:r w:rsidRPr="00025049">
        <w:rPr>
          <w:b/>
          <w:bCs/>
          <w:lang w:val="en-GB"/>
        </w:rPr>
        <w:fldChar w:fldCharType="separate"/>
      </w:r>
      <w:r w:rsidRPr="00AB3850">
        <w:rPr>
          <w:b/>
          <w:bCs/>
          <w:lang w:val="en-GB"/>
        </w:rPr>
        <w:t>Table</w:t>
      </w:r>
      <w:r w:rsidRPr="00025049">
        <w:rPr>
          <w:b/>
          <w:bCs/>
        </w:rPr>
        <w:t xml:space="preserve"> </w:t>
      </w:r>
      <w:r>
        <w:rPr>
          <w:b/>
          <w:bCs/>
          <w:noProof/>
        </w:rPr>
        <w:t>1</w:t>
      </w:r>
      <w:r w:rsidRPr="00025049">
        <w:rPr>
          <w:b/>
          <w:bCs/>
          <w:lang w:val="en-GB"/>
        </w:rPr>
        <w:fldChar w:fldCharType="end"/>
      </w:r>
      <w:r w:rsidRPr="00025049">
        <w:rPr>
          <w:lang w:val="en-GB"/>
        </w:rPr>
        <w:t xml:space="preserve">) with small average pore size (2 nm) and low total internal volume. Hence ion transport within that material is hindered by long transport distances through narrow pores. In contrast the other two materials have much larger internal pore volumes and </w:t>
      </w:r>
      <w:r w:rsidRPr="00393DEF">
        <w:rPr>
          <w:sz w:val="16"/>
          <w:szCs w:val="16"/>
          <w:lang w:val="en-GB"/>
        </w:rPr>
        <w:t>average pore diameters leading to efficient internal ionic transport.</w:t>
      </w:r>
      <w:r w:rsidRPr="00025049">
        <w:rPr>
          <w:lang w:val="en-GB"/>
        </w:rPr>
        <w:t xml:space="preserve"> </w:t>
      </w:r>
    </w:p>
    <w:p w14:paraId="76C570CA" w14:textId="77777777" w:rsidR="00FE53E3" w:rsidRPr="00025049" w:rsidRDefault="00FE53E3" w:rsidP="00FE53E3">
      <w:pPr>
        <w:pStyle w:val="TableCaption"/>
      </w:pPr>
      <w:bookmarkStart w:id="10" w:name="_Ref69819538"/>
      <w:r w:rsidRPr="00025049">
        <w:rPr>
          <w:b/>
          <w:bCs/>
        </w:rPr>
        <w:br w:type="page"/>
      </w:r>
      <w:bookmarkStart w:id="11" w:name="_Ref85023501"/>
      <w:r w:rsidRPr="00025049">
        <w:rPr>
          <w:b/>
          <w:bCs/>
        </w:rPr>
        <w:lastRenderedPageBreak/>
        <w:t xml:space="preserve">Table </w:t>
      </w:r>
      <w:r w:rsidRPr="00025049">
        <w:rPr>
          <w:b/>
          <w:bCs/>
        </w:rPr>
        <w:fldChar w:fldCharType="begin"/>
      </w:r>
      <w:r w:rsidRPr="00025049">
        <w:rPr>
          <w:b/>
          <w:bCs/>
        </w:rPr>
        <w:instrText xml:space="preserve"> SEQ Table \* ARABIC </w:instrText>
      </w:r>
      <w:r w:rsidRPr="00025049">
        <w:rPr>
          <w:b/>
          <w:bCs/>
        </w:rPr>
        <w:fldChar w:fldCharType="separate"/>
      </w:r>
      <w:r>
        <w:rPr>
          <w:b/>
          <w:bCs/>
          <w:noProof/>
        </w:rPr>
        <w:t>2</w:t>
      </w:r>
      <w:r w:rsidRPr="00025049">
        <w:rPr>
          <w:b/>
          <w:bCs/>
        </w:rPr>
        <w:fldChar w:fldCharType="end"/>
      </w:r>
      <w:bookmarkEnd w:id="10"/>
      <w:bookmarkEnd w:id="11"/>
      <w:r w:rsidRPr="00025049">
        <w:rPr>
          <w:b/>
          <w:bCs/>
        </w:rPr>
        <w:t>.</w:t>
      </w:r>
      <w:r w:rsidRPr="00025049">
        <w:t xml:space="preserve"> </w:t>
      </w:r>
      <w:r w:rsidRPr="00025049">
        <w:rPr>
          <w:b/>
          <w:bCs/>
        </w:rPr>
        <w:t>Electrode and CAG Performance</w:t>
      </w:r>
      <w:r w:rsidRPr="00025049">
        <w:t>, electrochemical data from the electrode and the CAG extracted from the capacitance measurements and with the pure electrochemical data from the CAGs itself. Surface area Increase relates to the increase in electrochemical surface area associated with the introduction of the CAG.</w:t>
      </w:r>
    </w:p>
    <w:tbl>
      <w:tblPr>
        <w:tblStyle w:val="ListTable7Colorful"/>
        <w:tblW w:w="4947" w:type="pct"/>
        <w:tblInd w:w="108" w:type="dxa"/>
        <w:tblLook w:val="04A0" w:firstRow="1" w:lastRow="0" w:firstColumn="1" w:lastColumn="0" w:noHBand="0" w:noVBand="1"/>
      </w:tblPr>
      <w:tblGrid>
        <w:gridCol w:w="1249"/>
        <w:gridCol w:w="1805"/>
        <w:gridCol w:w="832"/>
        <w:gridCol w:w="1110"/>
        <w:gridCol w:w="1251"/>
        <w:gridCol w:w="1942"/>
        <w:gridCol w:w="1739"/>
      </w:tblGrid>
      <w:tr w:rsidR="00FE53E3" w:rsidRPr="00043AAC" w14:paraId="4C36DD4B" w14:textId="77777777" w:rsidTr="00ED2E8B">
        <w:trPr>
          <w:cnfStyle w:val="100000000000" w:firstRow="1" w:lastRow="0" w:firstColumn="0" w:lastColumn="0" w:oddVBand="0" w:evenVBand="0" w:oddHBand="0" w:evenHBand="0" w:firstRowFirstColumn="0" w:firstRowLastColumn="0" w:lastRowFirstColumn="0" w:lastRowLastColumn="0"/>
          <w:trHeight w:val="198"/>
        </w:trPr>
        <w:tc>
          <w:tcPr>
            <w:cnfStyle w:val="001000000100" w:firstRow="0" w:lastRow="0" w:firstColumn="1" w:lastColumn="0" w:oddVBand="0" w:evenVBand="0" w:oddHBand="0" w:evenHBand="0" w:firstRowFirstColumn="1" w:firstRowLastColumn="0" w:lastRowFirstColumn="0" w:lastRowLastColumn="0"/>
            <w:tcW w:w="629" w:type="pct"/>
            <w:tcBorders>
              <w:top w:val="single" w:sz="4" w:space="0" w:color="auto"/>
              <w:bottom w:val="single" w:sz="4" w:space="0" w:color="auto"/>
            </w:tcBorders>
            <w:shd w:val="clear" w:color="auto" w:fill="auto"/>
            <w:vAlign w:val="center"/>
          </w:tcPr>
          <w:p w14:paraId="0F84F4C4" w14:textId="77777777" w:rsidR="00FE53E3" w:rsidRPr="00025049" w:rsidRDefault="00FE53E3" w:rsidP="00ED2E8B">
            <w:pPr>
              <w:pStyle w:val="RSCB02ArticleText"/>
              <w:spacing w:line="240" w:lineRule="auto"/>
              <w:jc w:val="center"/>
              <w:rPr>
                <w:rFonts w:ascii="Arial" w:hAnsi="Arial" w:cs="Arial"/>
                <w:b/>
                <w:bCs/>
                <w:sz w:val="14"/>
                <w:szCs w:val="14"/>
              </w:rPr>
            </w:pPr>
            <w:r w:rsidRPr="00025049">
              <w:rPr>
                <w:rFonts w:ascii="Arial" w:hAnsi="Arial" w:cs="Arial"/>
                <w:b/>
                <w:bCs/>
                <w:sz w:val="14"/>
                <w:szCs w:val="14"/>
              </w:rPr>
              <w:t>Sample</w:t>
            </w:r>
          </w:p>
        </w:tc>
        <w:tc>
          <w:tcPr>
            <w:tcW w:w="909" w:type="pct"/>
            <w:tcBorders>
              <w:top w:val="single" w:sz="4" w:space="0" w:color="auto"/>
              <w:bottom w:val="single" w:sz="4" w:space="0" w:color="auto"/>
            </w:tcBorders>
            <w:shd w:val="clear" w:color="auto" w:fill="auto"/>
            <w:vAlign w:val="center"/>
          </w:tcPr>
          <w:p w14:paraId="7AAEAE95" w14:textId="77777777" w:rsidR="00FE53E3" w:rsidRPr="00025049" w:rsidRDefault="00FE53E3" w:rsidP="00ED2E8B">
            <w:pPr>
              <w:pStyle w:val="RSCB02ArticleText"/>
              <w:spacing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14"/>
                <w:szCs w:val="14"/>
              </w:rPr>
            </w:pPr>
            <w:r w:rsidRPr="00025049">
              <w:rPr>
                <w:rFonts w:ascii="Arial" w:hAnsi="Arial" w:cs="Arial"/>
                <w:b/>
                <w:bCs/>
                <w:sz w:val="14"/>
                <w:szCs w:val="14"/>
              </w:rPr>
              <w:t xml:space="preserve">Areal. </w:t>
            </w:r>
            <w:proofErr w:type="spellStart"/>
            <w:r w:rsidRPr="00025049">
              <w:rPr>
                <w:rFonts w:ascii="Arial" w:hAnsi="Arial" w:cs="Arial"/>
                <w:b/>
                <w:bCs/>
                <w:sz w:val="14"/>
                <w:szCs w:val="14"/>
              </w:rPr>
              <w:t>Capacitance</w:t>
            </w:r>
            <w:r w:rsidRPr="00025049">
              <w:rPr>
                <w:rFonts w:ascii="Arial" w:hAnsi="Arial" w:cs="Arial"/>
                <w:b/>
                <w:bCs/>
                <w:sz w:val="14"/>
                <w:szCs w:val="14"/>
                <w:vertAlign w:val="subscript"/>
              </w:rPr>
              <w:t>geom</w:t>
            </w:r>
            <w:proofErr w:type="spellEnd"/>
            <w:r w:rsidRPr="00025049">
              <w:rPr>
                <w:rFonts w:ascii="Arial" w:hAnsi="Arial" w:cs="Arial"/>
                <w:b/>
                <w:bCs/>
                <w:sz w:val="14"/>
                <w:szCs w:val="14"/>
              </w:rPr>
              <w:t xml:space="preserve"> </w:t>
            </w:r>
            <w:r w:rsidRPr="00025049">
              <w:rPr>
                <w:rFonts w:ascii="Arial" w:hAnsi="Arial" w:cs="Arial"/>
                <w:b/>
                <w:bCs/>
                <w:sz w:val="14"/>
                <w:szCs w:val="14"/>
              </w:rPr>
              <w:br/>
              <w:t>/ F m</w:t>
            </w:r>
            <w:r w:rsidRPr="00025049">
              <w:rPr>
                <w:rFonts w:ascii="Arial" w:hAnsi="Arial" w:cs="Arial"/>
                <w:b/>
                <w:bCs/>
                <w:sz w:val="14"/>
                <w:szCs w:val="14"/>
                <w:vertAlign w:val="superscript"/>
              </w:rPr>
              <w:t>-2</w:t>
            </w:r>
          </w:p>
        </w:tc>
        <w:tc>
          <w:tcPr>
            <w:tcW w:w="419" w:type="pct"/>
            <w:tcBorders>
              <w:top w:val="single" w:sz="4" w:space="0" w:color="auto"/>
              <w:bottom w:val="single" w:sz="4" w:space="0" w:color="auto"/>
            </w:tcBorders>
            <w:shd w:val="clear" w:color="auto" w:fill="auto"/>
            <w:vAlign w:val="center"/>
          </w:tcPr>
          <w:p w14:paraId="1A6C90DA" w14:textId="77777777" w:rsidR="00FE53E3" w:rsidRPr="00025049" w:rsidRDefault="00FE53E3" w:rsidP="00ED2E8B">
            <w:pPr>
              <w:pStyle w:val="RSCB02ArticleText"/>
              <w:spacing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14"/>
                <w:szCs w:val="14"/>
              </w:rPr>
            </w:pPr>
            <w:r w:rsidRPr="00025049">
              <w:rPr>
                <w:rFonts w:ascii="Arial" w:hAnsi="Arial" w:cs="Arial"/>
                <w:b/>
                <w:bCs/>
                <w:sz w:val="14"/>
                <w:szCs w:val="14"/>
              </w:rPr>
              <w:t>RF</w:t>
            </w:r>
            <w:r w:rsidRPr="00025049">
              <w:rPr>
                <w:rFonts w:ascii="Arial" w:hAnsi="Arial" w:cs="Arial"/>
                <w:b/>
                <w:bCs/>
                <w:sz w:val="14"/>
                <w:szCs w:val="14"/>
                <w:vertAlign w:val="subscript"/>
              </w:rPr>
              <w:t>BET</w:t>
            </w:r>
            <w:r w:rsidRPr="00025049">
              <w:rPr>
                <w:rFonts w:ascii="Arial" w:hAnsi="Arial" w:cs="Arial"/>
                <w:b/>
                <w:bCs/>
                <w:sz w:val="14"/>
                <w:szCs w:val="14"/>
              </w:rPr>
              <w:t xml:space="preserve"> </w:t>
            </w:r>
            <w:r w:rsidRPr="00025049">
              <w:rPr>
                <w:rFonts w:ascii="Arial" w:hAnsi="Arial" w:cs="Arial"/>
                <w:b/>
                <w:bCs/>
                <w:sz w:val="14"/>
                <w:szCs w:val="14"/>
              </w:rPr>
              <w:br/>
              <w:t>/ m</w:t>
            </w:r>
            <w:r w:rsidRPr="00025049">
              <w:rPr>
                <w:rFonts w:ascii="Arial" w:hAnsi="Arial" w:cs="Arial"/>
                <w:b/>
                <w:bCs/>
                <w:sz w:val="14"/>
                <w:szCs w:val="14"/>
                <w:vertAlign w:val="superscript"/>
              </w:rPr>
              <w:t>2</w:t>
            </w:r>
            <w:r w:rsidRPr="00025049">
              <w:rPr>
                <w:rFonts w:ascii="Arial" w:hAnsi="Arial" w:cs="Arial"/>
                <w:b/>
                <w:bCs/>
                <w:sz w:val="14"/>
                <w:szCs w:val="14"/>
              </w:rPr>
              <w:t xml:space="preserve"> m</w:t>
            </w:r>
            <w:r w:rsidRPr="00025049">
              <w:rPr>
                <w:rFonts w:ascii="Arial" w:hAnsi="Arial" w:cs="Arial"/>
                <w:b/>
                <w:bCs/>
                <w:sz w:val="14"/>
                <w:szCs w:val="14"/>
                <w:vertAlign w:val="superscript"/>
              </w:rPr>
              <w:t>-2</w:t>
            </w:r>
          </w:p>
        </w:tc>
        <w:tc>
          <w:tcPr>
            <w:tcW w:w="559" w:type="pct"/>
            <w:tcBorders>
              <w:top w:val="single" w:sz="4" w:space="0" w:color="auto"/>
              <w:bottom w:val="single" w:sz="4" w:space="0" w:color="auto"/>
            </w:tcBorders>
            <w:shd w:val="clear" w:color="auto" w:fill="auto"/>
            <w:vAlign w:val="center"/>
          </w:tcPr>
          <w:p w14:paraId="51FDC573" w14:textId="77777777" w:rsidR="00FE53E3" w:rsidRPr="00025049" w:rsidRDefault="00FE53E3" w:rsidP="00ED2E8B">
            <w:pPr>
              <w:pStyle w:val="RSCB02ArticleText"/>
              <w:spacing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14"/>
                <w:szCs w:val="14"/>
              </w:rPr>
            </w:pPr>
            <w:proofErr w:type="spellStart"/>
            <w:r w:rsidRPr="00025049">
              <w:rPr>
                <w:rFonts w:ascii="Arial" w:hAnsi="Arial" w:cs="Arial"/>
                <w:b/>
                <w:bCs/>
                <w:sz w:val="14"/>
                <w:szCs w:val="14"/>
              </w:rPr>
              <w:t>RF</w:t>
            </w:r>
            <w:r w:rsidRPr="00025049">
              <w:rPr>
                <w:rFonts w:ascii="Arial" w:hAnsi="Arial" w:cs="Arial"/>
                <w:b/>
                <w:bCs/>
                <w:sz w:val="14"/>
                <w:szCs w:val="14"/>
                <w:vertAlign w:val="subscript"/>
              </w:rPr>
              <w:t>capacitance</w:t>
            </w:r>
            <w:proofErr w:type="spellEnd"/>
            <w:r w:rsidRPr="00025049">
              <w:rPr>
                <w:rFonts w:ascii="Arial" w:hAnsi="Arial" w:cs="Arial"/>
                <w:b/>
                <w:bCs/>
                <w:sz w:val="14"/>
                <w:szCs w:val="14"/>
              </w:rPr>
              <w:t xml:space="preserve"> </w:t>
            </w:r>
            <w:r w:rsidRPr="00025049">
              <w:rPr>
                <w:rFonts w:ascii="Arial" w:hAnsi="Arial" w:cs="Arial"/>
                <w:b/>
                <w:bCs/>
                <w:sz w:val="14"/>
                <w:szCs w:val="14"/>
              </w:rPr>
              <w:br/>
              <w:t>/ m</w:t>
            </w:r>
            <w:r w:rsidRPr="00025049">
              <w:rPr>
                <w:rFonts w:ascii="Arial" w:hAnsi="Arial" w:cs="Arial"/>
                <w:b/>
                <w:bCs/>
                <w:sz w:val="14"/>
                <w:szCs w:val="14"/>
                <w:vertAlign w:val="superscript"/>
              </w:rPr>
              <w:t>2</w:t>
            </w:r>
            <w:r w:rsidRPr="00025049">
              <w:rPr>
                <w:rFonts w:ascii="Arial" w:hAnsi="Arial" w:cs="Arial"/>
                <w:b/>
                <w:bCs/>
                <w:sz w:val="14"/>
                <w:szCs w:val="14"/>
              </w:rPr>
              <w:t xml:space="preserve"> m</w:t>
            </w:r>
            <w:r w:rsidRPr="00025049">
              <w:rPr>
                <w:rFonts w:ascii="Arial" w:hAnsi="Arial" w:cs="Arial"/>
                <w:b/>
                <w:bCs/>
                <w:sz w:val="14"/>
                <w:szCs w:val="14"/>
                <w:vertAlign w:val="superscript"/>
              </w:rPr>
              <w:t>-2</w:t>
            </w:r>
          </w:p>
        </w:tc>
        <w:tc>
          <w:tcPr>
            <w:tcW w:w="630" w:type="pct"/>
            <w:tcBorders>
              <w:top w:val="single" w:sz="4" w:space="0" w:color="auto"/>
              <w:bottom w:val="single" w:sz="4" w:space="0" w:color="auto"/>
            </w:tcBorders>
            <w:shd w:val="clear" w:color="auto" w:fill="auto"/>
            <w:vAlign w:val="center"/>
          </w:tcPr>
          <w:p w14:paraId="0F8CA6D8" w14:textId="77777777" w:rsidR="00FE53E3" w:rsidRPr="00025049" w:rsidRDefault="00FE53E3" w:rsidP="00ED2E8B">
            <w:pPr>
              <w:pStyle w:val="RSCB02ArticleText"/>
              <w:spacing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14"/>
                <w:szCs w:val="14"/>
              </w:rPr>
            </w:pPr>
            <w:r w:rsidRPr="00025049">
              <w:rPr>
                <w:rFonts w:ascii="Arial" w:hAnsi="Arial" w:cs="Arial"/>
                <w:b/>
                <w:bCs/>
                <w:sz w:val="14"/>
                <w:szCs w:val="14"/>
              </w:rPr>
              <w:t>RF Increase Factor</w:t>
            </w:r>
          </w:p>
        </w:tc>
        <w:tc>
          <w:tcPr>
            <w:tcW w:w="978" w:type="pct"/>
            <w:tcBorders>
              <w:top w:val="single" w:sz="4" w:space="0" w:color="auto"/>
              <w:bottom w:val="single" w:sz="4" w:space="0" w:color="auto"/>
            </w:tcBorders>
            <w:shd w:val="clear" w:color="auto" w:fill="auto"/>
            <w:vAlign w:val="center"/>
          </w:tcPr>
          <w:p w14:paraId="21E96CAF" w14:textId="77777777" w:rsidR="00FE53E3" w:rsidRPr="00025049" w:rsidRDefault="00FE53E3" w:rsidP="00ED2E8B">
            <w:pPr>
              <w:pStyle w:val="RSCB02ArticleText"/>
              <w:spacing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14"/>
                <w:szCs w:val="14"/>
              </w:rPr>
            </w:pPr>
            <w:r w:rsidRPr="00025049">
              <w:rPr>
                <w:rFonts w:ascii="Arial" w:hAnsi="Arial" w:cs="Arial"/>
                <w:b/>
                <w:bCs/>
                <w:sz w:val="14"/>
                <w:szCs w:val="14"/>
              </w:rPr>
              <w:t>Specific Capacitance (Electrode) / F g</w:t>
            </w:r>
            <w:r w:rsidRPr="00025049">
              <w:rPr>
                <w:rFonts w:ascii="Arial" w:hAnsi="Arial" w:cs="Arial"/>
                <w:b/>
                <w:bCs/>
                <w:sz w:val="14"/>
                <w:szCs w:val="14"/>
                <w:vertAlign w:val="superscript"/>
              </w:rPr>
              <w:t>-1</w:t>
            </w:r>
          </w:p>
        </w:tc>
        <w:tc>
          <w:tcPr>
            <w:tcW w:w="876" w:type="pct"/>
            <w:tcBorders>
              <w:top w:val="single" w:sz="4" w:space="0" w:color="auto"/>
              <w:bottom w:val="single" w:sz="4" w:space="0" w:color="auto"/>
            </w:tcBorders>
            <w:shd w:val="clear" w:color="auto" w:fill="auto"/>
            <w:vAlign w:val="center"/>
          </w:tcPr>
          <w:p w14:paraId="12FB429B" w14:textId="77777777" w:rsidR="00FE53E3" w:rsidRPr="00025049" w:rsidRDefault="00FE53E3" w:rsidP="00ED2E8B">
            <w:pPr>
              <w:pStyle w:val="RSCB02ArticleText"/>
              <w:spacing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14"/>
                <w:szCs w:val="14"/>
              </w:rPr>
            </w:pPr>
            <w:r w:rsidRPr="00025049">
              <w:rPr>
                <w:rFonts w:ascii="Arial" w:hAnsi="Arial" w:cs="Arial"/>
                <w:b/>
                <w:bCs/>
                <w:sz w:val="14"/>
                <w:szCs w:val="14"/>
              </w:rPr>
              <w:t>Specific Capacitance (CAG) / F g</w:t>
            </w:r>
            <w:r w:rsidRPr="00025049">
              <w:rPr>
                <w:rFonts w:ascii="Arial" w:hAnsi="Arial" w:cs="Arial"/>
                <w:b/>
                <w:bCs/>
                <w:sz w:val="14"/>
                <w:szCs w:val="14"/>
                <w:vertAlign w:val="superscript"/>
              </w:rPr>
              <w:t>-1</w:t>
            </w:r>
          </w:p>
        </w:tc>
      </w:tr>
      <w:tr w:rsidR="00FE53E3" w:rsidRPr="00025049" w14:paraId="119DB90C" w14:textId="77777777" w:rsidTr="00ED2E8B">
        <w:trPr>
          <w:cnfStyle w:val="000000100000" w:firstRow="0" w:lastRow="0" w:firstColumn="0" w:lastColumn="0" w:oddVBand="0" w:evenVBand="0" w:oddHBand="1" w:evenHBand="0" w:firstRowFirstColumn="0" w:firstRowLastColumn="0" w:lastRowFirstColumn="0" w:lastRowLastColumn="0"/>
          <w:trHeight w:val="198"/>
        </w:trPr>
        <w:tc>
          <w:tcPr>
            <w:cnfStyle w:val="001000000000" w:firstRow="0" w:lastRow="0" w:firstColumn="1" w:lastColumn="0" w:oddVBand="0" w:evenVBand="0" w:oddHBand="0" w:evenHBand="0" w:firstRowFirstColumn="0" w:firstRowLastColumn="0" w:lastRowFirstColumn="0" w:lastRowLastColumn="0"/>
            <w:tcW w:w="629" w:type="pct"/>
            <w:tcBorders>
              <w:top w:val="single" w:sz="4" w:space="0" w:color="auto"/>
              <w:right w:val="none" w:sz="0" w:space="0" w:color="auto"/>
            </w:tcBorders>
            <w:shd w:val="clear" w:color="auto" w:fill="auto"/>
            <w:vAlign w:val="center"/>
          </w:tcPr>
          <w:p w14:paraId="6FD46DCB" w14:textId="77777777" w:rsidR="00FE53E3" w:rsidRPr="00025049" w:rsidRDefault="00FE53E3" w:rsidP="00ED2E8B">
            <w:pPr>
              <w:pStyle w:val="RSCB02ArticleText"/>
              <w:spacing w:line="240" w:lineRule="auto"/>
              <w:jc w:val="center"/>
              <w:rPr>
                <w:rFonts w:ascii="Arial" w:hAnsi="Arial" w:cs="Arial"/>
                <w:b/>
                <w:bCs/>
                <w:sz w:val="14"/>
                <w:szCs w:val="14"/>
              </w:rPr>
            </w:pPr>
            <w:r w:rsidRPr="00025049">
              <w:rPr>
                <w:rFonts w:ascii="Arial" w:hAnsi="Arial" w:cs="Arial"/>
                <w:b/>
                <w:bCs/>
                <w:i w:val="0"/>
                <w:iCs w:val="0"/>
                <w:sz w:val="14"/>
                <w:szCs w:val="14"/>
              </w:rPr>
              <w:t>SGL</w:t>
            </w:r>
          </w:p>
        </w:tc>
        <w:tc>
          <w:tcPr>
            <w:tcW w:w="909" w:type="pct"/>
            <w:tcBorders>
              <w:top w:val="single" w:sz="4" w:space="0" w:color="auto"/>
            </w:tcBorders>
            <w:shd w:val="clear" w:color="auto" w:fill="auto"/>
            <w:vAlign w:val="center"/>
          </w:tcPr>
          <w:p w14:paraId="438505FF" w14:textId="77777777" w:rsidR="00FE53E3" w:rsidRPr="00025049" w:rsidRDefault="00FE53E3" w:rsidP="00ED2E8B">
            <w:pPr>
              <w:pStyle w:val="RSCB02ArticleText"/>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7.4</w:t>
            </w:r>
          </w:p>
        </w:tc>
        <w:tc>
          <w:tcPr>
            <w:tcW w:w="419" w:type="pct"/>
            <w:tcBorders>
              <w:top w:val="single" w:sz="4" w:space="0" w:color="auto"/>
            </w:tcBorders>
            <w:shd w:val="clear" w:color="auto" w:fill="auto"/>
            <w:vAlign w:val="center"/>
          </w:tcPr>
          <w:p w14:paraId="6143EE36" w14:textId="77777777" w:rsidR="00FE53E3" w:rsidRPr="00025049" w:rsidRDefault="00FE53E3" w:rsidP="00ED2E8B">
            <w:pPr>
              <w:pStyle w:val="RSCB02ArticleText"/>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60</w:t>
            </w:r>
          </w:p>
        </w:tc>
        <w:tc>
          <w:tcPr>
            <w:tcW w:w="559" w:type="pct"/>
            <w:tcBorders>
              <w:top w:val="single" w:sz="4" w:space="0" w:color="auto"/>
            </w:tcBorders>
            <w:shd w:val="clear" w:color="auto" w:fill="auto"/>
            <w:vAlign w:val="center"/>
          </w:tcPr>
          <w:p w14:paraId="06168103" w14:textId="77777777" w:rsidR="00FE53E3" w:rsidRPr="00025049" w:rsidRDefault="00FE53E3" w:rsidP="00ED2E8B">
            <w:pPr>
              <w:pStyle w:val="RSCB02ArticleText"/>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44</w:t>
            </w:r>
          </w:p>
        </w:tc>
        <w:tc>
          <w:tcPr>
            <w:tcW w:w="630" w:type="pct"/>
            <w:tcBorders>
              <w:top w:val="single" w:sz="4" w:space="0" w:color="auto"/>
            </w:tcBorders>
            <w:shd w:val="clear" w:color="auto" w:fill="auto"/>
            <w:vAlign w:val="center"/>
          </w:tcPr>
          <w:p w14:paraId="285FF914" w14:textId="77777777" w:rsidR="00FE53E3" w:rsidRPr="00025049" w:rsidRDefault="00FE53E3" w:rsidP="00ED2E8B">
            <w:pPr>
              <w:pStyle w:val="RSCB02ArticleText"/>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(1)</w:t>
            </w:r>
          </w:p>
        </w:tc>
        <w:tc>
          <w:tcPr>
            <w:tcW w:w="978" w:type="pct"/>
            <w:tcBorders>
              <w:top w:val="single" w:sz="4" w:space="0" w:color="auto"/>
            </w:tcBorders>
            <w:shd w:val="clear" w:color="auto" w:fill="auto"/>
            <w:vAlign w:val="center"/>
          </w:tcPr>
          <w:p w14:paraId="04E33575" w14:textId="77777777" w:rsidR="00FE53E3" w:rsidRPr="00025049" w:rsidRDefault="00FE53E3" w:rsidP="00ED2E8B">
            <w:pPr>
              <w:pStyle w:val="RSCB02ArticleText"/>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0.1</w:t>
            </w:r>
          </w:p>
        </w:tc>
        <w:tc>
          <w:tcPr>
            <w:tcW w:w="876" w:type="pct"/>
            <w:tcBorders>
              <w:top w:val="single" w:sz="4" w:space="0" w:color="auto"/>
            </w:tcBorders>
            <w:shd w:val="clear" w:color="auto" w:fill="auto"/>
            <w:vAlign w:val="center"/>
          </w:tcPr>
          <w:p w14:paraId="1B867E08" w14:textId="77777777" w:rsidR="00FE53E3" w:rsidRPr="00025049" w:rsidRDefault="00FE53E3" w:rsidP="00ED2E8B">
            <w:pPr>
              <w:pStyle w:val="RSCB02ArticleText"/>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p>
        </w:tc>
      </w:tr>
      <w:tr w:rsidR="00FE53E3" w:rsidRPr="00025049" w14:paraId="7DD917C6" w14:textId="77777777" w:rsidTr="00ED2E8B">
        <w:trPr>
          <w:trHeight w:val="198"/>
        </w:trPr>
        <w:tc>
          <w:tcPr>
            <w:cnfStyle w:val="001000000000" w:firstRow="0" w:lastRow="0" w:firstColumn="1" w:lastColumn="0" w:oddVBand="0" w:evenVBand="0" w:oddHBand="0" w:evenHBand="0" w:firstRowFirstColumn="0" w:firstRowLastColumn="0" w:lastRowFirstColumn="0" w:lastRowLastColumn="0"/>
            <w:tcW w:w="629" w:type="pct"/>
            <w:tcBorders>
              <w:right w:val="none" w:sz="0" w:space="0" w:color="auto"/>
            </w:tcBorders>
            <w:shd w:val="clear" w:color="auto" w:fill="auto"/>
            <w:vAlign w:val="center"/>
          </w:tcPr>
          <w:p w14:paraId="6AD0C76A" w14:textId="77777777" w:rsidR="00FE53E3" w:rsidRPr="00025049" w:rsidRDefault="00FE53E3" w:rsidP="00ED2E8B">
            <w:pPr>
              <w:pStyle w:val="RSCB02ArticleText"/>
              <w:spacing w:line="240" w:lineRule="auto"/>
              <w:jc w:val="center"/>
              <w:rPr>
                <w:rFonts w:ascii="Arial" w:hAnsi="Arial" w:cs="Arial"/>
                <w:b/>
                <w:bCs/>
                <w:sz w:val="14"/>
                <w:szCs w:val="14"/>
              </w:rPr>
            </w:pPr>
            <w:r w:rsidRPr="00025049">
              <w:rPr>
                <w:rFonts w:ascii="Arial" w:hAnsi="Arial" w:cs="Arial"/>
                <w:b/>
                <w:bCs/>
                <w:i w:val="0"/>
                <w:iCs w:val="0"/>
                <w:color w:val="FF0000"/>
                <w:sz w:val="14"/>
                <w:szCs w:val="14"/>
              </w:rPr>
              <w:t>CAG 200|0.05</w:t>
            </w:r>
          </w:p>
        </w:tc>
        <w:tc>
          <w:tcPr>
            <w:tcW w:w="909" w:type="pct"/>
            <w:shd w:val="clear" w:color="auto" w:fill="auto"/>
            <w:vAlign w:val="center"/>
          </w:tcPr>
          <w:p w14:paraId="667F2757" w14:textId="77777777" w:rsidR="00FE53E3" w:rsidRPr="00025049" w:rsidRDefault="00FE53E3" w:rsidP="00ED2E8B">
            <w:pPr>
              <w:pStyle w:val="RSCB02ArticleText"/>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4"/>
                <w:szCs w:val="14"/>
              </w:rPr>
            </w:pPr>
            <w:r w:rsidRPr="00025049">
              <w:rPr>
                <w:rFonts w:ascii="Arial" w:hAnsi="Arial" w:cs="Arial"/>
                <w:color w:val="FF0000"/>
                <w:sz w:val="14"/>
                <w:szCs w:val="14"/>
              </w:rPr>
              <w:t>1070</w:t>
            </w:r>
          </w:p>
        </w:tc>
        <w:tc>
          <w:tcPr>
            <w:tcW w:w="419" w:type="pct"/>
            <w:shd w:val="clear" w:color="auto" w:fill="auto"/>
            <w:vAlign w:val="center"/>
          </w:tcPr>
          <w:p w14:paraId="37151BEF" w14:textId="77777777" w:rsidR="00FE53E3" w:rsidRPr="00025049" w:rsidRDefault="00FE53E3" w:rsidP="00ED2E8B">
            <w:pPr>
              <w:pStyle w:val="RSCB02ArticleText"/>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4"/>
                <w:szCs w:val="14"/>
              </w:rPr>
            </w:pPr>
            <w:r w:rsidRPr="00025049">
              <w:rPr>
                <w:rFonts w:ascii="Arial" w:hAnsi="Arial" w:cs="Arial"/>
                <w:color w:val="FF0000"/>
                <w:sz w:val="14"/>
                <w:szCs w:val="14"/>
              </w:rPr>
              <w:t>4970</w:t>
            </w:r>
          </w:p>
        </w:tc>
        <w:tc>
          <w:tcPr>
            <w:tcW w:w="559" w:type="pct"/>
            <w:shd w:val="clear" w:color="auto" w:fill="auto"/>
            <w:vAlign w:val="center"/>
          </w:tcPr>
          <w:p w14:paraId="3FDD65CF" w14:textId="77777777" w:rsidR="00FE53E3" w:rsidRPr="00025049" w:rsidRDefault="00FE53E3" w:rsidP="00ED2E8B">
            <w:pPr>
              <w:pStyle w:val="RSCB02ArticleText"/>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4"/>
                <w:szCs w:val="14"/>
              </w:rPr>
            </w:pPr>
            <w:r w:rsidRPr="00025049">
              <w:rPr>
                <w:rFonts w:ascii="Arial" w:hAnsi="Arial" w:cs="Arial"/>
                <w:color w:val="FF0000"/>
                <w:sz w:val="14"/>
                <w:szCs w:val="14"/>
              </w:rPr>
              <w:t>6310</w:t>
            </w:r>
          </w:p>
        </w:tc>
        <w:tc>
          <w:tcPr>
            <w:tcW w:w="630" w:type="pct"/>
            <w:shd w:val="clear" w:color="auto" w:fill="auto"/>
            <w:vAlign w:val="center"/>
          </w:tcPr>
          <w:p w14:paraId="2B9782B4" w14:textId="77777777" w:rsidR="00FE53E3" w:rsidRPr="00025049" w:rsidRDefault="00FE53E3" w:rsidP="00ED2E8B">
            <w:pPr>
              <w:pStyle w:val="RSCB02ArticleText"/>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4"/>
                <w:szCs w:val="14"/>
              </w:rPr>
            </w:pPr>
            <w:r w:rsidRPr="00025049">
              <w:rPr>
                <w:rFonts w:ascii="Arial" w:hAnsi="Arial" w:cs="Arial"/>
                <w:color w:val="FF0000"/>
                <w:sz w:val="14"/>
                <w:szCs w:val="14"/>
              </w:rPr>
              <w:t>143</w:t>
            </w:r>
          </w:p>
        </w:tc>
        <w:tc>
          <w:tcPr>
            <w:tcW w:w="978" w:type="pct"/>
            <w:shd w:val="clear" w:color="auto" w:fill="auto"/>
            <w:vAlign w:val="center"/>
          </w:tcPr>
          <w:p w14:paraId="6E7DF852" w14:textId="77777777" w:rsidR="00FE53E3" w:rsidRPr="00025049" w:rsidRDefault="00FE53E3" w:rsidP="00ED2E8B">
            <w:pPr>
              <w:pStyle w:val="RSCB02ArticleText"/>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4"/>
                <w:szCs w:val="14"/>
              </w:rPr>
            </w:pPr>
            <w:r w:rsidRPr="00025049">
              <w:rPr>
                <w:rFonts w:ascii="Arial" w:hAnsi="Arial" w:cs="Arial"/>
                <w:color w:val="FF0000"/>
                <w:sz w:val="14"/>
                <w:szCs w:val="14"/>
              </w:rPr>
              <w:t>11.8</w:t>
            </w:r>
          </w:p>
        </w:tc>
        <w:tc>
          <w:tcPr>
            <w:tcW w:w="876" w:type="pct"/>
            <w:shd w:val="clear" w:color="auto" w:fill="auto"/>
            <w:vAlign w:val="center"/>
          </w:tcPr>
          <w:p w14:paraId="71AC662F" w14:textId="77777777" w:rsidR="00FE53E3" w:rsidRPr="00025049" w:rsidRDefault="00FE53E3" w:rsidP="00ED2E8B">
            <w:pPr>
              <w:pStyle w:val="RSCB02ArticleText"/>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4"/>
                <w:szCs w:val="14"/>
              </w:rPr>
            </w:pPr>
            <w:r w:rsidRPr="00025049">
              <w:rPr>
                <w:rFonts w:ascii="Arial" w:hAnsi="Arial" w:cs="Arial"/>
                <w:color w:val="FF0000"/>
                <w:sz w:val="14"/>
                <w:szCs w:val="14"/>
              </w:rPr>
              <w:t>172</w:t>
            </w:r>
          </w:p>
        </w:tc>
      </w:tr>
      <w:tr w:rsidR="00FE53E3" w:rsidRPr="00025049" w14:paraId="02790B34" w14:textId="77777777" w:rsidTr="00ED2E8B">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629" w:type="pct"/>
            <w:tcBorders>
              <w:right w:val="none" w:sz="0" w:space="0" w:color="auto"/>
            </w:tcBorders>
            <w:shd w:val="clear" w:color="auto" w:fill="auto"/>
            <w:vAlign w:val="center"/>
          </w:tcPr>
          <w:p w14:paraId="0C720D21" w14:textId="77777777" w:rsidR="00FE53E3" w:rsidRPr="00025049" w:rsidRDefault="00FE53E3" w:rsidP="00ED2E8B">
            <w:pPr>
              <w:pStyle w:val="RSCT03TableBody"/>
              <w:rPr>
                <w:rFonts w:ascii="Arial" w:hAnsi="Arial" w:cs="Arial"/>
                <w:b/>
                <w:bCs/>
                <w:sz w:val="14"/>
                <w:szCs w:val="14"/>
              </w:rPr>
            </w:pPr>
            <w:r w:rsidRPr="00025049">
              <w:rPr>
                <w:rFonts w:ascii="Arial" w:hAnsi="Arial" w:cs="Arial"/>
                <w:b/>
                <w:bCs/>
                <w:i w:val="0"/>
                <w:iCs w:val="0"/>
                <w:color w:val="0000FF"/>
                <w:sz w:val="14"/>
                <w:szCs w:val="14"/>
              </w:rPr>
              <w:t>CAG 200|0.2</w:t>
            </w:r>
          </w:p>
        </w:tc>
        <w:tc>
          <w:tcPr>
            <w:tcW w:w="909" w:type="pct"/>
            <w:shd w:val="clear" w:color="auto" w:fill="auto"/>
            <w:vAlign w:val="center"/>
          </w:tcPr>
          <w:p w14:paraId="0E6E6AC1"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color w:val="0000FF"/>
                <w:sz w:val="14"/>
                <w:szCs w:val="14"/>
              </w:rPr>
            </w:pPr>
            <w:r w:rsidRPr="00025049">
              <w:rPr>
                <w:rFonts w:ascii="Arial" w:hAnsi="Arial" w:cs="Arial"/>
                <w:color w:val="0000FF"/>
                <w:sz w:val="14"/>
                <w:szCs w:val="14"/>
              </w:rPr>
              <w:t>2270</w:t>
            </w:r>
          </w:p>
        </w:tc>
        <w:tc>
          <w:tcPr>
            <w:tcW w:w="419" w:type="pct"/>
            <w:shd w:val="clear" w:color="auto" w:fill="auto"/>
            <w:vAlign w:val="center"/>
          </w:tcPr>
          <w:p w14:paraId="3D0237B2"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color w:val="0000FF"/>
                <w:sz w:val="14"/>
                <w:szCs w:val="14"/>
              </w:rPr>
            </w:pPr>
            <w:r w:rsidRPr="00025049">
              <w:rPr>
                <w:rFonts w:ascii="Arial" w:hAnsi="Arial" w:cs="Arial"/>
                <w:color w:val="0000FF"/>
                <w:sz w:val="14"/>
                <w:szCs w:val="14"/>
              </w:rPr>
              <w:t>13500</w:t>
            </w:r>
          </w:p>
        </w:tc>
        <w:tc>
          <w:tcPr>
            <w:tcW w:w="559" w:type="pct"/>
            <w:shd w:val="clear" w:color="auto" w:fill="auto"/>
            <w:vAlign w:val="center"/>
          </w:tcPr>
          <w:p w14:paraId="191F6961"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color w:val="0000FF"/>
                <w:sz w:val="14"/>
                <w:szCs w:val="14"/>
              </w:rPr>
            </w:pPr>
            <w:r w:rsidRPr="00025049">
              <w:rPr>
                <w:rFonts w:ascii="Arial" w:hAnsi="Arial" w:cs="Arial"/>
                <w:color w:val="0000FF"/>
                <w:sz w:val="14"/>
                <w:szCs w:val="14"/>
              </w:rPr>
              <w:t>13400</w:t>
            </w:r>
          </w:p>
        </w:tc>
        <w:tc>
          <w:tcPr>
            <w:tcW w:w="630" w:type="pct"/>
            <w:shd w:val="clear" w:color="auto" w:fill="auto"/>
            <w:vAlign w:val="center"/>
          </w:tcPr>
          <w:p w14:paraId="651A6D2D"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color w:val="0000FF"/>
                <w:sz w:val="14"/>
                <w:szCs w:val="14"/>
              </w:rPr>
            </w:pPr>
            <w:r w:rsidRPr="00025049">
              <w:rPr>
                <w:rFonts w:ascii="Arial" w:hAnsi="Arial" w:cs="Arial"/>
                <w:color w:val="0000FF"/>
                <w:sz w:val="14"/>
                <w:szCs w:val="14"/>
              </w:rPr>
              <w:t>305</w:t>
            </w:r>
          </w:p>
        </w:tc>
        <w:tc>
          <w:tcPr>
            <w:tcW w:w="978" w:type="pct"/>
            <w:shd w:val="clear" w:color="auto" w:fill="auto"/>
            <w:vAlign w:val="center"/>
          </w:tcPr>
          <w:p w14:paraId="41DB475E"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color w:val="0000FF"/>
                <w:sz w:val="14"/>
                <w:szCs w:val="14"/>
              </w:rPr>
            </w:pPr>
            <w:r w:rsidRPr="00025049">
              <w:rPr>
                <w:rFonts w:ascii="Arial" w:hAnsi="Arial" w:cs="Arial"/>
                <w:color w:val="0000FF"/>
                <w:sz w:val="14"/>
                <w:szCs w:val="14"/>
              </w:rPr>
              <w:t>22.1</w:t>
            </w:r>
          </w:p>
        </w:tc>
        <w:tc>
          <w:tcPr>
            <w:tcW w:w="876" w:type="pct"/>
            <w:shd w:val="clear" w:color="auto" w:fill="auto"/>
            <w:vAlign w:val="center"/>
          </w:tcPr>
          <w:p w14:paraId="144DA9D5" w14:textId="77777777" w:rsidR="00FE53E3" w:rsidRPr="00025049" w:rsidRDefault="00FE53E3" w:rsidP="00ED2E8B">
            <w:pPr>
              <w:pStyle w:val="RSCT03TableBody"/>
              <w:cnfStyle w:val="000000100000" w:firstRow="0" w:lastRow="0" w:firstColumn="0" w:lastColumn="0" w:oddVBand="0" w:evenVBand="0" w:oddHBand="1" w:evenHBand="0" w:firstRowFirstColumn="0" w:firstRowLastColumn="0" w:lastRowFirstColumn="0" w:lastRowLastColumn="0"/>
              <w:rPr>
                <w:rFonts w:ascii="Arial" w:hAnsi="Arial" w:cs="Arial"/>
                <w:color w:val="0000FF"/>
                <w:sz w:val="14"/>
                <w:szCs w:val="14"/>
              </w:rPr>
            </w:pPr>
            <w:r w:rsidRPr="00025049">
              <w:rPr>
                <w:rFonts w:ascii="Arial" w:hAnsi="Arial" w:cs="Arial"/>
                <w:color w:val="0000FF"/>
                <w:sz w:val="14"/>
                <w:szCs w:val="14"/>
              </w:rPr>
              <w:t>129</w:t>
            </w:r>
          </w:p>
        </w:tc>
      </w:tr>
      <w:tr w:rsidR="00FE53E3" w:rsidRPr="00025049" w14:paraId="205D04FE" w14:textId="77777777" w:rsidTr="00ED2E8B">
        <w:trPr>
          <w:trHeight w:val="198"/>
        </w:trPr>
        <w:tc>
          <w:tcPr>
            <w:cnfStyle w:val="001000000000" w:firstRow="0" w:lastRow="0" w:firstColumn="1" w:lastColumn="0" w:oddVBand="0" w:evenVBand="0" w:oddHBand="0" w:evenHBand="0" w:firstRowFirstColumn="0" w:firstRowLastColumn="0" w:lastRowFirstColumn="0" w:lastRowLastColumn="0"/>
            <w:tcW w:w="629" w:type="pct"/>
            <w:tcBorders>
              <w:bottom w:val="single" w:sz="4" w:space="0" w:color="auto"/>
              <w:right w:val="none" w:sz="0" w:space="0" w:color="auto"/>
            </w:tcBorders>
            <w:shd w:val="clear" w:color="auto" w:fill="auto"/>
            <w:vAlign w:val="center"/>
          </w:tcPr>
          <w:p w14:paraId="78AF6D8E" w14:textId="77777777" w:rsidR="00FE53E3" w:rsidRPr="00025049" w:rsidRDefault="00FE53E3" w:rsidP="00ED2E8B">
            <w:pPr>
              <w:pStyle w:val="RSCT03TableBody"/>
              <w:rPr>
                <w:rFonts w:ascii="Arial" w:hAnsi="Arial" w:cs="Arial"/>
                <w:b/>
                <w:bCs/>
                <w:sz w:val="14"/>
                <w:szCs w:val="14"/>
              </w:rPr>
            </w:pPr>
            <w:r w:rsidRPr="00025049">
              <w:rPr>
                <w:rFonts w:ascii="Arial" w:hAnsi="Arial" w:cs="Arial"/>
                <w:b/>
                <w:bCs/>
                <w:i w:val="0"/>
                <w:iCs w:val="0"/>
                <w:color w:val="008000"/>
                <w:sz w:val="14"/>
                <w:szCs w:val="14"/>
              </w:rPr>
              <w:t>CAG 1000|0.2</w:t>
            </w:r>
          </w:p>
        </w:tc>
        <w:tc>
          <w:tcPr>
            <w:tcW w:w="909" w:type="pct"/>
            <w:tcBorders>
              <w:bottom w:val="single" w:sz="4" w:space="0" w:color="auto"/>
            </w:tcBorders>
            <w:shd w:val="clear" w:color="auto" w:fill="auto"/>
            <w:vAlign w:val="center"/>
          </w:tcPr>
          <w:p w14:paraId="7D0ACC1B"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color w:val="008000"/>
                <w:sz w:val="14"/>
                <w:szCs w:val="14"/>
              </w:rPr>
            </w:pPr>
            <w:r w:rsidRPr="00025049">
              <w:rPr>
                <w:rFonts w:ascii="Arial" w:hAnsi="Arial" w:cs="Arial"/>
                <w:color w:val="008000"/>
                <w:sz w:val="14"/>
                <w:szCs w:val="14"/>
              </w:rPr>
              <w:t>2260</w:t>
            </w:r>
          </w:p>
        </w:tc>
        <w:tc>
          <w:tcPr>
            <w:tcW w:w="419" w:type="pct"/>
            <w:tcBorders>
              <w:bottom w:val="single" w:sz="4" w:space="0" w:color="auto"/>
            </w:tcBorders>
            <w:shd w:val="clear" w:color="auto" w:fill="auto"/>
            <w:vAlign w:val="center"/>
          </w:tcPr>
          <w:p w14:paraId="224531C1"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color w:val="008000"/>
                <w:sz w:val="14"/>
                <w:szCs w:val="14"/>
              </w:rPr>
            </w:pPr>
            <w:r w:rsidRPr="00025049">
              <w:rPr>
                <w:rFonts w:ascii="Arial" w:hAnsi="Arial" w:cs="Arial"/>
                <w:color w:val="008000"/>
                <w:sz w:val="14"/>
                <w:szCs w:val="14"/>
              </w:rPr>
              <w:t>10900</w:t>
            </w:r>
          </w:p>
        </w:tc>
        <w:tc>
          <w:tcPr>
            <w:tcW w:w="559" w:type="pct"/>
            <w:tcBorders>
              <w:bottom w:val="single" w:sz="4" w:space="0" w:color="auto"/>
            </w:tcBorders>
            <w:shd w:val="clear" w:color="auto" w:fill="auto"/>
            <w:vAlign w:val="center"/>
          </w:tcPr>
          <w:p w14:paraId="53927C06"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color w:val="008000"/>
                <w:sz w:val="14"/>
                <w:szCs w:val="14"/>
              </w:rPr>
            </w:pPr>
            <w:r w:rsidRPr="00025049">
              <w:rPr>
                <w:rFonts w:ascii="Arial" w:hAnsi="Arial" w:cs="Arial"/>
                <w:color w:val="008000"/>
                <w:sz w:val="14"/>
                <w:szCs w:val="14"/>
              </w:rPr>
              <w:t>13300</w:t>
            </w:r>
          </w:p>
        </w:tc>
        <w:tc>
          <w:tcPr>
            <w:tcW w:w="630" w:type="pct"/>
            <w:tcBorders>
              <w:bottom w:val="single" w:sz="4" w:space="0" w:color="auto"/>
            </w:tcBorders>
            <w:shd w:val="clear" w:color="auto" w:fill="auto"/>
            <w:vAlign w:val="center"/>
          </w:tcPr>
          <w:p w14:paraId="35ACD3E3"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color w:val="008000"/>
                <w:sz w:val="14"/>
                <w:szCs w:val="14"/>
              </w:rPr>
            </w:pPr>
            <w:r w:rsidRPr="00025049">
              <w:rPr>
                <w:rFonts w:ascii="Arial" w:hAnsi="Arial" w:cs="Arial"/>
                <w:color w:val="008000"/>
                <w:sz w:val="14"/>
                <w:szCs w:val="14"/>
              </w:rPr>
              <w:t>302</w:t>
            </w:r>
          </w:p>
        </w:tc>
        <w:tc>
          <w:tcPr>
            <w:tcW w:w="978" w:type="pct"/>
            <w:tcBorders>
              <w:bottom w:val="single" w:sz="4" w:space="0" w:color="auto"/>
            </w:tcBorders>
            <w:shd w:val="clear" w:color="auto" w:fill="auto"/>
            <w:vAlign w:val="center"/>
          </w:tcPr>
          <w:p w14:paraId="42497FE9"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color w:val="008000"/>
                <w:sz w:val="14"/>
                <w:szCs w:val="14"/>
              </w:rPr>
            </w:pPr>
            <w:r w:rsidRPr="00025049">
              <w:rPr>
                <w:rFonts w:ascii="Arial" w:hAnsi="Arial" w:cs="Arial"/>
                <w:color w:val="008000"/>
                <w:sz w:val="14"/>
                <w:szCs w:val="14"/>
              </w:rPr>
              <w:t>22.2</w:t>
            </w:r>
          </w:p>
        </w:tc>
        <w:tc>
          <w:tcPr>
            <w:tcW w:w="876" w:type="pct"/>
            <w:tcBorders>
              <w:bottom w:val="single" w:sz="4" w:space="0" w:color="auto"/>
            </w:tcBorders>
            <w:shd w:val="clear" w:color="auto" w:fill="auto"/>
            <w:vAlign w:val="center"/>
          </w:tcPr>
          <w:p w14:paraId="18BCDC52" w14:textId="77777777" w:rsidR="00FE53E3" w:rsidRPr="00025049" w:rsidRDefault="00FE53E3" w:rsidP="00ED2E8B">
            <w:pPr>
              <w:pStyle w:val="RSCT03TableBody"/>
              <w:cnfStyle w:val="000000000000" w:firstRow="0" w:lastRow="0" w:firstColumn="0" w:lastColumn="0" w:oddVBand="0" w:evenVBand="0" w:oddHBand="0" w:evenHBand="0" w:firstRowFirstColumn="0" w:firstRowLastColumn="0" w:lastRowFirstColumn="0" w:lastRowLastColumn="0"/>
              <w:rPr>
                <w:rFonts w:ascii="Arial" w:hAnsi="Arial" w:cs="Arial"/>
                <w:color w:val="008000"/>
                <w:sz w:val="14"/>
                <w:szCs w:val="14"/>
              </w:rPr>
            </w:pPr>
            <w:r w:rsidRPr="00025049">
              <w:rPr>
                <w:rFonts w:ascii="Arial" w:hAnsi="Arial" w:cs="Arial"/>
                <w:color w:val="008000"/>
                <w:sz w:val="14"/>
                <w:szCs w:val="14"/>
              </w:rPr>
              <w:t>134</w:t>
            </w:r>
          </w:p>
        </w:tc>
      </w:tr>
    </w:tbl>
    <w:p w14:paraId="2B953787" w14:textId="77777777" w:rsidR="00FE53E3" w:rsidRPr="00025049" w:rsidRDefault="00FE53E3" w:rsidP="00FE53E3">
      <w:pPr>
        <w:pStyle w:val="P1"/>
        <w:rPr>
          <w:lang w:val="en-GB"/>
        </w:rPr>
      </w:pPr>
    </w:p>
    <w:p w14:paraId="167FF2D0" w14:textId="77777777" w:rsidR="00FE53E3" w:rsidRPr="00025049" w:rsidRDefault="00FE53E3" w:rsidP="00FE53E3">
      <w:pPr>
        <w:pStyle w:val="P1"/>
        <w:rPr>
          <w:lang w:val="en-GB"/>
        </w:rPr>
        <w:sectPr w:rsidR="00FE53E3" w:rsidRPr="00025049" w:rsidSect="00711E4D">
          <w:type w:val="continuous"/>
          <w:pgSz w:w="11906" w:h="16838" w:code="9"/>
          <w:pgMar w:top="1673" w:right="936" w:bottom="1134" w:left="936" w:header="709" w:footer="709" w:gutter="0"/>
          <w:cols w:space="284"/>
          <w:docGrid w:linePitch="360"/>
        </w:sectPr>
      </w:pPr>
    </w:p>
    <w:p w14:paraId="4592D4F4" w14:textId="77777777" w:rsidR="00FE53E3" w:rsidRPr="00025049" w:rsidRDefault="00FE53E3" w:rsidP="00FE53E3">
      <w:pPr>
        <w:pStyle w:val="P1"/>
        <w:rPr>
          <w:lang w:val="en-GB"/>
        </w:rPr>
      </w:pPr>
      <w:r w:rsidRPr="00025049">
        <w:rPr>
          <w:lang w:val="en-GB"/>
        </w:rPr>
        <w:t xml:space="preserve">The values of the capacitance obtained </w:t>
      </w:r>
      <w:r w:rsidRPr="00025049">
        <w:rPr>
          <w:lang w:val="en-GB"/>
        </w:rPr>
        <w:fldChar w:fldCharType="begin"/>
      </w:r>
      <w:r w:rsidRPr="00025049">
        <w:rPr>
          <w:lang w:val="en-GB"/>
        </w:rPr>
        <w:instrText xml:space="preserve"> REF _Ref85023501 \h </w:instrText>
      </w:r>
      <w:r w:rsidRPr="00025049">
        <w:rPr>
          <w:lang w:val="en-GB"/>
        </w:rPr>
      </w:r>
      <w:r w:rsidRPr="00025049">
        <w:rPr>
          <w:lang w:val="en-GB"/>
        </w:rPr>
        <w:fldChar w:fldCharType="separate"/>
      </w:r>
      <w:r w:rsidRPr="00025049">
        <w:rPr>
          <w:b/>
          <w:bCs/>
        </w:rPr>
        <w:t xml:space="preserve">Table </w:t>
      </w:r>
      <w:r>
        <w:rPr>
          <w:b/>
          <w:bCs/>
          <w:noProof/>
        </w:rPr>
        <w:t>2</w:t>
      </w:r>
      <w:r w:rsidRPr="00025049">
        <w:rPr>
          <w:lang w:val="en-GB"/>
        </w:rPr>
        <w:fldChar w:fldCharType="end"/>
      </w:r>
      <w:r w:rsidRPr="00025049">
        <w:rPr>
          <w:lang w:val="en-GB"/>
        </w:rPr>
        <w:t xml:space="preserve">) are calculated from the average of the anodic and cathodic charges between the dashed lines (window of 50 mV) in </w:t>
      </w:r>
      <w:r w:rsidRPr="00025049">
        <w:rPr>
          <w:b/>
          <w:bCs/>
          <w:lang w:val="en-GB"/>
        </w:rPr>
        <w:fldChar w:fldCharType="begin"/>
      </w:r>
      <w:r w:rsidRPr="00025049">
        <w:rPr>
          <w:b/>
          <w:bCs/>
          <w:lang w:val="en-GB"/>
        </w:rPr>
        <w:instrText xml:space="preserve"> REF _Ref69819091 \h  \* MERGEFORMAT </w:instrText>
      </w:r>
      <w:r w:rsidRPr="00025049">
        <w:rPr>
          <w:b/>
          <w:bCs/>
          <w:lang w:val="en-GB"/>
        </w:rPr>
      </w:r>
      <w:r w:rsidRPr="00025049">
        <w:rPr>
          <w:b/>
          <w:bCs/>
          <w:lang w:val="en-GB"/>
        </w:rPr>
        <w:fldChar w:fldCharType="separate"/>
      </w:r>
      <w:r w:rsidRPr="00AB3850">
        <w:rPr>
          <w:b/>
          <w:bCs/>
          <w:lang w:val="en-GB"/>
        </w:rPr>
        <w:t xml:space="preserve">Figure </w:t>
      </w:r>
      <w:r w:rsidRPr="00AB3850">
        <w:rPr>
          <w:b/>
          <w:bCs/>
          <w:noProof/>
          <w:lang w:val="en-GB"/>
        </w:rPr>
        <w:t>4</w:t>
      </w:r>
      <w:r w:rsidRPr="00025049">
        <w:rPr>
          <w:b/>
          <w:bCs/>
          <w:lang w:val="en-GB"/>
        </w:rPr>
        <w:fldChar w:fldCharType="end"/>
      </w:r>
      <w:r w:rsidRPr="00025049">
        <w:rPr>
          <w:b/>
          <w:bCs/>
          <w:lang w:val="en-GB"/>
        </w:rPr>
        <w:t xml:space="preserve"> </w:t>
      </w:r>
      <w:r w:rsidRPr="00025049">
        <w:rPr>
          <w:lang w:val="en-GB"/>
        </w:rPr>
        <w:t xml:space="preserve">where no Faradic process occurs. </w:t>
      </w:r>
      <w:r w:rsidRPr="00025049">
        <w:rPr>
          <w:lang w:val="en-GB"/>
        </w:rPr>
        <w:fldChar w:fldCharType="begin"/>
      </w:r>
      <w:r w:rsidRPr="00025049">
        <w:rPr>
          <w:lang w:val="en-GB"/>
        </w:rPr>
        <w:instrText xml:space="preserve"> REF _Ref85023501 \h </w:instrText>
      </w:r>
      <w:r w:rsidRPr="00025049">
        <w:rPr>
          <w:lang w:val="en-GB"/>
        </w:rPr>
      </w:r>
      <w:r w:rsidRPr="00025049">
        <w:rPr>
          <w:lang w:val="en-GB"/>
        </w:rPr>
        <w:fldChar w:fldCharType="separate"/>
      </w:r>
      <w:r w:rsidRPr="00025049">
        <w:rPr>
          <w:b/>
          <w:bCs/>
        </w:rPr>
        <w:t xml:space="preserve">Table </w:t>
      </w:r>
      <w:r>
        <w:rPr>
          <w:b/>
          <w:bCs/>
          <w:noProof/>
        </w:rPr>
        <w:t>2</w:t>
      </w:r>
      <w:r w:rsidRPr="00025049">
        <w:rPr>
          <w:lang w:val="en-GB"/>
        </w:rPr>
        <w:fldChar w:fldCharType="end"/>
      </w:r>
      <w:r w:rsidRPr="00025049">
        <w:rPr>
          <w:lang w:val="en-GB"/>
        </w:rPr>
        <w:t xml:space="preserve"> shows the values obtained from all the electrodes and the CAG alone (subtracting the carbon paper values and considering that each carbon paper used as support gives similar results), to isolate the performance of the different CAGs from the possible support effect.</w:t>
      </w:r>
    </w:p>
    <w:p w14:paraId="2D0061BE" w14:textId="77777777" w:rsidR="00FE53E3" w:rsidRPr="00025049" w:rsidRDefault="00FE53E3" w:rsidP="00FE53E3">
      <w:pPr>
        <w:pStyle w:val="P1"/>
        <w:rPr>
          <w:lang w:val="en-GB"/>
        </w:rPr>
      </w:pPr>
      <w:r w:rsidRPr="00025049">
        <w:rPr>
          <w:lang w:val="en-GB"/>
        </w:rPr>
        <w:t xml:space="preserve">From the capacitance measurements it is possible to obtain some electrochemical parameters from the electrodes such as the areal and mass specific capacitance of the materials and the electrode roughness factor. Roughness factor (RF) denotes the available “real” surface area on which reaction can occur (charge can be stored) relative to the geometric area of the underlying electrode. At higher roughness factors we have an improvement of the electrode surface area and as consequence the electrochemical performance is increased provided other factors such as mass transport and </w:t>
      </w:r>
      <w:proofErr w:type="spellStart"/>
      <w:r w:rsidRPr="00025049">
        <w:rPr>
          <w:lang w:val="en-GB"/>
        </w:rPr>
        <w:t>iR</w:t>
      </w:r>
      <w:proofErr w:type="spellEnd"/>
      <w:r w:rsidRPr="00025049">
        <w:rPr>
          <w:lang w:val="en-GB"/>
        </w:rPr>
        <w:t xml:space="preserve"> drop are not limiting the performance. Electrokinetic performance is increased because although the exchange current density (measured on the specific surface area – i.e. the real surface area) might not change significantly between the CAG and the underlying carbon paper, the available area real surface area increases significantly. </w:t>
      </w:r>
    </w:p>
    <w:p w14:paraId="02B28C58" w14:textId="77777777" w:rsidR="00FE53E3" w:rsidRPr="00025049" w:rsidRDefault="00FE53E3" w:rsidP="00FE53E3">
      <w:pPr>
        <w:pStyle w:val="P1"/>
        <w:spacing w:after="240"/>
        <w:rPr>
          <w:lang w:val="en-GB"/>
        </w:rPr>
      </w:pPr>
      <w:r w:rsidRPr="00025049">
        <w:rPr>
          <w:lang w:val="en-GB"/>
        </w:rPr>
        <w:t xml:space="preserve">To calculate the different values from the capacitance, shown in </w:t>
      </w:r>
      <w:r w:rsidRPr="00025049">
        <w:rPr>
          <w:lang w:val="en-GB"/>
        </w:rPr>
        <w:fldChar w:fldCharType="begin"/>
      </w:r>
      <w:r w:rsidRPr="00025049">
        <w:rPr>
          <w:lang w:val="en-GB"/>
        </w:rPr>
        <w:instrText xml:space="preserve"> REF _Ref85023501 \h </w:instrText>
      </w:r>
      <w:r w:rsidRPr="00025049">
        <w:rPr>
          <w:lang w:val="en-GB"/>
        </w:rPr>
      </w:r>
      <w:r w:rsidRPr="00025049">
        <w:rPr>
          <w:lang w:val="en-GB"/>
        </w:rPr>
        <w:fldChar w:fldCharType="separate"/>
      </w:r>
      <w:r w:rsidRPr="00025049">
        <w:rPr>
          <w:b/>
          <w:bCs/>
        </w:rPr>
        <w:t xml:space="preserve">Table </w:t>
      </w:r>
      <w:r>
        <w:rPr>
          <w:b/>
          <w:bCs/>
          <w:noProof/>
        </w:rPr>
        <w:t>2</w:t>
      </w:r>
      <w:r w:rsidRPr="00025049">
        <w:rPr>
          <w:lang w:val="en-GB"/>
        </w:rPr>
        <w:fldChar w:fldCharType="end"/>
      </w:r>
      <w:r w:rsidRPr="00025049">
        <w:rPr>
          <w:lang w:val="en-GB"/>
        </w:rPr>
        <w:t xml:space="preserve">, we use the equations below: </w:t>
      </w:r>
    </w:p>
    <w:tbl>
      <w:tblPr>
        <w:tblStyle w:val="TableGrid"/>
        <w:tblW w:w="482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67"/>
      </w:tblGrid>
      <w:tr w:rsidR="00FE53E3" w:rsidRPr="00025049" w14:paraId="38331064" w14:textId="77777777" w:rsidTr="00ED2E8B">
        <w:tc>
          <w:tcPr>
            <w:tcW w:w="4253" w:type="dxa"/>
            <w:vAlign w:val="center"/>
          </w:tcPr>
          <w:p w14:paraId="16BEC90A" w14:textId="77777777" w:rsidR="00FE53E3" w:rsidRPr="00025049" w:rsidRDefault="00FE53E3" w:rsidP="00ED2E8B">
            <w:pPr>
              <w:pStyle w:val="P1"/>
              <w:spacing w:before="120" w:after="120" w:line="240" w:lineRule="auto"/>
              <w:jc w:val="center"/>
              <w:rPr>
                <w:sz w:val="13"/>
                <w:szCs w:val="13"/>
                <w:lang w:val="en-GB"/>
              </w:rPr>
            </w:pPr>
            <m:oMathPara>
              <m:oMath>
                <m:r>
                  <m:rPr>
                    <m:sty m:val="p"/>
                  </m:rPr>
                  <w:rPr>
                    <w:rFonts w:ascii="Cambria Math" w:hAnsi="Cambria Math"/>
                    <w:sz w:val="13"/>
                    <w:szCs w:val="13"/>
                    <w:lang w:val="en-GB"/>
                  </w:rPr>
                  <m:t xml:space="preserve">Areal Capacitance </m:t>
                </m:r>
                <m:d>
                  <m:dPr>
                    <m:ctrlPr>
                      <w:rPr>
                        <w:rFonts w:ascii="Cambria Math" w:hAnsi="Cambria Math"/>
                        <w:iCs/>
                        <w:sz w:val="13"/>
                        <w:szCs w:val="13"/>
                        <w:lang w:val="en-GB"/>
                      </w:rPr>
                    </m:ctrlPr>
                  </m:dPr>
                  <m:e>
                    <m:r>
                      <m:rPr>
                        <m:sty m:val="p"/>
                      </m:rPr>
                      <w:rPr>
                        <w:rFonts w:ascii="Cambria Math" w:hAnsi="Cambria Math"/>
                        <w:sz w:val="13"/>
                        <w:szCs w:val="13"/>
                        <w:lang w:val="en-GB"/>
                      </w:rPr>
                      <m:t xml:space="preserve">F </m:t>
                    </m:r>
                    <m:sSup>
                      <m:sSupPr>
                        <m:ctrlPr>
                          <w:rPr>
                            <w:rFonts w:ascii="Cambria Math" w:hAnsi="Cambria Math"/>
                            <w:iCs/>
                            <w:sz w:val="13"/>
                            <w:szCs w:val="13"/>
                            <w:lang w:val="en-GB"/>
                          </w:rPr>
                        </m:ctrlPr>
                      </m:sSupPr>
                      <m:e>
                        <m:r>
                          <m:rPr>
                            <m:sty m:val="p"/>
                          </m:rPr>
                          <w:rPr>
                            <w:rFonts w:ascii="Cambria Math" w:hAnsi="Cambria Math"/>
                            <w:sz w:val="13"/>
                            <w:szCs w:val="13"/>
                            <w:lang w:val="en-GB"/>
                          </w:rPr>
                          <m:t>m</m:t>
                        </m:r>
                      </m:e>
                      <m:sup>
                        <m:r>
                          <m:rPr>
                            <m:sty m:val="p"/>
                          </m:rPr>
                          <w:rPr>
                            <w:rFonts w:ascii="Cambria Math" w:hAnsi="Cambria Math"/>
                            <w:sz w:val="13"/>
                            <w:szCs w:val="13"/>
                            <w:lang w:val="en-GB"/>
                          </w:rPr>
                          <m:t>-2</m:t>
                        </m:r>
                      </m:sup>
                    </m:sSup>
                  </m:e>
                </m:d>
                <m:r>
                  <m:rPr>
                    <m:sty m:val="p"/>
                  </m:rPr>
                  <w:rPr>
                    <w:rFonts w:ascii="Cambria Math" w:hAnsi="Cambria Math"/>
                    <w:sz w:val="13"/>
                    <w:szCs w:val="13"/>
                    <w:lang w:val="en-GB"/>
                  </w:rPr>
                  <m:t>=</m:t>
                </m:r>
                <m:f>
                  <m:fPr>
                    <m:ctrlPr>
                      <w:rPr>
                        <w:rFonts w:ascii="Cambria Math" w:hAnsi="Cambria Math"/>
                        <w:iCs/>
                        <w:sz w:val="13"/>
                        <w:szCs w:val="13"/>
                        <w:lang w:val="en-GB"/>
                      </w:rPr>
                    </m:ctrlPr>
                  </m:fPr>
                  <m:num>
                    <m:r>
                      <m:rPr>
                        <m:sty m:val="p"/>
                      </m:rPr>
                      <w:rPr>
                        <w:rFonts w:ascii="Cambria Math" w:hAnsi="Cambria Math"/>
                        <w:sz w:val="13"/>
                        <w:szCs w:val="13"/>
                        <w:lang w:val="en-GB"/>
                      </w:rPr>
                      <m:t>Avg. Capacitance (F)</m:t>
                    </m:r>
                  </m:num>
                  <m:den>
                    <m:r>
                      <m:rPr>
                        <m:sty m:val="p"/>
                      </m:rPr>
                      <w:rPr>
                        <w:rFonts w:ascii="Cambria Math" w:hAnsi="Cambria Math"/>
                        <w:sz w:val="13"/>
                        <w:szCs w:val="13"/>
                        <w:lang w:val="en-GB"/>
                      </w:rPr>
                      <m:t>Electrode Area (</m:t>
                    </m:r>
                    <m:sSup>
                      <m:sSupPr>
                        <m:ctrlPr>
                          <w:rPr>
                            <w:rFonts w:ascii="Cambria Math" w:hAnsi="Cambria Math"/>
                            <w:iCs/>
                            <w:sz w:val="13"/>
                            <w:szCs w:val="13"/>
                            <w:lang w:val="en-GB"/>
                          </w:rPr>
                        </m:ctrlPr>
                      </m:sSupPr>
                      <m:e>
                        <m:r>
                          <m:rPr>
                            <m:sty m:val="p"/>
                          </m:rPr>
                          <w:rPr>
                            <w:rFonts w:ascii="Cambria Math" w:hAnsi="Cambria Math"/>
                            <w:sz w:val="13"/>
                            <w:szCs w:val="13"/>
                            <w:lang w:val="en-GB"/>
                          </w:rPr>
                          <m:t>m</m:t>
                        </m:r>
                      </m:e>
                      <m:sup>
                        <m:r>
                          <m:rPr>
                            <m:sty m:val="p"/>
                          </m:rPr>
                          <w:rPr>
                            <w:rFonts w:ascii="Cambria Math" w:hAnsi="Cambria Math"/>
                            <w:sz w:val="13"/>
                            <w:szCs w:val="13"/>
                            <w:lang w:val="en-GB"/>
                          </w:rPr>
                          <m:t>2</m:t>
                        </m:r>
                      </m:sup>
                    </m:sSup>
                    <m:r>
                      <m:rPr>
                        <m:sty m:val="p"/>
                      </m:rPr>
                      <w:rPr>
                        <w:rFonts w:ascii="Cambria Math" w:hAnsi="Cambria Math"/>
                        <w:sz w:val="13"/>
                        <w:szCs w:val="13"/>
                        <w:lang w:val="en-GB"/>
                      </w:rPr>
                      <m:t>)</m:t>
                    </m:r>
                  </m:den>
                </m:f>
              </m:oMath>
            </m:oMathPara>
          </w:p>
        </w:tc>
        <w:tc>
          <w:tcPr>
            <w:tcW w:w="567" w:type="dxa"/>
            <w:vAlign w:val="center"/>
          </w:tcPr>
          <w:p w14:paraId="30333989" w14:textId="77777777" w:rsidR="00FE53E3" w:rsidRPr="00025049" w:rsidRDefault="00FE53E3" w:rsidP="00ED2E8B">
            <w:pPr>
              <w:pStyle w:val="P1"/>
              <w:spacing w:before="120" w:after="120" w:line="240" w:lineRule="auto"/>
              <w:jc w:val="center"/>
              <w:rPr>
                <w:sz w:val="14"/>
                <w:szCs w:val="20"/>
                <w:lang w:val="en-GB"/>
              </w:rPr>
            </w:pPr>
            <w:r w:rsidRPr="00025049">
              <w:rPr>
                <w:sz w:val="14"/>
                <w:szCs w:val="20"/>
                <w:lang w:val="en-GB"/>
              </w:rPr>
              <w:t>Eq. 1</w:t>
            </w:r>
          </w:p>
        </w:tc>
      </w:tr>
      <w:tr w:rsidR="00FE53E3" w:rsidRPr="00025049" w14:paraId="39AC8BD1" w14:textId="77777777" w:rsidTr="00ED2E8B">
        <w:tc>
          <w:tcPr>
            <w:tcW w:w="4253" w:type="dxa"/>
            <w:vAlign w:val="center"/>
          </w:tcPr>
          <w:p w14:paraId="1A089B15" w14:textId="77777777" w:rsidR="00FE53E3" w:rsidRPr="00025049" w:rsidRDefault="00FE53E3" w:rsidP="00ED2E8B">
            <w:pPr>
              <w:pStyle w:val="P1"/>
              <w:spacing w:before="120" w:after="120" w:line="240" w:lineRule="auto"/>
              <w:jc w:val="center"/>
              <w:rPr>
                <w:sz w:val="13"/>
                <w:szCs w:val="13"/>
                <w:lang w:val="en-GB"/>
              </w:rPr>
            </w:pPr>
            <m:oMathPara>
              <m:oMath>
                <m:sSub>
                  <m:sSubPr>
                    <m:ctrlPr>
                      <w:rPr>
                        <w:rFonts w:ascii="Cambria Math" w:hAnsi="Cambria Math"/>
                        <w:iCs/>
                        <w:sz w:val="13"/>
                        <w:szCs w:val="13"/>
                        <w:lang w:val="en-GB"/>
                      </w:rPr>
                    </m:ctrlPr>
                  </m:sSubPr>
                  <m:e>
                    <m:r>
                      <m:rPr>
                        <m:sty m:val="p"/>
                      </m:rPr>
                      <w:rPr>
                        <w:rFonts w:ascii="Cambria Math" w:hAnsi="Cambria Math"/>
                        <w:sz w:val="13"/>
                        <w:szCs w:val="13"/>
                        <w:lang w:val="en-GB"/>
                      </w:rPr>
                      <m:t>RF</m:t>
                    </m:r>
                  </m:e>
                  <m:sub>
                    <m:r>
                      <m:rPr>
                        <m:sty m:val="p"/>
                      </m:rPr>
                      <w:rPr>
                        <w:rFonts w:ascii="Cambria Math" w:hAnsi="Cambria Math"/>
                        <w:sz w:val="13"/>
                        <w:szCs w:val="13"/>
                        <w:lang w:val="en-GB"/>
                      </w:rPr>
                      <m:t>BET</m:t>
                    </m:r>
                  </m:sub>
                </m:sSub>
                <m:r>
                  <m:rPr>
                    <m:sty m:val="p"/>
                  </m:rPr>
                  <w:rPr>
                    <w:rFonts w:ascii="Cambria Math" w:hAnsi="Cambria Math"/>
                    <w:sz w:val="13"/>
                    <w:szCs w:val="13"/>
                    <w:lang w:val="en-GB"/>
                  </w:rPr>
                  <m:t>=</m:t>
                </m:r>
                <m:f>
                  <m:fPr>
                    <m:ctrlPr>
                      <w:rPr>
                        <w:rFonts w:ascii="Cambria Math" w:hAnsi="Cambria Math"/>
                        <w:iCs/>
                        <w:sz w:val="13"/>
                        <w:szCs w:val="13"/>
                        <w:lang w:val="en-GB"/>
                      </w:rPr>
                    </m:ctrlPr>
                  </m:fPr>
                  <m:num>
                    <m:sSub>
                      <m:sSubPr>
                        <m:ctrlPr>
                          <w:rPr>
                            <w:rFonts w:ascii="Cambria Math" w:hAnsi="Cambria Math"/>
                            <w:iCs/>
                            <w:sz w:val="13"/>
                            <w:szCs w:val="13"/>
                            <w:lang w:val="en-GB"/>
                          </w:rPr>
                        </m:ctrlPr>
                      </m:sSubPr>
                      <m:e>
                        <m:r>
                          <m:rPr>
                            <m:sty m:val="p"/>
                          </m:rPr>
                          <w:rPr>
                            <w:rFonts w:ascii="Cambria Math" w:hAnsi="Cambria Math"/>
                            <w:sz w:val="13"/>
                            <w:szCs w:val="13"/>
                            <w:lang w:val="en-GB"/>
                          </w:rPr>
                          <m:t>SA</m:t>
                        </m:r>
                      </m:e>
                      <m:sub>
                        <m:r>
                          <m:rPr>
                            <m:sty m:val="p"/>
                          </m:rPr>
                          <w:rPr>
                            <w:rFonts w:ascii="Cambria Math" w:hAnsi="Cambria Math"/>
                            <w:sz w:val="13"/>
                            <w:szCs w:val="13"/>
                            <w:lang w:val="en-GB"/>
                          </w:rPr>
                          <m:t>BET</m:t>
                        </m:r>
                      </m:sub>
                    </m:sSub>
                    <m:r>
                      <w:rPr>
                        <w:rFonts w:ascii="Cambria Math" w:hAnsi="Cambria Math"/>
                        <w:sz w:val="13"/>
                        <w:szCs w:val="13"/>
                        <w:lang w:val="en-GB"/>
                      </w:rPr>
                      <m:t xml:space="preserve"> </m:t>
                    </m:r>
                    <m:d>
                      <m:dPr>
                        <m:ctrlPr>
                          <w:rPr>
                            <w:rFonts w:ascii="Cambria Math" w:hAnsi="Cambria Math"/>
                            <w:iCs/>
                            <w:sz w:val="13"/>
                            <w:szCs w:val="13"/>
                            <w:lang w:val="en-GB"/>
                          </w:rPr>
                        </m:ctrlPr>
                      </m:dPr>
                      <m:e>
                        <m:sSup>
                          <m:sSupPr>
                            <m:ctrlPr>
                              <w:rPr>
                                <w:rFonts w:ascii="Cambria Math" w:hAnsi="Cambria Math"/>
                                <w:iCs/>
                                <w:sz w:val="13"/>
                                <w:szCs w:val="13"/>
                                <w:lang w:val="en-GB"/>
                              </w:rPr>
                            </m:ctrlPr>
                          </m:sSupPr>
                          <m:e>
                            <m:r>
                              <m:rPr>
                                <m:sty m:val="p"/>
                              </m:rPr>
                              <w:rPr>
                                <w:rFonts w:ascii="Cambria Math" w:hAnsi="Cambria Math"/>
                                <w:sz w:val="13"/>
                                <w:szCs w:val="13"/>
                                <w:lang w:val="en-GB"/>
                              </w:rPr>
                              <m:t>m</m:t>
                            </m:r>
                          </m:e>
                          <m:sup>
                            <m:r>
                              <m:rPr>
                                <m:sty m:val="p"/>
                              </m:rPr>
                              <w:rPr>
                                <w:rFonts w:ascii="Cambria Math" w:hAnsi="Cambria Math"/>
                                <w:sz w:val="13"/>
                                <w:szCs w:val="13"/>
                                <w:lang w:val="en-GB"/>
                              </w:rPr>
                              <m:t>2</m:t>
                            </m:r>
                          </m:sup>
                        </m:sSup>
                        <m:sSup>
                          <m:sSupPr>
                            <m:ctrlPr>
                              <w:rPr>
                                <w:rFonts w:ascii="Cambria Math" w:hAnsi="Cambria Math"/>
                                <w:iCs/>
                                <w:sz w:val="13"/>
                                <w:szCs w:val="13"/>
                                <w:lang w:val="en-GB"/>
                              </w:rPr>
                            </m:ctrlPr>
                          </m:sSupPr>
                          <m:e>
                            <m:r>
                              <m:rPr>
                                <m:sty m:val="p"/>
                              </m:rPr>
                              <w:rPr>
                                <w:rFonts w:ascii="Cambria Math" w:hAnsi="Cambria Math"/>
                                <w:sz w:val="13"/>
                                <w:szCs w:val="13"/>
                                <w:lang w:val="en-GB"/>
                              </w:rPr>
                              <m:t>g</m:t>
                            </m:r>
                          </m:e>
                          <m:sup>
                            <m:r>
                              <m:rPr>
                                <m:sty m:val="p"/>
                              </m:rPr>
                              <w:rPr>
                                <w:rFonts w:ascii="Cambria Math" w:hAnsi="Cambria Math"/>
                                <w:sz w:val="13"/>
                                <w:szCs w:val="13"/>
                                <w:lang w:val="en-GB"/>
                              </w:rPr>
                              <m:t>-1</m:t>
                            </m:r>
                          </m:sup>
                        </m:sSup>
                      </m:e>
                    </m:d>
                    <m:r>
                      <m:rPr>
                        <m:sty m:val="p"/>
                      </m:rPr>
                      <w:rPr>
                        <w:rFonts w:ascii="Cambria Math" w:hAnsi="Cambria Math"/>
                        <w:sz w:val="13"/>
                        <w:szCs w:val="13"/>
                        <w:lang w:val="en-GB"/>
                      </w:rPr>
                      <m:t>×Total Weight (g)</m:t>
                    </m:r>
                  </m:num>
                  <m:den>
                    <m:r>
                      <m:rPr>
                        <m:sty m:val="p"/>
                      </m:rPr>
                      <w:rPr>
                        <w:rFonts w:ascii="Cambria Math" w:hAnsi="Cambria Math"/>
                        <w:sz w:val="13"/>
                        <w:szCs w:val="13"/>
                        <w:lang w:val="en-GB"/>
                      </w:rPr>
                      <m:t>Electrode Area (</m:t>
                    </m:r>
                    <m:sSup>
                      <m:sSupPr>
                        <m:ctrlPr>
                          <w:rPr>
                            <w:rFonts w:ascii="Cambria Math" w:hAnsi="Cambria Math"/>
                            <w:iCs/>
                            <w:sz w:val="13"/>
                            <w:szCs w:val="13"/>
                            <w:lang w:val="en-GB"/>
                          </w:rPr>
                        </m:ctrlPr>
                      </m:sSupPr>
                      <m:e>
                        <m:r>
                          <m:rPr>
                            <m:sty m:val="p"/>
                          </m:rPr>
                          <w:rPr>
                            <w:rFonts w:ascii="Cambria Math" w:hAnsi="Cambria Math"/>
                            <w:sz w:val="13"/>
                            <w:szCs w:val="13"/>
                            <w:lang w:val="en-GB"/>
                          </w:rPr>
                          <m:t>m</m:t>
                        </m:r>
                      </m:e>
                      <m:sup>
                        <m:r>
                          <m:rPr>
                            <m:sty m:val="p"/>
                          </m:rPr>
                          <w:rPr>
                            <w:rFonts w:ascii="Cambria Math" w:hAnsi="Cambria Math"/>
                            <w:sz w:val="13"/>
                            <w:szCs w:val="13"/>
                            <w:lang w:val="en-GB"/>
                          </w:rPr>
                          <m:t>2</m:t>
                        </m:r>
                      </m:sup>
                    </m:sSup>
                    <m:r>
                      <m:rPr>
                        <m:sty m:val="p"/>
                      </m:rPr>
                      <w:rPr>
                        <w:rFonts w:ascii="Cambria Math" w:hAnsi="Cambria Math"/>
                        <w:sz w:val="13"/>
                        <w:szCs w:val="13"/>
                        <w:lang w:val="en-GB"/>
                      </w:rPr>
                      <m:t>)</m:t>
                    </m:r>
                  </m:den>
                </m:f>
              </m:oMath>
            </m:oMathPara>
          </w:p>
        </w:tc>
        <w:tc>
          <w:tcPr>
            <w:tcW w:w="567" w:type="dxa"/>
            <w:vAlign w:val="center"/>
          </w:tcPr>
          <w:p w14:paraId="5732246F" w14:textId="77777777" w:rsidR="00FE53E3" w:rsidRPr="00025049" w:rsidRDefault="00FE53E3" w:rsidP="00ED2E8B">
            <w:pPr>
              <w:pStyle w:val="P1"/>
              <w:spacing w:before="120" w:after="120" w:line="240" w:lineRule="auto"/>
              <w:jc w:val="center"/>
              <w:rPr>
                <w:sz w:val="14"/>
                <w:szCs w:val="20"/>
                <w:lang w:val="en-GB"/>
              </w:rPr>
            </w:pPr>
            <w:r w:rsidRPr="00025049">
              <w:rPr>
                <w:sz w:val="14"/>
                <w:szCs w:val="20"/>
                <w:lang w:val="en-GB"/>
              </w:rPr>
              <w:t>Eq. 2</w:t>
            </w:r>
          </w:p>
        </w:tc>
      </w:tr>
      <w:tr w:rsidR="00FE53E3" w:rsidRPr="00025049" w14:paraId="5280B0A9" w14:textId="77777777" w:rsidTr="00ED2E8B">
        <w:tc>
          <w:tcPr>
            <w:tcW w:w="4253" w:type="dxa"/>
            <w:vAlign w:val="center"/>
          </w:tcPr>
          <w:p w14:paraId="2B7CB46F" w14:textId="77777777" w:rsidR="00FE53E3" w:rsidRPr="00025049" w:rsidRDefault="00FE53E3" w:rsidP="00ED2E8B">
            <w:pPr>
              <w:pStyle w:val="P1"/>
              <w:spacing w:before="120" w:after="120" w:line="240" w:lineRule="auto"/>
              <w:jc w:val="center"/>
              <w:rPr>
                <w:sz w:val="13"/>
                <w:szCs w:val="13"/>
                <w:lang w:val="en-GB"/>
              </w:rPr>
            </w:pPr>
            <m:oMathPara>
              <m:oMath>
                <m:sSub>
                  <m:sSubPr>
                    <m:ctrlPr>
                      <w:rPr>
                        <w:rFonts w:ascii="Cambria Math" w:hAnsi="Cambria Math"/>
                        <w:iCs/>
                        <w:sz w:val="13"/>
                        <w:szCs w:val="13"/>
                        <w:lang w:val="en-GB"/>
                      </w:rPr>
                    </m:ctrlPr>
                  </m:sSubPr>
                  <m:e>
                    <m:r>
                      <m:rPr>
                        <m:sty m:val="p"/>
                      </m:rPr>
                      <w:rPr>
                        <w:rFonts w:ascii="Cambria Math" w:hAnsi="Cambria Math"/>
                        <w:sz w:val="13"/>
                        <w:szCs w:val="13"/>
                        <w:lang w:val="en-GB"/>
                      </w:rPr>
                      <m:t>RF</m:t>
                    </m:r>
                  </m:e>
                  <m:sub>
                    <m:r>
                      <m:rPr>
                        <m:sty m:val="p"/>
                      </m:rPr>
                      <w:rPr>
                        <w:rFonts w:ascii="Cambria Math" w:hAnsi="Cambria Math"/>
                        <w:sz w:val="13"/>
                        <w:szCs w:val="13"/>
                        <w:lang w:val="en-GB"/>
                      </w:rPr>
                      <m:t>Capacitance</m:t>
                    </m:r>
                  </m:sub>
                </m:sSub>
                <m:r>
                  <m:rPr>
                    <m:sty m:val="p"/>
                  </m:rPr>
                  <w:rPr>
                    <w:rFonts w:ascii="Cambria Math" w:hAnsi="Cambria Math"/>
                    <w:sz w:val="13"/>
                    <w:szCs w:val="13"/>
                    <w:lang w:val="en-GB"/>
                  </w:rPr>
                  <m:t>=</m:t>
                </m:r>
                <m:f>
                  <m:fPr>
                    <m:ctrlPr>
                      <w:rPr>
                        <w:rFonts w:ascii="Cambria Math" w:hAnsi="Cambria Math"/>
                        <w:iCs/>
                        <w:sz w:val="13"/>
                        <w:szCs w:val="13"/>
                        <w:lang w:val="en-GB"/>
                      </w:rPr>
                    </m:ctrlPr>
                  </m:fPr>
                  <m:num>
                    <m:r>
                      <m:rPr>
                        <m:sty m:val="p"/>
                      </m:rPr>
                      <w:rPr>
                        <w:rFonts w:ascii="Cambria Math" w:hAnsi="Cambria Math"/>
                        <w:sz w:val="13"/>
                        <w:szCs w:val="13"/>
                        <w:lang w:val="en-GB"/>
                      </w:rPr>
                      <m:t>Avg. Capacitance (F)</m:t>
                    </m:r>
                  </m:num>
                  <m:den>
                    <m:r>
                      <m:rPr>
                        <m:sty m:val="p"/>
                      </m:rPr>
                      <w:rPr>
                        <w:rFonts w:ascii="Cambria Math" w:hAnsi="Cambria Math"/>
                        <w:sz w:val="13"/>
                        <w:szCs w:val="13"/>
                        <w:lang w:val="en-GB"/>
                      </w:rPr>
                      <m:t xml:space="preserve">Electrode Area </m:t>
                    </m:r>
                    <m:d>
                      <m:dPr>
                        <m:ctrlPr>
                          <w:rPr>
                            <w:rFonts w:ascii="Cambria Math" w:hAnsi="Cambria Math"/>
                            <w:iCs/>
                            <w:sz w:val="13"/>
                            <w:szCs w:val="13"/>
                            <w:lang w:val="en-GB"/>
                          </w:rPr>
                        </m:ctrlPr>
                      </m:dPr>
                      <m:e>
                        <m:sSup>
                          <m:sSupPr>
                            <m:ctrlPr>
                              <w:rPr>
                                <w:rFonts w:ascii="Cambria Math" w:hAnsi="Cambria Math"/>
                                <w:iCs/>
                                <w:sz w:val="13"/>
                                <w:szCs w:val="13"/>
                                <w:lang w:val="en-GB"/>
                              </w:rPr>
                            </m:ctrlPr>
                          </m:sSupPr>
                          <m:e>
                            <m:r>
                              <m:rPr>
                                <m:sty m:val="p"/>
                              </m:rPr>
                              <w:rPr>
                                <w:rFonts w:ascii="Cambria Math" w:hAnsi="Cambria Math"/>
                                <w:sz w:val="13"/>
                                <w:szCs w:val="13"/>
                                <w:lang w:val="en-GB"/>
                              </w:rPr>
                              <m:t>m</m:t>
                            </m:r>
                          </m:e>
                          <m:sup>
                            <m:r>
                              <m:rPr>
                                <m:sty m:val="p"/>
                              </m:rPr>
                              <w:rPr>
                                <w:rFonts w:ascii="Cambria Math" w:hAnsi="Cambria Math"/>
                                <w:sz w:val="13"/>
                                <w:szCs w:val="13"/>
                                <w:lang w:val="en-GB"/>
                              </w:rPr>
                              <m:t>2</m:t>
                            </m:r>
                          </m:sup>
                        </m:sSup>
                      </m:e>
                    </m:d>
                    <m:r>
                      <m:rPr>
                        <m:sty m:val="p"/>
                      </m:rPr>
                      <w:rPr>
                        <w:rFonts w:ascii="Cambria Math" w:hAnsi="Cambria Math"/>
                        <w:sz w:val="13"/>
                        <w:szCs w:val="13"/>
                        <w:lang w:val="en-GB"/>
                      </w:rPr>
                      <m:t>×</m:t>
                    </m:r>
                    <m:sSub>
                      <m:sSubPr>
                        <m:ctrlPr>
                          <w:rPr>
                            <w:rFonts w:ascii="Cambria Math" w:hAnsi="Cambria Math"/>
                            <w:iCs/>
                            <w:sz w:val="13"/>
                            <w:szCs w:val="13"/>
                            <w:lang w:val="en-GB"/>
                          </w:rPr>
                        </m:ctrlPr>
                      </m:sSubPr>
                      <m:e>
                        <m:r>
                          <m:rPr>
                            <m:sty m:val="p"/>
                          </m:rPr>
                          <w:rPr>
                            <w:rFonts w:ascii="Cambria Math" w:hAnsi="Cambria Math"/>
                            <w:sz w:val="13"/>
                            <w:szCs w:val="13"/>
                            <w:lang w:val="en-GB"/>
                          </w:rPr>
                          <m:t>Carbon</m:t>
                        </m:r>
                      </m:e>
                      <m:sub>
                        <m:r>
                          <m:rPr>
                            <m:sty m:val="p"/>
                          </m:rPr>
                          <w:rPr>
                            <w:rFonts w:ascii="Cambria Math" w:hAnsi="Cambria Math"/>
                            <w:sz w:val="13"/>
                            <w:szCs w:val="13"/>
                            <w:lang w:val="en-GB"/>
                          </w:rPr>
                          <m:t>Specific Capacitance</m:t>
                        </m:r>
                      </m:sub>
                    </m:sSub>
                    <m:r>
                      <m:rPr>
                        <m:sty m:val="p"/>
                      </m:rPr>
                      <w:rPr>
                        <w:rFonts w:ascii="Cambria Math" w:hAnsi="Cambria Math"/>
                        <w:sz w:val="13"/>
                        <w:szCs w:val="13"/>
                        <w:lang w:val="en-GB"/>
                      </w:rPr>
                      <m:t xml:space="preserve"> (F</m:t>
                    </m:r>
                    <m:sSup>
                      <m:sSupPr>
                        <m:ctrlPr>
                          <w:rPr>
                            <w:rFonts w:ascii="Cambria Math" w:hAnsi="Cambria Math"/>
                            <w:iCs/>
                            <w:sz w:val="13"/>
                            <w:szCs w:val="13"/>
                            <w:lang w:val="en-GB"/>
                          </w:rPr>
                        </m:ctrlPr>
                      </m:sSupPr>
                      <m:e>
                        <m:r>
                          <m:rPr>
                            <m:sty m:val="p"/>
                          </m:rPr>
                          <w:rPr>
                            <w:rFonts w:ascii="Cambria Math" w:hAnsi="Cambria Math"/>
                            <w:sz w:val="13"/>
                            <w:szCs w:val="13"/>
                            <w:lang w:val="en-GB"/>
                          </w:rPr>
                          <m:t xml:space="preserve"> m</m:t>
                        </m:r>
                      </m:e>
                      <m:sup>
                        <m:r>
                          <m:rPr>
                            <m:sty m:val="p"/>
                          </m:rPr>
                          <w:rPr>
                            <w:rFonts w:ascii="Cambria Math" w:hAnsi="Cambria Math"/>
                            <w:sz w:val="13"/>
                            <w:szCs w:val="13"/>
                            <w:lang w:val="en-GB"/>
                          </w:rPr>
                          <m:t>-2</m:t>
                        </m:r>
                      </m:sup>
                    </m:sSup>
                    <m:r>
                      <m:rPr>
                        <m:sty m:val="p"/>
                      </m:rPr>
                      <w:rPr>
                        <w:rFonts w:ascii="Cambria Math" w:hAnsi="Cambria Math"/>
                        <w:sz w:val="13"/>
                        <w:szCs w:val="13"/>
                        <w:lang w:val="en-GB"/>
                      </w:rPr>
                      <m:t>)</m:t>
                    </m:r>
                  </m:den>
                </m:f>
              </m:oMath>
            </m:oMathPara>
          </w:p>
        </w:tc>
        <w:tc>
          <w:tcPr>
            <w:tcW w:w="567" w:type="dxa"/>
            <w:vAlign w:val="center"/>
          </w:tcPr>
          <w:p w14:paraId="6A22C231" w14:textId="77777777" w:rsidR="00FE53E3" w:rsidRPr="00025049" w:rsidRDefault="00FE53E3" w:rsidP="00ED2E8B">
            <w:pPr>
              <w:pStyle w:val="P1"/>
              <w:spacing w:before="120" w:after="120" w:line="240" w:lineRule="auto"/>
              <w:jc w:val="center"/>
              <w:rPr>
                <w:sz w:val="14"/>
                <w:szCs w:val="20"/>
                <w:lang w:val="en-GB"/>
              </w:rPr>
            </w:pPr>
            <w:r w:rsidRPr="00025049">
              <w:rPr>
                <w:sz w:val="14"/>
                <w:szCs w:val="20"/>
                <w:lang w:val="en-GB"/>
              </w:rPr>
              <w:t>Eq. 3</w:t>
            </w:r>
          </w:p>
        </w:tc>
      </w:tr>
      <w:tr w:rsidR="00FE53E3" w:rsidRPr="00025049" w14:paraId="7DEDB363" w14:textId="77777777" w:rsidTr="00ED2E8B">
        <w:tc>
          <w:tcPr>
            <w:tcW w:w="4253" w:type="dxa"/>
            <w:vAlign w:val="center"/>
          </w:tcPr>
          <w:p w14:paraId="2E061B96" w14:textId="77777777" w:rsidR="00FE53E3" w:rsidRPr="00025049" w:rsidRDefault="00FE53E3" w:rsidP="00ED2E8B">
            <w:pPr>
              <w:pStyle w:val="P1"/>
              <w:spacing w:before="120" w:after="120" w:line="240" w:lineRule="auto"/>
              <w:jc w:val="center"/>
              <w:rPr>
                <w:lang w:val="en-GB"/>
              </w:rPr>
            </w:pPr>
            <m:oMathPara>
              <m:oMath>
                <m:r>
                  <m:rPr>
                    <m:sty m:val="p"/>
                  </m:rPr>
                  <w:rPr>
                    <w:rFonts w:ascii="Cambria Math" w:hAnsi="Cambria Math"/>
                    <w:sz w:val="13"/>
                    <w:szCs w:val="13"/>
                    <w:lang w:val="en-GB"/>
                  </w:rPr>
                  <m:t xml:space="preserve">Specific Capacitance </m:t>
                </m:r>
                <m:d>
                  <m:dPr>
                    <m:ctrlPr>
                      <w:rPr>
                        <w:rFonts w:ascii="Cambria Math" w:hAnsi="Cambria Math"/>
                        <w:iCs/>
                        <w:sz w:val="13"/>
                        <w:szCs w:val="13"/>
                        <w:lang w:val="en-GB"/>
                      </w:rPr>
                    </m:ctrlPr>
                  </m:dPr>
                  <m:e>
                    <m:r>
                      <m:rPr>
                        <m:sty m:val="p"/>
                      </m:rPr>
                      <w:rPr>
                        <w:rFonts w:ascii="Cambria Math" w:hAnsi="Cambria Math"/>
                        <w:sz w:val="13"/>
                        <w:szCs w:val="13"/>
                        <w:lang w:val="en-GB"/>
                      </w:rPr>
                      <m:t>F</m:t>
                    </m:r>
                    <m:sSup>
                      <m:sSupPr>
                        <m:ctrlPr>
                          <w:rPr>
                            <w:rFonts w:ascii="Cambria Math" w:hAnsi="Cambria Math"/>
                            <w:iCs/>
                            <w:sz w:val="13"/>
                            <w:szCs w:val="13"/>
                            <w:lang w:val="en-GB"/>
                          </w:rPr>
                        </m:ctrlPr>
                      </m:sSupPr>
                      <m:e>
                        <m:r>
                          <m:rPr>
                            <m:sty m:val="p"/>
                          </m:rPr>
                          <w:rPr>
                            <w:rFonts w:ascii="Cambria Math" w:hAnsi="Cambria Math"/>
                            <w:sz w:val="13"/>
                            <w:szCs w:val="13"/>
                            <w:lang w:val="en-GB"/>
                          </w:rPr>
                          <m:t xml:space="preserve"> g</m:t>
                        </m:r>
                      </m:e>
                      <m:sup>
                        <m:r>
                          <m:rPr>
                            <m:sty m:val="p"/>
                          </m:rPr>
                          <w:rPr>
                            <w:rFonts w:ascii="Cambria Math" w:hAnsi="Cambria Math"/>
                            <w:sz w:val="13"/>
                            <w:szCs w:val="13"/>
                            <w:lang w:val="en-GB"/>
                          </w:rPr>
                          <m:t>-1</m:t>
                        </m:r>
                      </m:sup>
                    </m:sSup>
                  </m:e>
                </m:d>
                <m:r>
                  <m:rPr>
                    <m:sty m:val="p"/>
                  </m:rPr>
                  <w:rPr>
                    <w:rFonts w:ascii="Cambria Math" w:hAnsi="Cambria Math"/>
                    <w:sz w:val="13"/>
                    <w:szCs w:val="13"/>
                    <w:lang w:val="en-GB"/>
                  </w:rPr>
                  <m:t>=</m:t>
                </m:r>
                <m:f>
                  <m:fPr>
                    <m:ctrlPr>
                      <w:rPr>
                        <w:rFonts w:ascii="Cambria Math" w:hAnsi="Cambria Math"/>
                        <w:iCs/>
                        <w:sz w:val="13"/>
                        <w:szCs w:val="13"/>
                        <w:lang w:val="en-GB"/>
                      </w:rPr>
                    </m:ctrlPr>
                  </m:fPr>
                  <m:num>
                    <m:r>
                      <m:rPr>
                        <m:sty m:val="p"/>
                      </m:rPr>
                      <w:rPr>
                        <w:rFonts w:ascii="Cambria Math" w:hAnsi="Cambria Math"/>
                        <w:sz w:val="13"/>
                        <w:szCs w:val="13"/>
                        <w:lang w:val="en-GB"/>
                      </w:rPr>
                      <m:t>Avg.  Capacitance (F)</m:t>
                    </m:r>
                  </m:num>
                  <m:den>
                    <m:r>
                      <m:rPr>
                        <m:sty m:val="p"/>
                      </m:rPr>
                      <w:rPr>
                        <w:rFonts w:ascii="Cambria Math" w:hAnsi="Cambria Math"/>
                        <w:sz w:val="13"/>
                        <w:szCs w:val="13"/>
                        <w:lang w:val="en-GB"/>
                      </w:rPr>
                      <m:t>Total Weight (g)</m:t>
                    </m:r>
                  </m:den>
                </m:f>
              </m:oMath>
            </m:oMathPara>
          </w:p>
        </w:tc>
        <w:tc>
          <w:tcPr>
            <w:tcW w:w="567" w:type="dxa"/>
            <w:vAlign w:val="center"/>
          </w:tcPr>
          <w:p w14:paraId="3B5D1B51" w14:textId="77777777" w:rsidR="00FE53E3" w:rsidRPr="00025049" w:rsidRDefault="00FE53E3" w:rsidP="00ED2E8B">
            <w:pPr>
              <w:pStyle w:val="P1"/>
              <w:spacing w:before="120" w:after="120" w:line="240" w:lineRule="auto"/>
              <w:jc w:val="center"/>
              <w:rPr>
                <w:sz w:val="14"/>
                <w:szCs w:val="20"/>
                <w:lang w:val="en-GB"/>
              </w:rPr>
            </w:pPr>
            <w:r w:rsidRPr="00025049">
              <w:rPr>
                <w:sz w:val="14"/>
                <w:szCs w:val="20"/>
                <w:lang w:val="en-GB"/>
              </w:rPr>
              <w:t>Eq. 4</w:t>
            </w:r>
          </w:p>
        </w:tc>
      </w:tr>
    </w:tbl>
    <w:p w14:paraId="2307C950" w14:textId="77777777" w:rsidR="00FE53E3" w:rsidRPr="00025049" w:rsidRDefault="00FE53E3" w:rsidP="00FE53E3">
      <w:pPr>
        <w:pStyle w:val="P1"/>
        <w:spacing w:before="240"/>
        <w:rPr>
          <w:lang w:val="en-GB"/>
        </w:rPr>
      </w:pPr>
      <w:r w:rsidRPr="00025049">
        <w:rPr>
          <w:lang w:val="en-GB"/>
        </w:rPr>
        <w:t xml:space="preserve">Where the </w:t>
      </w:r>
      <w:r w:rsidRPr="00025049">
        <w:rPr>
          <w:i/>
          <w:iCs/>
          <w:lang w:val="en-GB"/>
        </w:rPr>
        <w:t>Avg. Capacitance</w:t>
      </w:r>
      <w:r w:rsidRPr="00025049">
        <w:rPr>
          <w:lang w:val="en-GB"/>
        </w:rPr>
        <w:t xml:space="preserve"> is the value obtained from the potential window between dashed lines in </w:t>
      </w:r>
      <w:r w:rsidRPr="00025049">
        <w:rPr>
          <w:b/>
          <w:bCs/>
          <w:lang w:val="en-GB"/>
        </w:rPr>
        <w:fldChar w:fldCharType="begin"/>
      </w:r>
      <w:r w:rsidRPr="00025049">
        <w:rPr>
          <w:b/>
          <w:bCs/>
          <w:lang w:val="en-GB"/>
        </w:rPr>
        <w:instrText xml:space="preserve"> REF _Ref69819091 \h  \* MERGEFORMAT </w:instrText>
      </w:r>
      <w:r w:rsidRPr="00025049">
        <w:rPr>
          <w:b/>
          <w:bCs/>
          <w:lang w:val="en-GB"/>
        </w:rPr>
      </w:r>
      <w:r w:rsidRPr="00025049">
        <w:rPr>
          <w:b/>
          <w:bCs/>
          <w:lang w:val="en-GB"/>
        </w:rPr>
        <w:fldChar w:fldCharType="separate"/>
      </w:r>
      <w:r w:rsidRPr="00AB3850">
        <w:rPr>
          <w:b/>
          <w:bCs/>
          <w:lang w:val="en-GB"/>
        </w:rPr>
        <w:t xml:space="preserve">Figure </w:t>
      </w:r>
      <w:r w:rsidRPr="00AB3850">
        <w:rPr>
          <w:b/>
          <w:bCs/>
          <w:noProof/>
          <w:lang w:val="en-GB"/>
        </w:rPr>
        <w:t>4</w:t>
      </w:r>
      <w:r w:rsidRPr="00025049">
        <w:rPr>
          <w:b/>
          <w:bCs/>
          <w:lang w:val="en-GB"/>
        </w:rPr>
        <w:fldChar w:fldCharType="end"/>
      </w:r>
      <w:r w:rsidRPr="00025049">
        <w:rPr>
          <w:lang w:val="en-GB"/>
        </w:rPr>
        <w:t xml:space="preserve">, </w:t>
      </w:r>
      <w:r w:rsidRPr="00025049">
        <w:rPr>
          <w:i/>
          <w:iCs/>
          <w:lang w:val="en-GB"/>
        </w:rPr>
        <w:t>Area</w:t>
      </w:r>
      <w:r w:rsidRPr="00025049">
        <w:rPr>
          <w:lang w:val="en-GB"/>
        </w:rPr>
        <w:t xml:space="preserve"> is the geometric electrode area, </w:t>
      </w:r>
      <w:r w:rsidRPr="00025049">
        <w:rPr>
          <w:i/>
          <w:iCs/>
          <w:lang w:val="en-GB"/>
        </w:rPr>
        <w:t>Rf</w:t>
      </w:r>
      <w:r w:rsidRPr="00025049">
        <w:rPr>
          <w:lang w:val="en-GB"/>
        </w:rPr>
        <w:t xml:space="preserve"> is the roughness factor, obtained from the BET surface area (</w:t>
      </w:r>
      <w:r w:rsidRPr="00025049">
        <w:rPr>
          <w:i/>
          <w:iCs/>
          <w:lang w:val="en-GB"/>
        </w:rPr>
        <w:t>SA</w:t>
      </w:r>
      <w:r w:rsidRPr="00025049">
        <w:rPr>
          <w:i/>
          <w:iCs/>
          <w:vertAlign w:val="subscript"/>
          <w:lang w:val="en-GB"/>
        </w:rPr>
        <w:t>BET</w:t>
      </w:r>
      <w:r w:rsidRPr="00025049">
        <w:rPr>
          <w:lang w:val="en-GB"/>
        </w:rPr>
        <w:t xml:space="preserve">) or capacitance, the </w:t>
      </w:r>
      <w:r w:rsidRPr="00025049">
        <w:rPr>
          <w:i/>
          <w:iCs/>
          <w:lang w:val="en-GB"/>
        </w:rPr>
        <w:t>Total Weight</w:t>
      </w:r>
      <w:r w:rsidRPr="00025049">
        <w:rPr>
          <w:lang w:val="en-GB"/>
        </w:rPr>
        <w:t xml:space="preserve"> is either the weight of CAG or the total weight (CAG plus electrode) of the electrode (</w:t>
      </w:r>
      <w:r w:rsidRPr="00025049">
        <w:rPr>
          <w:b/>
          <w:bCs/>
          <w:lang w:val="en-GB"/>
        </w:rPr>
        <w:fldChar w:fldCharType="begin"/>
      </w:r>
      <w:r w:rsidRPr="00025049">
        <w:rPr>
          <w:b/>
          <w:bCs/>
          <w:lang w:val="en-GB"/>
        </w:rPr>
        <w:instrText xml:space="preserve"> REF _Ref69749211 \h  \* MERGEFORMAT </w:instrText>
      </w:r>
      <w:r w:rsidRPr="00025049">
        <w:rPr>
          <w:b/>
          <w:bCs/>
          <w:lang w:val="en-GB"/>
        </w:rPr>
      </w:r>
      <w:r w:rsidRPr="00025049">
        <w:rPr>
          <w:b/>
          <w:bCs/>
          <w:lang w:val="en-GB"/>
        </w:rPr>
        <w:fldChar w:fldCharType="separate"/>
      </w:r>
      <w:r w:rsidRPr="00AB3850">
        <w:rPr>
          <w:b/>
          <w:bCs/>
          <w:lang w:val="en-GB"/>
        </w:rPr>
        <w:t xml:space="preserve">Table </w:t>
      </w:r>
      <w:r w:rsidRPr="00AB3850">
        <w:rPr>
          <w:b/>
          <w:bCs/>
          <w:noProof/>
          <w:lang w:val="en-GB"/>
        </w:rPr>
        <w:t>3</w:t>
      </w:r>
      <w:r w:rsidRPr="00025049">
        <w:rPr>
          <w:b/>
          <w:bCs/>
          <w:lang w:val="en-GB"/>
        </w:rPr>
        <w:fldChar w:fldCharType="end"/>
      </w:r>
      <w:r w:rsidRPr="00025049">
        <w:rPr>
          <w:lang w:val="en-GB"/>
        </w:rPr>
        <w:t>). For comparison the RF determined using BET gas phase surface analysis and in situ capacitance have been calculated. For determining the RF using capacitance we utilise a carbon areal capacitance value of 0.17 F m</w:t>
      </w:r>
      <w:r w:rsidRPr="00025049">
        <w:rPr>
          <w:vertAlign w:val="superscript"/>
          <w:lang w:val="en-GB"/>
        </w:rPr>
        <w:t>-2</w:t>
      </w:r>
      <w:r w:rsidRPr="00025049">
        <w:rPr>
          <w:lang w:val="en-GB"/>
        </w:rPr>
        <w:t>.</w:t>
      </w:r>
      <w:r w:rsidRPr="00025049">
        <w:rPr>
          <w:noProof/>
          <w:lang w:val="en-GB"/>
        </w:rPr>
        <w:fldChar w:fldCharType="begin">
          <w:fldData xml:space="preserve">PEVuZE5vdGU+PENpdGU+PEF1dGhvcj5DZW50ZW5vPC9BdXRob3I+PFllYXI+MjAwNjwvWWVhcj48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</w:fldData>
        </w:fldChar>
      </w:r>
      <w:r>
        <w:rPr>
          <w:noProof/>
          <w:lang w:val="en-GB"/>
        </w:rPr>
        <w:instrText xml:space="preserve"> ADDIN EN.CITE </w:instrText>
      </w:r>
      <w:r>
        <w:rPr>
          <w:noProof/>
          <w:lang w:val="en-GB"/>
        </w:rPr>
        <w:fldChar w:fldCharType="begin">
          <w:fldData xml:space="preserve">PEVuZE5vdGU+PENpdGU+PEF1dGhvcj5DZW50ZW5vPC9BdXRob3I+PFllYXI+MjAwNjwvWWVhcj48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</w:fldData>
        </w:fldChar>
      </w:r>
      <w:r>
        <w:rPr>
          <w:noProof/>
          <w:lang w:val="en-GB"/>
        </w:rPr>
        <w:instrText xml:space="preserve"> ADDIN EN.CITE.DATA </w:instrText>
      </w:r>
      <w:r>
        <w:rPr>
          <w:noProof/>
          <w:lang w:val="en-GB"/>
        </w:rPr>
      </w:r>
      <w:r>
        <w:rPr>
          <w:noProof/>
          <w:lang w:val="en-GB"/>
        </w:rPr>
        <w:fldChar w:fldCharType="end"/>
      </w:r>
      <w:r w:rsidRPr="00025049">
        <w:rPr>
          <w:noProof/>
          <w:lang w:val="en-GB"/>
        </w:rPr>
      </w:r>
      <w:r w:rsidRPr="00025049">
        <w:rPr>
          <w:noProof/>
          <w:lang w:val="en-GB"/>
        </w:rPr>
        <w:fldChar w:fldCharType="separate"/>
      </w:r>
      <w:r w:rsidRPr="00156886">
        <w:rPr>
          <w:noProof/>
          <w:vertAlign w:val="superscript"/>
          <w:lang w:val="en-GB"/>
        </w:rPr>
        <w:t>[22]</w:t>
      </w:r>
      <w:r w:rsidRPr="00025049">
        <w:rPr>
          <w:noProof/>
          <w:lang w:val="en-GB"/>
        </w:rPr>
        <w:fldChar w:fldCharType="end"/>
      </w:r>
      <w:r w:rsidRPr="00025049">
        <w:rPr>
          <w:noProof/>
          <w:lang w:val="en-GB"/>
        </w:rPr>
        <w:t xml:space="preserve"> There is good agreement between the RFs determined from BET surface area measurements and capacitance suggesting that all of the surface area seen by BET gas phase measurement is electrochemically accessible. </w:t>
      </w:r>
    </w:p>
    <w:p w14:paraId="7CC2CEB6" w14:textId="77777777" w:rsidR="00FE53E3" w:rsidRPr="00025049" w:rsidRDefault="00FE53E3" w:rsidP="00FE53E3">
      <w:pPr>
        <w:pStyle w:val="P1"/>
        <w:rPr>
          <w:color w:val="FF0000"/>
          <w:lang w:val="en-GB"/>
        </w:rPr>
      </w:pPr>
      <w:r w:rsidRPr="00025049">
        <w:rPr>
          <w:lang w:val="en-GB"/>
        </w:rPr>
        <w:t>In the electrodes prepared, it is possible to observe that the roughness factor is dominated by the CAGs which improve the interfacial surface area by a factor of 140-300 (note that although 200|0.05 has a lower roughness factor it also only has a little more than 1/3 as much CAG as the other two electrodes). The highest roughness factor value is observed in the 200|0.2 electrode, providing ample surface area for reaction to occur on, explaining the high performance obtained in the polarization curves (</w:t>
      </w:r>
      <w:r w:rsidRPr="00025049">
        <w:rPr>
          <w:b/>
          <w:lang w:val="en-GB"/>
        </w:rPr>
        <w:fldChar w:fldCharType="begin"/>
      </w:r>
      <w:r w:rsidRPr="00025049">
        <w:rPr>
          <w:b/>
          <w:lang w:val="en-GB"/>
        </w:rPr>
        <w:instrText xml:space="preserve"> REF _Ref69818865 \h  \* MERGEFORMAT </w:instrText>
      </w:r>
      <w:r w:rsidRPr="00025049">
        <w:rPr>
          <w:b/>
          <w:lang w:val="en-GB"/>
        </w:rPr>
      </w:r>
      <w:r w:rsidRPr="00025049">
        <w:rPr>
          <w:b/>
          <w:lang w:val="en-GB"/>
        </w:rPr>
        <w:fldChar w:fldCharType="separate"/>
      </w:r>
      <w:r w:rsidRPr="00AB3850">
        <w:rPr>
          <w:b/>
          <w:lang w:val="en-GB"/>
        </w:rPr>
        <w:t xml:space="preserve">Figure </w:t>
      </w:r>
      <w:r w:rsidRPr="00AB3850">
        <w:rPr>
          <w:b/>
          <w:noProof/>
          <w:lang w:val="en-GB"/>
        </w:rPr>
        <w:t>3</w:t>
      </w:r>
      <w:r w:rsidRPr="00025049">
        <w:rPr>
          <w:b/>
          <w:lang w:val="en-GB"/>
        </w:rPr>
        <w:fldChar w:fldCharType="end"/>
      </w:r>
      <w:r w:rsidRPr="00025049">
        <w:rPr>
          <w:lang w:val="en-GB"/>
        </w:rPr>
        <w:t xml:space="preserve">). Although the CAG 1000|0.2 electrode has a high RF, poor ionic transport through the structure (illustrated in the capacitance plots, </w:t>
      </w:r>
      <w:r w:rsidRPr="00025049">
        <w:rPr>
          <w:b/>
          <w:bCs/>
          <w:lang w:val="en-GB"/>
        </w:rPr>
        <w:fldChar w:fldCharType="begin"/>
      </w:r>
      <w:r w:rsidRPr="00025049">
        <w:rPr>
          <w:b/>
          <w:bCs/>
          <w:lang w:val="en-GB"/>
        </w:rPr>
        <w:instrText xml:space="preserve"> REF _Ref69819091 \h  \* MERGEFORMAT </w:instrText>
      </w:r>
      <w:r w:rsidRPr="00025049">
        <w:rPr>
          <w:b/>
          <w:bCs/>
          <w:lang w:val="en-GB"/>
        </w:rPr>
      </w:r>
      <w:r w:rsidRPr="00025049">
        <w:rPr>
          <w:b/>
          <w:bCs/>
          <w:lang w:val="en-GB"/>
        </w:rPr>
        <w:fldChar w:fldCharType="separate"/>
      </w:r>
      <w:r w:rsidRPr="00AB3850">
        <w:rPr>
          <w:b/>
          <w:bCs/>
          <w:lang w:val="en-GB"/>
        </w:rPr>
        <w:t xml:space="preserve">Figure </w:t>
      </w:r>
      <w:r w:rsidRPr="00AB3850">
        <w:rPr>
          <w:b/>
          <w:bCs/>
          <w:noProof/>
          <w:lang w:val="en-GB"/>
        </w:rPr>
        <w:t>4</w:t>
      </w:r>
      <w:r w:rsidRPr="00025049">
        <w:rPr>
          <w:b/>
          <w:bCs/>
          <w:lang w:val="en-GB"/>
        </w:rPr>
        <w:fldChar w:fldCharType="end"/>
      </w:r>
      <w:r w:rsidRPr="00025049">
        <w:rPr>
          <w:b/>
          <w:bCs/>
          <w:lang w:val="en-GB"/>
        </w:rPr>
        <w:t>b</w:t>
      </w:r>
      <w:r w:rsidRPr="00025049">
        <w:rPr>
          <w:lang w:val="en-GB"/>
        </w:rPr>
        <w:t xml:space="preserve">) limit RFB performance and does not allow utilisation of the electrochemical surface area due to reactant “starvation” and internal </w:t>
      </w:r>
      <w:proofErr w:type="spellStart"/>
      <w:r w:rsidRPr="00025049">
        <w:rPr>
          <w:lang w:val="en-GB"/>
        </w:rPr>
        <w:t>iR</w:t>
      </w:r>
      <w:proofErr w:type="spellEnd"/>
      <w:r w:rsidRPr="00025049">
        <w:rPr>
          <w:lang w:val="en-GB"/>
        </w:rPr>
        <w:t xml:space="preserve"> drop. </w:t>
      </w:r>
    </w:p>
    <w:p w14:paraId="5881155A" w14:textId="77777777" w:rsidR="00FE53E3" w:rsidRDefault="00FE53E3" w:rsidP="00FE53E3">
      <w:pPr>
        <w:pStyle w:val="P1"/>
        <w:rPr>
          <w:lang w:val="en-GB"/>
        </w:rPr>
      </w:pPr>
      <w:r w:rsidRPr="00025049">
        <w:rPr>
          <w:lang w:val="en-GB"/>
        </w:rPr>
        <w:fldChar w:fldCharType="begin"/>
      </w:r>
      <w:r w:rsidRPr="00025049">
        <w:rPr>
          <w:lang w:val="en-GB"/>
        </w:rPr>
        <w:instrText xml:space="preserve"> REF _Ref85023501 \h </w:instrText>
      </w:r>
      <w:r w:rsidRPr="00025049">
        <w:rPr>
          <w:lang w:val="en-GB"/>
        </w:rPr>
      </w:r>
      <w:r w:rsidRPr="00025049">
        <w:rPr>
          <w:lang w:val="en-GB"/>
        </w:rPr>
        <w:fldChar w:fldCharType="separate"/>
      </w:r>
      <w:r w:rsidRPr="00025049">
        <w:rPr>
          <w:b/>
          <w:bCs/>
        </w:rPr>
        <w:t xml:space="preserve">Table </w:t>
      </w:r>
      <w:r>
        <w:rPr>
          <w:b/>
          <w:bCs/>
          <w:noProof/>
        </w:rPr>
        <w:t>2</w:t>
      </w:r>
      <w:r w:rsidRPr="00025049">
        <w:rPr>
          <w:lang w:val="en-GB"/>
        </w:rPr>
        <w:fldChar w:fldCharType="end"/>
      </w:r>
      <w:r w:rsidRPr="00025049">
        <w:rPr>
          <w:b/>
          <w:bCs/>
          <w:noProof/>
          <w:lang w:val="en-GB"/>
        </w:rPr>
        <w:t xml:space="preserve"> </w:t>
      </w:r>
      <w:r w:rsidRPr="00025049">
        <w:rPr>
          <w:noProof/>
          <w:lang w:val="en-GB"/>
        </w:rPr>
        <w:t>also provides the specific capacitance associated with just the CAG material. This is obtainined by subtracting the mass and capacitance of the underlying electrode from the capacitance results. T</w:t>
      </w:r>
      <w:r w:rsidRPr="00025049">
        <w:rPr>
          <w:lang w:val="en-GB"/>
        </w:rPr>
        <w:t>he 200|0.05 CAG gives the highest value 172 F g</w:t>
      </w:r>
      <w:r w:rsidRPr="00025049">
        <w:rPr>
          <w:vertAlign w:val="superscript"/>
          <w:lang w:val="en-GB"/>
        </w:rPr>
        <w:t>-1</w:t>
      </w:r>
      <w:r w:rsidRPr="00025049">
        <w:rPr>
          <w:lang w:val="en-GB"/>
        </w:rPr>
        <w:t xml:space="preserve"> compared with the 1000|0.2 and 200|0.2, which have 134 and 129 F g</w:t>
      </w:r>
      <w:r w:rsidRPr="00025049">
        <w:rPr>
          <w:vertAlign w:val="superscript"/>
          <w:lang w:val="en-GB"/>
        </w:rPr>
        <w:t>-1</w:t>
      </w:r>
      <w:r w:rsidRPr="00025049">
        <w:rPr>
          <w:lang w:val="en-GB"/>
        </w:rPr>
        <w:t>, respectively. In terms of the RFB polarisation curves, 200|0.05 performs better at lower current densities (</w:t>
      </w:r>
      <w:r w:rsidRPr="00025049">
        <w:rPr>
          <w:i/>
          <w:iCs/>
          <w:lang w:val="en-GB"/>
        </w:rPr>
        <w:t>j</w:t>
      </w:r>
      <w:r w:rsidRPr="00025049">
        <w:rPr>
          <w:lang w:val="en-GB"/>
        </w:rPr>
        <w:t>&lt;100 mA cm</w:t>
      </w:r>
      <w:r w:rsidRPr="00025049">
        <w:rPr>
          <w:vertAlign w:val="superscript"/>
          <w:lang w:val="en-GB"/>
        </w:rPr>
        <w:t>-2</w:t>
      </w:r>
      <w:r w:rsidRPr="00025049">
        <w:rPr>
          <w:lang w:val="en-GB"/>
        </w:rPr>
        <w:t>), but is overtaken by 200|0.2 at higher current densities (</w:t>
      </w:r>
      <w:r w:rsidRPr="00025049">
        <w:rPr>
          <w:b/>
          <w:lang w:val="en-GB"/>
        </w:rPr>
        <w:fldChar w:fldCharType="begin"/>
      </w:r>
      <w:r w:rsidRPr="00025049">
        <w:rPr>
          <w:b/>
          <w:lang w:val="en-GB"/>
        </w:rPr>
        <w:instrText xml:space="preserve"> REF _Ref69818865 \h  \* MERGEFORMAT </w:instrText>
      </w:r>
      <w:r w:rsidRPr="00025049">
        <w:rPr>
          <w:b/>
          <w:lang w:val="en-GB"/>
        </w:rPr>
      </w:r>
      <w:r w:rsidRPr="00025049">
        <w:rPr>
          <w:b/>
          <w:lang w:val="en-GB"/>
        </w:rPr>
        <w:fldChar w:fldCharType="separate"/>
      </w:r>
      <w:r w:rsidRPr="00AB3850">
        <w:rPr>
          <w:b/>
          <w:lang w:val="en-GB"/>
        </w:rPr>
        <w:t xml:space="preserve">Figure </w:t>
      </w:r>
      <w:r w:rsidRPr="00AB3850">
        <w:rPr>
          <w:b/>
          <w:noProof/>
          <w:lang w:val="en-GB"/>
        </w:rPr>
        <w:t>3</w:t>
      </w:r>
      <w:r w:rsidRPr="00025049">
        <w:rPr>
          <w:b/>
          <w:lang w:val="en-GB"/>
        </w:rPr>
        <w:fldChar w:fldCharType="end"/>
      </w:r>
      <w:r w:rsidRPr="00025049">
        <w:rPr>
          <w:b/>
          <w:bCs/>
          <w:lang w:val="en-GB"/>
        </w:rPr>
        <w:t>a</w:t>
      </w:r>
      <w:r w:rsidRPr="00025049">
        <w:rPr>
          <w:lang w:val="en-GB"/>
        </w:rPr>
        <w:t xml:space="preserve">). In contrast 1000|0.2 performs poorly at all currents, indicating that even though it has a high roughness factor that surface area is all in micropores and hence poorly accessible. This behaviour gives a clear sign that the </w:t>
      </w:r>
      <w:proofErr w:type="spellStart"/>
      <w:r w:rsidRPr="00025049">
        <w:rPr>
          <w:lang w:val="en-GB"/>
        </w:rPr>
        <w:t>mesoporosity</w:t>
      </w:r>
      <w:proofErr w:type="spellEnd"/>
      <w:r w:rsidRPr="00025049">
        <w:rPr>
          <w:lang w:val="en-GB"/>
        </w:rPr>
        <w:t xml:space="preserve"> plays a very important role in RFB performance, improving the utilisation of the electrolyte, and as consequence, achieving higher performance. On the other hand, in supercapacitor applications it also plays a role especially under high rates of charge and discharge.</w:t>
      </w:r>
    </w:p>
    <w:p w14:paraId="6B1CF3A3" w14:textId="77777777" w:rsidR="00FE53E3" w:rsidRPr="00025049" w:rsidRDefault="00FE53E3" w:rsidP="00FE53E3">
      <w:pPr>
        <w:pStyle w:val="P1"/>
        <w:rPr>
          <w:lang w:val="en-GB"/>
        </w:rPr>
      </w:pPr>
      <w:r w:rsidRPr="00025049">
        <w:rPr>
          <w:lang w:val="en-GB"/>
        </w:rPr>
        <w:t xml:space="preserve">The stability and cyclability of the electrode with the best microstructure and highest performance, was tested using galvanostatic charge and discharge experiments. </w:t>
      </w:r>
      <w:r w:rsidRPr="00025049">
        <w:rPr>
          <w:b/>
          <w:bCs/>
          <w:lang w:val="en-GB"/>
        </w:rPr>
        <w:fldChar w:fldCharType="begin"/>
      </w:r>
      <w:r w:rsidRPr="00025049">
        <w:rPr>
          <w:b/>
          <w:bCs/>
          <w:lang w:val="en-GB"/>
        </w:rPr>
        <w:instrText xml:space="preserve"> REF _Ref69819918 \h  \* MERGEFORMAT </w:instrText>
      </w:r>
      <w:r w:rsidRPr="00025049">
        <w:rPr>
          <w:b/>
          <w:bCs/>
          <w:lang w:val="en-GB"/>
        </w:rPr>
      </w:r>
      <w:r w:rsidRPr="00025049">
        <w:rPr>
          <w:b/>
          <w:bCs/>
          <w:lang w:val="en-GB"/>
        </w:rPr>
        <w:fldChar w:fldCharType="separate"/>
      </w:r>
      <w:r w:rsidRPr="00AB3850">
        <w:rPr>
          <w:b/>
          <w:bCs/>
          <w:lang w:val="en-GB"/>
        </w:rPr>
        <w:t xml:space="preserve">Figure </w:t>
      </w:r>
      <w:r w:rsidRPr="00AB3850">
        <w:rPr>
          <w:b/>
          <w:bCs/>
          <w:noProof/>
          <w:lang w:val="en-GB"/>
        </w:rPr>
        <w:t>5</w:t>
      </w:r>
      <w:r w:rsidRPr="00025049">
        <w:rPr>
          <w:b/>
          <w:bCs/>
          <w:lang w:val="en-GB"/>
        </w:rPr>
        <w:fldChar w:fldCharType="end"/>
      </w:r>
      <w:r w:rsidRPr="00025049">
        <w:rPr>
          <w:b/>
          <w:bCs/>
          <w:lang w:val="en-GB"/>
        </w:rPr>
        <w:t xml:space="preserve">a </w:t>
      </w:r>
      <w:r w:rsidRPr="00025049">
        <w:rPr>
          <w:lang w:val="en-GB"/>
        </w:rPr>
        <w:t>shows one cycle of charge and discharge obtained at different current densities (50 and 75 mA cm</w:t>
      </w:r>
      <w:r w:rsidRPr="00025049">
        <w:rPr>
          <w:vertAlign w:val="superscript"/>
          <w:lang w:val="en-GB"/>
        </w:rPr>
        <w:t>-2</w:t>
      </w:r>
      <w:r w:rsidRPr="00025049">
        <w:rPr>
          <w:lang w:val="en-GB"/>
        </w:rPr>
        <w:t>). Operation at higher current density leads to lower specific capacity due to a greater mass transport overpotential, and hence, lower electrolyte utilization. The discharge capacity values were 56 and 89% of the theoretical value (13.4 Ah L</w:t>
      </w:r>
      <w:r w:rsidRPr="00025049">
        <w:rPr>
          <w:vertAlign w:val="superscript"/>
          <w:lang w:val="en-GB"/>
        </w:rPr>
        <w:t>-1</w:t>
      </w:r>
      <w:r w:rsidRPr="00025049">
        <w:rPr>
          <w:lang w:val="en-GB"/>
        </w:rPr>
        <w:t>) at 75 and 50 mA cm</w:t>
      </w:r>
      <w:r w:rsidRPr="00025049">
        <w:rPr>
          <w:vertAlign w:val="superscript"/>
          <w:lang w:val="en-GB"/>
        </w:rPr>
        <w:t>-2</w:t>
      </w:r>
      <w:r w:rsidRPr="00025049">
        <w:rPr>
          <w:lang w:val="en-GB"/>
        </w:rPr>
        <w:t>, respectively. This implies higher achievable State of Charge (SoC) and a more efficient utilization of the expensive electrolyte.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5"/>
      </w:tblGrid>
      <w:tr w:rsidR="00FE53E3" w:rsidRPr="00043AAC" w14:paraId="483C8A47" w14:textId="77777777" w:rsidTr="00ED2E8B">
        <w:tc>
          <w:tcPr>
            <w:tcW w:w="5000" w:type="pct"/>
            <w:vAlign w:val="center"/>
          </w:tcPr>
          <w:p w14:paraId="50BB9B2A" w14:textId="77777777" w:rsidR="00FE53E3" w:rsidRPr="00025049" w:rsidRDefault="00FE53E3" w:rsidP="00ED2E8B">
            <w:pPr>
              <w:pStyle w:val="P1"/>
              <w:spacing w:line="160" w:lineRule="exact"/>
              <w:jc w:val="center"/>
              <w:rPr>
                <w:noProof/>
                <w:lang w:val="en-GB"/>
              </w:rPr>
            </w:pPr>
          </w:p>
        </w:tc>
      </w:tr>
      <w:tr w:rsidR="00FE53E3" w:rsidRPr="00025049" w14:paraId="4C139923" w14:textId="77777777" w:rsidTr="00ED2E8B">
        <w:tc>
          <w:tcPr>
            <w:tcW w:w="5000" w:type="pct"/>
            <w:vAlign w:val="center"/>
          </w:tcPr>
          <w:p w14:paraId="55918E79" w14:textId="77777777" w:rsidR="00FE53E3" w:rsidRPr="00025049" w:rsidRDefault="00FE53E3" w:rsidP="00ED2E8B">
            <w:pPr>
              <w:pStyle w:val="P1"/>
              <w:spacing w:line="240" w:lineRule="auto"/>
              <w:jc w:val="center"/>
              <w:rPr>
                <w:lang w:val="en-GB"/>
              </w:rPr>
            </w:pPr>
            <w:r w:rsidRPr="00025049">
              <w:rPr>
                <w:noProof/>
                <w:lang w:val="en-GB"/>
              </w:rPr>
              <w:lastRenderedPageBreak/>
              <w:drawing>
                <wp:inline distT="0" distB="0" distL="0" distR="0" wp14:anchorId="36279033" wp14:editId="26D3BF15">
                  <wp:extent cx="2698115" cy="2294255"/>
                  <wp:effectExtent l="0" t="0" r="0" b="0"/>
                  <wp:docPr id="1784"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pic:cNvPicPr>
                            <a:picLocks noChangeAspect="1" noChangeArrowheads="1"/>
                          </pic:cNvPicPr>
                        </pic:nvPicPr>
                        <pic:blipFill>
                          <a:blip r:embed="rId30" cstate="print">
                            <a:extLst>
                              <a:ext uri="{28A0092B-C50C-407E-A947-70E740481C1C}">
                                <a14:useLocalDpi xmlns:a14="http://schemas.microsoft.com/office/drawing/2010/main" val="0"/>
                              </a:ext>
                            </a:extLst>
                          </a:blip>
                          <a:srcRect r="9868"/>
                          <a:stretch>
                            <a:fillRect/>
                          </a:stretch>
                        </pic:blipFill>
                        <pic:spPr bwMode="auto">
                          <a:xfrm>
                            <a:off x="0" y="0"/>
                            <a:ext cx="2698115" cy="2294255"/>
                          </a:xfrm>
                          <a:prstGeom prst="rect">
                            <a:avLst/>
                          </a:prstGeom>
                          <a:noFill/>
                          <a:ln>
                            <a:noFill/>
                          </a:ln>
                        </pic:spPr>
                      </pic:pic>
                    </a:graphicData>
                  </a:graphic>
                </wp:inline>
              </w:drawing>
            </w:r>
          </w:p>
        </w:tc>
      </w:tr>
      <w:tr w:rsidR="00FE53E3" w:rsidRPr="00025049" w14:paraId="7DFE2B54" w14:textId="77777777" w:rsidTr="00ED2E8B">
        <w:tc>
          <w:tcPr>
            <w:tcW w:w="5000" w:type="pct"/>
            <w:vAlign w:val="center"/>
          </w:tcPr>
          <w:p w14:paraId="26E6C41C" w14:textId="77777777" w:rsidR="00FE53E3" w:rsidRPr="00025049" w:rsidRDefault="00FE53E3" w:rsidP="00ED2E8B">
            <w:pPr>
              <w:pStyle w:val="P1"/>
              <w:spacing w:line="240" w:lineRule="auto"/>
              <w:jc w:val="center"/>
              <w:rPr>
                <w:lang w:val="en-GB"/>
              </w:rPr>
            </w:pPr>
            <w:r w:rsidRPr="00025049">
              <w:rPr>
                <w:noProof/>
                <w:lang w:val="en-GB"/>
              </w:rPr>
              <w:drawing>
                <wp:inline distT="0" distB="0" distL="0" distR="0" wp14:anchorId="24565834" wp14:editId="1F8298FC">
                  <wp:extent cx="2698115" cy="2372995"/>
                  <wp:effectExtent l="0" t="0" r="0" b="0"/>
                  <wp:docPr id="1785"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
                          <pic:cNvPicPr>
                            <a:picLocks noChangeAspect="1" noChangeArrowheads="1"/>
                          </pic:cNvPicPr>
                        </pic:nvPicPr>
                        <pic:blipFill>
                          <a:blip r:embed="rId31" cstate="print">
                            <a:extLst>
                              <a:ext uri="{28A0092B-C50C-407E-A947-70E740481C1C}">
                                <a14:useLocalDpi xmlns:a14="http://schemas.microsoft.com/office/drawing/2010/main" val="0"/>
                              </a:ext>
                            </a:extLst>
                          </a:blip>
                          <a:srcRect l="4073" r="8791"/>
                          <a:stretch>
                            <a:fillRect/>
                          </a:stretch>
                        </pic:blipFill>
                        <pic:spPr bwMode="auto">
                          <a:xfrm>
                            <a:off x="0" y="0"/>
                            <a:ext cx="2698115" cy="2372995"/>
                          </a:xfrm>
                          <a:prstGeom prst="rect">
                            <a:avLst/>
                          </a:prstGeom>
                          <a:noFill/>
                          <a:ln>
                            <a:noFill/>
                          </a:ln>
                        </pic:spPr>
                      </pic:pic>
                    </a:graphicData>
                  </a:graphic>
                </wp:inline>
              </w:drawing>
            </w:r>
          </w:p>
        </w:tc>
      </w:tr>
    </w:tbl>
    <w:p w14:paraId="1AD12875" w14:textId="77777777" w:rsidR="00FE53E3" w:rsidRPr="00025049" w:rsidRDefault="00FE53E3" w:rsidP="00FE53E3">
      <w:pPr>
        <w:pStyle w:val="Caption"/>
      </w:pPr>
      <w:bookmarkStart w:id="12" w:name="_Ref69819918"/>
      <w:bookmarkStart w:id="13" w:name="_Ref57821746"/>
      <w:r w:rsidRPr="00025049">
        <w:t xml:space="preserve">Figure </w:t>
      </w:r>
      <w:r>
        <w:fldChar w:fldCharType="begin"/>
      </w:r>
      <w:r>
        <w:instrText xml:space="preserve"> SEQ Figure \* ARABIC </w:instrText>
      </w:r>
      <w:r>
        <w:fldChar w:fldCharType="separate"/>
      </w:r>
      <w:r>
        <w:rPr>
          <w:noProof/>
        </w:rPr>
        <w:t>5</w:t>
      </w:r>
      <w:r>
        <w:rPr>
          <w:noProof/>
        </w:rPr>
        <w:fldChar w:fldCharType="end"/>
      </w:r>
      <w:bookmarkEnd w:id="12"/>
      <w:r w:rsidRPr="00025049">
        <w:t>.</w:t>
      </w:r>
      <w:r w:rsidRPr="00025049">
        <w:rPr>
          <w:rStyle w:val="RSCI05CaptiontoFigureSchemeChartwithbottombarChar"/>
          <w:rFonts w:ascii="Arial" w:hAnsi="Arial"/>
          <w:bCs/>
          <w:szCs w:val="20"/>
        </w:rPr>
        <w:t xml:space="preserve"> (a) </w:t>
      </w:r>
      <w:r w:rsidRPr="00025049">
        <w:rPr>
          <w:rStyle w:val="RSCI05CaptiontoFigureSchemeChartwithbottombarChar"/>
          <w:rFonts w:ascii="Arial" w:hAnsi="Arial"/>
          <w:b w:val="0"/>
          <w:szCs w:val="20"/>
        </w:rPr>
        <w:t>Galvanostatic charge and discharge curves at 50 and 75 mA cm</w:t>
      </w:r>
      <w:r w:rsidRPr="00025049">
        <w:rPr>
          <w:rStyle w:val="RSCI05CaptiontoFigureSchemeChartwithbottombarChar"/>
          <w:rFonts w:ascii="Arial" w:hAnsi="Arial"/>
          <w:b w:val="0"/>
          <w:szCs w:val="20"/>
          <w:vertAlign w:val="superscript"/>
        </w:rPr>
        <w:t>-2</w:t>
      </w:r>
      <w:r w:rsidRPr="00025049">
        <w:rPr>
          <w:rStyle w:val="RSCI05CaptiontoFigureSchemeChartwithbottombarChar"/>
          <w:rFonts w:ascii="Arial" w:hAnsi="Arial"/>
          <w:b w:val="0"/>
          <w:szCs w:val="20"/>
        </w:rPr>
        <w:t xml:space="preserve">. </w:t>
      </w:r>
      <w:r w:rsidRPr="00025049">
        <w:rPr>
          <w:rStyle w:val="RSCI05CaptiontoFigureSchemeChartwithbottombarChar"/>
          <w:rFonts w:ascii="Arial" w:hAnsi="Arial"/>
          <w:bCs/>
          <w:szCs w:val="20"/>
        </w:rPr>
        <w:t>(b)</w:t>
      </w:r>
      <w:r w:rsidRPr="00025049">
        <w:rPr>
          <w:rStyle w:val="RSCI05CaptiontoFigureSchemeChartwithbottombarChar"/>
          <w:rFonts w:ascii="Arial" w:hAnsi="Arial"/>
          <w:b w:val="0"/>
          <w:szCs w:val="20"/>
        </w:rPr>
        <w:t xml:space="preserve"> Battery efficiencies over 20 cycles of charge and discharge at two current densities applied (10 each) using the 200|0.2 electrode</w:t>
      </w:r>
      <w:r w:rsidRPr="00025049">
        <w:rPr>
          <w:b w:val="0"/>
        </w:rPr>
        <w:t>.</w:t>
      </w:r>
    </w:p>
    <w:bookmarkEnd w:id="13"/>
    <w:p w14:paraId="6509DC8E" w14:textId="77777777" w:rsidR="00FE53E3" w:rsidRPr="00025049" w:rsidRDefault="00FE53E3" w:rsidP="00FE53E3">
      <w:pPr>
        <w:pStyle w:val="P1"/>
        <w:rPr>
          <w:lang w:val="en-GB"/>
        </w:rPr>
      </w:pPr>
      <w:r w:rsidRPr="00025049">
        <w:rPr>
          <w:lang w:val="en-GB"/>
        </w:rPr>
        <w:t>Commercially available all-vanadium RFBs are normally operated below 120 mA cm</w:t>
      </w:r>
      <w:r w:rsidRPr="00025049">
        <w:rPr>
          <w:vertAlign w:val="superscript"/>
          <w:lang w:val="en-GB"/>
        </w:rPr>
        <w:t>-2</w:t>
      </w:r>
      <w:r w:rsidRPr="00025049">
        <w:rPr>
          <w:lang w:val="en-GB"/>
        </w:rPr>
        <w:t xml:space="preserve"> (commonly 80 mA cm</w:t>
      </w:r>
      <w:r w:rsidRPr="00025049">
        <w:rPr>
          <w:vertAlign w:val="superscript"/>
          <w:lang w:val="en-GB"/>
        </w:rPr>
        <w:t>-2</w:t>
      </w:r>
      <w:r w:rsidRPr="00025049">
        <w:rPr>
          <w:lang w:val="en-GB"/>
        </w:rPr>
        <w:t>) to ensure high energy efficiency (≈85%) and good electrolyte utilization (&gt;75%).</w:t>
      </w:r>
      <w:r w:rsidRPr="00025049">
        <w:rPr>
          <w:noProof/>
          <w:lang w:val="en-GB"/>
        </w:rPr>
        <w:fldChar w:fldCharType="begin"/>
      </w:r>
      <w:r>
        <w:rPr>
          <w:noProof/>
          <w:lang w:val="en-GB"/>
        </w:rPr>
        <w:instrText xml:space="preserve"> ADDIN EN.CITE &lt;EndNote&gt;&lt;Cite ExcludeYear="1"&gt;&lt;Author&gt;Lourenssen&lt;/Author&gt;&lt;Year&gt;2019&lt;/Year&gt;&lt;RecNum&gt;3&lt;/RecNum&gt;&lt;DisplayText&gt;&lt;style face="superscript"&gt;[3a]&lt;/style&gt;&lt;/DisplayText&gt;&lt;record&gt;&lt;rec-number&gt;3&lt;/rec-number&gt;&lt;foreign-keys&gt;&lt;key app="EN" db-id="ppwxts2s6f5tsrefwwt5sstvtpasvsep055t" timestamp="1628529868"&gt;3&lt;/key&gt;&lt;/foreign-keys&gt;&lt;ref-type name="Journal Article"&gt;17&lt;/ref-type&gt;&lt;contributors&gt;&lt;authors&gt;&lt;author&gt;Lourenssen, Kyle&lt;/author&gt;&lt;author&gt;Williams, James&lt;/author&gt;&lt;author&gt;Ahmadpour, Faraz&lt;/author&gt;&lt;author&gt;Clemmer, Ryan&lt;/author&gt;&lt;author&gt;Tasnim, Syeda&lt;/author&gt;&lt;/authors&gt;&lt;/contributors&gt;&lt;titles&gt;&lt;title&gt;Vanadium redox flow batteries: A comprehensive review&lt;/title&gt;&lt;secondary-title&gt;Journal of Energy Storage&lt;/secondary-title&gt;&lt;/titles&gt;&lt;periodical&gt;&lt;full-title&gt;Journal of Energy Storage&lt;/full-title&gt;&lt;/periodical&gt;&lt;pages&gt;100844-100844&lt;/pages&gt;&lt;volume&gt;25&lt;/volume&gt;&lt;dates&gt;&lt;year&gt;2019&lt;/year&gt;&lt;/dates&gt;&lt;publisher&gt;Elsevier&lt;/publisher&gt;&lt;urls&gt;&lt;related-urls&gt;&lt;url&gt;https://www.sciencedirect.com/science/article/pii/S2352152X19302798?via%3Dihub&lt;/url&gt;&lt;/related-urls&gt;&lt;/urls&gt;&lt;electronic-resource-num&gt;10.1016/J.EST.2019.100844&lt;/electronic-resource-num&gt;&lt;/record&gt;&lt;/Cite&gt;&lt;/EndNote&gt;</w:instrText>
      </w:r>
      <w:r w:rsidRPr="00025049">
        <w:rPr>
          <w:noProof/>
          <w:lang w:val="en-GB"/>
        </w:rPr>
        <w:fldChar w:fldCharType="separate"/>
      </w:r>
      <w:r w:rsidRPr="00156886">
        <w:rPr>
          <w:noProof/>
          <w:vertAlign w:val="superscript"/>
          <w:lang w:val="en-GB"/>
        </w:rPr>
        <w:t>[3a]</w:t>
      </w:r>
      <w:r w:rsidRPr="00025049">
        <w:rPr>
          <w:noProof/>
          <w:lang w:val="en-GB"/>
        </w:rPr>
        <w:fldChar w:fldCharType="end"/>
      </w:r>
      <w:r w:rsidRPr="00025049">
        <w:rPr>
          <w:lang w:val="en-GB"/>
        </w:rPr>
        <w:t xml:space="preserve"> </w:t>
      </w:r>
      <w:r w:rsidRPr="00025049">
        <w:rPr>
          <w:b/>
          <w:bCs/>
          <w:lang w:val="en-GB"/>
        </w:rPr>
        <w:fldChar w:fldCharType="begin"/>
      </w:r>
      <w:r w:rsidRPr="00025049">
        <w:rPr>
          <w:b/>
          <w:bCs/>
          <w:lang w:val="en-GB"/>
        </w:rPr>
        <w:instrText xml:space="preserve"> REF _Ref69819918 \h  \* MERGEFORMAT </w:instrText>
      </w:r>
      <w:r w:rsidRPr="00025049">
        <w:rPr>
          <w:b/>
          <w:bCs/>
          <w:lang w:val="en-GB"/>
        </w:rPr>
      </w:r>
      <w:r w:rsidRPr="00025049">
        <w:rPr>
          <w:b/>
          <w:bCs/>
          <w:lang w:val="en-GB"/>
        </w:rPr>
        <w:fldChar w:fldCharType="separate"/>
      </w:r>
      <w:r w:rsidRPr="00AB3850">
        <w:rPr>
          <w:b/>
          <w:bCs/>
          <w:lang w:val="en-GB"/>
        </w:rPr>
        <w:t xml:space="preserve">Figure </w:t>
      </w:r>
      <w:r w:rsidRPr="00AB3850">
        <w:rPr>
          <w:b/>
          <w:bCs/>
          <w:noProof/>
          <w:lang w:val="en-GB"/>
        </w:rPr>
        <w:t>5</w:t>
      </w:r>
      <w:r w:rsidRPr="00025049">
        <w:rPr>
          <w:b/>
          <w:bCs/>
          <w:lang w:val="en-GB"/>
        </w:rPr>
        <w:fldChar w:fldCharType="end"/>
      </w:r>
      <w:r w:rsidRPr="00025049">
        <w:rPr>
          <w:b/>
          <w:bCs/>
          <w:lang w:val="en-GB"/>
        </w:rPr>
        <w:t>b</w:t>
      </w:r>
      <w:r w:rsidRPr="00025049">
        <w:rPr>
          <w:lang w:val="en-GB"/>
        </w:rPr>
        <w:t xml:space="preserve"> </w:t>
      </w:r>
      <w:r w:rsidRPr="00025049">
        <w:rPr>
          <w:bCs/>
          <w:lang w:val="en-GB"/>
        </w:rPr>
        <w:t xml:space="preserve">shows figures of merit associated with the continuous short operation of the all-vanadium RFB during a 20-cycle test. High Coulombic Efficiency of about 90% (CE, ratio of the discharge capacity over the charge capacity) was found which strongly suggest a minimal absence of reactions such as the </w:t>
      </w:r>
      <w:r w:rsidRPr="00025049">
        <w:rPr>
          <w:bCs/>
          <w:lang w:val="en-GB"/>
        </w:rPr>
        <w:t>formation of CO</w:t>
      </w:r>
      <w:r w:rsidRPr="00025049">
        <w:rPr>
          <w:bCs/>
          <w:vertAlign w:val="subscript"/>
          <w:lang w:val="en-GB"/>
        </w:rPr>
        <w:t>2</w:t>
      </w:r>
      <w:r w:rsidRPr="00025049">
        <w:rPr>
          <w:bCs/>
          <w:lang w:val="en-GB"/>
        </w:rPr>
        <w:t xml:space="preserve"> by oxidation of the carbon aerogel structure. Similarly, high Voltage Efficiency (VE, ratio between the average voltage for charging and discharging) was found at relatively large current density (VE &gt;85%).</w:t>
      </w:r>
      <w:r w:rsidRPr="00025049">
        <w:rPr>
          <w:lang w:val="en-GB"/>
        </w:rPr>
        <w:t xml:space="preserve"> It is worth mention that the pristine carbon paper electrode cannot be operated at such a high current densities.</w:t>
      </w:r>
      <w:r w:rsidRPr="00025049">
        <w:rPr>
          <w:noProof/>
          <w:lang w:val="en-GB"/>
        </w:rPr>
        <w:fldChar w:fldCharType="begin"/>
      </w:r>
      <w:r>
        <w:rPr>
          <w:noProof/>
          <w:lang w:val="en-GB"/>
        </w:rPr>
        <w:instrText xml:space="preserve"> ADDIN EN.CITE &lt;EndNote&gt;&lt;Cite ExcludeYear="1"&gt;&lt;Author&gt;Aaron&lt;/Author&gt;&lt;Year&gt;2012&lt;/Year&gt;&lt;RecNum&gt;14&lt;/RecNum&gt;&lt;DisplayText&gt;&lt;style face="superscript"&gt;[8]&lt;/style&gt;&lt;/DisplayText&gt;&lt;record&gt;&lt;rec-number&gt;13&lt;/rec-number&gt;&lt;foreign-keys&gt;&lt;key app="EN" db-id="ppwxts2s6f5tsrefwwt5sstvtpasvsep055t" timestamp="1628529868"&gt;13&lt;/key&gt;&lt;/foreign-keys&gt;&lt;ref-type name="Journal Article"&gt;17&lt;/ref-type&gt;&lt;contributors&gt;&lt;authors&gt;&lt;author&gt;Aaron, D. S.&lt;/author&gt;&lt;author&gt;Liu, Q.&lt;/author&gt;&lt;author&gt;Tang, Z.&lt;/author&gt;&lt;author&gt;Grim, G. M.&lt;/author&gt;&lt;author&gt;Papandrew, A. B.&lt;/author&gt;&lt;author&gt;Turhan, A.&lt;/author&gt;&lt;author&gt;Zawodzinski, T. A.&lt;/author&gt;&lt;author&gt;Mench, M. M.&lt;/author&gt;&lt;/authors&gt;&lt;/contributors&gt;&lt;titles&gt;&lt;title&gt;Dramatic performance gains in vanadium redox flow batteries through modified cell architecture&lt;/title&gt;&lt;secondary-title&gt;Journal of Power Sources&lt;/secondary-title&gt;&lt;/titles&gt;&lt;periodical&gt;&lt;full-title&gt;Journal of Power Sources&lt;/full-title&gt;&lt;/periodical&gt;&lt;pages&gt;450-453&lt;/pages&gt;&lt;volume&gt;206&lt;/volume&gt;&lt;dates&gt;&lt;year&gt;2012&lt;/year&gt;&lt;/dates&gt;&lt;publisher&gt;Elsevier&lt;/publisher&gt;&lt;urls&gt;&lt;related-urls&gt;&lt;url&gt;https://www.sciencedirect.com/science/article/pii/S0378775311024451&lt;/url&gt;&lt;/related-urls&gt;&lt;/urls&gt;&lt;electronic-resource-num&gt;10.1016/J.JPOWSOUR.2011.12.026&lt;/electronic-resource-num&gt;&lt;/record&gt;&lt;/Cite&gt;&lt;/EndNote&gt;</w:instrText>
      </w:r>
      <w:r w:rsidRPr="00025049">
        <w:rPr>
          <w:noProof/>
          <w:lang w:val="en-GB"/>
        </w:rPr>
        <w:fldChar w:fldCharType="separate"/>
      </w:r>
      <w:r w:rsidRPr="00156886">
        <w:rPr>
          <w:noProof/>
          <w:vertAlign w:val="superscript"/>
          <w:lang w:val="en-GB"/>
        </w:rPr>
        <w:t>[8]</w:t>
      </w:r>
      <w:r w:rsidRPr="00025049">
        <w:rPr>
          <w:noProof/>
          <w:lang w:val="en-GB"/>
        </w:rPr>
        <w:fldChar w:fldCharType="end"/>
      </w:r>
      <w:r w:rsidRPr="00025049">
        <w:rPr>
          <w:lang w:val="en-GB"/>
        </w:rPr>
        <w:t xml:space="preserve"> This supports the benefits of tuning electrode porosity and microstructure to enhance the available surface and diminish mass transport limitations which would affect VE. The Energy Efficiency (EE) which is obtained using this system was 75% at 75 mA cm</w:t>
      </w:r>
      <w:r w:rsidRPr="00025049">
        <w:rPr>
          <w:vertAlign w:val="superscript"/>
          <w:lang w:val="en-GB"/>
        </w:rPr>
        <w:t>-2</w:t>
      </w:r>
      <w:r w:rsidRPr="00025049">
        <w:rPr>
          <w:lang w:val="en-GB"/>
        </w:rPr>
        <w:t>, having a comparable EE value to commercial all-vanadium systems which have been optimised for many years.</w:t>
      </w:r>
      <w:r w:rsidRPr="00025049">
        <w:rPr>
          <w:noProof/>
          <w:lang w:val="en-GB"/>
        </w:rPr>
        <w:fldChar w:fldCharType="begin"/>
      </w:r>
      <w:r>
        <w:rPr>
          <w:noProof/>
          <w:lang w:val="en-GB"/>
        </w:rPr>
        <w:instrText xml:space="preserve"> ADDIN EN.CITE &lt;EndNote&gt;&lt;Cite ExcludeYear="1"&gt;&lt;Author&gt;Sánchez-Díez&lt;/Author&gt;&lt;Year&gt;2021&lt;/Year&gt;&lt;RecNum&gt;36&lt;/RecNum&gt;&lt;DisplayText&gt;&lt;style face="superscript"&gt;[23]&lt;/style&gt;&lt;/DisplayText&gt;&lt;record&gt;&lt;rec-number&gt;36&lt;/rec-number&gt;&lt;foreign-keys&gt;&lt;key app="EN" db-id="ppwxts2s6f5tsrefwwt5sstvtpasvsep055t" timestamp="1628529868"&gt;36&lt;/key&gt;&lt;/foreign-keys&gt;&lt;ref-type name="Journal Article"&gt;17&lt;/ref-type&gt;&lt;contributors&gt;&lt;authors&gt;&lt;author&gt;Sánchez-Díez, Eduardo&lt;/author&gt;&lt;author&gt;Ventosa, Edgar&lt;/author&gt;&lt;author&gt;Guarnieri, Massimo&lt;/author&gt;&lt;author&gt;Trovò, Andrea&lt;/author&gt;&lt;author&gt;Flox, Cristina&lt;/author&gt;&lt;author&gt;Marcilla, Rebeca&lt;/author&gt;&lt;author&gt;Soavi, Francesca&lt;/author&gt;&lt;author&gt;Mazur, Petr&lt;/author&gt;&lt;author&gt;Aranzabe, Estibaliz&lt;/author&gt;&lt;author&gt;Ferret, Raquel&lt;/author&gt;&lt;/authors&gt;&lt;/contributors&gt;&lt;titles&gt;&lt;title&gt;Redox flow batteries: Status and perspective towards sustainable stationary energy storage&lt;/title&gt;&lt;secondary-title&gt;Journal of Power Sources&lt;/secondary-title&gt;&lt;/titles&gt;&lt;periodical&gt;&lt;full-title&gt;Journal of Power Sources&lt;/full-title&gt;&lt;/periodical&gt;&lt;pages&gt;228804-228804&lt;/pages&gt;&lt;volume&gt;481&lt;/volume&gt;&lt;keywords&gt;&lt;keyword&gt;Electrochemical energy storage&lt;/keyword&gt;&lt;keyword&gt;Redox-flow batteries&lt;/keyword&gt;&lt;keyword&gt;Stationary energy storage&lt;/keyword&gt;&lt;keyword&gt;Sustainable energy&lt;/keyword&gt;&lt;/keywords&gt;&lt;dates&gt;&lt;year&gt;2021&lt;/year&gt;&lt;/dates&gt;&lt;publisher&gt;Elsevier B.V.&lt;/publisher&gt;&lt;urls&gt;&lt;/urls&gt;&lt;electronic-resource-num&gt;10.1016/j.jpowsour.2020.228804&lt;/electronic-resource-num&gt;&lt;/record&gt;&lt;/Cite&gt;&lt;/EndNote&gt;</w:instrText>
      </w:r>
      <w:r w:rsidRPr="00025049">
        <w:rPr>
          <w:noProof/>
          <w:lang w:val="en-GB"/>
        </w:rPr>
        <w:fldChar w:fldCharType="separate"/>
      </w:r>
      <w:r w:rsidRPr="00156886">
        <w:rPr>
          <w:noProof/>
          <w:vertAlign w:val="superscript"/>
          <w:lang w:val="en-GB"/>
        </w:rPr>
        <w:t>[23]</w:t>
      </w:r>
      <w:r w:rsidRPr="00025049">
        <w:rPr>
          <w:noProof/>
          <w:lang w:val="en-GB"/>
        </w:rPr>
        <w:fldChar w:fldCharType="end"/>
      </w:r>
      <w:r w:rsidRPr="00025049">
        <w:rPr>
          <w:lang w:val="en-GB"/>
        </w:rPr>
        <w:t xml:space="preserve"> However, it needs to be noticed that large variability in the efficiency is observed in each cycle.  We attribute this to the mechanical stability of the aerogel structure which leads to stress and detachment under hydrodynamic conditions. This is supported by the observation of a small amount of carbon particles at the electrolyte outlet which would contribute to increased mass transport </w:t>
      </w:r>
      <w:r w:rsidRPr="00007677">
        <w:rPr>
          <w:color w:val="000000" w:themeColor="text1"/>
          <w:lang w:val="en-GB"/>
        </w:rPr>
        <w:t>limitations. Gradual electrode degradation is observed after the 11</w:t>
      </w:r>
      <w:r w:rsidRPr="00007677">
        <w:rPr>
          <w:color w:val="000000" w:themeColor="text1"/>
          <w:vertAlign w:val="superscript"/>
          <w:lang w:val="en-GB"/>
        </w:rPr>
        <w:t>th</w:t>
      </w:r>
      <w:r w:rsidRPr="00007677">
        <w:rPr>
          <w:color w:val="000000" w:themeColor="text1"/>
          <w:lang w:val="en-GB"/>
        </w:rPr>
        <w:t xml:space="preserve"> cycle, in which a gradual decrease of VE is observed even at 50 mA cm</w:t>
      </w:r>
      <w:r w:rsidRPr="00007677">
        <w:rPr>
          <w:color w:val="000000" w:themeColor="text1"/>
          <w:vertAlign w:val="superscript"/>
          <w:lang w:val="en-GB"/>
        </w:rPr>
        <w:noBreakHyphen/>
        <w:t>2</w:t>
      </w:r>
      <w:r w:rsidRPr="00007677">
        <w:rPr>
          <w:color w:val="000000" w:themeColor="text1"/>
          <w:lang w:val="en-GB"/>
        </w:rPr>
        <w:t xml:space="preserve">, the degradation of the electrode 200|0.2 can be observed in </w:t>
      </w:r>
      <w:r w:rsidRPr="00007677">
        <w:rPr>
          <w:b/>
          <w:bCs/>
          <w:color w:val="000000" w:themeColor="text1"/>
          <w:lang w:val="en-GB"/>
        </w:rPr>
        <w:t>Figure S1</w:t>
      </w:r>
      <w:r w:rsidRPr="00007677">
        <w:rPr>
          <w:color w:val="000000" w:themeColor="text1"/>
          <w:lang w:val="en-GB"/>
        </w:rPr>
        <w:t xml:space="preserve">, if we compare with the fresh sample in </w:t>
      </w:r>
      <w:r w:rsidRPr="00007677">
        <w:rPr>
          <w:b/>
          <w:bCs/>
          <w:color w:val="000000" w:themeColor="text1"/>
          <w:lang w:val="en-GB"/>
        </w:rPr>
        <w:fldChar w:fldCharType="begin"/>
      </w:r>
      <w:r w:rsidRPr="00007677">
        <w:rPr>
          <w:b/>
          <w:bCs/>
          <w:color w:val="000000" w:themeColor="text1"/>
          <w:lang w:val="en-GB"/>
        </w:rPr>
        <w:instrText xml:space="preserve"> REF _Ref85023299 \h  \* MERGEFORMAT </w:instrText>
      </w:r>
      <w:r w:rsidRPr="00007677">
        <w:rPr>
          <w:b/>
          <w:bCs/>
          <w:color w:val="000000" w:themeColor="text1"/>
          <w:lang w:val="en-GB"/>
        </w:rPr>
      </w:r>
      <w:r w:rsidRPr="00007677">
        <w:rPr>
          <w:b/>
          <w:bCs/>
          <w:color w:val="000000" w:themeColor="text1"/>
          <w:lang w:val="en-GB"/>
        </w:rPr>
        <w:fldChar w:fldCharType="separate"/>
      </w:r>
      <w:r w:rsidRPr="00AB3850">
        <w:rPr>
          <w:b/>
          <w:bCs/>
          <w:color w:val="000000" w:themeColor="text1"/>
        </w:rPr>
        <w:t xml:space="preserve">Figure </w:t>
      </w:r>
      <w:r w:rsidRPr="00AB3850">
        <w:rPr>
          <w:b/>
          <w:bCs/>
          <w:noProof/>
          <w:color w:val="000000" w:themeColor="text1"/>
        </w:rPr>
        <w:t>1</w:t>
      </w:r>
      <w:r w:rsidRPr="00007677">
        <w:rPr>
          <w:b/>
          <w:bCs/>
          <w:color w:val="000000" w:themeColor="text1"/>
          <w:lang w:val="en-GB"/>
        </w:rPr>
        <w:fldChar w:fldCharType="end"/>
      </w:r>
      <w:r w:rsidRPr="00757F39">
        <w:rPr>
          <w:color w:val="FF0000"/>
          <w:lang w:val="en-GB"/>
        </w:rPr>
        <w:t>.</w:t>
      </w:r>
      <w:r>
        <w:rPr>
          <w:color w:val="FF0000"/>
          <w:lang w:val="en-GB"/>
        </w:rPr>
        <w:t xml:space="preserve"> </w:t>
      </w:r>
      <w:r w:rsidRPr="00025049">
        <w:rPr>
          <w:lang w:val="en-GB"/>
        </w:rPr>
        <w:t xml:space="preserve"> </w:t>
      </w:r>
    </w:p>
    <w:p w14:paraId="465F1B70" w14:textId="77777777" w:rsidR="00FE53E3" w:rsidRPr="00025049" w:rsidRDefault="00FE53E3" w:rsidP="00FE53E3">
      <w:pPr>
        <w:pStyle w:val="P1"/>
        <w:rPr>
          <w:lang w:val="en-GB"/>
        </w:rPr>
      </w:pPr>
      <w:r w:rsidRPr="00025049">
        <w:rPr>
          <w:lang w:val="en-GB"/>
        </w:rPr>
        <w:t xml:space="preserve">There is a desire to move to such zero-gap systems using thin electrodes as such systems reduce stack size, decrease ionic and electronic </w:t>
      </w:r>
      <w:proofErr w:type="spellStart"/>
      <w:r w:rsidRPr="00025049">
        <w:rPr>
          <w:lang w:val="en-GB"/>
        </w:rPr>
        <w:t>iR</w:t>
      </w:r>
      <w:proofErr w:type="spellEnd"/>
      <w:r w:rsidRPr="00025049">
        <w:rPr>
          <w:lang w:val="en-GB"/>
        </w:rPr>
        <w:t xml:space="preserve"> drop and reduce total system cost. The standard electrode used, graphite felt, has an average thickness of 4.6 mm. On the other hand, </w:t>
      </w:r>
      <w:r w:rsidRPr="006D67F3">
        <w:rPr>
          <w:lang w:val="en-GB"/>
        </w:rPr>
        <w:t>in thin electrode zero-gap systems, as the membrane electrode assembly uses thinner electrodes such as carbon papers or carbon cloths (with thicknesses between 0.1 to 0.4 mm), though typically 3-layers of these materials are required in order to achieve a sufficiently high roughness factor</w:t>
      </w:r>
      <w:r w:rsidRPr="00025049">
        <w:rPr>
          <w:lang w:val="en-GB"/>
        </w:rPr>
        <w:t>. To provide a suitable metric for comparing state of the art RFB electrodes to the current materials used, we need to consider the difference in the electrode thicknesses as this will affect the volumetric performance of the RFB. As a value of merit for the polarization curves, we took the geometric power density at 1 V. With the values obtained of the power density and the volume of the electrodes, we can calculate the volumetric power density (VPD), and for our best performing electrodes a VPD of 14 and 17.7 W cm</w:t>
      </w:r>
      <w:r w:rsidRPr="00025049">
        <w:rPr>
          <w:vertAlign w:val="superscript"/>
          <w:lang w:val="en-GB"/>
        </w:rPr>
        <w:t>-3</w:t>
      </w:r>
      <w:r w:rsidRPr="00025049">
        <w:rPr>
          <w:vertAlign w:val="subscript"/>
          <w:lang w:val="en-GB"/>
        </w:rPr>
        <w:t xml:space="preserve"> </w:t>
      </w:r>
      <w:r w:rsidRPr="00025049">
        <w:rPr>
          <w:lang w:val="en-GB"/>
        </w:rPr>
        <w:t>was achieved. To put these values in place, we compared our values of VPD</w:t>
      </w:r>
      <w:r w:rsidRPr="00017533">
        <w:rPr>
          <w:lang w:val="en-GB"/>
        </w:rPr>
        <w:t>,</w:t>
      </w:r>
      <w:r w:rsidRPr="00025049">
        <w:rPr>
          <w:lang w:val="en-GB"/>
        </w:rPr>
        <w:t xml:space="preserve"> and the discharge capacity achieved at specific current densities with those determined for different reported works (</w:t>
      </w:r>
      <w:r w:rsidRPr="00025049">
        <w:rPr>
          <w:b/>
          <w:bCs/>
          <w:lang w:val="en-GB"/>
        </w:rPr>
        <w:fldChar w:fldCharType="begin"/>
      </w:r>
      <w:r w:rsidRPr="00025049">
        <w:rPr>
          <w:b/>
          <w:bCs/>
          <w:lang w:val="en-GB"/>
        </w:rPr>
        <w:instrText xml:space="preserve"> REF _Ref83222380 \h  \* MERGEFORMAT </w:instrText>
      </w:r>
      <w:r w:rsidRPr="00025049">
        <w:rPr>
          <w:b/>
          <w:bCs/>
          <w:lang w:val="en-GB"/>
        </w:rPr>
      </w:r>
      <w:r w:rsidRPr="00025049">
        <w:rPr>
          <w:b/>
          <w:bCs/>
          <w:lang w:val="en-GB"/>
        </w:rPr>
        <w:fldChar w:fldCharType="separate"/>
      </w:r>
      <w:r w:rsidRPr="00AB3850">
        <w:rPr>
          <w:b/>
          <w:bCs/>
          <w:lang w:val="en-GB"/>
        </w:rPr>
        <w:t xml:space="preserve">Figure </w:t>
      </w:r>
      <w:r w:rsidRPr="00AB3850">
        <w:rPr>
          <w:b/>
          <w:bCs/>
          <w:noProof/>
          <w:lang w:val="en-GB"/>
        </w:rPr>
        <w:t>6</w:t>
      </w:r>
      <w:r w:rsidRPr="00025049">
        <w:rPr>
          <w:b/>
          <w:bCs/>
          <w:lang w:val="en-GB"/>
        </w:rPr>
        <w:fldChar w:fldCharType="end"/>
      </w:r>
      <w:r w:rsidRPr="00025049">
        <w:rPr>
          <w:lang w:val="en-GB"/>
        </w:rPr>
        <w:t>). This type of plot is a useful way to compare both the dynamic power performance with the ability to utilise all of the electrolyte in an RFB.</w:t>
      </w:r>
    </w:p>
    <w:p w14:paraId="49AC6816" w14:textId="77777777" w:rsidR="00FE53E3" w:rsidRPr="00025049" w:rsidRDefault="00FE53E3" w:rsidP="00FE53E3">
      <w:pPr>
        <w:pStyle w:val="P1"/>
        <w:rPr>
          <w:lang w:val="en-GB"/>
        </w:rPr>
      </w:pPr>
    </w:p>
    <w:p w14:paraId="7621EA02" w14:textId="77777777" w:rsidR="00FE53E3" w:rsidRPr="00025049" w:rsidRDefault="00FE53E3" w:rsidP="00FE53E3">
      <w:pPr>
        <w:pStyle w:val="P1"/>
        <w:rPr>
          <w:lang w:val="en-GB"/>
        </w:rPr>
        <w:sectPr w:rsidR="00FE53E3" w:rsidRPr="00025049" w:rsidSect="00AA2BBE">
          <w:type w:val="continuous"/>
          <w:pgSz w:w="11906" w:h="16838" w:code="9"/>
          <w:pgMar w:top="1673" w:right="936" w:bottom="1134" w:left="936" w:header="709" w:footer="709" w:gutter="0"/>
          <w:cols w:num="2" w:space="284"/>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7"/>
      </w:tblGrid>
      <w:tr w:rsidR="00FE53E3" w:rsidRPr="00025049" w14:paraId="45F271C3" w14:textId="77777777" w:rsidTr="00ED2E8B">
        <w:tc>
          <w:tcPr>
            <w:tcW w:w="9537" w:type="dxa"/>
            <w:vAlign w:val="center"/>
          </w:tcPr>
          <w:p w14:paraId="0E1B3CA6" w14:textId="77777777" w:rsidR="00FE53E3" w:rsidRPr="00025049" w:rsidRDefault="00FE53E3" w:rsidP="00ED2E8B">
            <w:pPr>
              <w:keepNext/>
              <w:jc w:val="center"/>
            </w:pPr>
            <w:r w:rsidRPr="00025049">
              <w:rPr>
                <w:noProof/>
              </w:rPr>
              <w:lastRenderedPageBreak/>
              <w:drawing>
                <wp:inline distT="0" distB="0" distL="0" distR="0" wp14:anchorId="7033CA12" wp14:editId="0DDBFC2B">
                  <wp:extent cx="5761355" cy="4330700"/>
                  <wp:effectExtent l="0" t="0" r="0" b="0"/>
                  <wp:docPr id="17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61355" cy="4330700"/>
                          </a:xfrm>
                          <a:prstGeom prst="rect">
                            <a:avLst/>
                          </a:prstGeom>
                          <a:noFill/>
                          <a:ln>
                            <a:noFill/>
                          </a:ln>
                        </pic:spPr>
                      </pic:pic>
                    </a:graphicData>
                  </a:graphic>
                </wp:inline>
              </w:drawing>
            </w:r>
          </w:p>
        </w:tc>
      </w:tr>
    </w:tbl>
    <w:p w14:paraId="01032E4B" w14:textId="77777777" w:rsidR="00FE53E3" w:rsidRPr="00025049" w:rsidRDefault="00FE53E3" w:rsidP="00FE53E3">
      <w:pPr>
        <w:pStyle w:val="Caption"/>
        <w:rPr>
          <w:b w:val="0"/>
          <w:bCs w:val="0"/>
        </w:rPr>
        <w:sectPr w:rsidR="00FE53E3" w:rsidRPr="00025049" w:rsidSect="00A518CB">
          <w:type w:val="continuous"/>
          <w:pgSz w:w="11906" w:h="16838" w:code="9"/>
          <w:pgMar w:top="1673" w:right="936" w:bottom="1134" w:left="936" w:header="709" w:footer="709" w:gutter="0"/>
          <w:cols w:space="284"/>
          <w:docGrid w:linePitch="360"/>
        </w:sectPr>
      </w:pPr>
      <w:bookmarkStart w:id="14" w:name="_Ref83222380"/>
      <w:r w:rsidRPr="00025049">
        <w:t xml:space="preserve">Figure </w:t>
      </w:r>
      <w:r>
        <w:fldChar w:fldCharType="begin"/>
      </w:r>
      <w:r>
        <w:instrText xml:space="preserve"> SEQ Figure \* ARABIC </w:instrText>
      </w:r>
      <w:r>
        <w:fldChar w:fldCharType="separate"/>
      </w:r>
      <w:r>
        <w:rPr>
          <w:noProof/>
        </w:rPr>
        <w:t>6</w:t>
      </w:r>
      <w:r>
        <w:rPr>
          <w:noProof/>
        </w:rPr>
        <w:fldChar w:fldCharType="end"/>
      </w:r>
      <w:bookmarkEnd w:id="14"/>
      <w:r w:rsidRPr="00025049">
        <w:t>.</w:t>
      </w:r>
      <w:r w:rsidRPr="00025049">
        <w:rPr>
          <w:b w:val="0"/>
          <w:bCs w:val="0"/>
        </w:rPr>
        <w:t xml:space="preserve"> Comparison of the results obtained without electrode (</w:t>
      </w:r>
      <w:r w:rsidRPr="00025049">
        <w:rPr>
          <w:b w:val="0"/>
          <w:bCs w:val="0"/>
          <w:color w:val="FF0000"/>
        </w:rPr>
        <w:sym w:font="Wingdings" w:char="F0AB"/>
      </w:r>
      <w:r w:rsidRPr="00025049">
        <w:rPr>
          <w:b w:val="0"/>
          <w:bCs w:val="0"/>
        </w:rPr>
        <w:t>) to those obtained in the literature using the volumetric power density obtained from the polarization curves at 1 V and the discharge capacity from the charge-discharge profiles at different fixed current densities. The references naming used is from the SI. Electrode types used in the figure: CP type,</w:t>
      </w:r>
      <w:r w:rsidRPr="00025049">
        <w:rPr>
          <w:b w:val="0"/>
          <w:bCs w:val="0"/>
        </w:rPr>
        <w:fldChar w:fldCharType="begin">
          <w:fldData xml:space="preserve">PEVuZE5vdGU+PENpdGU+PEF1dGhvcj5HcmVjbzwvQXV0aG9yPjxZZWFyPjIwMTg8L1llYXI+PFJl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</w:fldData>
        </w:fldChar>
      </w:r>
      <w:r>
        <w:rPr>
          <w:b w:val="0"/>
          <w:bCs w:val="0"/>
        </w:rPr>
        <w:instrText xml:space="preserve"> ADDIN EN.CITE </w:instrText>
      </w:r>
      <w:r>
        <w:rPr>
          <w:b w:val="0"/>
          <w:bCs w:val="0"/>
        </w:rPr>
        <w:fldChar w:fldCharType="begin">
          <w:fldData xml:space="preserve">PEVuZE5vdGU+PENpdGU+PEF1dGhvcj5HcmVjbzwvQXV0aG9yPjxZZWFyPjIwMTg8L1llYXI+PFJl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</w:fldData>
        </w:fldChar>
      </w:r>
      <w:r>
        <w:rPr>
          <w:b w:val="0"/>
          <w:bCs w:val="0"/>
        </w:rPr>
        <w:instrText xml:space="preserve"> ADDIN EN.CITE.DATA </w:instrText>
      </w:r>
      <w:r>
        <w:rPr>
          <w:b w:val="0"/>
          <w:bCs w:val="0"/>
        </w:rPr>
      </w:r>
      <w:r>
        <w:rPr>
          <w:b w:val="0"/>
          <w:bCs w:val="0"/>
        </w:rPr>
        <w:fldChar w:fldCharType="end"/>
      </w:r>
      <w:r w:rsidRPr="00025049">
        <w:rPr>
          <w:b w:val="0"/>
          <w:bCs w:val="0"/>
        </w:rPr>
      </w:r>
      <w:r w:rsidRPr="00025049">
        <w:rPr>
          <w:b w:val="0"/>
          <w:bCs w:val="0"/>
        </w:rPr>
        <w:fldChar w:fldCharType="separate"/>
      </w:r>
      <w:r w:rsidRPr="00156886">
        <w:rPr>
          <w:b w:val="0"/>
          <w:bCs w:val="0"/>
          <w:noProof/>
          <w:vertAlign w:val="superscript"/>
        </w:rPr>
        <w:t>[24]</w:t>
      </w:r>
      <w:r w:rsidRPr="00025049">
        <w:rPr>
          <w:b w:val="0"/>
          <w:bCs w:val="0"/>
        </w:rPr>
        <w:fldChar w:fldCharType="end"/>
      </w:r>
      <w:r w:rsidRPr="00025049">
        <w:rPr>
          <w:b w:val="0"/>
          <w:bCs w:val="0"/>
        </w:rPr>
        <w:t xml:space="preserve"> GF type,</w:t>
      </w:r>
      <w:r w:rsidRPr="00025049">
        <w:rPr>
          <w:b w:val="0"/>
          <w:bCs w:val="0"/>
        </w:rPr>
        <w:fldChar w:fldCharType="begin">
          <w:fldData xml:space="preserve">PEVuZE5vdGU+PENpdGU+PEF1dGhvcj5CZWxsYW5pPC9BdXRob3I+PFllYXI+MjAyMTwvWWVhcj48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</w:fldData>
        </w:fldChar>
      </w:r>
      <w:r>
        <w:rPr>
          <w:b w:val="0"/>
          <w:bCs w:val="0"/>
        </w:rPr>
        <w:instrText xml:space="preserve"> ADDIN EN.CITE </w:instrText>
      </w:r>
      <w:r>
        <w:rPr>
          <w:b w:val="0"/>
          <w:bCs w:val="0"/>
        </w:rPr>
        <w:fldChar w:fldCharType="begin">
          <w:fldData xml:space="preserve">PEVuZE5vdGU+PENpdGU+PEF1dGhvcj5CZWxsYW5pPC9BdXRob3I+PFllYXI+MjAyMTwvWWVhcj48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</w:fldData>
        </w:fldChar>
      </w:r>
      <w:r>
        <w:rPr>
          <w:b w:val="0"/>
          <w:bCs w:val="0"/>
        </w:rPr>
        <w:instrText xml:space="preserve"> ADDIN EN.CITE.DATA </w:instrText>
      </w:r>
      <w:r>
        <w:rPr>
          <w:b w:val="0"/>
          <w:bCs w:val="0"/>
        </w:rPr>
      </w:r>
      <w:r>
        <w:rPr>
          <w:b w:val="0"/>
          <w:bCs w:val="0"/>
        </w:rPr>
        <w:fldChar w:fldCharType="end"/>
      </w:r>
      <w:r w:rsidRPr="00025049">
        <w:rPr>
          <w:b w:val="0"/>
          <w:bCs w:val="0"/>
        </w:rPr>
      </w:r>
      <w:r w:rsidRPr="00025049">
        <w:rPr>
          <w:b w:val="0"/>
          <w:bCs w:val="0"/>
        </w:rPr>
        <w:fldChar w:fldCharType="separate"/>
      </w:r>
      <w:r w:rsidRPr="00156886">
        <w:rPr>
          <w:b w:val="0"/>
          <w:bCs w:val="0"/>
          <w:noProof/>
          <w:vertAlign w:val="superscript"/>
        </w:rPr>
        <w:t>[25]</w:t>
      </w:r>
      <w:r w:rsidRPr="00025049">
        <w:rPr>
          <w:b w:val="0"/>
          <w:bCs w:val="0"/>
        </w:rPr>
        <w:fldChar w:fldCharType="end"/>
      </w:r>
      <w:r w:rsidRPr="00025049">
        <w:rPr>
          <w:b w:val="0"/>
          <w:bCs w:val="0"/>
        </w:rPr>
        <w:t>, CC (we assumed the thickness to be 0.4 mm, the work did not mention),</w:t>
      </w:r>
      <w:r w:rsidRPr="00025049">
        <w:rPr>
          <w:b w:val="0"/>
          <w:bCs w:val="0"/>
        </w:rPr>
        <w:fldChar w:fldCharType="begin"/>
      </w:r>
      <w:r>
        <w:rPr>
          <w:b w:val="0"/>
          <w:bCs w:val="0"/>
        </w:rPr>
        <w:instrText xml:space="preserve"> ADDIN EN.CITE &lt;EndNote&gt;&lt;Cite&gt;&lt;Author&gt;Ishitobi&lt;/Author&gt;&lt;Year&gt;2021&lt;/Year&gt;&lt;RecNum&gt;2355&lt;/RecNum&gt;&lt;DisplayText&gt;&lt;style face="superscript"&gt;[26]&lt;/style&gt;&lt;/DisplayText&gt;&lt;record&gt;&lt;rec-number&gt;2355&lt;/rec-number&gt;&lt;foreign-keys&gt;&lt;key app="EN" db-id="wwzvs50fcvs52re25xrptwwwtv59vrta9e9z" timestamp="1632414232" guid="5ecbc469-dc8a-4e33-8162-ac81a366fa73"&gt;2355&lt;/key&gt;&lt;/foreign-keys&gt;&lt;ref-type name="Journal Article"&gt;17&lt;/ref-type&gt;&lt;contributors&gt;&lt;authors&gt;&lt;author&gt;Ishitobi, Hirokazu&lt;/author&gt;&lt;author&gt;Yamamoto, Shunya&lt;/author&gt;&lt;author&gt;Ishii, Takafumi&lt;/author&gt;&lt;author&gt;Oba, Kosuke&lt;/author&gt;&lt;author&gt;Doki, Honoka&lt;/author&gt;&lt;author&gt;Obata, Ryusuke&lt;/author&gt;&lt;author&gt;Miyashita, Atsumi&lt;/author&gt;&lt;author&gt;Okazaki, Hiroyuki&lt;/author&gt;&lt;author&gt;Nakagawa, Nobuyoshi&lt;/author&gt;&lt;/authors&gt;&lt;/contributors&gt;&lt;titles&gt;&lt;title&gt;Activity Enhancement of a Carbon Electrode Material for Vanadium Redox Flow Battery by Electron-Beam Irradiation&lt;/title&gt;&lt;secondary-title&gt;Journal of Chemical Engineering of Japan&lt;/secondary-title&gt;&lt;/titles&gt;&lt;periodical&gt;&lt;full-title&gt;Journal of Chemical Engineering of Japan&lt;/full-title&gt;&lt;/periodical&gt;&lt;pages&gt;219-225&lt;/pages&gt;&lt;volume&gt;54&lt;/volume&gt;&lt;number&gt;5&lt;/number&gt;&lt;section&gt;219&lt;/section&gt;&lt;dates&gt;&lt;year&gt;2021&lt;/year&gt;&lt;/dates&gt;&lt;isbn&gt;0021-9592&amp;#xD;1881-1299&lt;/isbn&gt;&lt;urls&gt;&lt;/urls&gt;&lt;electronic-resource-num&gt;10.1252/jcej.20we096&lt;/electronic-resource-num&gt;&lt;/record&gt;&lt;/Cite&gt;&lt;/EndNote&gt;</w:instrText>
      </w:r>
      <w:r w:rsidRPr="00025049">
        <w:rPr>
          <w:b w:val="0"/>
          <w:bCs w:val="0"/>
        </w:rPr>
        <w:fldChar w:fldCharType="separate"/>
      </w:r>
      <w:r w:rsidRPr="00156886">
        <w:rPr>
          <w:b w:val="0"/>
          <w:bCs w:val="0"/>
          <w:noProof/>
          <w:vertAlign w:val="superscript"/>
        </w:rPr>
        <w:t>[26]</w:t>
      </w:r>
      <w:r w:rsidRPr="00025049">
        <w:rPr>
          <w:b w:val="0"/>
          <w:bCs w:val="0"/>
        </w:rPr>
        <w:fldChar w:fldCharType="end"/>
      </w:r>
      <w:r w:rsidRPr="00025049">
        <w:rPr>
          <w:b w:val="0"/>
          <w:bCs w:val="0"/>
        </w:rPr>
        <w:t xml:space="preserve">  </w:t>
      </w:r>
      <w:proofErr w:type="spellStart"/>
      <w:r w:rsidRPr="00025049">
        <w:rPr>
          <w:b w:val="0"/>
          <w:bCs w:val="0"/>
        </w:rPr>
        <w:t>Electrospun</w:t>
      </w:r>
      <w:proofErr w:type="spellEnd"/>
      <w:r w:rsidRPr="00025049">
        <w:rPr>
          <w:b w:val="0"/>
          <w:bCs w:val="0"/>
        </w:rPr>
        <w:t xml:space="preserve"> Electrode.</w:t>
      </w:r>
      <w:r w:rsidRPr="00025049">
        <w:rPr>
          <w:b w:val="0"/>
          <w:bCs w:val="0"/>
        </w:rPr>
        <w:fldChar w:fldCharType="begin">
          <w:fldData xml:space="preserve">PEVuZE5vdGU+PENpdGU+PEF1dGhvcj5KaW5nPC9BdXRob3I+PFllYXI+MjAyMTwvWWVhcj48UmVj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</w:fldData>
        </w:fldChar>
      </w:r>
      <w:r>
        <w:rPr>
          <w:b w:val="0"/>
          <w:bCs w:val="0"/>
        </w:rPr>
        <w:instrText xml:space="preserve"> ADDIN EN.CITE </w:instrText>
      </w:r>
      <w:r>
        <w:rPr>
          <w:b w:val="0"/>
          <w:bCs w:val="0"/>
        </w:rPr>
        <w:fldChar w:fldCharType="begin">
          <w:fldData xml:space="preserve">PEVuZE5vdGU+PENpdGU+PEF1dGhvcj5KaW5nPC9BdXRob3I+PFllYXI+MjAyMTwvWWVhcj48UmVj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</w:fldData>
        </w:fldChar>
      </w:r>
      <w:r>
        <w:rPr>
          <w:b w:val="0"/>
          <w:bCs w:val="0"/>
        </w:rPr>
        <w:instrText xml:space="preserve"> ADDIN EN.CITE.DATA </w:instrText>
      </w:r>
      <w:r>
        <w:rPr>
          <w:b w:val="0"/>
          <w:bCs w:val="0"/>
        </w:rPr>
      </w:r>
      <w:r>
        <w:rPr>
          <w:b w:val="0"/>
          <w:bCs w:val="0"/>
        </w:rPr>
        <w:fldChar w:fldCharType="end"/>
      </w:r>
      <w:r w:rsidRPr="00025049">
        <w:rPr>
          <w:b w:val="0"/>
          <w:bCs w:val="0"/>
        </w:rPr>
      </w:r>
      <w:r w:rsidRPr="00025049">
        <w:rPr>
          <w:b w:val="0"/>
          <w:bCs w:val="0"/>
        </w:rPr>
        <w:fldChar w:fldCharType="separate"/>
      </w:r>
      <w:r w:rsidRPr="00156886">
        <w:rPr>
          <w:b w:val="0"/>
          <w:bCs w:val="0"/>
          <w:noProof/>
          <w:vertAlign w:val="superscript"/>
        </w:rPr>
        <w:t>[27]</w:t>
      </w:r>
      <w:r w:rsidRPr="00025049">
        <w:rPr>
          <w:b w:val="0"/>
          <w:bCs w:val="0"/>
        </w:rPr>
        <w:fldChar w:fldCharType="end"/>
      </w:r>
    </w:p>
    <w:p w14:paraId="7213AEA9" w14:textId="77777777" w:rsidR="00FE53E3" w:rsidRPr="006D67F3" w:rsidRDefault="00FE53E3" w:rsidP="00FE53E3">
      <w:pPr>
        <w:pStyle w:val="P1"/>
        <w:rPr>
          <w:lang w:val="en-GB"/>
        </w:rPr>
      </w:pPr>
      <w:r w:rsidRPr="00025049">
        <w:rPr>
          <w:lang w:val="en-GB"/>
        </w:rPr>
        <w:t xml:space="preserve">Better </w:t>
      </w:r>
      <w:r w:rsidRPr="006D67F3">
        <w:rPr>
          <w:lang w:val="en-GB"/>
        </w:rPr>
        <w:t xml:space="preserve">overall performance for an RFB is achieved by moving to the upper right-hand corner (high volumetric power and large discharge capacity) in </w:t>
      </w:r>
      <w:r w:rsidRPr="006D67F3">
        <w:rPr>
          <w:b/>
          <w:bCs/>
          <w:lang w:val="en-GB"/>
        </w:rPr>
        <w:fldChar w:fldCharType="begin"/>
      </w:r>
      <w:r w:rsidRPr="006D67F3">
        <w:rPr>
          <w:b/>
          <w:bCs/>
          <w:lang w:val="en-GB"/>
        </w:rPr>
        <w:instrText xml:space="preserve"> REF _Ref83222380 \h  \* MERGEFORMAT </w:instrText>
      </w:r>
      <w:r w:rsidRPr="006D67F3">
        <w:rPr>
          <w:b/>
          <w:bCs/>
          <w:lang w:val="en-GB"/>
        </w:rPr>
      </w:r>
      <w:r w:rsidRPr="006D67F3">
        <w:rPr>
          <w:b/>
          <w:bCs/>
          <w:lang w:val="en-GB"/>
        </w:rPr>
        <w:fldChar w:fldCharType="separate"/>
      </w:r>
      <w:r w:rsidRPr="00AB3850">
        <w:rPr>
          <w:b/>
          <w:bCs/>
        </w:rPr>
        <w:t xml:space="preserve">Figure </w:t>
      </w:r>
      <w:r w:rsidRPr="00AB3850">
        <w:rPr>
          <w:b/>
          <w:bCs/>
          <w:noProof/>
        </w:rPr>
        <w:t>6</w:t>
      </w:r>
      <w:r w:rsidRPr="006D67F3">
        <w:rPr>
          <w:b/>
          <w:bCs/>
          <w:lang w:val="en-GB"/>
        </w:rPr>
        <w:fldChar w:fldCharType="end"/>
      </w:r>
      <w:r w:rsidRPr="006D67F3">
        <w:rPr>
          <w:lang w:val="en-GB"/>
        </w:rPr>
        <w:t xml:space="preserve">. Our electrodes show the highest performance for the systems we have been able to characterise from available literature sources. The works included in the diagram are the ones which show both tests, however, in the SI there are more works where only have the polarization curves or the charge and discharge profiles, and with more details about the electrodes used. Furthermore, many of the results showing the best performance in </w:t>
      </w:r>
      <w:r w:rsidRPr="006D67F3">
        <w:rPr>
          <w:b/>
          <w:bCs/>
          <w:lang w:val="en-GB"/>
        </w:rPr>
        <w:fldChar w:fldCharType="begin"/>
      </w:r>
      <w:r w:rsidRPr="006D67F3">
        <w:rPr>
          <w:b/>
          <w:bCs/>
          <w:lang w:val="en-GB"/>
        </w:rPr>
        <w:instrText xml:space="preserve"> REF _Ref83222380 \h  \* MERGEFORMAT </w:instrText>
      </w:r>
      <w:r w:rsidRPr="006D67F3">
        <w:rPr>
          <w:b/>
          <w:bCs/>
          <w:lang w:val="en-GB"/>
        </w:rPr>
      </w:r>
      <w:r w:rsidRPr="006D67F3">
        <w:rPr>
          <w:b/>
          <w:bCs/>
          <w:lang w:val="en-GB"/>
        </w:rPr>
        <w:fldChar w:fldCharType="separate"/>
      </w:r>
      <w:r w:rsidRPr="00AB3850">
        <w:rPr>
          <w:b/>
          <w:bCs/>
          <w:lang w:val="en-GB"/>
        </w:rPr>
        <w:t xml:space="preserve">Figure </w:t>
      </w:r>
      <w:r w:rsidRPr="00AB3850">
        <w:rPr>
          <w:b/>
          <w:bCs/>
          <w:noProof/>
          <w:lang w:val="en-GB"/>
        </w:rPr>
        <w:t>6</w:t>
      </w:r>
      <w:r w:rsidRPr="006D67F3">
        <w:rPr>
          <w:b/>
          <w:bCs/>
          <w:lang w:val="en-GB"/>
        </w:rPr>
        <w:fldChar w:fldCharType="end"/>
      </w:r>
      <w:r w:rsidRPr="006D67F3">
        <w:rPr>
          <w:lang w:val="en-GB"/>
        </w:rPr>
        <w:t xml:space="preserve"> and in the SI, were assembled with thinner </w:t>
      </w:r>
      <w:proofErr w:type="spellStart"/>
      <w:r w:rsidRPr="006D67F3">
        <w:rPr>
          <w:lang w:val="en-GB"/>
        </w:rPr>
        <w:t>Nafion</w:t>
      </w:r>
      <w:proofErr w:type="spellEnd"/>
      <w:r w:rsidRPr="006D67F3">
        <w:rPr>
          <w:lang w:val="en-GB"/>
        </w:rPr>
        <w:t xml:space="preserve"> membranes, typically 25 to 50 µm, which are typically not used in real vanadium flow battery systems because of enhanced crossover but which achieve higher relative performance, whereas in this work we have used a relevant electrolyte thickness (183 µm). Considering this aspect, we observe that our work, using the thicker membrane achieve a very high VPD. </w:t>
      </w:r>
      <w:r>
        <w:rPr>
          <w:lang w:val="en-GB"/>
        </w:rPr>
        <w:t>O</w:t>
      </w:r>
      <w:r w:rsidRPr="006D67F3">
        <w:rPr>
          <w:lang w:val="en-GB"/>
        </w:rPr>
        <w:t>n the other hand, some works showed the performance using thinner membranes and similar electrodes thickness as ours,</w:t>
      </w:r>
      <w:r w:rsidRPr="006D67F3">
        <w:rPr>
          <w:lang w:val="en-GB"/>
        </w:rPr>
        <w:fldChar w:fldCharType="begin"/>
      </w:r>
      <w:r>
        <w:rPr>
          <w:lang w:val="en-GB"/>
        </w:rPr>
        <w:instrText xml:space="preserve"> ADDIN EN.CITE &lt;EndNote&gt;&lt;Cite&gt;&lt;Author&gt;Elgammal&lt;/Author&gt;&lt;Year&gt;2017&lt;/Year&gt;&lt;RecNum&gt;2353&lt;/RecNum&gt;&lt;DisplayText&gt;&lt;style face="superscript"&gt;[28]&lt;/style&gt;&lt;/DisplayText&gt;&lt;record&gt;&lt;rec-number&gt;2353&lt;/rec-number&gt;&lt;foreign-keys&gt;&lt;key app="EN" db-id="wwzvs50fcvs52re25xrptwwwtv59vrta9e9z" timestamp="1632414218" guid="f31a0e8f-36e9-497a-9940-cb000c3c98ff"&gt;2353&lt;/key&gt;&lt;/foreign-keys&gt;&lt;ref-type name="Journal Article"&gt;17&lt;/ref-type&gt;&lt;contributors&gt;&lt;authors&gt;&lt;author&gt;Elgammal, Ramez A.&lt;/author&gt;&lt;author&gt;Tang, Zhijiang&lt;/author&gt;&lt;author&gt;Sun, Che-Nan&lt;/author&gt;&lt;author&gt;Lawton, Jamie&lt;/author&gt;&lt;author&gt;Zawodzinski, Thomas A.&lt;/author&gt;&lt;/authors&gt;&lt;/contributors&gt;&lt;titles&gt;&lt;title&gt;Species Uptake and Mass Transport in Membranes for Vanadium Redox Flow Batteries&lt;/title&gt;&lt;secondary-title&gt;Electrochimica Acta&lt;/secondary-title&gt;&lt;/titles&gt;&lt;periodical&gt;&lt;full-title&gt;Electrochimica Acta&lt;/full-title&gt;&lt;/periodical&gt;&lt;pages&gt;1-11&lt;/pages&gt;&lt;volume&gt;237&lt;/volume&gt;&lt;section&gt;1&lt;/section&gt;&lt;dates&gt;&lt;year&gt;2017&lt;/year&gt;&lt;/dates&gt;&lt;isbn&gt;00134686&lt;/isbn&gt;&lt;urls&gt;&lt;/urls&gt;&lt;electronic-resource-num&gt;10.1016/j.electacta.2017.03.131&lt;/electronic-resource-num&gt;&lt;/record&gt;&lt;/Cite&gt;&lt;/EndNote&gt;</w:instrText>
      </w:r>
      <w:r w:rsidRPr="006D67F3">
        <w:rPr>
          <w:lang w:val="en-GB"/>
        </w:rPr>
        <w:fldChar w:fldCharType="separate"/>
      </w:r>
      <w:r w:rsidRPr="00156886">
        <w:rPr>
          <w:noProof/>
          <w:vertAlign w:val="superscript"/>
          <w:lang w:val="en-GB"/>
        </w:rPr>
        <w:t>[28]</w:t>
      </w:r>
      <w:r w:rsidRPr="006D67F3">
        <w:rPr>
          <w:lang w:val="en-GB"/>
        </w:rPr>
        <w:fldChar w:fldCharType="end"/>
      </w:r>
      <w:r w:rsidRPr="006D67F3">
        <w:rPr>
          <w:lang w:val="en-GB"/>
        </w:rPr>
        <w:t xml:space="preserve"> or thinner electrodes and even thinner membranes</w:t>
      </w:r>
      <w:r w:rsidRPr="006D67F3">
        <w:rPr>
          <w:lang w:val="en-GB"/>
        </w:rPr>
        <w:fldChar w:fldCharType="begin"/>
      </w:r>
      <w:r>
        <w:rPr>
          <w:lang w:val="en-GB"/>
        </w:rPr>
        <w:instrText xml:space="preserve"> ADDIN EN.CITE &lt;EndNote&gt;&lt;Cite&gt;&lt;Author&gt;Sun&lt;/Author&gt;&lt;Year&gt;2017&lt;/Year&gt;&lt;RecNum&gt;2354&lt;/RecNum&gt;&lt;DisplayText&gt;&lt;style face="superscript"&gt;[29]&lt;/style&gt;&lt;/DisplayText&gt;&lt;record&gt;&lt;rec-number&gt;2354&lt;/rec-number&gt;&lt;foreign-keys&gt;&lt;key app="EN" db-id="wwzvs50fcvs52re25xrptwwwtv59vrta9e9z" timestamp="1632414225" guid="d1c9e95f-9b9c-42ef-a3a6-685ebc6ef35e"&gt;2354&lt;/key&gt;&lt;/foreign-keys&gt;&lt;ref-type name="Journal Article"&gt;17&lt;/ref-type&gt;&lt;contributors&gt;&lt;authors&gt;&lt;author&gt;Sun, C. N.&lt;/author&gt;&lt;author&gt;Mench, M. M.&lt;/author&gt;&lt;author&gt;Zawodzinski, T. A.&lt;/author&gt;&lt;/authors&gt;&lt;/contributors&gt;&lt;titles&gt;&lt;title&gt;High Performance Redox Flow Batteries: An Analysis of the Upper Performance Limits of Flow Batteries Using Non-aqueous Solvents&lt;/title&gt;&lt;secondary-title&gt;Electrochimica Acta&lt;/secondary-title&gt;&lt;/titles&gt;&lt;periodical&gt;&lt;full-title&gt;Electrochimica Acta&lt;/full-title&gt;&lt;/periodical&gt;&lt;pages&gt;199-206&lt;/pages&gt;&lt;volume&gt;237&lt;/volume&gt;&lt;section&gt;199&lt;/section&gt;&lt;dates&gt;&lt;year&gt;2017&lt;/year&gt;&lt;/dates&gt;&lt;isbn&gt;00134686&lt;/isbn&gt;&lt;urls&gt;&lt;/urls&gt;&lt;electronic-resource-num&gt;10.1016/j.electacta.2017.03.132&lt;/electronic-resource-num&gt;&lt;/record&gt;&lt;/Cite&gt;&lt;/EndNote&gt;</w:instrText>
      </w:r>
      <w:r w:rsidRPr="006D67F3">
        <w:rPr>
          <w:lang w:val="en-GB"/>
        </w:rPr>
        <w:fldChar w:fldCharType="separate"/>
      </w:r>
      <w:r w:rsidRPr="00156886">
        <w:rPr>
          <w:noProof/>
          <w:vertAlign w:val="superscript"/>
          <w:lang w:val="en-GB"/>
        </w:rPr>
        <w:t>[29]</w:t>
      </w:r>
      <w:r w:rsidRPr="006D67F3">
        <w:rPr>
          <w:lang w:val="en-GB"/>
        </w:rPr>
        <w:fldChar w:fldCharType="end"/>
      </w:r>
      <w:r w:rsidRPr="006D67F3">
        <w:rPr>
          <w:lang w:val="en-GB"/>
        </w:rPr>
        <w:t>, which achieve VPD values of 35 and 40 W cm</w:t>
      </w:r>
      <w:r w:rsidRPr="006D67F3">
        <w:rPr>
          <w:vertAlign w:val="superscript"/>
          <w:lang w:val="en-GB"/>
        </w:rPr>
        <w:t>-3</w:t>
      </w:r>
      <w:r w:rsidRPr="006D67F3">
        <w:rPr>
          <w:lang w:val="en-GB"/>
        </w:rPr>
        <w:t xml:space="preserve">, respectively. However, in these works the authors did not report the charge and discharge profiles for the cell setup used in the polarization curves and in any case, these membrane thicknesses, as mentioned above, are not applicable to real systems due to increased rates of vanadium crossover. On the </w:t>
      </w:r>
      <w:r w:rsidRPr="006D67F3">
        <w:rPr>
          <w:lang w:val="en-GB"/>
        </w:rPr>
        <w:t>other hand, other reported works, same type as of CAGs as ours was deposited in graphite felt electrode as a substrate,</w:t>
      </w:r>
      <w:r w:rsidRPr="006D67F3">
        <w:rPr>
          <w:lang w:val="en-GB"/>
        </w:rPr>
        <w:fldChar w:fldCharType="begin"/>
      </w:r>
      <w:r>
        <w:rPr>
          <w:lang w:val="en-GB"/>
        </w:rPr>
        <w:instrText xml:space="preserve"> ADDIN EN.CITE &lt;EndNote&gt;&lt;Cite&gt;&lt;Author&gt;Jiang&lt;/Author&gt;&lt;Year&gt;2019&lt;/Year&gt;&lt;RecNum&gt;2315&lt;/RecNum&gt;&lt;DisplayText&gt;&lt;style face="superscript"&gt;[11]&lt;/style&gt;&lt;/DisplayText&gt;&lt;record&gt;&lt;rec-number&gt;2315&lt;/rec-number&gt;&lt;foreign-keys&gt;&lt;key app="EN" db-id="wwzvs50fcvs52re25xrptwwwtv59vrta9e9z" timestamp="1628529893" guid="79186aa0-c7be-4eed-b36c-fe5754747271"&gt;2315&lt;/key&gt;&lt;/foreign-keys&gt;&lt;ref-type name="Journal Article"&gt;17&lt;/ref-type&gt;&lt;contributors&gt;&lt;authors&gt;&lt;author&gt;Jiang, Fengjing&lt;/author&gt;&lt;author&gt;He, Zongqi&lt;/author&gt;&lt;author&gt;Guo, Dingyu&lt;/author&gt;&lt;author&gt;Zhou, Xinjie&lt;/author&gt;&lt;/authors&gt;&lt;/contributors&gt;&lt;titles&gt;&lt;title&gt;Carbon aerogel modified graphite felt as advanced electrodes for vanadium redox flow batteries&lt;/title&gt;&lt;secondary-title&gt;Journal of Power Sources&lt;/secondary-title&gt;&lt;/titles&gt;&lt;periodical&gt;&lt;full-title&gt;Journal of Power Sources&lt;/full-title&gt;&lt;/periodical&gt;&lt;pages&gt;227114-227114&lt;/pages&gt;&lt;volume&gt;440&lt;/volume&gt;&lt;keywords&gt;&lt;keyword&gt;Carbon-carbon composite&lt;/keyword&gt;&lt;keyword&gt;Electode&lt;/keyword&gt;&lt;keyword&gt;Graphite felt&lt;/keyword&gt;&lt;keyword&gt;carbon aerogel&lt;/keyword&gt;&lt;keyword&gt;vanadium redox flow battery&lt;/keyword&gt;&lt;/keywords&gt;&lt;dates&gt;&lt;year&gt;2019&lt;/year&gt;&lt;/dates&gt;&lt;publisher&gt;Elsevier&lt;/publisher&gt;&lt;urls&gt;&lt;related-urls&gt;&lt;url&gt;https://www.sciencedirect.com/science/article/pii/S0378775319311073#fig4&lt;/url&gt;&lt;/related-urls&gt;&lt;/urls&gt;&lt;electronic-resource-num&gt;10.1016/J.JPOWSOUR.2019.227114&lt;/electronic-resource-num&gt;&lt;/record&gt;&lt;/Cite&gt;&lt;/EndNote&gt;</w:instrText>
      </w:r>
      <w:r w:rsidRPr="006D67F3">
        <w:rPr>
          <w:lang w:val="en-GB"/>
        </w:rPr>
        <w:fldChar w:fldCharType="separate"/>
      </w:r>
      <w:r w:rsidRPr="00156886">
        <w:rPr>
          <w:noProof/>
          <w:vertAlign w:val="superscript"/>
          <w:lang w:val="en-GB"/>
        </w:rPr>
        <w:t>[11]</w:t>
      </w:r>
      <w:r w:rsidRPr="006D67F3">
        <w:rPr>
          <w:lang w:val="en-GB"/>
        </w:rPr>
        <w:fldChar w:fldCharType="end"/>
      </w:r>
      <w:r w:rsidRPr="006D67F3">
        <w:rPr>
          <w:lang w:val="en-GB"/>
        </w:rPr>
        <w:t xml:space="preserve"> and other using a dual scale porous electrode</w:t>
      </w:r>
      <w:r w:rsidRPr="006D67F3">
        <w:rPr>
          <w:lang w:val="en-GB"/>
        </w:rPr>
        <w:fldChar w:fldCharType="begin"/>
      </w:r>
      <w:r>
        <w:rPr>
          <w:lang w:val="en-GB"/>
        </w:rPr>
        <w:instrText xml:space="preserve"> ADDIN EN.CITE &lt;EndNote&gt;&lt;Cite&gt;&lt;Author&gt;Zhou&lt;/Author&gt;&lt;Year&gt;2016&lt;/Year&gt;&lt;RecNum&gt;2363&lt;/RecNum&gt;&lt;DisplayText&gt;&lt;style face="superscript"&gt;[30]&lt;/style&gt;&lt;/DisplayText&gt;&lt;record&gt;&lt;rec-number&gt;2363&lt;/rec-number&gt;&lt;foreign-keys&gt;&lt;key app="EN" db-id="wwzvs50fcvs52re25xrptwwwtv59vrta9e9z" timestamp="1632414284" guid="8e78bc29-3955-4680-b8b2-f4cba4ebe3a2"&gt;2363&lt;/key&gt;&lt;/foreign-keys&gt;&lt;ref-type name="Journal Article"&gt;17&lt;/ref-type&gt;&lt;contributors&gt;&lt;authors&gt;&lt;author&gt;Zhou, X. L.&lt;/author&gt;&lt;author&gt;Zeng, Y. K.&lt;/author&gt;&lt;author&gt;Zhu, X. B.&lt;/author&gt;&lt;author&gt;Wei, L.&lt;/author&gt;&lt;author&gt;Zhao, T. S.&lt;/author&gt;&lt;/authors&gt;&lt;/contributors&gt;&lt;titles&gt;&lt;title&gt;A high-performance dual-scale porous electrode for vanadium redox flow batteries&lt;/title&gt;&lt;secondary-title&gt;Journal of Power Sources&lt;/secondary-title&gt;&lt;/titles&gt;&lt;periodical&gt;&lt;full-title&gt;Journal of Power Sources&lt;/full-title&gt;&lt;/periodical&gt;&lt;pages&gt;329-336&lt;/pages&gt;&lt;volume&gt;325&lt;/volume&gt;&lt;section&gt;329&lt;/section&gt;&lt;dates&gt;&lt;year&gt;2016&lt;/year&gt;&lt;/dates&gt;&lt;isbn&gt;03787753&lt;/isbn&gt;&lt;urls&gt;&lt;/urls&gt;&lt;electronic-resource-num&gt;10.1016/j.jpowsour.2016.06.048&lt;/electronic-resource-num&gt;&lt;/record&gt;&lt;/Cite&gt;&lt;/EndNote&gt;</w:instrText>
      </w:r>
      <w:r w:rsidRPr="006D67F3">
        <w:rPr>
          <w:lang w:val="en-GB"/>
        </w:rPr>
        <w:fldChar w:fldCharType="separate"/>
      </w:r>
      <w:r w:rsidRPr="00156886">
        <w:rPr>
          <w:noProof/>
          <w:vertAlign w:val="superscript"/>
          <w:lang w:val="en-GB"/>
        </w:rPr>
        <w:t>[30]</w:t>
      </w:r>
      <w:r w:rsidRPr="006D67F3">
        <w:rPr>
          <w:lang w:val="en-GB"/>
        </w:rPr>
        <w:fldChar w:fldCharType="end"/>
      </w:r>
      <w:r w:rsidRPr="006D67F3">
        <w:rPr>
          <w:lang w:val="en-GB"/>
        </w:rPr>
        <w:t xml:space="preserve"> (based on carbon paper) with very similar thickness as the ones used in this work, do not show the polarization curve for the electrodes tested. However, they used higher currents for the charge/discharge cycles, achieving similar values of the discharge capacity as we got, being for the GF-CAGs electrode: at 100 mA cm</w:t>
      </w:r>
      <w:r w:rsidRPr="006D67F3">
        <w:rPr>
          <w:vertAlign w:val="superscript"/>
          <w:lang w:val="en-GB"/>
        </w:rPr>
        <w:t>-2</w:t>
      </w:r>
      <w:r w:rsidRPr="006D67F3">
        <w:rPr>
          <w:lang w:val="en-GB"/>
        </w:rPr>
        <w:t xml:space="preserve"> – 72.1 % and at 160 mA cm</w:t>
      </w:r>
      <w:r w:rsidRPr="006D67F3">
        <w:rPr>
          <w:vertAlign w:val="superscript"/>
          <w:lang w:val="en-GB"/>
        </w:rPr>
        <w:t>-2</w:t>
      </w:r>
      <w:r w:rsidRPr="006D67F3">
        <w:rPr>
          <w:lang w:val="en-GB"/>
        </w:rPr>
        <w:t xml:space="preserve"> – 57.2 %). For the dual scale porous electrode (carbon paper-based electrode) they obtained a very interesting performance at 200 mA cm</w:t>
      </w:r>
      <w:r w:rsidRPr="006D67F3">
        <w:rPr>
          <w:vertAlign w:val="superscript"/>
          <w:lang w:val="en-GB"/>
        </w:rPr>
        <w:t>-2</w:t>
      </w:r>
      <w:r w:rsidRPr="006D67F3">
        <w:rPr>
          <w:lang w:val="en-GB"/>
        </w:rPr>
        <w:t xml:space="preserve"> – 83 % and at 300 mA cm</w:t>
      </w:r>
      <w:r w:rsidRPr="006D67F3">
        <w:rPr>
          <w:vertAlign w:val="superscript"/>
          <w:lang w:val="en-GB"/>
        </w:rPr>
        <w:t>-2</w:t>
      </w:r>
      <w:r w:rsidRPr="006D67F3">
        <w:rPr>
          <w:lang w:val="en-GB"/>
        </w:rPr>
        <w:t xml:space="preserve"> – 74.6 %.</w:t>
      </w:r>
    </w:p>
    <w:p w14:paraId="78208B2B" w14:textId="77777777" w:rsidR="00FE53E3" w:rsidRPr="006D67F3" w:rsidRDefault="00FE53E3" w:rsidP="00FE53E3">
      <w:pPr>
        <w:pStyle w:val="P1"/>
        <w:rPr>
          <w:lang w:val="en-GB"/>
        </w:rPr>
      </w:pPr>
      <w:r w:rsidRPr="006D67F3">
        <w:rPr>
          <w:lang w:val="en-GB"/>
        </w:rPr>
        <w:t xml:space="preserve">Reviewing the different reported works, the future work needs to be focused on the optimisation of the electrolyte flow rate, as well in the improvement of electrode mechanical properties and long term cyclability at higher current densities, which could grant the application of the materials here presented in real system with sufficient longevity, as well the possibility to growth CAGs in even thinner electrodes to improve more the performance. </w:t>
      </w:r>
      <w:r>
        <w:rPr>
          <w:lang w:val="en-GB"/>
        </w:rPr>
        <w:t>O</w:t>
      </w:r>
      <w:r w:rsidRPr="006D67F3">
        <w:rPr>
          <w:lang w:val="en-GB"/>
        </w:rPr>
        <w:t xml:space="preserve">n the other hand, the synthetic process time to growth the CAGs need to be reduced, to have the possibility to be applied in real systems. </w:t>
      </w:r>
    </w:p>
    <w:p w14:paraId="1387ED14" w14:textId="77777777" w:rsidR="00FE53E3" w:rsidRDefault="00FE53E3" w:rsidP="00FE53E3">
      <w:pPr>
        <w:pStyle w:val="H1"/>
      </w:pPr>
    </w:p>
    <w:p w14:paraId="609EE6DD" w14:textId="77777777" w:rsidR="00FE53E3" w:rsidRPr="00025049" w:rsidRDefault="00FE53E3" w:rsidP="00FE53E3">
      <w:pPr>
        <w:pStyle w:val="H1"/>
      </w:pPr>
    </w:p>
    <w:p w14:paraId="4B0B9AE1" w14:textId="77777777" w:rsidR="00FE53E3" w:rsidRPr="00025049" w:rsidRDefault="00FE53E3" w:rsidP="00FE53E3">
      <w:pPr>
        <w:pStyle w:val="H1"/>
      </w:pPr>
      <w:r w:rsidRPr="00025049">
        <w:t>Conclusion</w:t>
      </w:r>
    </w:p>
    <w:p w14:paraId="1741877A" w14:textId="77777777" w:rsidR="00FE53E3" w:rsidRPr="00025049" w:rsidRDefault="00FE53E3" w:rsidP="00FE53E3">
      <w:pPr>
        <w:pStyle w:val="P1"/>
        <w:rPr>
          <w:lang w:val="en-GB"/>
        </w:rPr>
      </w:pPr>
      <w:r w:rsidRPr="00025049">
        <w:rPr>
          <w:lang w:val="en-GB"/>
        </w:rPr>
        <w:t xml:space="preserve">We found that the aerogel micro-structure can be easily tuned by changing the synthesis conditions, the catalyst content gives change in the particle size and the monomer content the affect the loading and </w:t>
      </w:r>
      <w:proofErr w:type="spellStart"/>
      <w:r w:rsidRPr="00025049">
        <w:rPr>
          <w:lang w:val="en-GB"/>
        </w:rPr>
        <w:t>mesoporosity</w:t>
      </w:r>
      <w:proofErr w:type="spellEnd"/>
      <w:r w:rsidRPr="00025049">
        <w:rPr>
          <w:lang w:val="en-GB"/>
        </w:rPr>
        <w:t xml:space="preserve"> of the material. To improve the growth of the CAG over the carbon paper electrode, a plasma treatment under O</w:t>
      </w:r>
      <w:r w:rsidRPr="00025049">
        <w:rPr>
          <w:vertAlign w:val="subscript"/>
          <w:lang w:val="en-GB"/>
        </w:rPr>
        <w:t>2</w:t>
      </w:r>
      <w:r w:rsidRPr="00025049">
        <w:rPr>
          <w:lang w:val="en-GB"/>
        </w:rPr>
        <w:t xml:space="preserve"> plasma was performed in order to decrease the hydrophobicity. Two basic catalysts were studied, Na</w:t>
      </w:r>
      <w:r w:rsidRPr="00025049">
        <w:rPr>
          <w:vertAlign w:val="subscript"/>
          <w:lang w:val="en-GB"/>
        </w:rPr>
        <w:t>2</w:t>
      </w:r>
      <w:r w:rsidRPr="00025049">
        <w:rPr>
          <w:lang w:val="en-GB"/>
        </w:rPr>
        <w:t>CO</w:t>
      </w:r>
      <w:r w:rsidRPr="00025049">
        <w:rPr>
          <w:vertAlign w:val="subscript"/>
          <w:lang w:val="en-GB"/>
        </w:rPr>
        <w:t>3</w:t>
      </w:r>
      <w:r w:rsidRPr="00025049">
        <w:rPr>
          <w:lang w:val="en-GB"/>
        </w:rPr>
        <w:t xml:space="preserve"> and NaOH, increasing the pH in the solution when the NaOH is used leads to a more compact and denser aerogel, producing a more compact layer on the electrode. In the case of the Na</w:t>
      </w:r>
      <w:r w:rsidRPr="00025049">
        <w:rPr>
          <w:vertAlign w:val="subscript"/>
          <w:lang w:val="en-GB"/>
        </w:rPr>
        <w:t>2</w:t>
      </w:r>
      <w:r w:rsidRPr="00025049">
        <w:rPr>
          <w:lang w:val="en-GB"/>
        </w:rPr>
        <w:t>CO</w:t>
      </w:r>
      <w:r w:rsidRPr="00025049">
        <w:rPr>
          <w:vertAlign w:val="subscript"/>
          <w:lang w:val="en-GB"/>
        </w:rPr>
        <w:t>3</w:t>
      </w:r>
      <w:r w:rsidRPr="00025049">
        <w:rPr>
          <w:lang w:val="en-GB"/>
        </w:rPr>
        <w:t xml:space="preserve">, a more porous layer was obtained with a major </w:t>
      </w:r>
      <w:proofErr w:type="spellStart"/>
      <w:r w:rsidRPr="00025049">
        <w:rPr>
          <w:lang w:val="en-GB"/>
        </w:rPr>
        <w:t>mesoporosity</w:t>
      </w:r>
      <w:proofErr w:type="spellEnd"/>
      <w:r w:rsidRPr="00025049">
        <w:rPr>
          <w:lang w:val="en-GB"/>
        </w:rPr>
        <w:t xml:space="preserve"> contribution using the lower R/C ratio.</w:t>
      </w:r>
    </w:p>
    <w:p w14:paraId="47F70FB6" w14:textId="77777777" w:rsidR="00FE53E3" w:rsidRPr="00025049" w:rsidRDefault="00FE53E3" w:rsidP="00FE53E3">
      <w:pPr>
        <w:pStyle w:val="P1"/>
        <w:rPr>
          <w:lang w:val="en-GB"/>
        </w:rPr>
      </w:pPr>
      <w:r w:rsidRPr="00025049">
        <w:rPr>
          <w:lang w:val="en-GB"/>
        </w:rPr>
        <w:t>The performance obtained from the polarization curves showed that the electrodes prepared using Na</w:t>
      </w:r>
      <w:r w:rsidRPr="00025049">
        <w:rPr>
          <w:vertAlign w:val="subscript"/>
          <w:lang w:val="en-GB"/>
        </w:rPr>
        <w:t>2</w:t>
      </w:r>
      <w:r w:rsidRPr="00025049">
        <w:rPr>
          <w:lang w:val="en-GB"/>
        </w:rPr>
        <w:t>CO</w:t>
      </w:r>
      <w:r w:rsidRPr="00025049">
        <w:rPr>
          <w:vertAlign w:val="subscript"/>
          <w:lang w:val="en-GB"/>
        </w:rPr>
        <w:t>3</w:t>
      </w:r>
      <w:r w:rsidRPr="00025049">
        <w:rPr>
          <w:lang w:val="en-GB"/>
        </w:rPr>
        <w:t xml:space="preserve"> had the best performance, and particularly the electrode 200|0.2, which is the best performing one, obtaining a power density of 706 </w:t>
      </w:r>
      <w:proofErr w:type="spellStart"/>
      <w:r w:rsidRPr="00025049">
        <w:rPr>
          <w:lang w:val="en-GB"/>
        </w:rPr>
        <w:t>mW</w:t>
      </w:r>
      <w:proofErr w:type="spellEnd"/>
      <w:r w:rsidRPr="00025049">
        <w:rPr>
          <w:lang w:val="en-GB"/>
        </w:rPr>
        <w:t xml:space="preserve"> cm</w:t>
      </w:r>
      <w:r w:rsidRPr="00025049">
        <w:rPr>
          <w:vertAlign w:val="superscript"/>
          <w:lang w:val="en-GB"/>
        </w:rPr>
        <w:t>-2</w:t>
      </w:r>
      <w:r w:rsidRPr="00025049">
        <w:rPr>
          <w:lang w:val="en-GB"/>
        </w:rPr>
        <w:t xml:space="preserve"> (17.7 W cm</w:t>
      </w:r>
      <w:r w:rsidRPr="00025049">
        <w:rPr>
          <w:vertAlign w:val="superscript"/>
          <w:lang w:val="en-GB"/>
        </w:rPr>
        <w:t>-3</w:t>
      </w:r>
      <w:r w:rsidRPr="00025049">
        <w:rPr>
          <w:lang w:val="en-GB"/>
        </w:rPr>
        <w:t xml:space="preserve">). </w:t>
      </w:r>
    </w:p>
    <w:p w14:paraId="6C22A264" w14:textId="77777777" w:rsidR="00FE53E3" w:rsidRPr="00025049" w:rsidRDefault="00FE53E3" w:rsidP="00FE53E3">
      <w:pPr>
        <w:pStyle w:val="P1"/>
        <w:rPr>
          <w:lang w:val="en-GB"/>
        </w:rPr>
      </w:pPr>
      <w:r w:rsidRPr="00025049">
        <w:rPr>
          <w:lang w:val="en-GB"/>
        </w:rPr>
        <w:t>To get a better understanding of the electrochemical behaviour of the best performing electrodes, capacitance measurements were done for the electrodes prepared using Na</w:t>
      </w:r>
      <w:r w:rsidRPr="00025049">
        <w:rPr>
          <w:vertAlign w:val="subscript"/>
          <w:lang w:val="en-GB"/>
        </w:rPr>
        <w:t>2</w:t>
      </w:r>
      <w:r w:rsidRPr="00025049">
        <w:rPr>
          <w:lang w:val="en-GB"/>
        </w:rPr>
        <w:t>CO</w:t>
      </w:r>
      <w:r w:rsidRPr="00025049">
        <w:rPr>
          <w:vertAlign w:val="subscript"/>
          <w:lang w:val="en-GB"/>
        </w:rPr>
        <w:t>3</w:t>
      </w:r>
      <w:r w:rsidRPr="00025049">
        <w:rPr>
          <w:lang w:val="en-GB"/>
        </w:rPr>
        <w:t xml:space="preserve">. Upon incorporation of carbon aerogels, the electrode roughness factor (and thus interfacial surface area available for reaction) was increased drastically by a factor of 140-300 with respect to the underlying carbon paper. The values of the roughness factor were obtained using both BET and capacitance, having a slightly higher value using the second method using literature values of the specific capacitance of carbon electrodes. </w:t>
      </w:r>
      <w:r w:rsidRPr="00025049">
        <w:rPr>
          <w:rFonts w:cs="Arial"/>
          <w:lang w:val="en-GB"/>
        </w:rPr>
        <w:t xml:space="preserve">Considering this structure also, it can lead to more ideal supercapacitor behaviour due efficient ionic transport within the material. </w:t>
      </w:r>
      <w:r>
        <w:rPr>
          <w:rFonts w:cs="Arial"/>
          <w:lang w:val="en-GB"/>
        </w:rPr>
        <w:t>O</w:t>
      </w:r>
      <w:r w:rsidRPr="00025049">
        <w:rPr>
          <w:rFonts w:cs="Arial"/>
          <w:lang w:val="en-GB"/>
        </w:rPr>
        <w:t>n the other hand, i</w:t>
      </w:r>
      <w:r w:rsidRPr="00025049">
        <w:rPr>
          <w:lang w:val="en-GB"/>
        </w:rPr>
        <w:t xml:space="preserve">t was found that for both high performing RFB electrodes just having high surface area is not enough. Instead, the </w:t>
      </w:r>
      <w:proofErr w:type="spellStart"/>
      <w:r w:rsidRPr="00025049">
        <w:rPr>
          <w:lang w:val="en-GB"/>
        </w:rPr>
        <w:t>mesoporosity</w:t>
      </w:r>
      <w:proofErr w:type="spellEnd"/>
      <w:r w:rsidRPr="00025049">
        <w:rPr>
          <w:lang w:val="en-GB"/>
        </w:rPr>
        <w:t xml:space="preserve"> needs to be tailored to allow fast transport of reactants and ions into the structure. Indeed, </w:t>
      </w:r>
      <w:r w:rsidRPr="006D67F3">
        <w:rPr>
          <w:lang w:val="en-GB"/>
        </w:rPr>
        <w:t xml:space="preserve">in the “thin electrode zero-gap setup” RFBs operating at technologically relevant current densities </w:t>
      </w:r>
      <w:r w:rsidRPr="00025049">
        <w:rPr>
          <w:lang w:val="en-GB"/>
        </w:rPr>
        <w:t xml:space="preserve">a positive correlation with </w:t>
      </w:r>
      <w:r w:rsidRPr="00025049">
        <w:rPr>
          <w:b/>
          <w:bCs/>
          <w:lang w:val="en-GB"/>
        </w:rPr>
        <w:t>external</w:t>
      </w:r>
      <w:r w:rsidRPr="00025049">
        <w:rPr>
          <w:lang w:val="en-GB"/>
        </w:rPr>
        <w:t xml:space="preserve"> surface area is found – i.e. microporous surface area does not appreciably contribute to RFB performance.</w:t>
      </w:r>
    </w:p>
    <w:p w14:paraId="07BCB80A" w14:textId="77777777" w:rsidR="00FE53E3" w:rsidRPr="00025049" w:rsidRDefault="00FE53E3" w:rsidP="00FE53E3">
      <w:pPr>
        <w:pStyle w:val="P1"/>
        <w:rPr>
          <w:lang w:val="en-GB"/>
        </w:rPr>
      </w:pPr>
      <w:r w:rsidRPr="00025049">
        <w:rPr>
          <w:lang w:val="en-GB"/>
        </w:rPr>
        <w:t xml:space="preserve">Testing the best electrode during repeated RFB charge and discharge tests achieved 56% and 90% of the theoretical capacity with an energy efficiency of &gt;75% at the two different current densities. </w:t>
      </w:r>
    </w:p>
    <w:p w14:paraId="6DED05B6" w14:textId="77777777" w:rsidR="00FE53E3" w:rsidRPr="00025049" w:rsidRDefault="00FE53E3" w:rsidP="00FE53E3">
      <w:pPr>
        <w:pStyle w:val="P1"/>
        <w:rPr>
          <w:rFonts w:cs="Arial"/>
          <w:color w:val="FF0000"/>
          <w:lang w:val="en-GB"/>
        </w:rPr>
      </w:pPr>
      <w:r w:rsidRPr="00025049">
        <w:rPr>
          <w:lang w:val="en-GB"/>
        </w:rPr>
        <w:t xml:space="preserve">In summary, the growth of CAGs in the carbon paper electrode improves the performance of the RFB in almost all cases at low current densities compared to the underivatized carbon electrode. However, to get a good RFB performance the CAG requires good </w:t>
      </w:r>
      <w:proofErr w:type="spellStart"/>
      <w:r w:rsidRPr="00025049">
        <w:rPr>
          <w:lang w:val="en-GB"/>
        </w:rPr>
        <w:t>mesoporosity</w:t>
      </w:r>
      <w:proofErr w:type="spellEnd"/>
      <w:r>
        <w:rPr>
          <w:lang w:val="en-GB"/>
        </w:rPr>
        <w:t xml:space="preserve"> and good pore structures with an absence of “necks” between the mesopores</w:t>
      </w:r>
      <w:r w:rsidRPr="00025049">
        <w:rPr>
          <w:lang w:val="en-GB"/>
        </w:rPr>
        <w:t xml:space="preserve">; so, the high surface area material can be accessed by the electrolyte, otherwise the RFB </w:t>
      </w:r>
      <w:r w:rsidRPr="00025049">
        <w:rPr>
          <w:lang w:val="en-GB"/>
        </w:rPr>
        <w:t xml:space="preserve">will starve and there will be rapid performance loss at higher currents. Hence, it is not enough to have a high surface area; the porosity must show a suitable hierarchical ordering so that the electrolyte can flow through the structure. This </w:t>
      </w:r>
      <w:proofErr w:type="spellStart"/>
      <w:r w:rsidRPr="00025049">
        <w:rPr>
          <w:lang w:val="en-GB"/>
        </w:rPr>
        <w:t>mesoporosity</w:t>
      </w:r>
      <w:proofErr w:type="spellEnd"/>
      <w:r w:rsidRPr="00025049">
        <w:rPr>
          <w:lang w:val="en-GB"/>
        </w:rPr>
        <w:t xml:space="preserve"> will also affect the pressure drop through the RFB, which has not been studied in this paper with the long term cycling stability, but would be useful in follow up studies. </w:t>
      </w:r>
    </w:p>
    <w:p w14:paraId="39010C28" w14:textId="77777777" w:rsidR="00FE53E3" w:rsidRPr="00025049" w:rsidRDefault="00FE53E3" w:rsidP="00FE53E3">
      <w:pPr>
        <w:pStyle w:val="P1"/>
        <w:rPr>
          <w:lang w:val="en-GB"/>
        </w:rPr>
      </w:pPr>
      <w:r w:rsidRPr="00025049">
        <w:rPr>
          <w:lang w:val="en-GB"/>
        </w:rPr>
        <w:t xml:space="preserve">Improving the surface area to use only one layer of the CAG-CP in each side, it is possible to decrease the thickness of the MEA by an order of magnitude (assuming the same membrane, </w:t>
      </w:r>
      <w:proofErr w:type="spellStart"/>
      <w:r w:rsidRPr="00025049">
        <w:rPr>
          <w:lang w:val="en-GB"/>
        </w:rPr>
        <w:t>Nafion</w:t>
      </w:r>
      <w:proofErr w:type="spellEnd"/>
      <w:r w:rsidRPr="00025049">
        <w:rPr>
          <w:lang w:val="en-GB"/>
        </w:rPr>
        <w:t xml:space="preserve"> 117, is used) from 9.38 mm using GF MEA to 0.9</w:t>
      </w:r>
      <w:r>
        <w:rPr>
          <w:lang w:val="en-GB"/>
        </w:rPr>
        <w:t>9</w:t>
      </w:r>
      <w:r w:rsidRPr="00025049">
        <w:rPr>
          <w:lang w:val="en-GB"/>
        </w:rPr>
        <w:t xml:space="preserve"> mm with the CAG-CP MEA. As a consequence, decreasing the volume of the stack by almost a factor of ~3 (assuming 3 mm thick bipolar plates) maintaining the same power density, or having the possibility of increasing the volumetric power density of the stack by a factor of three. Even using a quite low current density for the charge/discharge tests, we obtain a high performance in terms of volumetric power density and electrolyte utilisation. However, more tests need to be performed to increase the current densities value for the charge/discharge tests.</w:t>
      </w:r>
    </w:p>
    <w:p w14:paraId="783C29E1" w14:textId="77777777" w:rsidR="00FE53E3" w:rsidRPr="00025049" w:rsidRDefault="00FE53E3" w:rsidP="00FE53E3">
      <w:pPr>
        <w:pStyle w:val="HExperimentalSection"/>
        <w:rPr>
          <w:lang w:val="en-GB"/>
        </w:rPr>
      </w:pPr>
      <w:r w:rsidRPr="00025049">
        <w:rPr>
          <w:lang w:val="en-GB"/>
        </w:rPr>
        <w:t>Experimental Section</w:t>
      </w:r>
    </w:p>
    <w:p w14:paraId="371F844A" w14:textId="77777777" w:rsidR="00FE53E3" w:rsidRPr="00025049" w:rsidRDefault="00FE53E3" w:rsidP="00FE53E3">
      <w:pPr>
        <w:pStyle w:val="ExperimentalSection"/>
        <w:rPr>
          <w:i/>
          <w:iCs/>
        </w:rPr>
      </w:pPr>
      <w:r w:rsidRPr="00025049">
        <w:rPr>
          <w:i/>
          <w:iCs/>
        </w:rPr>
        <w:t>Carbon Aerogel Electrode Preparation</w:t>
      </w:r>
    </w:p>
    <w:p w14:paraId="4F22E5EC" w14:textId="77777777" w:rsidR="00FE53E3" w:rsidRPr="00025049" w:rsidRDefault="00FE53E3" w:rsidP="00FE53E3">
      <w:pPr>
        <w:pStyle w:val="ExperimentalSection"/>
      </w:pPr>
      <w:r w:rsidRPr="00025049">
        <w:t>Hydrogels were synthesized by a previously reported base catalysed polycondensation of resorcinol and formaldehyde.</w:t>
      </w:r>
      <w:r w:rsidRPr="00025049">
        <w:rPr>
          <w:noProof/>
        </w:rPr>
        <w:fldChar w:fldCharType="begin"/>
      </w:r>
      <w:r>
        <w:rPr>
          <w:noProof/>
        </w:rPr>
        <w:instrText xml:space="preserve"> ADDIN EN.CITE &lt;EndNote&gt;&lt;Cite ExcludeYear="1"&gt;&lt;Author&gt;Jiang&lt;/Author&gt;&lt;Year&gt;2019&lt;/Year&gt;&lt;RecNum&gt;20&lt;/RecNum&gt;&lt;DisplayText&gt;&lt;style face="superscript"&gt;[11]&lt;/style&gt;&lt;/DisplayText&gt;&lt;record&gt;&lt;rec-number&gt;19&lt;/rec-number&gt;&lt;foreign-keys&gt;&lt;key app="EN" db-id="ppwxts2s6f5tsrefwwt5sstvtpasvsep055t" timestamp="1628529868"&gt;19&lt;/key&gt;&lt;/foreign-keys&gt;&lt;ref-type name="Journal Article"&gt;17&lt;/ref-type&gt;&lt;contributors&gt;&lt;authors&gt;&lt;author&gt;Jiang, Fengjing&lt;/author&gt;&lt;author&gt;He, Zongqi&lt;/author&gt;&lt;author&gt;Guo, Dingyu&lt;/author&gt;&lt;author&gt;Zhou, Xinjie&lt;/author&gt;&lt;/authors&gt;&lt;/contributors&gt;&lt;titles&gt;&lt;title&gt;Carbon aerogel modified graphite felt as advanced electrodes for vanadium redox flow batteries&lt;/title&gt;&lt;secondary-title&gt;Journal of Power Sources&lt;/secondary-title&gt;&lt;/titles&gt;&lt;periodical&gt;&lt;full-title&gt;Journal of Power Sources&lt;/full-title&gt;&lt;/periodical&gt;&lt;pages&gt;227114-227114&lt;/pages&gt;&lt;volume&gt;440&lt;/volume&gt;&lt;keywords&gt;&lt;keyword&gt;Carbon-carbon composite&lt;/keyword&gt;&lt;keyword&gt;Electode&lt;/keyword&gt;&lt;keyword&gt;Graphite felt&lt;/keyword&gt;&lt;keyword&gt;carbon aerogel&lt;/keyword&gt;&lt;keyword&gt;vanadium redox flow battery&lt;/keyword&gt;&lt;/keywords&gt;&lt;dates&gt;&lt;year&gt;2019&lt;/year&gt;&lt;/dates&gt;&lt;publisher&gt;Elsevier&lt;/publisher&gt;&lt;urls&gt;&lt;related-urls&gt;&lt;url&gt;https://www.sciencedirect.com/science/article/pii/S0378775319311073#fig4&lt;/url&gt;&lt;/related-urls&gt;&lt;/urls&gt;&lt;electronic-resource-num&gt;10.1016/J.JPOWSOUR.2019.227114&lt;/electronic-resource-num&gt;&lt;/record&gt;&lt;/Cite&gt;&lt;/EndNote&gt;</w:instrText>
      </w:r>
      <w:r w:rsidRPr="00025049">
        <w:rPr>
          <w:noProof/>
        </w:rPr>
        <w:fldChar w:fldCharType="separate"/>
      </w:r>
      <w:r w:rsidRPr="00156886">
        <w:rPr>
          <w:noProof/>
          <w:vertAlign w:val="superscript"/>
        </w:rPr>
        <w:t>[11]</w:t>
      </w:r>
      <w:r w:rsidRPr="00025049">
        <w:rPr>
          <w:noProof/>
        </w:rPr>
        <w:fldChar w:fldCharType="end"/>
      </w:r>
      <w:r w:rsidRPr="00025049">
        <w:t xml:space="preserve"> As an example; 6.7 mL of 37% formaldehyde solution (Sigma Aldrich, ACS Reagent, 37 wt.% in water) was diluted with 10.8 mL of water (Millipore Milli-Q, 18.2 MΩ cm), and then 4 g of resorcinol (Alfa </w:t>
      </w:r>
      <w:proofErr w:type="spellStart"/>
      <w:r w:rsidRPr="00025049">
        <w:t>Aesar</w:t>
      </w:r>
      <w:proofErr w:type="spellEnd"/>
      <w:r w:rsidRPr="00025049">
        <w:t>, 99%) was added. The solution was stirred at room temperature until the resorcinol was fully dissolved. Then 2.6 mL of 1.5 g L</w:t>
      </w:r>
      <w:r w:rsidRPr="00025049">
        <w:rPr>
          <w:vertAlign w:val="superscript"/>
        </w:rPr>
        <w:t>-1</w:t>
      </w:r>
      <w:r w:rsidRPr="00025049">
        <w:t xml:space="preserve"> Na</w:t>
      </w:r>
      <w:r w:rsidRPr="00025049">
        <w:rPr>
          <w:vertAlign w:val="subscript"/>
        </w:rPr>
        <w:t>2</w:t>
      </w:r>
      <w:r w:rsidRPr="00025049">
        <w:t>CO</w:t>
      </w:r>
      <w:r w:rsidRPr="00025049">
        <w:rPr>
          <w:vertAlign w:val="subscript"/>
        </w:rPr>
        <w:t>3(</w:t>
      </w:r>
      <w:proofErr w:type="spellStart"/>
      <w:r w:rsidRPr="00025049">
        <w:rPr>
          <w:vertAlign w:val="subscript"/>
        </w:rPr>
        <w:t>aq</w:t>
      </w:r>
      <w:proofErr w:type="spellEnd"/>
      <w:r w:rsidRPr="00025049">
        <w:rPr>
          <w:vertAlign w:val="subscript"/>
        </w:rPr>
        <w:t xml:space="preserve">) </w:t>
      </w:r>
      <w:r w:rsidRPr="00025049">
        <w:t xml:space="preserve">(VWR) was added (as catalyst), giving a final composition of 1:2.5 mole ratio of </w:t>
      </w:r>
      <w:proofErr w:type="spellStart"/>
      <w:r w:rsidRPr="00025049">
        <w:t>resorcinol:formaldehyde</w:t>
      </w:r>
      <w:proofErr w:type="spellEnd"/>
      <w:r w:rsidRPr="00025049">
        <w:t xml:space="preserve"> (R/F = 0.4, fixed for all experiments in this paper), 1:5 (0.2) mass ratio of </w:t>
      </w:r>
      <w:proofErr w:type="spellStart"/>
      <w:r w:rsidRPr="00025049">
        <w:t>resorcinol:solvent</w:t>
      </w:r>
      <w:proofErr w:type="spellEnd"/>
      <w:r w:rsidRPr="00025049">
        <w:t xml:space="preserve">, and 1000:1 molar ratio of </w:t>
      </w:r>
      <w:proofErr w:type="spellStart"/>
      <w:r w:rsidRPr="00025049">
        <w:t>resorcinol:catalyst</w:t>
      </w:r>
      <w:proofErr w:type="spellEnd"/>
      <w:r w:rsidRPr="00025049">
        <w:t xml:space="preserve"> (Na</w:t>
      </w:r>
      <w:r w:rsidRPr="00025049">
        <w:rPr>
          <w:vertAlign w:val="subscript"/>
        </w:rPr>
        <w:t>2</w:t>
      </w:r>
      <w:r w:rsidRPr="00025049">
        <w:t>CO</w:t>
      </w:r>
      <w:r w:rsidRPr="00025049">
        <w:rPr>
          <w:vertAlign w:val="subscript"/>
        </w:rPr>
        <w:t>3</w:t>
      </w:r>
      <w:r w:rsidRPr="00025049">
        <w:t xml:space="preserve"> and NaOH). The different electrodes were named as 200|0.05, 200|0.2 and 1000|0.2 (R/C molar ratio |R/W weight ratio). SGL Carbon Paper (0.4 mm thickness SIGRACET 10 AA with a specific surface area = 0.7 m</w:t>
      </w:r>
      <w:r w:rsidRPr="00025049">
        <w:rPr>
          <w:vertAlign w:val="superscript"/>
        </w:rPr>
        <w:t>2</w:t>
      </w:r>
      <w:r w:rsidRPr="00025049">
        <w:t xml:space="preserve"> g</w:t>
      </w:r>
      <w:r w:rsidRPr="00025049">
        <w:rPr>
          <w:vertAlign w:val="superscript"/>
        </w:rPr>
        <w:t>-1</w:t>
      </w:r>
      <w:r w:rsidRPr="00025049">
        <w:t>, areal weigh = 85 g m</w:t>
      </w:r>
      <w:r w:rsidRPr="00025049">
        <w:rPr>
          <w:vertAlign w:val="superscript"/>
        </w:rPr>
        <w:t>-2</w:t>
      </w:r>
      <w:r w:rsidRPr="00025049">
        <w:t xml:space="preserve">) was first treated with an oxygen plasma to render the material hydrophilic and ensure infiltration by the resorcinol – formaldehyde solution. This activation was performed in a Diener Nano 40 kHz plasma chamber, at 0.3 </w:t>
      </w:r>
      <w:proofErr w:type="spellStart"/>
      <w:r w:rsidRPr="00025049">
        <w:t>mBar</w:t>
      </w:r>
      <w:proofErr w:type="spellEnd"/>
      <w:r w:rsidRPr="00025049">
        <w:t xml:space="preserve"> oxygen pressure (BOC, N5.5) and 300 W plasma power for 10 mins, flipping over the electrode halfway through the process. The activated carbon paper (3 x 3 cm) was place in a heat-seal bag (NIP30PE75, </w:t>
      </w:r>
      <w:proofErr w:type="spellStart"/>
      <w:r w:rsidRPr="00025049">
        <w:t>Skultuna</w:t>
      </w:r>
      <w:proofErr w:type="spellEnd"/>
      <w:r w:rsidRPr="00025049">
        <w:t xml:space="preserve"> Flexible) filled with 20 mL of resorcinol-formaldehyde solution. The bag was then sealed to avoid solvent evaporation and aged at 90 </w:t>
      </w:r>
      <w:proofErr w:type="spellStart"/>
      <w:r w:rsidRPr="00025049">
        <w:rPr>
          <w:vertAlign w:val="superscript"/>
        </w:rPr>
        <w:t>o</w:t>
      </w:r>
      <w:r w:rsidRPr="00025049">
        <w:t>C</w:t>
      </w:r>
      <w:proofErr w:type="spellEnd"/>
      <w:r w:rsidRPr="00025049">
        <w:t xml:space="preserve"> in a convection oven for 7 days at 90 </w:t>
      </w:r>
      <w:proofErr w:type="spellStart"/>
      <w:r w:rsidRPr="00025049">
        <w:rPr>
          <w:vertAlign w:val="superscript"/>
        </w:rPr>
        <w:t>o</w:t>
      </w:r>
      <w:r w:rsidRPr="00025049">
        <w:t>C.</w:t>
      </w:r>
      <w:proofErr w:type="spellEnd"/>
      <w:r w:rsidRPr="00025049">
        <w:t xml:space="preserve"> This process formed the hydrogel and allowed impregnation into the carbon paper substrate.</w:t>
      </w:r>
    </w:p>
    <w:p w14:paraId="08DB5CD0" w14:textId="77777777" w:rsidR="00FE53E3" w:rsidRPr="00025049" w:rsidRDefault="00FE53E3" w:rsidP="00FE53E3">
      <w:pPr>
        <w:pStyle w:val="ExperimentalSection"/>
      </w:pPr>
      <w:r w:rsidRPr="00025049">
        <w:t xml:space="preserve">Excess hydrogel was removed from the surface of the carbon paper using a scalpel. This excess material underwent the same work-up as the aerogel loaded carbon paper described below, producing samples of the unsupported material for characterization (scheme of the process is shown in </w:t>
      </w:r>
      <w:r w:rsidRPr="00025049">
        <w:rPr>
          <w:b/>
          <w:bCs/>
        </w:rPr>
        <w:fldChar w:fldCharType="begin"/>
      </w:r>
      <w:r w:rsidRPr="00025049">
        <w:rPr>
          <w:b/>
          <w:bCs/>
        </w:rPr>
        <w:instrText xml:space="preserve"> REF _Ref69815617 \h  \* MERGEFORMAT </w:instrText>
      </w:r>
      <w:r w:rsidRPr="00025049">
        <w:rPr>
          <w:b/>
          <w:bCs/>
        </w:rPr>
      </w:r>
      <w:r w:rsidRPr="00025049">
        <w:rPr>
          <w:b/>
          <w:bCs/>
        </w:rPr>
        <w:fldChar w:fldCharType="separate"/>
      </w:r>
      <w:r w:rsidRPr="00AB3850">
        <w:rPr>
          <w:b/>
          <w:bCs/>
        </w:rPr>
        <w:t xml:space="preserve">Figure </w:t>
      </w:r>
      <w:r w:rsidRPr="00AB3850">
        <w:rPr>
          <w:b/>
          <w:bCs/>
          <w:noProof/>
        </w:rPr>
        <w:t>7</w:t>
      </w:r>
      <w:r w:rsidRPr="00025049">
        <w:rPr>
          <w:b/>
          <w:bCs/>
        </w:rPr>
        <w:fldChar w:fldCharType="end"/>
      </w:r>
      <w:r w:rsidRPr="00025049">
        <w:t>).</w:t>
      </w:r>
    </w:p>
    <w:p w14:paraId="62845560" w14:textId="77777777" w:rsidR="00FE53E3" w:rsidRPr="00025049" w:rsidRDefault="00FE53E3" w:rsidP="00FE53E3">
      <w:pPr>
        <w:pStyle w:val="ExperimentalSection"/>
        <w:sectPr w:rsidR="00FE53E3" w:rsidRPr="00025049" w:rsidSect="00B72F51">
          <w:type w:val="continuous"/>
          <w:pgSz w:w="11906" w:h="16838" w:code="9"/>
          <w:pgMar w:top="1673" w:right="936" w:bottom="1134" w:left="936" w:header="709" w:footer="709" w:gutter="0"/>
          <w:cols w:num="2" w:space="284"/>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34"/>
      </w:tblGrid>
      <w:tr w:rsidR="00FE53E3" w:rsidRPr="00025049" w14:paraId="7B84EEA2" w14:textId="77777777" w:rsidTr="00ED2E8B">
        <w:tc>
          <w:tcPr>
            <w:tcW w:w="10250" w:type="dxa"/>
          </w:tcPr>
          <w:p w14:paraId="09CC3E76" w14:textId="77777777" w:rsidR="00FE53E3" w:rsidRPr="00025049" w:rsidRDefault="00FE53E3" w:rsidP="00ED2E8B">
            <w:pPr>
              <w:pStyle w:val="ExperimentalSection"/>
              <w:spacing w:after="0" w:line="240" w:lineRule="auto"/>
              <w:jc w:val="center"/>
            </w:pPr>
            <w:r w:rsidRPr="00025049">
              <w:rPr>
                <w:noProof/>
              </w:rPr>
              <w:lastRenderedPageBreak/>
              <w:drawing>
                <wp:inline distT="0" distB="0" distL="0" distR="0" wp14:anchorId="4B65B930" wp14:editId="187E4FCA">
                  <wp:extent cx="5040000" cy="3672547"/>
                  <wp:effectExtent l="0" t="0" r="8255" b="4445"/>
                  <wp:docPr id="1" name="Imagen 10" descr="Imagen que contiene 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n que contiene Escala de tiempo&#10;&#10;Descripción generada automáticament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040000" cy="3672547"/>
                          </a:xfrm>
                          <a:prstGeom prst="rect">
                            <a:avLst/>
                          </a:prstGeom>
                          <a:noFill/>
                          <a:ln>
                            <a:noFill/>
                          </a:ln>
                        </pic:spPr>
                      </pic:pic>
                    </a:graphicData>
                  </a:graphic>
                </wp:inline>
              </w:drawing>
            </w:r>
          </w:p>
        </w:tc>
      </w:tr>
    </w:tbl>
    <w:p w14:paraId="35C3BEC7" w14:textId="77777777" w:rsidR="00FE53E3" w:rsidRPr="00025049" w:rsidRDefault="00FE53E3" w:rsidP="00FE53E3">
      <w:pPr>
        <w:pStyle w:val="Caption"/>
        <w:rPr>
          <w:b w:val="0"/>
          <w:bCs w:val="0"/>
        </w:rPr>
      </w:pPr>
      <w:bookmarkStart w:id="15" w:name="_Ref69815617"/>
      <w:r w:rsidRPr="00025049">
        <w:t xml:space="preserve">Figure </w:t>
      </w:r>
      <w:r>
        <w:fldChar w:fldCharType="begin"/>
      </w:r>
      <w:r>
        <w:instrText xml:space="preserve"> SEQ Figure \* ARABIC </w:instrText>
      </w:r>
      <w:r>
        <w:fldChar w:fldCharType="separate"/>
      </w:r>
      <w:r>
        <w:rPr>
          <w:noProof/>
        </w:rPr>
        <w:t>7</w:t>
      </w:r>
      <w:r>
        <w:rPr>
          <w:noProof/>
        </w:rPr>
        <w:fldChar w:fldCharType="end"/>
      </w:r>
      <w:bookmarkEnd w:id="15"/>
      <w:r w:rsidRPr="00025049">
        <w:t xml:space="preserve">. </w:t>
      </w:r>
      <w:r w:rsidRPr="00025049">
        <w:rPr>
          <w:b w:val="0"/>
          <w:bCs w:val="0"/>
        </w:rPr>
        <w:t>Scheme of the CAGs synthetic process and a cross section of the carbon paper plain and CAG loaded.</w:t>
      </w:r>
    </w:p>
    <w:p w14:paraId="317AB0EF" w14:textId="77777777" w:rsidR="00FE53E3" w:rsidRPr="00025049" w:rsidRDefault="00FE53E3" w:rsidP="00FE53E3">
      <w:pPr>
        <w:pStyle w:val="ExperimentalSection"/>
        <w:sectPr w:rsidR="00FE53E3" w:rsidRPr="00025049" w:rsidSect="00663144">
          <w:type w:val="continuous"/>
          <w:pgSz w:w="11906" w:h="16838" w:code="9"/>
          <w:pgMar w:top="1673" w:right="936" w:bottom="1134" w:left="936" w:header="709" w:footer="709" w:gutter="0"/>
          <w:cols w:space="284"/>
          <w:docGrid w:linePitch="360"/>
        </w:sectPr>
      </w:pPr>
    </w:p>
    <w:p w14:paraId="4AE29618" w14:textId="77777777" w:rsidR="00FE53E3" w:rsidRPr="00025049" w:rsidRDefault="00FE53E3" w:rsidP="00FE53E3">
      <w:pPr>
        <w:pStyle w:val="ExperimentalSection"/>
      </w:pPr>
      <w:r w:rsidRPr="00025049">
        <w:t xml:space="preserve">During the formation of the CAG it is important that micro and meso and macro-pores are not collapsed due to capillary forces. In order to avoid formation of a liquid gas interface (and thus avoid the forces leading to capillary collapse of the structure), we replace the reactant water with </w:t>
      </w:r>
      <w:r w:rsidRPr="00025049">
        <w:rPr>
          <w:i/>
        </w:rPr>
        <w:t>tert</w:t>
      </w:r>
      <w:r w:rsidRPr="00025049">
        <w:t xml:space="preserve">-butanol which has a low density change on freezing (0.8%), relatively high freezing point of 25.6 </w:t>
      </w:r>
      <w:proofErr w:type="spellStart"/>
      <w:r w:rsidRPr="00025049">
        <w:rPr>
          <w:vertAlign w:val="superscript"/>
        </w:rPr>
        <w:t>o</w:t>
      </w:r>
      <w:r w:rsidRPr="00025049">
        <w:t>C</w:t>
      </w:r>
      <w:proofErr w:type="spellEnd"/>
      <w:r w:rsidRPr="00025049">
        <w:t xml:space="preserve"> and thus is ideal as a liquid to use during the freeze-drying process.  To remove the soluble impurities, such as the base catalyst and excess formaldehyde, the impregnated carbon paper was soaked in water at 90 </w:t>
      </w:r>
      <w:proofErr w:type="spellStart"/>
      <w:r w:rsidRPr="00025049">
        <w:rPr>
          <w:vertAlign w:val="superscript"/>
        </w:rPr>
        <w:t>o</w:t>
      </w:r>
      <w:r w:rsidRPr="00025049">
        <w:t>C</w:t>
      </w:r>
      <w:proofErr w:type="spellEnd"/>
      <w:r w:rsidRPr="00025049">
        <w:t xml:space="preserve"> for 5 days, replacing the solvent with fresh water every 24 h. The solvent was then exchanged with </w:t>
      </w:r>
      <w:r w:rsidRPr="00025049">
        <w:rPr>
          <w:i/>
        </w:rPr>
        <w:t>tert</w:t>
      </w:r>
      <w:r w:rsidRPr="00025049">
        <w:t xml:space="preserve">-butanol (Sigma-Aldrich, ACS Reagent) at 40 </w:t>
      </w:r>
      <w:proofErr w:type="spellStart"/>
      <w:r w:rsidRPr="00025049">
        <w:rPr>
          <w:vertAlign w:val="superscript"/>
        </w:rPr>
        <w:t>o</w:t>
      </w:r>
      <w:r w:rsidRPr="00025049">
        <w:t>C</w:t>
      </w:r>
      <w:proofErr w:type="spellEnd"/>
      <w:r w:rsidRPr="00025049">
        <w:t xml:space="preserve"> for 5 days, exchanging the solvent every 24 h. Finally, an aerogel was formed from the hydrogel by freeze-drying (Christ Alpha 2-4 LD Plus) at 0.01 </w:t>
      </w:r>
      <w:proofErr w:type="spellStart"/>
      <w:r w:rsidRPr="00025049">
        <w:t>mBar</w:t>
      </w:r>
      <w:proofErr w:type="spellEnd"/>
      <w:r w:rsidRPr="00025049">
        <w:t xml:space="preserve"> and -88 °C during at least 72 h.</w:t>
      </w:r>
    </w:p>
    <w:p w14:paraId="71A4E551" w14:textId="77777777" w:rsidR="00FE53E3" w:rsidRPr="00025049" w:rsidRDefault="00FE53E3" w:rsidP="00FE53E3">
      <w:pPr>
        <w:pStyle w:val="ExperimentalSection"/>
      </w:pPr>
      <w:r w:rsidRPr="00025049">
        <w:t xml:space="preserve">Aerogels were </w:t>
      </w:r>
      <w:proofErr w:type="spellStart"/>
      <w:r w:rsidRPr="00025049">
        <w:t>pyrolised</w:t>
      </w:r>
      <w:proofErr w:type="spellEnd"/>
      <w:r w:rsidRPr="00025049">
        <w:t xml:space="preserve"> in a tube furnace (CARBOLITE MTF 12/38/400) under a flow of nitrogen (BOC, Research Grade). Freshly dried aerogels were loaded into the furnace at room temperature.  The furnace was ramped from room temperature to 1000 </w:t>
      </w:r>
      <w:proofErr w:type="spellStart"/>
      <w:r w:rsidRPr="00025049">
        <w:rPr>
          <w:vertAlign w:val="superscript"/>
        </w:rPr>
        <w:t>o</w:t>
      </w:r>
      <w:r w:rsidRPr="00025049">
        <w:t>C</w:t>
      </w:r>
      <w:proofErr w:type="spellEnd"/>
      <w:r w:rsidRPr="00025049">
        <w:t xml:space="preserve"> with a ramp rate of 1 </w:t>
      </w:r>
      <w:proofErr w:type="spellStart"/>
      <w:r w:rsidRPr="00025049">
        <w:rPr>
          <w:vertAlign w:val="superscript"/>
        </w:rPr>
        <w:t>o</w:t>
      </w:r>
      <w:r w:rsidRPr="00025049">
        <w:t>C</w:t>
      </w:r>
      <w:proofErr w:type="spellEnd"/>
      <w:r w:rsidRPr="00025049">
        <w:t xml:space="preserve"> min</w:t>
      </w:r>
      <w:r w:rsidRPr="00025049">
        <w:rPr>
          <w:vertAlign w:val="superscript"/>
        </w:rPr>
        <w:t>-1</w:t>
      </w:r>
      <w:r w:rsidRPr="00025049">
        <w:t>, dwelled for 8 h at 1000 °C. The furnace was then turned off and allowed to cool to room temperature without forced cooling under N</w:t>
      </w:r>
      <w:r w:rsidRPr="00025049">
        <w:rPr>
          <w:vertAlign w:val="subscript"/>
        </w:rPr>
        <w:t>2</w:t>
      </w:r>
      <w:r w:rsidRPr="00025049">
        <w:t xml:space="preserve"> Flow (taking ca. 6 hours). The </w:t>
      </w:r>
      <w:proofErr w:type="spellStart"/>
      <w:r w:rsidRPr="00025049">
        <w:t>pyrolised</w:t>
      </w:r>
      <w:proofErr w:type="spellEnd"/>
      <w:r w:rsidRPr="00025049">
        <w:t xml:space="preserve"> aerogels were then removed whereby exposing them to air and cut to the appropriate size for further use. The typical loading of the aerogel on each electrode was determined by mass difference from the underivatized carbon electrode, shown in </w:t>
      </w:r>
      <w:r w:rsidRPr="00025049">
        <w:rPr>
          <w:b/>
          <w:bCs/>
        </w:rPr>
        <w:fldChar w:fldCharType="begin"/>
      </w:r>
      <w:r w:rsidRPr="00025049">
        <w:instrText xml:space="preserve"> REF _Ref69749211 \h </w:instrText>
      </w:r>
      <w:r w:rsidRPr="00025049">
        <w:rPr>
          <w:b/>
          <w:bCs/>
        </w:rPr>
      </w:r>
      <w:r w:rsidRPr="00025049">
        <w:rPr>
          <w:b/>
          <w:bCs/>
        </w:rPr>
        <w:fldChar w:fldCharType="separate"/>
      </w:r>
      <w:r w:rsidRPr="00025049">
        <w:rPr>
          <w:b/>
          <w:bCs/>
        </w:rPr>
        <w:t xml:space="preserve">Table </w:t>
      </w:r>
      <w:r>
        <w:rPr>
          <w:b/>
          <w:bCs/>
          <w:noProof/>
        </w:rPr>
        <w:t>3</w:t>
      </w:r>
      <w:r w:rsidRPr="00025049">
        <w:rPr>
          <w:b/>
          <w:bCs/>
        </w:rPr>
        <w:fldChar w:fldCharType="end"/>
      </w:r>
      <w:r w:rsidRPr="00025049">
        <w:t>.</w:t>
      </w:r>
    </w:p>
    <w:p w14:paraId="5DFE4305" w14:textId="77777777" w:rsidR="00FE53E3" w:rsidRPr="00025049" w:rsidRDefault="00FE53E3" w:rsidP="00FE53E3">
      <w:pPr>
        <w:pStyle w:val="TableCaption"/>
      </w:pPr>
      <w:bookmarkStart w:id="16" w:name="_Ref69749211"/>
      <w:r w:rsidRPr="00025049">
        <w:rPr>
          <w:b/>
          <w:bCs/>
        </w:rPr>
        <w:t xml:space="preserve">Table </w:t>
      </w:r>
      <w:r w:rsidRPr="00025049">
        <w:rPr>
          <w:b/>
          <w:bCs/>
        </w:rPr>
        <w:fldChar w:fldCharType="begin"/>
      </w:r>
      <w:r w:rsidRPr="00025049">
        <w:rPr>
          <w:b/>
          <w:bCs/>
        </w:rPr>
        <w:instrText xml:space="preserve"> SEQ Table \* ARABIC </w:instrText>
      </w:r>
      <w:r w:rsidRPr="00025049">
        <w:rPr>
          <w:b/>
          <w:bCs/>
        </w:rPr>
        <w:fldChar w:fldCharType="separate"/>
      </w:r>
      <w:r>
        <w:rPr>
          <w:b/>
          <w:bCs/>
          <w:noProof/>
        </w:rPr>
        <w:t>3</w:t>
      </w:r>
      <w:r w:rsidRPr="00025049">
        <w:rPr>
          <w:b/>
          <w:bCs/>
        </w:rPr>
        <w:fldChar w:fldCharType="end"/>
      </w:r>
      <w:bookmarkEnd w:id="16"/>
      <w:r w:rsidRPr="00025049">
        <w:t>. Loading and mass fraction of the different aerogels grown on SGL carbon paper (85 g m</w:t>
      </w:r>
      <w:r w:rsidRPr="00025049">
        <w:rPr>
          <w:vertAlign w:val="superscript"/>
        </w:rPr>
        <w:t>-2</w:t>
      </w:r>
      <w:r w:rsidRPr="00025049">
        <w:t>).</w:t>
      </w:r>
    </w:p>
    <w:tbl>
      <w:tblPr>
        <w:tblStyle w:val="PlainTable41"/>
        <w:tblW w:w="5000" w:type="pct"/>
        <w:jc w:val="center"/>
        <w:tblLook w:val="04A0" w:firstRow="1" w:lastRow="0" w:firstColumn="1" w:lastColumn="0" w:noHBand="0" w:noVBand="1"/>
      </w:tblPr>
      <w:tblGrid>
        <w:gridCol w:w="1843"/>
        <w:gridCol w:w="1095"/>
        <w:gridCol w:w="1937"/>
      </w:tblGrid>
      <w:tr w:rsidR="00FE53E3" w:rsidRPr="00025049" w14:paraId="1804393F" w14:textId="77777777" w:rsidTr="00ED2E8B">
        <w:trPr>
          <w:cnfStyle w:val="100000000000" w:firstRow="1" w:lastRow="0" w:firstColumn="0" w:lastColumn="0" w:oddVBand="0" w:evenVBand="0" w:oddHBand="0"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890" w:type="pct"/>
            <w:tcBorders>
              <w:top w:val="single" w:sz="4" w:space="0" w:color="auto"/>
              <w:bottom w:val="single" w:sz="4" w:space="0" w:color="auto"/>
            </w:tcBorders>
            <w:shd w:val="clear" w:color="auto" w:fill="auto"/>
            <w:vAlign w:val="center"/>
          </w:tcPr>
          <w:p w14:paraId="7E5DF48C" w14:textId="77777777" w:rsidR="00FE53E3" w:rsidRPr="00025049" w:rsidRDefault="00FE53E3" w:rsidP="00ED2E8B">
            <w:pPr>
              <w:pStyle w:val="RSCB02ArticleText"/>
              <w:jc w:val="center"/>
              <w:rPr>
                <w:rFonts w:ascii="Arial" w:hAnsi="Arial" w:cs="Arial"/>
                <w:b w:val="0"/>
                <w:bCs w:val="0"/>
                <w:i/>
                <w:iCs/>
                <w:sz w:val="14"/>
                <w:szCs w:val="14"/>
              </w:rPr>
            </w:pPr>
            <w:r w:rsidRPr="00025049">
              <w:rPr>
                <w:rFonts w:ascii="Arial" w:hAnsi="Arial" w:cs="Arial"/>
                <w:b w:val="0"/>
                <w:bCs w:val="0"/>
                <w:i/>
                <w:iCs/>
                <w:sz w:val="14"/>
                <w:szCs w:val="14"/>
              </w:rPr>
              <w:t>Sample</w:t>
            </w:r>
          </w:p>
        </w:tc>
        <w:tc>
          <w:tcPr>
            <w:tcW w:w="1123" w:type="pct"/>
            <w:tcBorders>
              <w:top w:val="single" w:sz="4" w:space="0" w:color="auto"/>
              <w:bottom w:val="single" w:sz="4" w:space="0" w:color="auto"/>
            </w:tcBorders>
            <w:shd w:val="clear" w:color="auto" w:fill="auto"/>
            <w:vAlign w:val="center"/>
          </w:tcPr>
          <w:p w14:paraId="757BA7FA" w14:textId="77777777" w:rsidR="00FE53E3" w:rsidRPr="00025049" w:rsidRDefault="00FE53E3" w:rsidP="00ED2E8B">
            <w:pPr>
              <w:pStyle w:val="RSCB02ArticleText"/>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i/>
                <w:iCs/>
                <w:sz w:val="14"/>
                <w:szCs w:val="14"/>
              </w:rPr>
            </w:pPr>
            <w:r w:rsidRPr="00025049">
              <w:rPr>
                <w:rFonts w:ascii="Arial" w:hAnsi="Arial" w:cs="Arial"/>
                <w:b w:val="0"/>
                <w:bCs w:val="0"/>
                <w:i/>
                <w:iCs/>
                <w:sz w:val="14"/>
                <w:szCs w:val="14"/>
              </w:rPr>
              <w:t>Mass / g m</w:t>
            </w:r>
            <w:r w:rsidRPr="00025049">
              <w:rPr>
                <w:rFonts w:ascii="Arial" w:hAnsi="Arial" w:cs="Arial"/>
                <w:b w:val="0"/>
                <w:bCs w:val="0"/>
                <w:i/>
                <w:iCs/>
                <w:sz w:val="14"/>
                <w:szCs w:val="14"/>
                <w:vertAlign w:val="superscript"/>
              </w:rPr>
              <w:t>-2</w:t>
            </w:r>
          </w:p>
        </w:tc>
        <w:tc>
          <w:tcPr>
            <w:tcW w:w="1987" w:type="pct"/>
            <w:tcBorders>
              <w:top w:val="single" w:sz="4" w:space="0" w:color="auto"/>
              <w:bottom w:val="single" w:sz="4" w:space="0" w:color="auto"/>
            </w:tcBorders>
            <w:shd w:val="clear" w:color="auto" w:fill="auto"/>
            <w:vAlign w:val="center"/>
          </w:tcPr>
          <w:p w14:paraId="23E80B3F" w14:textId="77777777" w:rsidR="00FE53E3" w:rsidRPr="00025049" w:rsidRDefault="00FE53E3" w:rsidP="00ED2E8B">
            <w:pPr>
              <w:pStyle w:val="RSCB02ArticleText"/>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i/>
                <w:iCs/>
                <w:sz w:val="14"/>
                <w:szCs w:val="14"/>
              </w:rPr>
            </w:pPr>
            <w:r w:rsidRPr="00025049">
              <w:rPr>
                <w:rFonts w:ascii="Arial" w:hAnsi="Arial" w:cs="Arial"/>
                <w:b w:val="0"/>
                <w:bCs w:val="0"/>
                <w:i/>
                <w:iCs/>
                <w:sz w:val="14"/>
                <w:szCs w:val="14"/>
              </w:rPr>
              <w:t>CAG Mass Fraction / %</w:t>
            </w:r>
          </w:p>
        </w:tc>
      </w:tr>
      <w:tr w:rsidR="00FE53E3" w:rsidRPr="00025049" w14:paraId="4788203E" w14:textId="77777777" w:rsidTr="00ED2E8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pct"/>
            <w:tcBorders>
              <w:top w:val="single" w:sz="4" w:space="0" w:color="auto"/>
            </w:tcBorders>
            <w:shd w:val="clear" w:color="auto" w:fill="auto"/>
            <w:vAlign w:val="center"/>
          </w:tcPr>
          <w:p w14:paraId="7514D2B1" w14:textId="77777777" w:rsidR="00FE53E3" w:rsidRPr="00025049" w:rsidRDefault="00FE53E3" w:rsidP="00ED2E8B">
            <w:pPr>
              <w:pStyle w:val="RSCB02ArticleText"/>
              <w:jc w:val="center"/>
              <w:rPr>
                <w:rFonts w:ascii="Arial" w:hAnsi="Arial" w:cs="Arial"/>
                <w:sz w:val="14"/>
                <w:szCs w:val="14"/>
              </w:rPr>
            </w:pPr>
            <w:r w:rsidRPr="00025049">
              <w:rPr>
                <w:rFonts w:ascii="Arial" w:hAnsi="Arial" w:cs="Arial"/>
                <w:sz w:val="14"/>
                <w:szCs w:val="14"/>
              </w:rPr>
              <w:t>SGL SIGRACET 10 AA</w:t>
            </w:r>
          </w:p>
        </w:tc>
        <w:tc>
          <w:tcPr>
            <w:tcW w:w="1123" w:type="pct"/>
            <w:tcBorders>
              <w:top w:val="single" w:sz="4" w:space="0" w:color="auto"/>
            </w:tcBorders>
            <w:shd w:val="clear" w:color="auto" w:fill="auto"/>
            <w:vAlign w:val="center"/>
          </w:tcPr>
          <w:p w14:paraId="3AE3C1F8" w14:textId="77777777" w:rsidR="00FE53E3" w:rsidRPr="00025049" w:rsidRDefault="00FE53E3" w:rsidP="00ED2E8B">
            <w:pPr>
              <w:pStyle w:val="RSCB02ArticleText"/>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(85.0)</w:t>
            </w:r>
          </w:p>
        </w:tc>
        <w:tc>
          <w:tcPr>
            <w:tcW w:w="1987" w:type="pct"/>
            <w:tcBorders>
              <w:top w:val="single" w:sz="4" w:space="0" w:color="auto"/>
            </w:tcBorders>
            <w:shd w:val="clear" w:color="auto" w:fill="auto"/>
            <w:vAlign w:val="center"/>
          </w:tcPr>
          <w:p w14:paraId="4E950FB3" w14:textId="77777777" w:rsidR="00FE53E3" w:rsidRPr="00025049" w:rsidRDefault="00FE53E3" w:rsidP="00ED2E8B">
            <w:pPr>
              <w:pStyle w:val="RSCB02ArticleText"/>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025049">
              <w:rPr>
                <w:rFonts w:ascii="Arial" w:hAnsi="Arial" w:cs="Arial"/>
                <w:sz w:val="14"/>
                <w:szCs w:val="14"/>
              </w:rPr>
              <w:t>0</w:t>
            </w:r>
          </w:p>
        </w:tc>
      </w:tr>
      <w:tr w:rsidR="00FE53E3" w:rsidRPr="00025049" w14:paraId="272CD9C9" w14:textId="77777777" w:rsidTr="00ED2E8B">
        <w:trPr>
          <w:jc w:val="center"/>
        </w:trPr>
        <w:tc>
          <w:tcPr>
            <w:cnfStyle w:val="001000000000" w:firstRow="0" w:lastRow="0" w:firstColumn="1" w:lastColumn="0" w:oddVBand="0" w:evenVBand="0" w:oddHBand="0" w:evenHBand="0" w:firstRowFirstColumn="0" w:firstRowLastColumn="0" w:lastRowFirstColumn="0" w:lastRowLastColumn="0"/>
            <w:tcW w:w="1890" w:type="pct"/>
            <w:shd w:val="clear" w:color="auto" w:fill="auto"/>
            <w:vAlign w:val="center"/>
          </w:tcPr>
          <w:p w14:paraId="4C49B8AC" w14:textId="77777777" w:rsidR="00FE53E3" w:rsidRPr="00025049" w:rsidRDefault="00FE53E3" w:rsidP="00ED2E8B">
            <w:pPr>
              <w:pStyle w:val="RSCB02ArticleText"/>
              <w:jc w:val="center"/>
              <w:rPr>
                <w:rFonts w:ascii="Arial" w:hAnsi="Arial" w:cs="Arial"/>
                <w:color w:val="FF0000"/>
                <w:sz w:val="14"/>
                <w:szCs w:val="14"/>
              </w:rPr>
            </w:pPr>
            <w:r w:rsidRPr="00025049">
              <w:rPr>
                <w:rFonts w:ascii="Arial" w:hAnsi="Arial" w:cs="Arial"/>
                <w:color w:val="FF0000"/>
                <w:sz w:val="14"/>
                <w:szCs w:val="14"/>
              </w:rPr>
              <w:t>200|0.05</w:t>
            </w:r>
          </w:p>
        </w:tc>
        <w:tc>
          <w:tcPr>
            <w:tcW w:w="1123" w:type="pct"/>
            <w:shd w:val="clear" w:color="auto" w:fill="auto"/>
            <w:vAlign w:val="center"/>
          </w:tcPr>
          <w:p w14:paraId="433E89A2" w14:textId="77777777" w:rsidR="00FE53E3" w:rsidRPr="00025049" w:rsidRDefault="00FE53E3" w:rsidP="00ED2E8B">
            <w:pPr>
              <w:pStyle w:val="RSCB02ArticleText"/>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4"/>
                <w:szCs w:val="14"/>
              </w:rPr>
            </w:pPr>
            <w:r w:rsidRPr="00025049">
              <w:rPr>
                <w:rFonts w:ascii="Arial" w:hAnsi="Arial" w:cs="Arial"/>
                <w:color w:val="FF0000"/>
                <w:sz w:val="14"/>
                <w:szCs w:val="14"/>
              </w:rPr>
              <w:t>6.2</w:t>
            </w:r>
          </w:p>
        </w:tc>
        <w:tc>
          <w:tcPr>
            <w:tcW w:w="1987" w:type="pct"/>
            <w:shd w:val="clear" w:color="auto" w:fill="auto"/>
            <w:vAlign w:val="center"/>
          </w:tcPr>
          <w:p w14:paraId="5132DBF3" w14:textId="77777777" w:rsidR="00FE53E3" w:rsidRPr="00025049" w:rsidRDefault="00FE53E3" w:rsidP="00ED2E8B">
            <w:pPr>
              <w:pStyle w:val="RSCB02ArticleText"/>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4"/>
                <w:szCs w:val="14"/>
              </w:rPr>
            </w:pPr>
            <w:r w:rsidRPr="00025049">
              <w:rPr>
                <w:rFonts w:ascii="Arial" w:hAnsi="Arial" w:cs="Arial"/>
                <w:color w:val="FF0000"/>
                <w:sz w:val="14"/>
                <w:szCs w:val="14"/>
              </w:rPr>
              <w:t>7</w:t>
            </w:r>
          </w:p>
        </w:tc>
      </w:tr>
      <w:tr w:rsidR="00FE53E3" w:rsidRPr="00025049" w14:paraId="358E5BC6" w14:textId="77777777" w:rsidTr="00ED2E8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pct"/>
            <w:shd w:val="clear" w:color="auto" w:fill="auto"/>
            <w:vAlign w:val="center"/>
          </w:tcPr>
          <w:p w14:paraId="7EABCC0F" w14:textId="77777777" w:rsidR="00FE53E3" w:rsidRPr="00025049" w:rsidRDefault="00FE53E3" w:rsidP="00ED2E8B">
            <w:pPr>
              <w:pStyle w:val="RSCB02ArticleText"/>
              <w:jc w:val="center"/>
              <w:rPr>
                <w:rFonts w:ascii="Arial" w:hAnsi="Arial" w:cs="Arial"/>
                <w:color w:val="0000FF"/>
                <w:sz w:val="14"/>
                <w:szCs w:val="14"/>
              </w:rPr>
            </w:pPr>
            <w:r w:rsidRPr="00025049">
              <w:rPr>
                <w:rFonts w:ascii="Arial" w:hAnsi="Arial" w:cs="Arial"/>
                <w:color w:val="0000FF"/>
                <w:sz w:val="14"/>
                <w:szCs w:val="14"/>
              </w:rPr>
              <w:t>200|0.2</w:t>
            </w:r>
          </w:p>
        </w:tc>
        <w:tc>
          <w:tcPr>
            <w:tcW w:w="1123" w:type="pct"/>
            <w:shd w:val="clear" w:color="auto" w:fill="auto"/>
            <w:vAlign w:val="center"/>
          </w:tcPr>
          <w:p w14:paraId="1FC045B3" w14:textId="77777777" w:rsidR="00FE53E3" w:rsidRPr="00025049" w:rsidRDefault="00FE53E3" w:rsidP="00ED2E8B">
            <w:pPr>
              <w:pStyle w:val="RSCB02ArticleText"/>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FF"/>
                <w:sz w:val="14"/>
                <w:szCs w:val="14"/>
              </w:rPr>
            </w:pPr>
            <w:r w:rsidRPr="00025049">
              <w:rPr>
                <w:rFonts w:ascii="Arial" w:hAnsi="Arial" w:cs="Arial"/>
                <w:color w:val="0000FF"/>
                <w:sz w:val="14"/>
                <w:szCs w:val="14"/>
              </w:rPr>
              <w:t>17.6</w:t>
            </w:r>
          </w:p>
        </w:tc>
        <w:tc>
          <w:tcPr>
            <w:tcW w:w="1987" w:type="pct"/>
            <w:shd w:val="clear" w:color="auto" w:fill="auto"/>
            <w:vAlign w:val="center"/>
          </w:tcPr>
          <w:p w14:paraId="2E3EAD62" w14:textId="77777777" w:rsidR="00FE53E3" w:rsidRPr="00025049" w:rsidRDefault="00FE53E3" w:rsidP="00ED2E8B">
            <w:pPr>
              <w:pStyle w:val="RSCB02ArticleText"/>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FF"/>
                <w:sz w:val="14"/>
                <w:szCs w:val="14"/>
              </w:rPr>
            </w:pPr>
            <w:r w:rsidRPr="00025049">
              <w:rPr>
                <w:rFonts w:ascii="Arial" w:hAnsi="Arial" w:cs="Arial"/>
                <w:color w:val="0000FF"/>
                <w:sz w:val="14"/>
                <w:szCs w:val="14"/>
              </w:rPr>
              <w:t>19</w:t>
            </w:r>
          </w:p>
        </w:tc>
      </w:tr>
      <w:tr w:rsidR="00FE53E3" w:rsidRPr="00025049" w14:paraId="73E3441C" w14:textId="77777777" w:rsidTr="00ED2E8B">
        <w:trPr>
          <w:jc w:val="center"/>
        </w:trPr>
        <w:tc>
          <w:tcPr>
            <w:cnfStyle w:val="001000000000" w:firstRow="0" w:lastRow="0" w:firstColumn="1" w:lastColumn="0" w:oddVBand="0" w:evenVBand="0" w:oddHBand="0" w:evenHBand="0" w:firstRowFirstColumn="0" w:firstRowLastColumn="0" w:lastRowFirstColumn="0" w:lastRowLastColumn="0"/>
            <w:tcW w:w="1890" w:type="pct"/>
            <w:tcBorders>
              <w:bottom w:val="single" w:sz="4" w:space="0" w:color="auto"/>
            </w:tcBorders>
            <w:shd w:val="clear" w:color="auto" w:fill="auto"/>
            <w:vAlign w:val="center"/>
          </w:tcPr>
          <w:p w14:paraId="3163863C" w14:textId="77777777" w:rsidR="00FE53E3" w:rsidRPr="00025049" w:rsidRDefault="00FE53E3" w:rsidP="00ED2E8B">
            <w:pPr>
              <w:pStyle w:val="RSCB02ArticleText"/>
              <w:jc w:val="center"/>
              <w:rPr>
                <w:rFonts w:ascii="Arial" w:hAnsi="Arial" w:cs="Arial"/>
                <w:color w:val="008000"/>
                <w:sz w:val="14"/>
                <w:szCs w:val="14"/>
              </w:rPr>
            </w:pPr>
            <w:r w:rsidRPr="00025049">
              <w:rPr>
                <w:rFonts w:ascii="Arial" w:hAnsi="Arial" w:cs="Arial"/>
                <w:color w:val="008000"/>
                <w:sz w:val="14"/>
                <w:szCs w:val="14"/>
              </w:rPr>
              <w:t>1000|0.2</w:t>
            </w:r>
          </w:p>
        </w:tc>
        <w:tc>
          <w:tcPr>
            <w:tcW w:w="1123" w:type="pct"/>
            <w:tcBorders>
              <w:bottom w:val="single" w:sz="4" w:space="0" w:color="auto"/>
            </w:tcBorders>
            <w:shd w:val="clear" w:color="auto" w:fill="auto"/>
            <w:vAlign w:val="center"/>
          </w:tcPr>
          <w:p w14:paraId="52217454" w14:textId="77777777" w:rsidR="00FE53E3" w:rsidRPr="00025049" w:rsidRDefault="00FE53E3" w:rsidP="00ED2E8B">
            <w:pPr>
              <w:pStyle w:val="RSCB02ArticleText"/>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8000"/>
                <w:sz w:val="14"/>
                <w:szCs w:val="14"/>
              </w:rPr>
            </w:pPr>
            <w:r w:rsidRPr="00025049">
              <w:rPr>
                <w:rFonts w:ascii="Arial" w:hAnsi="Arial" w:cs="Arial"/>
                <w:color w:val="008000"/>
                <w:sz w:val="14"/>
                <w:szCs w:val="14"/>
              </w:rPr>
              <w:t>16.8</w:t>
            </w:r>
          </w:p>
        </w:tc>
        <w:tc>
          <w:tcPr>
            <w:tcW w:w="1987" w:type="pct"/>
            <w:tcBorders>
              <w:bottom w:val="single" w:sz="4" w:space="0" w:color="auto"/>
            </w:tcBorders>
            <w:shd w:val="clear" w:color="auto" w:fill="auto"/>
            <w:vAlign w:val="center"/>
          </w:tcPr>
          <w:p w14:paraId="68788DC2" w14:textId="77777777" w:rsidR="00FE53E3" w:rsidRPr="00025049" w:rsidRDefault="00FE53E3" w:rsidP="00ED2E8B">
            <w:pPr>
              <w:pStyle w:val="RSCB02ArticleText"/>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8000"/>
                <w:sz w:val="14"/>
                <w:szCs w:val="14"/>
              </w:rPr>
            </w:pPr>
            <w:r w:rsidRPr="00025049">
              <w:rPr>
                <w:rFonts w:ascii="Arial" w:hAnsi="Arial" w:cs="Arial"/>
                <w:color w:val="008000"/>
                <w:sz w:val="14"/>
                <w:szCs w:val="14"/>
              </w:rPr>
              <w:t>18</w:t>
            </w:r>
          </w:p>
        </w:tc>
      </w:tr>
    </w:tbl>
    <w:p w14:paraId="70B8D0F1" w14:textId="77777777" w:rsidR="00FE53E3" w:rsidRPr="00025049" w:rsidRDefault="00FE53E3" w:rsidP="00FE53E3">
      <w:pPr>
        <w:pStyle w:val="ExperimentalSection"/>
      </w:pPr>
      <w:r w:rsidRPr="00025049">
        <w:t xml:space="preserve">The structural properties of the aerogel were varied by modifying the </w:t>
      </w:r>
      <w:proofErr w:type="spellStart"/>
      <w:r w:rsidRPr="00025049">
        <w:t>resorcinol:catalyst</w:t>
      </w:r>
      <w:proofErr w:type="spellEnd"/>
      <w:r w:rsidRPr="00025049">
        <w:t xml:space="preserve"> molar ratio (R/C) and </w:t>
      </w:r>
      <w:proofErr w:type="spellStart"/>
      <w:r w:rsidRPr="00025049">
        <w:t>resorcinol:solvent</w:t>
      </w:r>
      <w:proofErr w:type="spellEnd"/>
      <w:r w:rsidRPr="00025049">
        <w:t xml:space="preserve"> mass ratio (R/W), summarised in </w:t>
      </w:r>
      <w:r w:rsidRPr="00025049">
        <w:rPr>
          <w:b/>
          <w:bCs/>
        </w:rPr>
        <w:t xml:space="preserve">Table </w:t>
      </w:r>
      <w:r w:rsidRPr="00025049">
        <w:rPr>
          <w:b/>
          <w:bCs/>
          <w:noProof/>
        </w:rPr>
        <w:t>2</w:t>
      </w:r>
      <w:r w:rsidRPr="00025049">
        <w:t>.</w:t>
      </w:r>
    </w:p>
    <w:p w14:paraId="7D34A79B" w14:textId="77777777" w:rsidR="00FE53E3" w:rsidRPr="00025049" w:rsidRDefault="00FE53E3" w:rsidP="00FE53E3">
      <w:pPr>
        <w:pStyle w:val="ExperimentalSection"/>
        <w:rPr>
          <w:i/>
          <w:iCs/>
        </w:rPr>
      </w:pPr>
      <w:r w:rsidRPr="00025049">
        <w:rPr>
          <w:i/>
          <w:iCs/>
        </w:rPr>
        <w:t>BET and Pore Size Distributions</w:t>
      </w:r>
    </w:p>
    <w:p w14:paraId="680EE176" w14:textId="77777777" w:rsidR="00FE53E3" w:rsidRPr="00025049" w:rsidRDefault="00FE53E3" w:rsidP="00FE53E3">
      <w:pPr>
        <w:pStyle w:val="ExperimentalSection"/>
      </w:pPr>
      <w:r w:rsidRPr="00025049">
        <w:t>Surface area and pore size distribution were determined via gas adsorption (TriStar II-Plus surface area and porosity analyser, Micromeritics). Bulk aerogel samples were first ground with a mortar and pestle, and then 100 mg of sample was analysed. For aerogels loaded onto carbon paper, approximately 5 cm</w:t>
      </w:r>
      <w:r w:rsidRPr="00025049">
        <w:rPr>
          <w:vertAlign w:val="superscript"/>
        </w:rPr>
        <w:t>2</w:t>
      </w:r>
      <w:r w:rsidRPr="00025049">
        <w:t xml:space="preserve"> of the prepared substrate was analysed. Prior to analysis, samples were dried at 300 </w:t>
      </w:r>
      <w:proofErr w:type="spellStart"/>
      <w:r w:rsidRPr="00025049">
        <w:rPr>
          <w:vertAlign w:val="superscript"/>
        </w:rPr>
        <w:t>o</w:t>
      </w:r>
      <w:r w:rsidRPr="00025049">
        <w:t>C</w:t>
      </w:r>
      <w:proofErr w:type="spellEnd"/>
      <w:r w:rsidRPr="00025049">
        <w:t xml:space="preserve"> under a stream of N</w:t>
      </w:r>
      <w:r w:rsidRPr="00025049">
        <w:rPr>
          <w:vertAlign w:val="subscript"/>
        </w:rPr>
        <w:t>2</w:t>
      </w:r>
      <w:r w:rsidRPr="00025049">
        <w:t xml:space="preserve"> (Air Products, BIP-Plus) overnight, cooled to room temperature, and then evacuated within the instrument for 1 h.</w:t>
      </w:r>
    </w:p>
    <w:p w14:paraId="1DEC6B53" w14:textId="77777777" w:rsidR="00FE53E3" w:rsidRPr="00025049" w:rsidRDefault="00FE53E3" w:rsidP="00FE53E3">
      <w:pPr>
        <w:pStyle w:val="ExperimentalSection"/>
      </w:pPr>
      <w:r w:rsidRPr="00025049">
        <w:t xml:space="preserve">Nitrogen adsorption isotherms were collected for all aerogel samples at liquid nitrogen temperature, while krypton was used as adsorbate for pristine carbon paper due to its low surface area. Mass specific surface areas were calculated using the </w:t>
      </w:r>
      <w:proofErr w:type="spellStart"/>
      <w:r w:rsidRPr="00025049">
        <w:t>Brunauer</w:t>
      </w:r>
      <w:proofErr w:type="spellEnd"/>
      <w:r w:rsidRPr="00025049">
        <w:t xml:space="preserve">-Emmett-Teller equation within </w:t>
      </w:r>
      <w:proofErr w:type="spellStart"/>
      <w:r w:rsidRPr="00025049">
        <w:t>MicroActive</w:t>
      </w:r>
      <w:proofErr w:type="spellEnd"/>
      <w:r w:rsidRPr="00025049">
        <w:t>, while external and micropore surface area were calculated using the t-plot method. Barrett-Joyner-</w:t>
      </w:r>
      <w:proofErr w:type="spellStart"/>
      <w:r w:rsidRPr="00025049">
        <w:t>Halenda</w:t>
      </w:r>
      <w:proofErr w:type="spellEnd"/>
      <w:r w:rsidRPr="00025049">
        <w:t xml:space="preserve"> (BJH) Pore Size and Volume Analysis was performed on the data in the same software. The total cumulative pore volume was obtained from the cumulative volume of desorbed nitrogen for pore diameters equal or below 50 nm (micro and mesopores).</w:t>
      </w:r>
    </w:p>
    <w:p w14:paraId="11DE0182" w14:textId="77777777" w:rsidR="00FE53E3" w:rsidRPr="00025049" w:rsidRDefault="00FE53E3" w:rsidP="00FE53E3">
      <w:pPr>
        <w:pStyle w:val="ExperimentalSection"/>
        <w:rPr>
          <w:i/>
          <w:iCs/>
        </w:rPr>
      </w:pPr>
      <w:r w:rsidRPr="00025049">
        <w:rPr>
          <w:i/>
          <w:iCs/>
        </w:rPr>
        <w:t>Physical Characterization</w:t>
      </w:r>
    </w:p>
    <w:p w14:paraId="0CEC8E1A" w14:textId="77777777" w:rsidR="00FE53E3" w:rsidRPr="00025049" w:rsidRDefault="00FE53E3" w:rsidP="00FE53E3">
      <w:pPr>
        <w:pStyle w:val="ExperimentalSection"/>
      </w:pPr>
      <w:r w:rsidRPr="00025049">
        <w:t xml:space="preserve">A Hitachi TM3030 table-top SEM was used to obtain the surface images of the different </w:t>
      </w:r>
      <w:r w:rsidRPr="00007677">
        <w:rPr>
          <w:color w:val="000000" w:themeColor="text1"/>
        </w:rPr>
        <w:t xml:space="preserve">aerogels shown in the SI and a Zeiss LEO Gemini SEM was used for the main paper. An optical microscope Nikon Eclipse LV100D was used to obtain the images </w:t>
      </w:r>
      <w:r w:rsidRPr="00025049">
        <w:t>of the different aerogels.</w:t>
      </w:r>
    </w:p>
    <w:p w14:paraId="6A1445EC" w14:textId="77777777" w:rsidR="00FE53E3" w:rsidRPr="00025049" w:rsidRDefault="00FE53E3" w:rsidP="00FE53E3">
      <w:pPr>
        <w:pStyle w:val="ExperimentalSection"/>
        <w:rPr>
          <w:i/>
          <w:iCs/>
        </w:rPr>
      </w:pPr>
      <w:r w:rsidRPr="00025049">
        <w:rPr>
          <w:i/>
          <w:iCs/>
        </w:rPr>
        <w:t xml:space="preserve">Cell Assembly and Electrochemical Characterization </w:t>
      </w:r>
    </w:p>
    <w:p w14:paraId="26CB5DB4" w14:textId="77777777" w:rsidR="00FE53E3" w:rsidRPr="00007677" w:rsidRDefault="00FE53E3" w:rsidP="00FE53E3">
      <w:pPr>
        <w:pStyle w:val="ExperimentalSection"/>
        <w:rPr>
          <w:color w:val="000000" w:themeColor="text1"/>
        </w:rPr>
      </w:pPr>
      <w:r w:rsidRPr="00025049">
        <w:lastRenderedPageBreak/>
        <w:t>A redox flow battery fixture (Scribner Associates Inc.) of 5 cm</w:t>
      </w:r>
      <w:r w:rsidRPr="00025049">
        <w:rPr>
          <w:vertAlign w:val="superscript"/>
        </w:rPr>
        <w:t>2</w:t>
      </w:r>
      <w:r w:rsidRPr="00025049">
        <w:t xml:space="preserve"> with an interdigitated flow field, utilising the same electrode on both sides, was used. </w:t>
      </w:r>
      <w:proofErr w:type="spellStart"/>
      <w:r w:rsidRPr="00025049">
        <w:t>Nafion</w:t>
      </w:r>
      <w:proofErr w:type="spellEnd"/>
      <w:r w:rsidRPr="00025049">
        <w:t xml:space="preserve"> 117 (0.183 mm, Fuel Cell Store) was </w:t>
      </w:r>
      <w:r w:rsidRPr="00007677">
        <w:rPr>
          <w:color w:val="000000" w:themeColor="text1"/>
        </w:rPr>
        <w:t>used as membrane and as gaskets, incompressible glass reinforced PTFE gaskets (</w:t>
      </w:r>
      <w:proofErr w:type="spellStart"/>
      <w:r w:rsidRPr="00007677">
        <w:rPr>
          <w:color w:val="000000" w:themeColor="text1"/>
        </w:rPr>
        <w:t>Tygaflor</w:t>
      </w:r>
      <w:proofErr w:type="spellEnd"/>
      <w:r w:rsidRPr="00007677">
        <w:rPr>
          <w:color w:val="000000" w:themeColor="text1"/>
        </w:rPr>
        <w:t>) were chosen to provide a 25 – 30 % compression of the electrodes, this means that the electrodes were compressed to 70 – 75 % of the original thickness, considering 0.4 mm as the original thickness the final values used in the polarization curves and cycling tests were between 0.28 – 0.3 mm.</w:t>
      </w:r>
      <w:r w:rsidRPr="00007677">
        <w:rPr>
          <w:noProof/>
          <w:color w:val="000000" w:themeColor="text1"/>
        </w:rPr>
        <w:fldChar w:fldCharType="begin"/>
      </w:r>
      <w:r>
        <w:rPr>
          <w:noProof/>
          <w:color w:val="000000" w:themeColor="text1"/>
        </w:rPr>
        <w:instrText xml:space="preserve"> ADDIN EN.CITE &lt;EndNote&gt;&lt;Cite ExcludeYear="1"&gt;&lt;Author&gt;Energy&lt;/Author&gt;&lt;Year&gt;2009&lt;/Year&gt;&lt;RecNum&gt;1350&lt;/RecNum&gt;&lt;DisplayText&gt;&lt;style face="superscript"&gt;[31]&lt;/style&gt;&lt;/DisplayText&gt;&lt;record&gt;&lt;rec-number&gt;24&lt;/rec-number&gt;&lt;foreign-keys&gt;&lt;key app="EN" db-id="ppwxts2s6f5tsrefwwt5sstvtpasvsep055t" timestamp="1628529868"&gt;24&lt;/key&gt;&lt;/foreign-keys&gt;&lt;ref-type name="Journal Article"&gt;17&lt;/ref-type&gt;&lt;contributors&gt;&lt;authors&gt;&lt;author&gt;U. S. Department of Energy&lt;/author&gt;&lt;/authors&gt;&lt;/contributors&gt;&lt;titles&gt;&lt;title&gt;DoE Procedures For Performing PEM Single Cell Testing&lt;/title&gt;&lt;/titles&gt;&lt;pages&gt;70-70&lt;/pages&gt;&lt;dates&gt;&lt;year&gt;2009&lt;/year&gt;&lt;/dates&gt;&lt;urls&gt;&lt;/urls&gt;&lt;/record&gt;&lt;/Cite&gt;&lt;/EndNote&gt;</w:instrText>
      </w:r>
      <w:r w:rsidRPr="00007677">
        <w:rPr>
          <w:noProof/>
          <w:color w:val="000000" w:themeColor="text1"/>
        </w:rPr>
        <w:fldChar w:fldCharType="separate"/>
      </w:r>
      <w:r w:rsidRPr="00156886">
        <w:rPr>
          <w:noProof/>
          <w:color w:val="000000" w:themeColor="text1"/>
          <w:vertAlign w:val="superscript"/>
        </w:rPr>
        <w:t>[31]</w:t>
      </w:r>
      <w:r w:rsidRPr="00007677">
        <w:rPr>
          <w:noProof/>
          <w:color w:val="000000" w:themeColor="text1"/>
        </w:rPr>
        <w:fldChar w:fldCharType="end"/>
      </w:r>
      <w:r w:rsidRPr="00007677">
        <w:rPr>
          <w:color w:val="000000" w:themeColor="text1"/>
        </w:rPr>
        <w:t xml:space="preserve"> All the electrochemical single cell tests were performed using a 857 Redox Flow Cell Test System (Scribner Associates Inc.).</w:t>
      </w:r>
    </w:p>
    <w:p w14:paraId="62D69C9A" w14:textId="77777777" w:rsidR="00FE53E3" w:rsidRPr="00025049" w:rsidRDefault="00FE53E3" w:rsidP="00FE53E3">
      <w:pPr>
        <w:pStyle w:val="ExperimentalSection"/>
      </w:pPr>
      <w:r w:rsidRPr="00025049">
        <w:t>The electrolyte for the RFB test was prepared by dissolving VOSO</w:t>
      </w:r>
      <w:r w:rsidRPr="00025049">
        <w:rPr>
          <w:vertAlign w:val="subscript"/>
        </w:rPr>
        <w:t>4</w:t>
      </w:r>
      <w:r w:rsidRPr="00025049">
        <w:t>·4H</w:t>
      </w:r>
      <w:r w:rsidRPr="00025049">
        <w:rPr>
          <w:vertAlign w:val="subscript"/>
        </w:rPr>
        <w:t>2</w:t>
      </w:r>
      <w:r w:rsidRPr="00025049">
        <w:t xml:space="preserve">O (Alfa </w:t>
      </w:r>
      <w:proofErr w:type="spellStart"/>
      <w:r w:rsidRPr="00025049">
        <w:t>Aesar</w:t>
      </w:r>
      <w:proofErr w:type="spellEnd"/>
      <w:r w:rsidRPr="00025049">
        <w:t>, 98%) to a concentration of 1 M in 3 M H</w:t>
      </w:r>
      <w:r w:rsidRPr="00025049">
        <w:rPr>
          <w:vertAlign w:val="subscript"/>
        </w:rPr>
        <w:t>2</w:t>
      </w:r>
      <w:r w:rsidRPr="00025049">
        <w:t>SO</w:t>
      </w:r>
      <w:r w:rsidRPr="00025049">
        <w:rPr>
          <w:vertAlign w:val="subscript"/>
        </w:rPr>
        <w:t xml:space="preserve">4 </w:t>
      </w:r>
      <w:r w:rsidRPr="00025049">
        <w:t xml:space="preserve">(VWR, 95% </w:t>
      </w:r>
      <w:proofErr w:type="spellStart"/>
      <w:r w:rsidRPr="00025049">
        <w:t>AnalaR</w:t>
      </w:r>
      <w:proofErr w:type="spellEnd"/>
      <w:r w:rsidRPr="00025049">
        <w:t xml:space="preserve"> NORMAPUR</w:t>
      </w:r>
      <w:r w:rsidRPr="00025049">
        <w:rPr>
          <w:vertAlign w:val="superscript"/>
        </w:rPr>
        <w:t>®</w:t>
      </w:r>
      <w:r w:rsidRPr="00025049">
        <w:t xml:space="preserve">) utilising ultrapure water (Millipore </w:t>
      </w:r>
      <w:proofErr w:type="spellStart"/>
      <w:r w:rsidRPr="00025049">
        <w:t>MilliQ</w:t>
      </w:r>
      <w:proofErr w:type="spellEnd"/>
      <w:r w:rsidRPr="00025049">
        <w:t>, 18.2 MΩ cm) as solvent. The anolyte and catholyte were prepared electrochemically from VO</w:t>
      </w:r>
      <w:r w:rsidRPr="00025049">
        <w:rPr>
          <w:vertAlign w:val="superscript"/>
        </w:rPr>
        <w:t>2+</w:t>
      </w:r>
      <w:r w:rsidRPr="00025049">
        <w:t>. The catholyte volume was double (60 mL) that of the anolyte (30 mL), and then the total catholyte volume was fully oxidised to VO</w:t>
      </w:r>
      <w:r w:rsidRPr="00025049">
        <w:rPr>
          <w:vertAlign w:val="subscript"/>
        </w:rPr>
        <w:t>2</w:t>
      </w:r>
      <w:r w:rsidRPr="00025049">
        <w:rPr>
          <w:vertAlign w:val="superscript"/>
        </w:rPr>
        <w:t>+</w:t>
      </w:r>
      <w:r w:rsidRPr="00025049">
        <w:rPr>
          <w:rFonts w:eastAsia="Times New Roman"/>
        </w:rPr>
        <w:t xml:space="preserve"> during which process the anolyte is reduced to V</w:t>
      </w:r>
      <w:r w:rsidRPr="00025049">
        <w:rPr>
          <w:rFonts w:eastAsia="Times New Roman"/>
          <w:vertAlign w:val="superscript"/>
        </w:rPr>
        <w:t>2+</w:t>
      </w:r>
      <w:r w:rsidRPr="00025049">
        <w:rPr>
          <w:rFonts w:eastAsia="Times New Roman"/>
        </w:rPr>
        <w:t>,(under N</w:t>
      </w:r>
      <w:r w:rsidRPr="00025049">
        <w:rPr>
          <w:rFonts w:eastAsia="Times New Roman"/>
          <w:vertAlign w:val="subscript"/>
        </w:rPr>
        <w:t>2</w:t>
      </w:r>
      <w:r w:rsidRPr="00025049">
        <w:rPr>
          <w:rFonts w:eastAsia="Times New Roman"/>
        </w:rPr>
        <w:t xml:space="preserve"> to avoid the V</w:t>
      </w:r>
      <w:r w:rsidRPr="00025049">
        <w:rPr>
          <w:rFonts w:eastAsia="Times New Roman"/>
          <w:vertAlign w:val="superscript"/>
        </w:rPr>
        <w:t>2+</w:t>
      </w:r>
      <w:r w:rsidRPr="00025049">
        <w:rPr>
          <w:rFonts w:eastAsia="Times New Roman"/>
        </w:rPr>
        <w:t xml:space="preserve"> oxidation with air). For the battery cycling tests, the volume of the catholyte and anolyte was equal (30 mL each side).</w:t>
      </w:r>
      <w:r w:rsidRPr="00025049">
        <w:rPr>
          <w:noProof/>
        </w:rPr>
        <w:fldChar w:fldCharType="begin">
          <w:fldData xml:space="preserve">PEVuZE5vdGU+PENpdGUgRXhjbHVkZVllYXI9IjEiPjxBdXRob3I+RmxveDwvQXV0aG9yPjxZZWFy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=
</w:fldData>
        </w:fldChar>
      </w:r>
      <w:r>
        <w:rPr>
          <w:noProof/>
        </w:rPr>
        <w:instrText xml:space="preserve"> ADDIN EN.CITE </w:instrText>
      </w:r>
      <w:r>
        <w:rPr>
          <w:noProof/>
        </w:rPr>
        <w:fldChar w:fldCharType="begin">
          <w:fldData xml:space="preserve">PEVuZE5vdGU+PENpdGUgRXhjbHVkZVllYXI9IjEiPjxBdXRob3I+RmxveDwvQXV0aG9yPjxZZWFy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=
</w:fldData>
        </w:fldChar>
      </w:r>
      <w:r>
        <w:rPr>
          <w:noProof/>
        </w:rPr>
        <w:instrText xml:space="preserve"> ADDIN EN.CITE.DATA </w:instrText>
      </w:r>
      <w:r>
        <w:rPr>
          <w:noProof/>
        </w:rPr>
      </w:r>
      <w:r>
        <w:rPr>
          <w:noProof/>
        </w:rPr>
        <w:fldChar w:fldCharType="end"/>
      </w:r>
      <w:r w:rsidRPr="00025049">
        <w:rPr>
          <w:noProof/>
        </w:rPr>
      </w:r>
      <w:r w:rsidRPr="00025049">
        <w:rPr>
          <w:noProof/>
        </w:rPr>
        <w:fldChar w:fldCharType="separate"/>
      </w:r>
      <w:r w:rsidRPr="00156886">
        <w:rPr>
          <w:noProof/>
          <w:vertAlign w:val="superscript"/>
        </w:rPr>
        <w:t>[32]</w:t>
      </w:r>
      <w:r w:rsidRPr="00025049">
        <w:rPr>
          <w:noProof/>
        </w:rPr>
        <w:fldChar w:fldCharType="end"/>
      </w:r>
      <w:r w:rsidRPr="00025049">
        <w:t xml:space="preserve"> On the other hand, the polarization curves used 300 mL at 100% SoC with a liquid flow of 25 mL min</w:t>
      </w:r>
      <w:r w:rsidRPr="00025049">
        <w:rPr>
          <w:vertAlign w:val="superscript"/>
        </w:rPr>
        <w:t>-1</w:t>
      </w:r>
      <w:r w:rsidRPr="00025049">
        <w:t xml:space="preserve"> to minimise the effect of the recirculation setup and approach close to a single pass setup. </w:t>
      </w:r>
    </w:p>
    <w:p w14:paraId="5E42B475" w14:textId="77777777" w:rsidR="00FE53E3" w:rsidRPr="002F4D4E" w:rsidRDefault="00FE53E3" w:rsidP="00FE53E3">
      <w:pPr>
        <w:pStyle w:val="ExperimentalSection"/>
      </w:pPr>
      <w:r w:rsidRPr="00025049">
        <w:t xml:space="preserve">Capacitance measurements were performed in a three-electrode glass cell system using a GAMRY 600 </w:t>
      </w:r>
      <w:proofErr w:type="spellStart"/>
      <w:r w:rsidRPr="00025049">
        <w:t>potentiostat</w:t>
      </w:r>
      <w:proofErr w:type="spellEnd"/>
      <w:r w:rsidRPr="00025049">
        <w:t>, in 0.5 M H</w:t>
      </w:r>
      <w:r w:rsidRPr="00025049">
        <w:rPr>
          <w:vertAlign w:val="subscript"/>
        </w:rPr>
        <w:t>2</w:t>
      </w:r>
      <w:r w:rsidRPr="00025049">
        <w:t>SO</w:t>
      </w:r>
      <w:r w:rsidRPr="00025049">
        <w:rPr>
          <w:vertAlign w:val="subscript"/>
        </w:rPr>
        <w:t>4</w:t>
      </w:r>
      <w:r w:rsidRPr="00025049">
        <w:t xml:space="preserve"> with a Pt mesh as counter electrode and a home-made RHE as reference electrode. The working electrode (1.25 cm</w:t>
      </w:r>
      <w:r w:rsidRPr="00025049">
        <w:rPr>
          <w:vertAlign w:val="superscript"/>
        </w:rPr>
        <w:t>2</w:t>
      </w:r>
      <w:r w:rsidRPr="00025049">
        <w:t xml:space="preserve">) utilised a home-made holder (PTFE) to clamp </w:t>
      </w:r>
      <w:r w:rsidRPr="002F4D4E">
        <w:t>the solid electrode utilising a gold wire used as contact.</w:t>
      </w:r>
    </w:p>
    <w:p w14:paraId="4011D7A7" w14:textId="77777777" w:rsidR="00FE53E3" w:rsidRPr="002F4D4E" w:rsidRDefault="00FE53E3" w:rsidP="00FE53E3">
      <w:pPr>
        <w:pStyle w:val="ExperimentalSection"/>
      </w:pPr>
      <w:r w:rsidRPr="002F4D4E">
        <w:t xml:space="preserve">The CVs obtained from the electrodes prepared and shown in </w:t>
      </w:r>
      <w:r w:rsidRPr="002F4D4E">
        <w:rPr>
          <w:b/>
          <w:bCs/>
        </w:rPr>
        <w:t>Figure S2</w:t>
      </w:r>
      <w:r w:rsidRPr="002F4D4E">
        <w:t xml:space="preserve">, were done using the same glass cell as in the capacitance measurements, but the </w:t>
      </w:r>
      <w:proofErr w:type="spellStart"/>
      <w:r w:rsidRPr="002F4D4E">
        <w:t>potentiostat</w:t>
      </w:r>
      <w:proofErr w:type="spellEnd"/>
      <w:r w:rsidRPr="002F4D4E">
        <w:t xml:space="preserve"> used was an </w:t>
      </w:r>
      <w:proofErr w:type="spellStart"/>
      <w:r w:rsidRPr="002F4D4E">
        <w:t>Autolab</w:t>
      </w:r>
      <w:proofErr w:type="spellEnd"/>
      <w:r w:rsidRPr="002F4D4E">
        <w:t xml:space="preserve"> (PGSTAT302N) from </w:t>
      </w:r>
      <w:proofErr w:type="spellStart"/>
      <w:r w:rsidRPr="002F4D4E">
        <w:t>Metrohm</w:t>
      </w:r>
      <w:proofErr w:type="spellEnd"/>
      <w:r w:rsidRPr="002F4D4E">
        <w:t>, the solid electrode as reference electrode, a Pt wire as counter electrode and a calomel electrode (SCE) as reference, all the potentials were converted to RHE. The electrolyte was 10 mV of VO</w:t>
      </w:r>
      <w:r w:rsidRPr="002F4D4E">
        <w:rPr>
          <w:vertAlign w:val="superscript"/>
        </w:rPr>
        <w:t>2+</w:t>
      </w:r>
      <w:r w:rsidRPr="002F4D4E">
        <w:t xml:space="preserve"> in 1 M H</w:t>
      </w:r>
      <w:r w:rsidRPr="002F4D4E">
        <w:rPr>
          <w:vertAlign w:val="subscript"/>
        </w:rPr>
        <w:t>2</w:t>
      </w:r>
      <w:r w:rsidRPr="002F4D4E">
        <w:t>SO</w:t>
      </w:r>
      <w:r w:rsidRPr="002F4D4E">
        <w:rPr>
          <w:vertAlign w:val="subscript"/>
        </w:rPr>
        <w:t>4</w:t>
      </w:r>
      <w:r w:rsidRPr="002F4D4E">
        <w:t xml:space="preserve">.  </w:t>
      </w:r>
    </w:p>
    <w:p w14:paraId="078AF1C5" w14:textId="77777777" w:rsidR="00FE53E3" w:rsidRPr="00025049" w:rsidRDefault="00FE53E3" w:rsidP="00FE53E3">
      <w:pPr>
        <w:pStyle w:val="HAcknowledgements"/>
        <w:rPr>
          <w:color w:val="FF0000"/>
        </w:rPr>
      </w:pPr>
      <w:r w:rsidRPr="00025049">
        <w:t xml:space="preserve">Acknowledgements </w:t>
      </w:r>
    </w:p>
    <w:p w14:paraId="7869CCB5" w14:textId="603FEA28" w:rsidR="00FE53E3" w:rsidRDefault="00FE53E3" w:rsidP="00FE53E3">
      <w:pPr>
        <w:pStyle w:val="Acknowledgements"/>
        <w:rPr>
          <w:lang w:val="en-GB"/>
        </w:rPr>
      </w:pPr>
      <w:r w:rsidRPr="00025049">
        <w:rPr>
          <w:lang w:val="en-GB"/>
        </w:rPr>
        <w:t xml:space="preserve">Shell Global Solutions International B.V.is acknowledged for their financial support and </w:t>
      </w:r>
      <w:proofErr w:type="spellStart"/>
      <w:r w:rsidRPr="00025049">
        <w:rPr>
          <w:lang w:val="en-GB"/>
        </w:rPr>
        <w:t>Dr.</w:t>
      </w:r>
      <w:proofErr w:type="spellEnd"/>
      <w:r w:rsidRPr="00025049">
        <w:rPr>
          <w:lang w:val="en-GB"/>
        </w:rPr>
        <w:t xml:space="preserve"> Peter A.A. </w:t>
      </w:r>
      <w:proofErr w:type="spellStart"/>
      <w:r w:rsidRPr="00025049">
        <w:rPr>
          <w:lang w:val="en-GB"/>
        </w:rPr>
        <w:t>Klusener</w:t>
      </w:r>
      <w:proofErr w:type="spellEnd"/>
      <w:r w:rsidRPr="00025049">
        <w:rPr>
          <w:lang w:val="en-GB"/>
        </w:rPr>
        <w:t xml:space="preserve"> from Shell Technology Centre Amsterdam for his discussions and reviewing the paper. Thanks to Mr. Jack Dawson for his discussions and images in </w:t>
      </w:r>
      <w:r w:rsidRPr="00025049">
        <w:rPr>
          <w:b/>
          <w:bCs/>
          <w:lang w:val="en-GB"/>
        </w:rPr>
        <w:fldChar w:fldCharType="begin"/>
      </w:r>
      <w:r w:rsidRPr="00025049">
        <w:rPr>
          <w:b/>
          <w:bCs/>
          <w:lang w:val="en-GB"/>
        </w:rPr>
        <w:instrText xml:space="preserve"> REF _Ref69815617 \h  \* MERGEFORMAT </w:instrText>
      </w:r>
      <w:r w:rsidRPr="00025049">
        <w:rPr>
          <w:b/>
          <w:bCs/>
          <w:lang w:val="en-GB"/>
        </w:rPr>
      </w:r>
      <w:r w:rsidRPr="00025049">
        <w:rPr>
          <w:b/>
          <w:bCs/>
          <w:lang w:val="en-GB"/>
        </w:rPr>
        <w:fldChar w:fldCharType="separate"/>
      </w:r>
      <w:r w:rsidRPr="00AB3850">
        <w:rPr>
          <w:b/>
          <w:bCs/>
          <w:lang w:val="en-GB"/>
        </w:rPr>
        <w:t xml:space="preserve">Figure </w:t>
      </w:r>
      <w:r w:rsidRPr="00AB3850">
        <w:rPr>
          <w:b/>
          <w:bCs/>
          <w:noProof/>
          <w:lang w:val="en-GB"/>
        </w:rPr>
        <w:t>7</w:t>
      </w:r>
      <w:r w:rsidRPr="00025049">
        <w:rPr>
          <w:b/>
          <w:bCs/>
          <w:lang w:val="en-GB"/>
        </w:rPr>
        <w:fldChar w:fldCharType="end"/>
      </w:r>
      <w:r w:rsidRPr="00025049">
        <w:rPr>
          <w:lang w:val="en-GB"/>
        </w:rPr>
        <w:t>.</w:t>
      </w:r>
      <w:r w:rsidR="00393DEF" w:rsidRPr="00393DEF">
        <w:t xml:space="preserve"> </w:t>
      </w:r>
      <w:r w:rsidR="00393DEF">
        <w:t xml:space="preserve">The authors would like to thank the Engineering and Physical Sciences Research Council for funding under the Manifest programme: </w:t>
      </w:r>
      <w:r w:rsidR="00393DEF" w:rsidRPr="00DC789C">
        <w:t>EP/N032888/1</w:t>
      </w:r>
      <w:r w:rsidR="00393DEF">
        <w:t>.</w:t>
      </w:r>
    </w:p>
    <w:p w14:paraId="0DDF3A29" w14:textId="77777777" w:rsidR="00FE53E3" w:rsidRDefault="00FE53E3" w:rsidP="00FE53E3">
      <w:pPr>
        <w:pStyle w:val="Keywords"/>
      </w:pPr>
      <w:r w:rsidRPr="00025049">
        <w:rPr>
          <w:b/>
        </w:rPr>
        <w:t>Keywords:</w:t>
      </w:r>
      <w:r w:rsidRPr="00025049">
        <w:t xml:space="preserve"> Carbon Aerogel • Carbon Paper • Redox Flow Battery • Vanadium • Zero-Gap</w:t>
      </w:r>
    </w:p>
    <w:p w14:paraId="47C6FADB" w14:textId="77777777" w:rsidR="00FE53E3" w:rsidRPr="00025049" w:rsidRDefault="00FE53E3" w:rsidP="00FE53E3">
      <w:pPr>
        <w:pStyle w:val="H1"/>
      </w:pPr>
      <w:proofErr w:type="spellStart"/>
      <w:r w:rsidRPr="00025049">
        <w:t>CRediT</w:t>
      </w:r>
      <w:proofErr w:type="spellEnd"/>
      <w:r w:rsidRPr="00025049">
        <w:t xml:space="preserve"> Authorship Contribution Statement</w:t>
      </w:r>
    </w:p>
    <w:p w14:paraId="379273BC" w14:textId="77777777" w:rsidR="00FE53E3" w:rsidRPr="00025049" w:rsidRDefault="00FE53E3" w:rsidP="00FE53E3">
      <w:pPr>
        <w:pStyle w:val="P1"/>
        <w:rPr>
          <w:lang w:val="en-GB"/>
        </w:rPr>
      </w:pPr>
      <w:r w:rsidRPr="00025049">
        <w:rPr>
          <w:b/>
          <w:bCs/>
          <w:lang w:val="en-GB"/>
        </w:rPr>
        <w:t>Andres Parra-Puerto:</w:t>
      </w:r>
      <w:r w:rsidRPr="00025049">
        <w:rPr>
          <w:lang w:val="en-GB"/>
        </w:rPr>
        <w:t xml:space="preserve"> Formal analysis, Data Curation, Conceptualization, Original Draft, Visualization, Writing - Review &amp; Editing. State of the Art Reviewing and Summarising. </w:t>
      </w:r>
      <w:r w:rsidRPr="00025049">
        <w:rPr>
          <w:b/>
          <w:bCs/>
          <w:lang w:val="en-GB"/>
        </w:rPr>
        <w:t>Javier Rubio-Garcia:</w:t>
      </w:r>
      <w:r w:rsidRPr="00025049">
        <w:rPr>
          <w:lang w:val="en-GB"/>
        </w:rPr>
        <w:t xml:space="preserve"> Methodology, Conceptualization, Supervision, Writing - Review &amp; Editing. </w:t>
      </w:r>
      <w:r w:rsidRPr="00025049">
        <w:rPr>
          <w:b/>
          <w:bCs/>
          <w:lang w:val="en-GB"/>
        </w:rPr>
        <w:t>Matthew Markiewicz:</w:t>
      </w:r>
      <w:r w:rsidRPr="00025049">
        <w:rPr>
          <w:lang w:val="en-GB"/>
        </w:rPr>
        <w:t xml:space="preserve"> Investigation, Data Curation, Methodology, Supervision, Formal analysis, Validation.</w:t>
      </w:r>
      <w:r w:rsidRPr="00025049">
        <w:rPr>
          <w:b/>
          <w:bCs/>
          <w:lang w:val="en-GB"/>
        </w:rPr>
        <w:t xml:space="preserve"> </w:t>
      </w:r>
      <w:proofErr w:type="spellStart"/>
      <w:r w:rsidRPr="00025049">
        <w:rPr>
          <w:b/>
          <w:bCs/>
          <w:lang w:val="en-GB"/>
        </w:rPr>
        <w:t>Zhuo</w:t>
      </w:r>
      <w:proofErr w:type="spellEnd"/>
      <w:r w:rsidRPr="00025049">
        <w:rPr>
          <w:b/>
          <w:bCs/>
          <w:lang w:val="en-GB"/>
        </w:rPr>
        <w:t xml:space="preserve"> Zheng</w:t>
      </w:r>
      <w:r w:rsidRPr="00025049">
        <w:rPr>
          <w:lang w:val="en-GB"/>
        </w:rPr>
        <w:t xml:space="preserve">: Investigation, Validation. </w:t>
      </w:r>
      <w:r w:rsidRPr="00025049">
        <w:rPr>
          <w:b/>
          <w:bCs/>
          <w:lang w:val="en-GB"/>
        </w:rPr>
        <w:t>Anthony Kucernak:</w:t>
      </w:r>
      <w:r w:rsidRPr="00025049">
        <w:rPr>
          <w:lang w:val="en-GB"/>
        </w:rPr>
        <w:t xml:space="preserve"> Conceptualization, Supervision, Data Curation, Project administration, Funding acquisition, Writing - Review &amp; Editing.</w:t>
      </w:r>
    </w:p>
    <w:p w14:paraId="086EB46A" w14:textId="77777777" w:rsidR="00FE53E3" w:rsidRPr="00025049" w:rsidRDefault="00FE53E3" w:rsidP="00FE53E3">
      <w:pPr>
        <w:pStyle w:val="H1"/>
      </w:pPr>
      <w:r w:rsidRPr="00025049">
        <w:t>Data Availability</w:t>
      </w:r>
    </w:p>
    <w:p w14:paraId="1A0BF411" w14:textId="350CA268" w:rsidR="00FE53E3" w:rsidRPr="00025049" w:rsidRDefault="00FE53E3" w:rsidP="00FE53E3">
      <w:pPr>
        <w:pStyle w:val="P1"/>
        <w:rPr>
          <w:bCs/>
          <w:szCs w:val="20"/>
          <w:lang w:val="en-GB"/>
        </w:rPr>
      </w:pPr>
      <w:r w:rsidRPr="00025049">
        <w:rPr>
          <w:lang w:val="en-GB"/>
        </w:rPr>
        <w:t xml:space="preserve">The data used in the production of the figures in this paper are available for download </w:t>
      </w:r>
      <w:r w:rsidR="00AC13EB">
        <w:rPr>
          <w:lang w:val="en-GB"/>
        </w:rPr>
        <w:t xml:space="preserve">at </w:t>
      </w:r>
      <w:r w:rsidR="00AC13EB">
        <w:rPr>
          <w:lang w:val="en-GB"/>
        </w:rPr>
        <w:t>DOI:</w:t>
      </w:r>
      <w:r w:rsidR="00AC13EB" w:rsidRPr="00204BCC">
        <w:rPr>
          <w:lang w:val="en-GB"/>
        </w:rPr>
        <w:t>10.5281/zenodo.6261512</w:t>
      </w:r>
      <w:r w:rsidRPr="00025049">
        <w:rPr>
          <w:lang w:val="en-GB"/>
        </w:rPr>
        <w:t>.</w:t>
      </w:r>
    </w:p>
    <w:p w14:paraId="579EF46F" w14:textId="77777777" w:rsidR="00FE53E3" w:rsidRPr="00025049" w:rsidRDefault="00FE53E3" w:rsidP="00FE53E3">
      <w:pPr>
        <w:pStyle w:val="H1"/>
      </w:pPr>
      <w:r>
        <w:t>References</w:t>
      </w:r>
    </w:p>
    <w:p w14:paraId="08143260" w14:textId="77777777" w:rsidR="00FE53E3" w:rsidRPr="00043AAC" w:rsidRDefault="00FE53E3" w:rsidP="00FE53E3">
      <w:pPr>
        <w:pStyle w:val="EndNoteBibliography"/>
        <w:ind w:left="720" w:hanging="720"/>
        <w:rPr>
          <w:lang w:val="en-GB"/>
        </w:rPr>
      </w:pPr>
      <w:r w:rsidRPr="00025049">
        <w:fldChar w:fldCharType="begin"/>
      </w:r>
      <w:r w:rsidRPr="00043AAC">
        <w:rPr>
          <w:lang w:val="en-GB"/>
        </w:rPr>
        <w:instrText xml:space="preserve"> ADDIN EN.REFLIST </w:instrText>
      </w:r>
      <w:r w:rsidRPr="00025049">
        <w:fldChar w:fldCharType="separate"/>
      </w:r>
      <w:r w:rsidRPr="00043AAC">
        <w:rPr>
          <w:lang w:val="en-GB"/>
        </w:rPr>
        <w:t>[1]</w:t>
      </w:r>
      <w:r w:rsidRPr="00043AAC">
        <w:rPr>
          <w:lang w:val="en-GB"/>
        </w:rPr>
        <w:tab/>
        <w:t xml:space="preserve">B. Dunn, H. Kamath, J.-M. Tarascon, </w:t>
      </w:r>
      <w:r w:rsidRPr="00043AAC">
        <w:rPr>
          <w:i/>
          <w:lang w:val="en-GB"/>
        </w:rPr>
        <w:t xml:space="preserve">Science (New York, N.Y.) </w:t>
      </w:r>
      <w:r w:rsidRPr="00043AAC">
        <w:rPr>
          <w:b/>
          <w:lang w:val="en-GB"/>
        </w:rPr>
        <w:t>2011</w:t>
      </w:r>
      <w:r w:rsidRPr="00043AAC">
        <w:rPr>
          <w:lang w:val="en-GB"/>
        </w:rPr>
        <w:t xml:space="preserve">, </w:t>
      </w:r>
      <w:r w:rsidRPr="00043AAC">
        <w:rPr>
          <w:i/>
          <w:lang w:val="en-GB"/>
        </w:rPr>
        <w:t>334</w:t>
      </w:r>
      <w:r w:rsidRPr="00043AAC">
        <w:rPr>
          <w:lang w:val="en-GB"/>
        </w:rPr>
        <w:t>, 928-935.</w:t>
      </w:r>
    </w:p>
    <w:p w14:paraId="09DD3D82" w14:textId="77777777" w:rsidR="00FE53E3" w:rsidRPr="00A772BD" w:rsidRDefault="00FE53E3" w:rsidP="00FE53E3">
      <w:pPr>
        <w:pStyle w:val="EndNoteBibliography"/>
        <w:ind w:left="720" w:hanging="720"/>
      </w:pPr>
      <w:r w:rsidRPr="00A772BD">
        <w:t>[2]</w:t>
      </w:r>
      <w:r w:rsidRPr="00A772BD">
        <w:tab/>
        <w:t xml:space="preserve">S. Chu, A. Majumdar, </w:t>
      </w:r>
      <w:r w:rsidRPr="00A772BD">
        <w:rPr>
          <w:i/>
        </w:rPr>
        <w:t xml:space="preserve">Nature </w:t>
      </w:r>
      <w:r w:rsidRPr="00A772BD">
        <w:rPr>
          <w:b/>
        </w:rPr>
        <w:t>2012</w:t>
      </w:r>
      <w:r w:rsidRPr="00A772BD">
        <w:t xml:space="preserve">, </w:t>
      </w:r>
      <w:r w:rsidRPr="00A772BD">
        <w:rPr>
          <w:i/>
        </w:rPr>
        <w:t>488</w:t>
      </w:r>
      <w:r w:rsidRPr="00A772BD">
        <w:t>, 294-303.</w:t>
      </w:r>
    </w:p>
    <w:p w14:paraId="078D5349" w14:textId="77777777" w:rsidR="00FE53E3" w:rsidRPr="00043AAC" w:rsidRDefault="00FE53E3" w:rsidP="00FE53E3">
      <w:pPr>
        <w:pStyle w:val="EndNoteBibliography"/>
        <w:ind w:left="720" w:hanging="720"/>
        <w:rPr>
          <w:lang w:val="en-GB"/>
        </w:rPr>
      </w:pPr>
      <w:r w:rsidRPr="00043AAC">
        <w:rPr>
          <w:lang w:val="en-GB"/>
        </w:rPr>
        <w:t>[3]</w:t>
      </w:r>
      <w:r w:rsidRPr="00043AAC">
        <w:rPr>
          <w:lang w:val="en-GB"/>
        </w:rPr>
        <w:tab/>
        <w:t xml:space="preserve">a) K. Lourenssen, J. Williams, F. Ahmadpour, R. Clemmer, S. Tasnim, </w:t>
      </w:r>
      <w:r w:rsidRPr="00043AAC">
        <w:rPr>
          <w:i/>
          <w:lang w:val="en-GB"/>
        </w:rPr>
        <w:t xml:space="preserve">Journal of Energy Storage </w:t>
      </w:r>
      <w:r w:rsidRPr="00043AAC">
        <w:rPr>
          <w:b/>
          <w:lang w:val="en-GB"/>
        </w:rPr>
        <w:t>2019</w:t>
      </w:r>
      <w:r w:rsidRPr="00043AAC">
        <w:rPr>
          <w:lang w:val="en-GB"/>
        </w:rPr>
        <w:t xml:space="preserve">, </w:t>
      </w:r>
      <w:r w:rsidRPr="00043AAC">
        <w:rPr>
          <w:i/>
          <w:lang w:val="en-GB"/>
        </w:rPr>
        <w:t>25</w:t>
      </w:r>
      <w:r w:rsidRPr="00043AAC">
        <w:rPr>
          <w:lang w:val="en-GB"/>
        </w:rPr>
        <w:t xml:space="preserve">, 100844-100844; b) M. Skyllas-Kazacos, M. H. Chakrabarti, S. A. Hajimolana, F. S. Mjalli, M. Saleem, </w:t>
      </w:r>
      <w:r w:rsidRPr="00043AAC">
        <w:rPr>
          <w:i/>
          <w:lang w:val="en-GB"/>
        </w:rPr>
        <w:t xml:space="preserve">Journal of The Electrochemical Society </w:t>
      </w:r>
      <w:r w:rsidRPr="00043AAC">
        <w:rPr>
          <w:b/>
          <w:lang w:val="en-GB"/>
        </w:rPr>
        <w:t>2011</w:t>
      </w:r>
      <w:r w:rsidRPr="00043AAC">
        <w:rPr>
          <w:lang w:val="en-GB"/>
        </w:rPr>
        <w:t xml:space="preserve">, </w:t>
      </w:r>
      <w:r w:rsidRPr="00043AAC">
        <w:rPr>
          <w:i/>
          <w:lang w:val="en-GB"/>
        </w:rPr>
        <w:t>158</w:t>
      </w:r>
      <w:r w:rsidRPr="00043AAC">
        <w:rPr>
          <w:lang w:val="en-GB"/>
        </w:rPr>
        <w:t>, R55-R55.</w:t>
      </w:r>
    </w:p>
    <w:p w14:paraId="53C0CDB1" w14:textId="77777777" w:rsidR="00FE53E3" w:rsidRPr="00043AAC" w:rsidRDefault="00FE53E3" w:rsidP="00FE53E3">
      <w:pPr>
        <w:pStyle w:val="EndNoteBibliography"/>
        <w:ind w:left="720" w:hanging="720"/>
        <w:rPr>
          <w:lang w:val="en-GB"/>
        </w:rPr>
      </w:pPr>
      <w:r w:rsidRPr="00043AAC">
        <w:rPr>
          <w:lang w:val="en-GB"/>
        </w:rPr>
        <w:t>[4]</w:t>
      </w:r>
      <w:r w:rsidRPr="00043AAC">
        <w:rPr>
          <w:lang w:val="en-GB"/>
        </w:rPr>
        <w:tab/>
        <w:t xml:space="preserve">J. Rubio-Garcia, A. Kucernak, D. Zhao, D. Li, K. Fahy, V. Yufit, N. Brandon, M. Gomez-Gonzalez, </w:t>
      </w:r>
      <w:r w:rsidRPr="00043AAC">
        <w:rPr>
          <w:i/>
          <w:lang w:val="en-GB"/>
        </w:rPr>
        <w:t xml:space="preserve">Journal of Physics: Energy </w:t>
      </w:r>
      <w:r w:rsidRPr="00043AAC">
        <w:rPr>
          <w:b/>
          <w:lang w:val="en-GB"/>
        </w:rPr>
        <w:t>2018</w:t>
      </w:r>
      <w:r w:rsidRPr="00043AAC">
        <w:rPr>
          <w:lang w:val="en-GB"/>
        </w:rPr>
        <w:t xml:space="preserve">, </w:t>
      </w:r>
      <w:r w:rsidRPr="00043AAC">
        <w:rPr>
          <w:i/>
          <w:lang w:val="en-GB"/>
        </w:rPr>
        <w:t>1</w:t>
      </w:r>
      <w:r w:rsidRPr="00043AAC">
        <w:rPr>
          <w:lang w:val="en-GB"/>
        </w:rPr>
        <w:t>, 015006-015006.</w:t>
      </w:r>
    </w:p>
    <w:p w14:paraId="269FE5A8" w14:textId="77777777" w:rsidR="00FE53E3" w:rsidRPr="00043AAC" w:rsidRDefault="00FE53E3" w:rsidP="00FE53E3">
      <w:pPr>
        <w:pStyle w:val="EndNoteBibliography"/>
        <w:ind w:left="720" w:hanging="720"/>
        <w:rPr>
          <w:lang w:val="en-GB"/>
        </w:rPr>
      </w:pPr>
      <w:r w:rsidRPr="00043AAC">
        <w:rPr>
          <w:lang w:val="en-GB"/>
        </w:rPr>
        <w:t>[5]</w:t>
      </w:r>
      <w:r w:rsidRPr="00043AAC">
        <w:rPr>
          <w:lang w:val="en-GB"/>
        </w:rPr>
        <w:tab/>
        <w:t xml:space="preserve">a) W. Wang, Q. Luo, B. Li, X. Wei, L. Li, Z. Yang, </w:t>
      </w:r>
      <w:r w:rsidRPr="00043AAC">
        <w:rPr>
          <w:i/>
          <w:lang w:val="en-GB"/>
        </w:rPr>
        <w:t xml:space="preserve">Advanced Functional Materials </w:t>
      </w:r>
      <w:r w:rsidRPr="00043AAC">
        <w:rPr>
          <w:b/>
          <w:lang w:val="en-GB"/>
        </w:rPr>
        <w:t>2013</w:t>
      </w:r>
      <w:r w:rsidRPr="00043AAC">
        <w:rPr>
          <w:lang w:val="en-GB"/>
        </w:rPr>
        <w:t xml:space="preserve">, </w:t>
      </w:r>
      <w:r w:rsidRPr="00043AAC">
        <w:rPr>
          <w:i/>
          <w:lang w:val="en-GB"/>
        </w:rPr>
        <w:t>23</w:t>
      </w:r>
      <w:r w:rsidRPr="00043AAC">
        <w:rPr>
          <w:lang w:val="en-GB"/>
        </w:rPr>
        <w:t xml:space="preserve">, 970-986; b) P. Alotto, M. Guarnieri, F. Moro, </w:t>
      </w:r>
      <w:r w:rsidRPr="00043AAC">
        <w:rPr>
          <w:i/>
          <w:lang w:val="en-GB"/>
        </w:rPr>
        <w:t xml:space="preserve">Renewable and Sustainable Energy Reviews </w:t>
      </w:r>
      <w:r w:rsidRPr="00043AAC">
        <w:rPr>
          <w:b/>
          <w:lang w:val="en-GB"/>
        </w:rPr>
        <w:t>2014</w:t>
      </w:r>
      <w:r w:rsidRPr="00043AAC">
        <w:rPr>
          <w:lang w:val="en-GB"/>
        </w:rPr>
        <w:t xml:space="preserve">, </w:t>
      </w:r>
      <w:r w:rsidRPr="00043AAC">
        <w:rPr>
          <w:i/>
          <w:lang w:val="en-GB"/>
        </w:rPr>
        <w:t>29</w:t>
      </w:r>
      <w:r w:rsidRPr="00043AAC">
        <w:rPr>
          <w:lang w:val="en-GB"/>
        </w:rPr>
        <w:t>, 325-335.</w:t>
      </w:r>
    </w:p>
    <w:p w14:paraId="5F3A1627" w14:textId="77777777" w:rsidR="00FE53E3" w:rsidRPr="00043AAC" w:rsidRDefault="00FE53E3" w:rsidP="00FE53E3">
      <w:pPr>
        <w:pStyle w:val="EndNoteBibliography"/>
        <w:ind w:left="720" w:hanging="720"/>
        <w:rPr>
          <w:lang w:val="en-GB"/>
        </w:rPr>
      </w:pPr>
      <w:r w:rsidRPr="00043AAC">
        <w:rPr>
          <w:lang w:val="en-GB"/>
        </w:rPr>
        <w:t>[6]</w:t>
      </w:r>
      <w:r w:rsidRPr="00043AAC">
        <w:rPr>
          <w:lang w:val="en-GB"/>
        </w:rPr>
        <w:tab/>
        <w:t xml:space="preserve">L. Joerissen, J. Garche, C. Fabjan, G. Tomazic, </w:t>
      </w:r>
      <w:r w:rsidRPr="00043AAC">
        <w:rPr>
          <w:i/>
          <w:lang w:val="en-GB"/>
        </w:rPr>
        <w:t xml:space="preserve">Journal of Power Sources </w:t>
      </w:r>
      <w:r w:rsidRPr="00043AAC">
        <w:rPr>
          <w:b/>
          <w:lang w:val="en-GB"/>
        </w:rPr>
        <w:t>2004</w:t>
      </w:r>
      <w:r w:rsidRPr="00043AAC">
        <w:rPr>
          <w:lang w:val="en-GB"/>
        </w:rPr>
        <w:t xml:space="preserve">, </w:t>
      </w:r>
      <w:r w:rsidRPr="00043AAC">
        <w:rPr>
          <w:i/>
          <w:lang w:val="en-GB"/>
        </w:rPr>
        <w:t>127</w:t>
      </w:r>
      <w:r w:rsidRPr="00043AAC">
        <w:rPr>
          <w:lang w:val="en-GB"/>
        </w:rPr>
        <w:t>, 98-104.</w:t>
      </w:r>
    </w:p>
    <w:p w14:paraId="5270B1E1" w14:textId="77777777" w:rsidR="00FE53E3" w:rsidRPr="00043AAC" w:rsidRDefault="00FE53E3" w:rsidP="00FE53E3">
      <w:pPr>
        <w:pStyle w:val="EndNoteBibliography"/>
        <w:ind w:left="720" w:hanging="720"/>
        <w:rPr>
          <w:lang w:val="en-GB"/>
        </w:rPr>
      </w:pPr>
      <w:r w:rsidRPr="00043AAC">
        <w:rPr>
          <w:lang w:val="en-GB"/>
        </w:rPr>
        <w:t>[7]</w:t>
      </w:r>
      <w:r w:rsidRPr="00043AAC">
        <w:rPr>
          <w:lang w:val="en-GB"/>
        </w:rPr>
        <w:tab/>
        <w:t xml:space="preserve">a) I. Streeter, G. G. Wildgoose, L. Shao, R. G. Compton, </w:t>
      </w:r>
      <w:r w:rsidRPr="00043AAC">
        <w:rPr>
          <w:i/>
          <w:lang w:val="en-GB"/>
        </w:rPr>
        <w:t xml:space="preserve">Sensors and Actuators B: Chemical </w:t>
      </w:r>
      <w:r w:rsidRPr="00043AAC">
        <w:rPr>
          <w:b/>
          <w:lang w:val="en-GB"/>
        </w:rPr>
        <w:t>2008</w:t>
      </w:r>
      <w:r w:rsidRPr="00043AAC">
        <w:rPr>
          <w:lang w:val="en-GB"/>
        </w:rPr>
        <w:t xml:space="preserve">, </w:t>
      </w:r>
      <w:r w:rsidRPr="00043AAC">
        <w:rPr>
          <w:i/>
          <w:lang w:val="en-GB"/>
        </w:rPr>
        <w:t>133</w:t>
      </w:r>
      <w:r w:rsidRPr="00043AAC">
        <w:rPr>
          <w:lang w:val="en-GB"/>
        </w:rPr>
        <w:t xml:space="preserve">, 462-466; b) K. R. Ward, R. G. Compton, </w:t>
      </w:r>
      <w:r w:rsidRPr="00043AAC">
        <w:rPr>
          <w:i/>
          <w:lang w:val="en-GB"/>
        </w:rPr>
        <w:t xml:space="preserve">Journal of Electroanalytical Chemistry </w:t>
      </w:r>
      <w:r w:rsidRPr="00043AAC">
        <w:rPr>
          <w:b/>
          <w:lang w:val="en-GB"/>
        </w:rPr>
        <w:t>2014</w:t>
      </w:r>
      <w:r w:rsidRPr="00043AAC">
        <w:rPr>
          <w:lang w:val="en-GB"/>
        </w:rPr>
        <w:t xml:space="preserve">, </w:t>
      </w:r>
      <w:r w:rsidRPr="00043AAC">
        <w:rPr>
          <w:i/>
          <w:lang w:val="en-GB"/>
        </w:rPr>
        <w:t>724</w:t>
      </w:r>
      <w:r w:rsidRPr="00043AAC">
        <w:rPr>
          <w:lang w:val="en-GB"/>
        </w:rPr>
        <w:t xml:space="preserve">, 43-47; c) E. O. Barnes, X. Chen, P. Li, R. G. Compton, </w:t>
      </w:r>
      <w:r w:rsidRPr="00043AAC">
        <w:rPr>
          <w:i/>
          <w:lang w:val="en-GB"/>
        </w:rPr>
        <w:t xml:space="preserve">Journal of Electroanalytical Chemistry </w:t>
      </w:r>
      <w:r w:rsidRPr="00043AAC">
        <w:rPr>
          <w:b/>
          <w:lang w:val="en-GB"/>
        </w:rPr>
        <w:t>2014</w:t>
      </w:r>
      <w:r w:rsidRPr="00043AAC">
        <w:rPr>
          <w:lang w:val="en-GB"/>
        </w:rPr>
        <w:t xml:space="preserve">, </w:t>
      </w:r>
      <w:r w:rsidRPr="00043AAC">
        <w:rPr>
          <w:i/>
          <w:lang w:val="en-GB"/>
        </w:rPr>
        <w:t>720-721</w:t>
      </w:r>
      <w:r w:rsidRPr="00043AAC">
        <w:rPr>
          <w:lang w:val="en-GB"/>
        </w:rPr>
        <w:t xml:space="preserve">, 92-100; d) F. Tariq, J. Rubio-Garcia, V. Yufit, A. Bertei, B. K. Chakrabarti, A. Kucernak, N. Brandon, </w:t>
      </w:r>
      <w:r w:rsidRPr="00043AAC">
        <w:rPr>
          <w:i/>
          <w:lang w:val="en-GB"/>
        </w:rPr>
        <w:t xml:space="preserve">Sustainable Energy &amp; Fuels </w:t>
      </w:r>
      <w:r w:rsidRPr="00043AAC">
        <w:rPr>
          <w:b/>
          <w:lang w:val="en-GB"/>
        </w:rPr>
        <w:t>2018</w:t>
      </w:r>
      <w:r w:rsidRPr="00043AAC">
        <w:rPr>
          <w:lang w:val="en-GB"/>
        </w:rPr>
        <w:t xml:space="preserve">, </w:t>
      </w:r>
      <w:r w:rsidRPr="00043AAC">
        <w:rPr>
          <w:i/>
          <w:lang w:val="en-GB"/>
        </w:rPr>
        <w:t>2</w:t>
      </w:r>
      <w:r w:rsidRPr="00043AAC">
        <w:rPr>
          <w:lang w:val="en-GB"/>
        </w:rPr>
        <w:t>, 2068-2080.</w:t>
      </w:r>
    </w:p>
    <w:p w14:paraId="4864EB2A" w14:textId="77777777" w:rsidR="00FE53E3" w:rsidRPr="00043AAC" w:rsidRDefault="00FE53E3" w:rsidP="00FE53E3">
      <w:pPr>
        <w:pStyle w:val="EndNoteBibliography"/>
        <w:ind w:left="720" w:hanging="720"/>
        <w:rPr>
          <w:lang w:val="en-GB"/>
        </w:rPr>
      </w:pPr>
      <w:r w:rsidRPr="00043AAC">
        <w:rPr>
          <w:lang w:val="en-GB"/>
        </w:rPr>
        <w:t>[8]</w:t>
      </w:r>
      <w:r w:rsidRPr="00043AAC">
        <w:rPr>
          <w:lang w:val="en-GB"/>
        </w:rPr>
        <w:tab/>
        <w:t xml:space="preserve">D. S. Aaron, Q. Liu, Z. Tang, G. M. Grim, A. B. Papandrew, A. Turhan, T. A. Zawodzinski, M. M. Mench, </w:t>
      </w:r>
      <w:r w:rsidRPr="00043AAC">
        <w:rPr>
          <w:i/>
          <w:lang w:val="en-GB"/>
        </w:rPr>
        <w:t xml:space="preserve">Journal of Power Sources </w:t>
      </w:r>
      <w:r w:rsidRPr="00043AAC">
        <w:rPr>
          <w:b/>
          <w:lang w:val="en-GB"/>
        </w:rPr>
        <w:t>2012</w:t>
      </w:r>
      <w:r w:rsidRPr="00043AAC">
        <w:rPr>
          <w:lang w:val="en-GB"/>
        </w:rPr>
        <w:t xml:space="preserve">, </w:t>
      </w:r>
      <w:r w:rsidRPr="00043AAC">
        <w:rPr>
          <w:i/>
          <w:lang w:val="en-GB"/>
        </w:rPr>
        <w:t>206</w:t>
      </w:r>
      <w:r w:rsidRPr="00043AAC">
        <w:rPr>
          <w:lang w:val="en-GB"/>
        </w:rPr>
        <w:t>, 450-453.</w:t>
      </w:r>
    </w:p>
    <w:p w14:paraId="629E8FB5" w14:textId="77777777" w:rsidR="00FE53E3" w:rsidRPr="00043AAC" w:rsidRDefault="00FE53E3" w:rsidP="00FE53E3">
      <w:pPr>
        <w:pStyle w:val="EndNoteBibliography"/>
        <w:ind w:left="720" w:hanging="720"/>
        <w:rPr>
          <w:lang w:val="en-GB"/>
        </w:rPr>
      </w:pPr>
      <w:r w:rsidRPr="00043AAC">
        <w:rPr>
          <w:lang w:val="en-GB"/>
        </w:rPr>
        <w:t>[9]</w:t>
      </w:r>
      <w:r w:rsidRPr="00043AAC">
        <w:rPr>
          <w:lang w:val="en-GB"/>
        </w:rPr>
        <w:tab/>
        <w:t xml:space="preserve">S. Zhong, C. Padeste, M. Kazacos, M. Skyllas-Kazacos, </w:t>
      </w:r>
      <w:r w:rsidRPr="00043AAC">
        <w:rPr>
          <w:i/>
          <w:lang w:val="en-GB"/>
        </w:rPr>
        <w:t xml:space="preserve">Journal of Power Sources </w:t>
      </w:r>
      <w:r w:rsidRPr="00043AAC">
        <w:rPr>
          <w:b/>
          <w:lang w:val="en-GB"/>
        </w:rPr>
        <w:t>1993</w:t>
      </w:r>
      <w:r w:rsidRPr="00043AAC">
        <w:rPr>
          <w:lang w:val="en-GB"/>
        </w:rPr>
        <w:t xml:space="preserve">, </w:t>
      </w:r>
      <w:r w:rsidRPr="00043AAC">
        <w:rPr>
          <w:i/>
          <w:lang w:val="en-GB"/>
        </w:rPr>
        <w:t>45</w:t>
      </w:r>
      <w:r w:rsidRPr="00043AAC">
        <w:rPr>
          <w:lang w:val="en-GB"/>
        </w:rPr>
        <w:t>, 29-41.</w:t>
      </w:r>
    </w:p>
    <w:p w14:paraId="77FC10B5" w14:textId="77777777" w:rsidR="00FE53E3" w:rsidRPr="00043AAC" w:rsidRDefault="00FE53E3" w:rsidP="00FE53E3">
      <w:pPr>
        <w:pStyle w:val="EndNoteBibliography"/>
        <w:ind w:left="720" w:hanging="720"/>
        <w:rPr>
          <w:lang w:val="es-ES"/>
        </w:rPr>
      </w:pPr>
      <w:r w:rsidRPr="00043AAC">
        <w:rPr>
          <w:lang w:val="es-ES"/>
        </w:rPr>
        <w:t>[10]</w:t>
      </w:r>
      <w:r w:rsidRPr="00043AAC">
        <w:rPr>
          <w:lang w:val="es-ES"/>
        </w:rPr>
        <w:tab/>
        <w:t xml:space="preserve">a) B. Sun, M. Skyllas-Kazacos, </w:t>
      </w:r>
      <w:r w:rsidRPr="00043AAC">
        <w:rPr>
          <w:i/>
          <w:lang w:val="es-ES"/>
        </w:rPr>
        <w:t xml:space="preserve">Electrochimica Acta </w:t>
      </w:r>
      <w:r w:rsidRPr="00043AAC">
        <w:rPr>
          <w:b/>
          <w:lang w:val="es-ES"/>
        </w:rPr>
        <w:t>1992</w:t>
      </w:r>
      <w:r w:rsidRPr="00043AAC">
        <w:rPr>
          <w:lang w:val="es-ES"/>
        </w:rPr>
        <w:t xml:space="preserve">, </w:t>
      </w:r>
      <w:r w:rsidRPr="00043AAC">
        <w:rPr>
          <w:i/>
          <w:lang w:val="es-ES"/>
        </w:rPr>
        <w:t>37</w:t>
      </w:r>
      <w:r w:rsidRPr="00043AAC">
        <w:rPr>
          <w:lang w:val="es-ES"/>
        </w:rPr>
        <w:t xml:space="preserve">, 2459-2465; b) B. Sun, M. Skyllas-Kazacos, </w:t>
      </w:r>
      <w:r w:rsidRPr="00043AAC">
        <w:rPr>
          <w:i/>
          <w:lang w:val="es-ES"/>
        </w:rPr>
        <w:t xml:space="preserve">Electrochimica Acta </w:t>
      </w:r>
      <w:r w:rsidRPr="00043AAC">
        <w:rPr>
          <w:b/>
          <w:lang w:val="es-ES"/>
        </w:rPr>
        <w:t>1992</w:t>
      </w:r>
      <w:r w:rsidRPr="00043AAC">
        <w:rPr>
          <w:lang w:val="es-ES"/>
        </w:rPr>
        <w:t xml:space="preserve">, </w:t>
      </w:r>
      <w:r w:rsidRPr="00043AAC">
        <w:rPr>
          <w:i/>
          <w:lang w:val="es-ES"/>
        </w:rPr>
        <w:t>37</w:t>
      </w:r>
      <w:r w:rsidRPr="00043AAC">
        <w:rPr>
          <w:lang w:val="es-ES"/>
        </w:rPr>
        <w:t xml:space="preserve">, 1253-1260; c) W. H. Wang, X. D. Wang, </w:t>
      </w:r>
      <w:r w:rsidRPr="00043AAC">
        <w:rPr>
          <w:i/>
          <w:lang w:val="es-ES"/>
        </w:rPr>
        <w:t xml:space="preserve">Electrochimica Acta </w:t>
      </w:r>
      <w:r w:rsidRPr="00043AAC">
        <w:rPr>
          <w:b/>
          <w:lang w:val="es-ES"/>
        </w:rPr>
        <w:t>2007</w:t>
      </w:r>
      <w:r w:rsidRPr="00043AAC">
        <w:rPr>
          <w:lang w:val="es-ES"/>
        </w:rPr>
        <w:t xml:space="preserve">, </w:t>
      </w:r>
      <w:r w:rsidRPr="00043AAC">
        <w:rPr>
          <w:i/>
          <w:lang w:val="es-ES"/>
        </w:rPr>
        <w:t>52</w:t>
      </w:r>
      <w:r w:rsidRPr="00043AAC">
        <w:rPr>
          <w:lang w:val="es-ES"/>
        </w:rPr>
        <w:t xml:space="preserve">, 6755-6762; d) Z. González, C. Botas, P. Álvarez, S. Roldán, C. Blanco, R. Santamaría, M. Granda, R. Menéndez, </w:t>
      </w:r>
      <w:r w:rsidRPr="00043AAC">
        <w:rPr>
          <w:i/>
          <w:lang w:val="es-ES"/>
        </w:rPr>
        <w:t xml:space="preserve">Carbon </w:t>
      </w:r>
      <w:r w:rsidRPr="00043AAC">
        <w:rPr>
          <w:b/>
          <w:lang w:val="es-ES"/>
        </w:rPr>
        <w:t>2012</w:t>
      </w:r>
      <w:r w:rsidRPr="00043AAC">
        <w:rPr>
          <w:lang w:val="es-ES"/>
        </w:rPr>
        <w:t xml:space="preserve">, </w:t>
      </w:r>
      <w:r w:rsidRPr="00043AAC">
        <w:rPr>
          <w:i/>
          <w:lang w:val="es-ES"/>
        </w:rPr>
        <w:t>50</w:t>
      </w:r>
      <w:r w:rsidRPr="00043AAC">
        <w:rPr>
          <w:lang w:val="es-ES"/>
        </w:rPr>
        <w:t>, 828-834.</w:t>
      </w:r>
    </w:p>
    <w:p w14:paraId="1C19D68F" w14:textId="77777777" w:rsidR="00FE53E3" w:rsidRPr="00043AAC" w:rsidRDefault="00FE53E3" w:rsidP="00FE53E3">
      <w:pPr>
        <w:pStyle w:val="EndNoteBibliography"/>
        <w:ind w:left="720" w:hanging="720"/>
        <w:rPr>
          <w:lang w:val="en-GB"/>
        </w:rPr>
      </w:pPr>
      <w:r w:rsidRPr="00043AAC">
        <w:rPr>
          <w:lang w:val="en-GB"/>
        </w:rPr>
        <w:t>[11]</w:t>
      </w:r>
      <w:r w:rsidRPr="00043AAC">
        <w:rPr>
          <w:lang w:val="en-GB"/>
        </w:rPr>
        <w:tab/>
        <w:t xml:space="preserve">F. Jiang, Z. He, D. Guo, X. Zhou, </w:t>
      </w:r>
      <w:r w:rsidRPr="00043AAC">
        <w:rPr>
          <w:i/>
          <w:lang w:val="en-GB"/>
        </w:rPr>
        <w:t xml:space="preserve">Journal of Power Sources </w:t>
      </w:r>
      <w:r w:rsidRPr="00043AAC">
        <w:rPr>
          <w:b/>
          <w:lang w:val="en-GB"/>
        </w:rPr>
        <w:t>2019</w:t>
      </w:r>
      <w:r w:rsidRPr="00043AAC">
        <w:rPr>
          <w:lang w:val="en-GB"/>
        </w:rPr>
        <w:t xml:space="preserve">, </w:t>
      </w:r>
      <w:r w:rsidRPr="00043AAC">
        <w:rPr>
          <w:i/>
          <w:lang w:val="en-GB"/>
        </w:rPr>
        <w:t>440</w:t>
      </w:r>
      <w:r w:rsidRPr="00043AAC">
        <w:rPr>
          <w:lang w:val="en-GB"/>
        </w:rPr>
        <w:t>, 227114-227114.</w:t>
      </w:r>
    </w:p>
    <w:p w14:paraId="2648E785" w14:textId="77777777" w:rsidR="00FE53E3" w:rsidRPr="00043AAC" w:rsidRDefault="00FE53E3" w:rsidP="00FE53E3">
      <w:pPr>
        <w:pStyle w:val="EndNoteBibliography"/>
        <w:ind w:left="720" w:hanging="720"/>
        <w:rPr>
          <w:lang w:val="en-GB"/>
        </w:rPr>
      </w:pPr>
      <w:r w:rsidRPr="00043AAC">
        <w:rPr>
          <w:lang w:val="en-GB"/>
        </w:rPr>
        <w:t>[12]</w:t>
      </w:r>
      <w:r w:rsidRPr="00043AAC">
        <w:rPr>
          <w:lang w:val="en-GB"/>
        </w:rPr>
        <w:tab/>
        <w:t xml:space="preserve">A. M. Elkhatat, S. A. Al-Muhtaseb, </w:t>
      </w:r>
      <w:r w:rsidRPr="00043AAC">
        <w:rPr>
          <w:i/>
          <w:lang w:val="en-GB"/>
        </w:rPr>
        <w:t xml:space="preserve">Advanced Materials </w:t>
      </w:r>
      <w:r w:rsidRPr="00043AAC">
        <w:rPr>
          <w:b/>
          <w:lang w:val="en-GB"/>
        </w:rPr>
        <w:t>2011</w:t>
      </w:r>
      <w:r w:rsidRPr="00043AAC">
        <w:rPr>
          <w:lang w:val="en-GB"/>
        </w:rPr>
        <w:t xml:space="preserve">, </w:t>
      </w:r>
      <w:r w:rsidRPr="00043AAC">
        <w:rPr>
          <w:i/>
          <w:lang w:val="en-GB"/>
        </w:rPr>
        <w:t>23</w:t>
      </w:r>
      <w:r w:rsidRPr="00043AAC">
        <w:rPr>
          <w:lang w:val="en-GB"/>
        </w:rPr>
        <w:t>, 2887-2903.</w:t>
      </w:r>
    </w:p>
    <w:p w14:paraId="55E69C4D" w14:textId="77777777" w:rsidR="00FE53E3" w:rsidRPr="00043AAC" w:rsidRDefault="00FE53E3" w:rsidP="00FE53E3">
      <w:pPr>
        <w:pStyle w:val="EndNoteBibliography"/>
        <w:ind w:left="720" w:hanging="720"/>
        <w:rPr>
          <w:lang w:val="en-GB"/>
        </w:rPr>
      </w:pPr>
      <w:r w:rsidRPr="00043AAC">
        <w:rPr>
          <w:lang w:val="en-GB"/>
        </w:rPr>
        <w:t>[13]</w:t>
      </w:r>
      <w:r w:rsidRPr="00043AAC">
        <w:rPr>
          <w:lang w:val="en-GB"/>
        </w:rPr>
        <w:tab/>
        <w:t xml:space="preserve">a) M. Ciszewski, E. Szatkowska, A. Koszorek, </w:t>
      </w:r>
      <w:r w:rsidRPr="00043AAC">
        <w:rPr>
          <w:i/>
          <w:lang w:val="en-GB"/>
        </w:rPr>
        <w:t xml:space="preserve">Journal of Electronic Materials </w:t>
      </w:r>
      <w:r w:rsidRPr="00043AAC">
        <w:rPr>
          <w:b/>
          <w:lang w:val="en-GB"/>
        </w:rPr>
        <w:t>2017</w:t>
      </w:r>
      <w:r w:rsidRPr="00043AAC">
        <w:rPr>
          <w:lang w:val="en-GB"/>
        </w:rPr>
        <w:t xml:space="preserve">, </w:t>
      </w:r>
      <w:r w:rsidRPr="00043AAC">
        <w:rPr>
          <w:i/>
          <w:lang w:val="en-GB"/>
        </w:rPr>
        <w:t>46</w:t>
      </w:r>
      <w:r w:rsidRPr="00043AAC">
        <w:rPr>
          <w:lang w:val="en-GB"/>
        </w:rPr>
        <w:t xml:space="preserve">, 4612-4617; b) C. Moreno-Castilla, F. J. Maldonado-Hódar, </w:t>
      </w:r>
      <w:r w:rsidRPr="00043AAC">
        <w:rPr>
          <w:i/>
          <w:lang w:val="en-GB"/>
        </w:rPr>
        <w:t xml:space="preserve">Carbon </w:t>
      </w:r>
      <w:r w:rsidRPr="00043AAC">
        <w:rPr>
          <w:b/>
          <w:lang w:val="en-GB"/>
        </w:rPr>
        <w:t>2005</w:t>
      </w:r>
      <w:r w:rsidRPr="00043AAC">
        <w:rPr>
          <w:lang w:val="en-GB"/>
        </w:rPr>
        <w:t xml:space="preserve">, </w:t>
      </w:r>
      <w:r w:rsidRPr="00043AAC">
        <w:rPr>
          <w:i/>
          <w:lang w:val="en-GB"/>
        </w:rPr>
        <w:t>43</w:t>
      </w:r>
      <w:r w:rsidRPr="00043AAC">
        <w:rPr>
          <w:lang w:val="en-GB"/>
        </w:rPr>
        <w:t>, 455-465.</w:t>
      </w:r>
    </w:p>
    <w:p w14:paraId="0B071EA7" w14:textId="77777777" w:rsidR="00FE53E3" w:rsidRPr="00043AAC" w:rsidRDefault="00FE53E3" w:rsidP="00FE53E3">
      <w:pPr>
        <w:pStyle w:val="EndNoteBibliography"/>
        <w:ind w:left="720" w:hanging="720"/>
        <w:rPr>
          <w:lang w:val="en-GB"/>
        </w:rPr>
      </w:pPr>
      <w:r w:rsidRPr="00043AAC">
        <w:rPr>
          <w:lang w:val="en-GB"/>
        </w:rPr>
        <w:t>[14]</w:t>
      </w:r>
      <w:r w:rsidRPr="00043AAC">
        <w:rPr>
          <w:lang w:val="en-GB"/>
        </w:rPr>
        <w:tab/>
        <w:t xml:space="preserve">I. Mayrhuber, C. R. Dennison, V. Kalra, E. C. Kumbur, </w:t>
      </w:r>
      <w:r w:rsidRPr="00043AAC">
        <w:rPr>
          <w:i/>
          <w:lang w:val="en-GB"/>
        </w:rPr>
        <w:t xml:space="preserve">Journal of Power Sources </w:t>
      </w:r>
      <w:r w:rsidRPr="00043AAC">
        <w:rPr>
          <w:b/>
          <w:lang w:val="en-GB"/>
        </w:rPr>
        <w:t>2014</w:t>
      </w:r>
      <w:r w:rsidRPr="00043AAC">
        <w:rPr>
          <w:lang w:val="en-GB"/>
        </w:rPr>
        <w:t xml:space="preserve">, </w:t>
      </w:r>
      <w:r w:rsidRPr="00043AAC">
        <w:rPr>
          <w:i/>
          <w:lang w:val="en-GB"/>
        </w:rPr>
        <w:t>260</w:t>
      </w:r>
      <w:r w:rsidRPr="00043AAC">
        <w:rPr>
          <w:lang w:val="en-GB"/>
        </w:rPr>
        <w:t>, 251-258.</w:t>
      </w:r>
    </w:p>
    <w:p w14:paraId="2B2F96A1" w14:textId="77777777" w:rsidR="00FE53E3" w:rsidRPr="00043AAC" w:rsidRDefault="00FE53E3" w:rsidP="00FE53E3">
      <w:pPr>
        <w:pStyle w:val="EndNoteBibliography"/>
        <w:ind w:left="720" w:hanging="720"/>
        <w:rPr>
          <w:lang w:val="en-GB"/>
        </w:rPr>
      </w:pPr>
      <w:r w:rsidRPr="00043AAC">
        <w:rPr>
          <w:lang w:val="en-GB"/>
        </w:rPr>
        <w:t>[15]</w:t>
      </w:r>
      <w:r w:rsidRPr="00043AAC">
        <w:rPr>
          <w:lang w:val="en-GB"/>
        </w:rPr>
        <w:tab/>
        <w:t xml:space="preserve">R. B. Durairaj, </w:t>
      </w:r>
      <w:r w:rsidRPr="00043AAC">
        <w:rPr>
          <w:i/>
          <w:lang w:val="en-GB"/>
        </w:rPr>
        <w:t>Resorcinol, Chemistry, Technology and Applications | Raj B. Durairaj | Springer</w:t>
      </w:r>
      <w:r w:rsidRPr="00043AAC">
        <w:rPr>
          <w:lang w:val="en-GB"/>
        </w:rPr>
        <w:t xml:space="preserve">, 1 ed., Springer-Verlag Berlin Heidelberg, New York, </w:t>
      </w:r>
      <w:r w:rsidRPr="00043AAC">
        <w:rPr>
          <w:b/>
          <w:lang w:val="en-GB"/>
        </w:rPr>
        <w:t>2005</w:t>
      </w:r>
      <w:r w:rsidRPr="00043AAC">
        <w:rPr>
          <w:lang w:val="en-GB"/>
        </w:rPr>
        <w:t>.</w:t>
      </w:r>
    </w:p>
    <w:p w14:paraId="5BB26D89" w14:textId="77777777" w:rsidR="00FE53E3" w:rsidRPr="00043AAC" w:rsidRDefault="00FE53E3" w:rsidP="00FE53E3">
      <w:pPr>
        <w:pStyle w:val="EndNoteBibliography"/>
        <w:ind w:left="720" w:hanging="720"/>
        <w:rPr>
          <w:lang w:val="en-GB"/>
        </w:rPr>
      </w:pPr>
      <w:r w:rsidRPr="00043AAC">
        <w:rPr>
          <w:lang w:val="en-GB"/>
        </w:rPr>
        <w:t>[16]</w:t>
      </w:r>
      <w:r w:rsidRPr="00043AAC">
        <w:rPr>
          <w:lang w:val="en-GB"/>
        </w:rPr>
        <w:tab/>
        <w:t xml:space="preserve">W. M. Haynes, </w:t>
      </w:r>
      <w:r w:rsidRPr="00043AAC">
        <w:rPr>
          <w:i/>
          <w:lang w:val="en-GB"/>
        </w:rPr>
        <w:t>Handbok of Chemistry and Physics. 99th Edition, Vol. 94</w:t>
      </w:r>
      <w:r w:rsidRPr="00043AAC">
        <w:rPr>
          <w:lang w:val="en-GB"/>
        </w:rPr>
        <w:t xml:space="preserve">, </w:t>
      </w:r>
      <w:r w:rsidRPr="00043AAC">
        <w:rPr>
          <w:b/>
          <w:lang w:val="en-GB"/>
        </w:rPr>
        <w:t>2018</w:t>
      </w:r>
      <w:r w:rsidRPr="00043AAC">
        <w:rPr>
          <w:lang w:val="en-GB"/>
        </w:rPr>
        <w:t>.</w:t>
      </w:r>
    </w:p>
    <w:p w14:paraId="672112CF" w14:textId="77777777" w:rsidR="00FE53E3" w:rsidRPr="00043AAC" w:rsidRDefault="00FE53E3" w:rsidP="00FE53E3">
      <w:pPr>
        <w:pStyle w:val="EndNoteBibliography"/>
        <w:ind w:left="720" w:hanging="720"/>
        <w:rPr>
          <w:lang w:val="en-GB"/>
        </w:rPr>
      </w:pPr>
      <w:r w:rsidRPr="00043AAC">
        <w:rPr>
          <w:lang w:val="en-GB"/>
        </w:rPr>
        <w:t>[17]</w:t>
      </w:r>
      <w:r w:rsidRPr="00043AAC">
        <w:rPr>
          <w:lang w:val="en-GB"/>
        </w:rPr>
        <w:tab/>
        <w:t xml:space="preserve">N. Job, R. Pirard, J. Marien, J. P. Pirard, </w:t>
      </w:r>
      <w:r w:rsidRPr="00043AAC">
        <w:rPr>
          <w:i/>
          <w:lang w:val="en-GB"/>
        </w:rPr>
        <w:t xml:space="preserve">Carbon </w:t>
      </w:r>
      <w:r w:rsidRPr="00043AAC">
        <w:rPr>
          <w:b/>
          <w:lang w:val="en-GB"/>
        </w:rPr>
        <w:t>2004</w:t>
      </w:r>
      <w:r w:rsidRPr="00043AAC">
        <w:rPr>
          <w:lang w:val="en-GB"/>
        </w:rPr>
        <w:t xml:space="preserve">, </w:t>
      </w:r>
      <w:r w:rsidRPr="00043AAC">
        <w:rPr>
          <w:i/>
          <w:lang w:val="en-GB"/>
        </w:rPr>
        <w:t>42</w:t>
      </w:r>
      <w:r w:rsidRPr="00043AAC">
        <w:rPr>
          <w:lang w:val="en-GB"/>
        </w:rPr>
        <w:t>, 619-628.</w:t>
      </w:r>
    </w:p>
    <w:p w14:paraId="7ADB7A91" w14:textId="77777777" w:rsidR="00FE53E3" w:rsidRPr="00A772BD" w:rsidRDefault="00FE53E3" w:rsidP="00FE53E3">
      <w:pPr>
        <w:pStyle w:val="EndNoteBibliography"/>
        <w:ind w:left="720" w:hanging="720"/>
      </w:pPr>
      <w:r w:rsidRPr="00A772BD">
        <w:t>[18]</w:t>
      </w:r>
      <w:r w:rsidRPr="00A772BD">
        <w:tab/>
        <w:t xml:space="preserve">W. Li, G. Reichenauer, J. Fricke, </w:t>
      </w:r>
      <w:r w:rsidRPr="00A772BD">
        <w:rPr>
          <w:i/>
        </w:rPr>
        <w:t xml:space="preserve">Carbon </w:t>
      </w:r>
      <w:r w:rsidRPr="00A772BD">
        <w:rPr>
          <w:b/>
        </w:rPr>
        <w:t>2002</w:t>
      </w:r>
      <w:r w:rsidRPr="00A772BD">
        <w:t xml:space="preserve">, </w:t>
      </w:r>
      <w:r w:rsidRPr="00A772BD">
        <w:rPr>
          <w:i/>
        </w:rPr>
        <w:t>40</w:t>
      </w:r>
      <w:r w:rsidRPr="00A772BD">
        <w:t>, 2955-2959.</w:t>
      </w:r>
    </w:p>
    <w:p w14:paraId="50FA180B" w14:textId="77777777" w:rsidR="00FE53E3" w:rsidRPr="00043AAC" w:rsidRDefault="00FE53E3" w:rsidP="00FE53E3">
      <w:pPr>
        <w:pStyle w:val="EndNoteBibliography"/>
        <w:ind w:left="720" w:hanging="720"/>
        <w:rPr>
          <w:lang w:val="en-GB"/>
        </w:rPr>
      </w:pPr>
      <w:r w:rsidRPr="00043AAC">
        <w:rPr>
          <w:lang w:val="en-GB"/>
        </w:rPr>
        <w:t>[19]</w:t>
      </w:r>
      <w:r w:rsidRPr="00043AAC">
        <w:rPr>
          <w:lang w:val="en-GB"/>
        </w:rPr>
        <w:tab/>
        <w:t xml:space="preserve">J. Huang, B. G. G. Sumpter, V. Meunier, </w:t>
      </w:r>
      <w:r w:rsidRPr="00043AAC">
        <w:rPr>
          <w:i/>
          <w:lang w:val="en-GB"/>
        </w:rPr>
        <w:t xml:space="preserve">Chemistry - A European Journal </w:t>
      </w:r>
      <w:r w:rsidRPr="00043AAC">
        <w:rPr>
          <w:b/>
          <w:lang w:val="en-GB"/>
        </w:rPr>
        <w:t>2008</w:t>
      </w:r>
      <w:r w:rsidRPr="00043AAC">
        <w:rPr>
          <w:lang w:val="en-GB"/>
        </w:rPr>
        <w:t xml:space="preserve">, </w:t>
      </w:r>
      <w:r w:rsidRPr="00043AAC">
        <w:rPr>
          <w:i/>
          <w:lang w:val="en-GB"/>
        </w:rPr>
        <w:t>14</w:t>
      </w:r>
      <w:r w:rsidRPr="00043AAC">
        <w:rPr>
          <w:lang w:val="en-GB"/>
        </w:rPr>
        <w:t>, 6614-6626.</w:t>
      </w:r>
    </w:p>
    <w:p w14:paraId="25793224" w14:textId="77777777" w:rsidR="00FE53E3" w:rsidRPr="00043AAC" w:rsidRDefault="00FE53E3" w:rsidP="00FE53E3">
      <w:pPr>
        <w:pStyle w:val="EndNoteBibliography"/>
        <w:ind w:left="720" w:hanging="720"/>
        <w:rPr>
          <w:lang w:val="en-GB"/>
        </w:rPr>
      </w:pPr>
      <w:r w:rsidRPr="00043AAC">
        <w:rPr>
          <w:lang w:val="en-GB"/>
        </w:rPr>
        <w:t>[20]</w:t>
      </w:r>
      <w:r w:rsidRPr="00043AAC">
        <w:rPr>
          <w:lang w:val="en-GB"/>
        </w:rPr>
        <w:tab/>
        <w:t xml:space="preserve">F. B. Sillars, S. I. Fletcher, M. Mirzaeian, P. J. Hall, </w:t>
      </w:r>
      <w:r w:rsidRPr="00043AAC">
        <w:rPr>
          <w:i/>
          <w:lang w:val="en-GB"/>
        </w:rPr>
        <w:t xml:space="preserve">Energy Environ. Sci. </w:t>
      </w:r>
      <w:r w:rsidRPr="00043AAC">
        <w:rPr>
          <w:b/>
          <w:lang w:val="en-GB"/>
        </w:rPr>
        <w:t>2011</w:t>
      </w:r>
      <w:r w:rsidRPr="00043AAC">
        <w:rPr>
          <w:lang w:val="en-GB"/>
        </w:rPr>
        <w:t xml:space="preserve">, </w:t>
      </w:r>
      <w:r w:rsidRPr="00043AAC">
        <w:rPr>
          <w:i/>
          <w:lang w:val="en-GB"/>
        </w:rPr>
        <w:t>4</w:t>
      </w:r>
      <w:r w:rsidRPr="00043AAC">
        <w:rPr>
          <w:lang w:val="en-GB"/>
        </w:rPr>
        <w:t>, 695-706.</w:t>
      </w:r>
    </w:p>
    <w:p w14:paraId="3585683E" w14:textId="77777777" w:rsidR="00FE53E3" w:rsidRPr="00043AAC" w:rsidRDefault="00FE53E3" w:rsidP="00FE53E3">
      <w:pPr>
        <w:pStyle w:val="EndNoteBibliography"/>
        <w:ind w:left="720" w:hanging="720"/>
        <w:rPr>
          <w:lang w:val="en-GB"/>
        </w:rPr>
      </w:pPr>
      <w:r w:rsidRPr="00043AAC">
        <w:rPr>
          <w:lang w:val="en-GB"/>
        </w:rPr>
        <w:t>[21]</w:t>
      </w:r>
      <w:r w:rsidRPr="00043AAC">
        <w:rPr>
          <w:lang w:val="en-GB"/>
        </w:rPr>
        <w:tab/>
        <w:t xml:space="preserve">D. Aaron, Z. Tang, A. B. Papandrew, T. A. Zawodzinski, </w:t>
      </w:r>
      <w:r w:rsidRPr="00043AAC">
        <w:rPr>
          <w:i/>
          <w:lang w:val="en-GB"/>
        </w:rPr>
        <w:t xml:space="preserve">Journal of Applied Electrochemistry </w:t>
      </w:r>
      <w:r w:rsidRPr="00043AAC">
        <w:rPr>
          <w:b/>
          <w:lang w:val="en-GB"/>
        </w:rPr>
        <w:t>2011</w:t>
      </w:r>
      <w:r w:rsidRPr="00043AAC">
        <w:rPr>
          <w:lang w:val="en-GB"/>
        </w:rPr>
        <w:t xml:space="preserve">, </w:t>
      </w:r>
      <w:r w:rsidRPr="00043AAC">
        <w:rPr>
          <w:i/>
          <w:lang w:val="en-GB"/>
        </w:rPr>
        <w:t>41</w:t>
      </w:r>
      <w:r w:rsidRPr="00043AAC">
        <w:rPr>
          <w:lang w:val="en-GB"/>
        </w:rPr>
        <w:t>, 1175-1182.</w:t>
      </w:r>
    </w:p>
    <w:p w14:paraId="59FCF235" w14:textId="77777777" w:rsidR="00FE53E3" w:rsidRPr="00043AAC" w:rsidRDefault="00FE53E3" w:rsidP="00FE53E3">
      <w:pPr>
        <w:pStyle w:val="EndNoteBibliography"/>
        <w:ind w:left="720" w:hanging="720"/>
        <w:rPr>
          <w:lang w:val="en-GB"/>
        </w:rPr>
      </w:pPr>
      <w:r w:rsidRPr="00043AAC">
        <w:rPr>
          <w:lang w:val="en-GB"/>
        </w:rPr>
        <w:t>[22]</w:t>
      </w:r>
      <w:r w:rsidRPr="00043AAC">
        <w:rPr>
          <w:lang w:val="en-GB"/>
        </w:rPr>
        <w:tab/>
        <w:t xml:space="preserve">a) T. A. Centeno, F. Stoeckli, </w:t>
      </w:r>
      <w:r w:rsidRPr="00043AAC">
        <w:rPr>
          <w:i/>
          <w:lang w:val="en-GB"/>
        </w:rPr>
        <w:t xml:space="preserve">Journal of Power Sources </w:t>
      </w:r>
      <w:r w:rsidRPr="00043AAC">
        <w:rPr>
          <w:b/>
          <w:lang w:val="en-GB"/>
        </w:rPr>
        <w:t>2006</w:t>
      </w:r>
      <w:r w:rsidRPr="00043AAC">
        <w:rPr>
          <w:lang w:val="en-GB"/>
        </w:rPr>
        <w:t xml:space="preserve">, </w:t>
      </w:r>
      <w:r w:rsidRPr="00043AAC">
        <w:rPr>
          <w:i/>
          <w:lang w:val="en-GB"/>
        </w:rPr>
        <w:t>154</w:t>
      </w:r>
      <w:r w:rsidRPr="00043AAC">
        <w:rPr>
          <w:lang w:val="en-GB"/>
        </w:rPr>
        <w:t xml:space="preserve">, 314-320; b) C. C. L. McCrory, S. Jung, J. C. </w:t>
      </w:r>
      <w:r w:rsidRPr="00043AAC">
        <w:rPr>
          <w:lang w:val="en-GB"/>
        </w:rPr>
        <w:lastRenderedPageBreak/>
        <w:t xml:space="preserve">Peters, T. F. Jaramillo, </w:t>
      </w:r>
      <w:r w:rsidRPr="00043AAC">
        <w:rPr>
          <w:i/>
          <w:lang w:val="en-GB"/>
        </w:rPr>
        <w:t xml:space="preserve">Journal of the American Chemical Society </w:t>
      </w:r>
      <w:r w:rsidRPr="00043AAC">
        <w:rPr>
          <w:b/>
          <w:lang w:val="en-GB"/>
        </w:rPr>
        <w:t>2013</w:t>
      </w:r>
      <w:r w:rsidRPr="00043AAC">
        <w:rPr>
          <w:lang w:val="en-GB"/>
        </w:rPr>
        <w:t xml:space="preserve">, </w:t>
      </w:r>
      <w:r w:rsidRPr="00043AAC">
        <w:rPr>
          <w:i/>
          <w:lang w:val="en-GB"/>
        </w:rPr>
        <w:t>135</w:t>
      </w:r>
      <w:r w:rsidRPr="00043AAC">
        <w:rPr>
          <w:lang w:val="en-GB"/>
        </w:rPr>
        <w:t>, 16977-16987.</w:t>
      </w:r>
    </w:p>
    <w:p w14:paraId="57E4B35E" w14:textId="77777777" w:rsidR="00FE53E3" w:rsidRPr="00043AAC" w:rsidRDefault="00FE53E3" w:rsidP="00FE53E3">
      <w:pPr>
        <w:pStyle w:val="EndNoteBibliography"/>
        <w:ind w:left="720" w:hanging="720"/>
        <w:rPr>
          <w:lang w:val="en-GB"/>
        </w:rPr>
      </w:pPr>
      <w:r w:rsidRPr="00043AAC">
        <w:rPr>
          <w:lang w:val="en-GB"/>
        </w:rPr>
        <w:t>[23]</w:t>
      </w:r>
      <w:r w:rsidRPr="00043AAC">
        <w:rPr>
          <w:lang w:val="en-GB"/>
        </w:rPr>
        <w:tab/>
        <w:t xml:space="preserve">E. Sánchez-Díez, E. Ventosa, M. Guarnieri, A. Trovò, C. Flox, R. Marcilla, F. Soavi, P. Mazur, E. Aranzabe, R. Ferret, </w:t>
      </w:r>
      <w:r w:rsidRPr="00043AAC">
        <w:rPr>
          <w:i/>
          <w:lang w:val="en-GB"/>
        </w:rPr>
        <w:t xml:space="preserve">Journal of Power Sources </w:t>
      </w:r>
      <w:r w:rsidRPr="00043AAC">
        <w:rPr>
          <w:b/>
          <w:lang w:val="en-GB"/>
        </w:rPr>
        <w:t>2021</w:t>
      </w:r>
      <w:r w:rsidRPr="00043AAC">
        <w:rPr>
          <w:lang w:val="en-GB"/>
        </w:rPr>
        <w:t xml:space="preserve">, </w:t>
      </w:r>
      <w:r w:rsidRPr="00043AAC">
        <w:rPr>
          <w:i/>
          <w:lang w:val="en-GB"/>
        </w:rPr>
        <w:t>481</w:t>
      </w:r>
      <w:r w:rsidRPr="00043AAC">
        <w:rPr>
          <w:lang w:val="en-GB"/>
        </w:rPr>
        <w:t>, 228804-228804.</w:t>
      </w:r>
    </w:p>
    <w:p w14:paraId="7BC20E5D" w14:textId="77777777" w:rsidR="00FE53E3" w:rsidRPr="00043AAC" w:rsidRDefault="00FE53E3" w:rsidP="00FE53E3">
      <w:pPr>
        <w:pStyle w:val="EndNoteBibliography"/>
        <w:ind w:left="720" w:hanging="720"/>
        <w:rPr>
          <w:lang w:val="en-GB"/>
        </w:rPr>
      </w:pPr>
      <w:r w:rsidRPr="00043AAC">
        <w:rPr>
          <w:lang w:val="en-GB"/>
        </w:rPr>
        <w:t>[24]</w:t>
      </w:r>
      <w:r w:rsidRPr="00043AAC">
        <w:rPr>
          <w:lang w:val="en-GB"/>
        </w:rPr>
        <w:tab/>
        <w:t xml:space="preserve">a) K. V. Greco, A. Forner-Cuenca, A. Mularczyk, J. Eller, F. R. Brushett, </w:t>
      </w:r>
      <w:r w:rsidRPr="00043AAC">
        <w:rPr>
          <w:i/>
          <w:lang w:val="en-GB"/>
        </w:rPr>
        <w:t xml:space="preserve">ACS Appl Mater Interfaces </w:t>
      </w:r>
      <w:r w:rsidRPr="00043AAC">
        <w:rPr>
          <w:b/>
          <w:lang w:val="en-GB"/>
        </w:rPr>
        <w:t>2018</w:t>
      </w:r>
      <w:r w:rsidRPr="00043AAC">
        <w:rPr>
          <w:lang w:val="en-GB"/>
        </w:rPr>
        <w:t xml:space="preserve">, </w:t>
      </w:r>
      <w:r w:rsidRPr="00043AAC">
        <w:rPr>
          <w:i/>
          <w:lang w:val="en-GB"/>
        </w:rPr>
        <w:t>10</w:t>
      </w:r>
      <w:r w:rsidRPr="00043AAC">
        <w:rPr>
          <w:lang w:val="en-GB"/>
        </w:rPr>
        <w:t xml:space="preserve">, 44430-44442; b) S. Abbas, S. Mehboob, H.-J. Shin, O. H. Han, H. Y. Ha, </w:t>
      </w:r>
      <w:r w:rsidRPr="00043AAC">
        <w:rPr>
          <w:i/>
          <w:lang w:val="en-GB"/>
        </w:rPr>
        <w:t xml:space="preserve">Chemical Engineering Journal </w:t>
      </w:r>
      <w:r w:rsidRPr="00043AAC">
        <w:rPr>
          <w:b/>
          <w:lang w:val="en-GB"/>
        </w:rPr>
        <w:t>2019</w:t>
      </w:r>
      <w:r w:rsidRPr="00043AAC">
        <w:rPr>
          <w:lang w:val="en-GB"/>
        </w:rPr>
        <w:t xml:space="preserve">, </w:t>
      </w:r>
      <w:r w:rsidRPr="00043AAC">
        <w:rPr>
          <w:i/>
          <w:lang w:val="en-GB"/>
        </w:rPr>
        <w:t>378</w:t>
      </w:r>
      <w:r w:rsidRPr="00043AAC">
        <w:rPr>
          <w:lang w:val="en-GB"/>
        </w:rPr>
        <w:t xml:space="preserve">, 122190-122190; c) J. Houser, A. Pezeshki, J. T. Clement, D. Aaron, M. M. Mench, </w:t>
      </w:r>
      <w:r w:rsidRPr="00043AAC">
        <w:rPr>
          <w:i/>
          <w:lang w:val="en-GB"/>
        </w:rPr>
        <w:t xml:space="preserve">Journal of Power Sources </w:t>
      </w:r>
      <w:r w:rsidRPr="00043AAC">
        <w:rPr>
          <w:b/>
          <w:lang w:val="en-GB"/>
        </w:rPr>
        <w:t>2017</w:t>
      </w:r>
      <w:r w:rsidRPr="00043AAC">
        <w:rPr>
          <w:lang w:val="en-GB"/>
        </w:rPr>
        <w:t xml:space="preserve">, </w:t>
      </w:r>
      <w:r w:rsidRPr="00043AAC">
        <w:rPr>
          <w:i/>
          <w:lang w:val="en-GB"/>
        </w:rPr>
        <w:t>351</w:t>
      </w:r>
      <w:r w:rsidRPr="00043AAC">
        <w:rPr>
          <w:lang w:val="en-GB"/>
        </w:rPr>
        <w:t xml:space="preserve">, 96-105; d) M. Raja, H. Khan, S. Sankarasubramanian, D. Sonawat, V. Ramani, K. Ramanujam, </w:t>
      </w:r>
      <w:r w:rsidRPr="00043AAC">
        <w:rPr>
          <w:i/>
          <w:lang w:val="en-GB"/>
        </w:rPr>
        <w:t xml:space="preserve">Catalysis Today </w:t>
      </w:r>
      <w:r w:rsidRPr="00043AAC">
        <w:rPr>
          <w:b/>
          <w:lang w:val="en-GB"/>
        </w:rPr>
        <w:t>2021</w:t>
      </w:r>
      <w:r w:rsidRPr="00043AAC">
        <w:rPr>
          <w:lang w:val="en-GB"/>
        </w:rPr>
        <w:t xml:space="preserve">, </w:t>
      </w:r>
      <w:r w:rsidRPr="00043AAC">
        <w:rPr>
          <w:i/>
          <w:lang w:val="en-GB"/>
        </w:rPr>
        <w:t>370</w:t>
      </w:r>
      <w:r w:rsidRPr="00043AAC">
        <w:rPr>
          <w:lang w:val="en-GB"/>
        </w:rPr>
        <w:t>, 181-188.</w:t>
      </w:r>
    </w:p>
    <w:p w14:paraId="5EADF13B" w14:textId="77777777" w:rsidR="00FE53E3" w:rsidRPr="00043AAC" w:rsidRDefault="00FE53E3" w:rsidP="00FE53E3">
      <w:pPr>
        <w:pStyle w:val="EndNoteBibliography"/>
        <w:ind w:left="720" w:hanging="720"/>
        <w:rPr>
          <w:lang w:val="en-GB"/>
        </w:rPr>
      </w:pPr>
      <w:r w:rsidRPr="00043AAC">
        <w:rPr>
          <w:lang w:val="en-GB"/>
        </w:rPr>
        <w:t>[25]</w:t>
      </w:r>
      <w:r w:rsidRPr="00043AAC">
        <w:rPr>
          <w:lang w:val="en-GB"/>
        </w:rPr>
        <w:tab/>
        <w:t xml:space="preserve">a) S. Bellani, L. Najafi, M. Prato, R. Oropesa-Nunez, B. Martin-Garcia, L. Gagliani, E. Mantero, L. Marasco, G. Bianca, M. I. Zappia, C. Demirci, S. Olivotto, G. Mariucci, V. Pellegrini, M. Schiavetti, F. Bonaccorso, </w:t>
      </w:r>
      <w:r w:rsidRPr="00043AAC">
        <w:rPr>
          <w:i/>
          <w:lang w:val="en-GB"/>
        </w:rPr>
        <w:t xml:space="preserve">Chem Mater </w:t>
      </w:r>
      <w:r w:rsidRPr="00043AAC">
        <w:rPr>
          <w:b/>
          <w:lang w:val="en-GB"/>
        </w:rPr>
        <w:t>2021</w:t>
      </w:r>
      <w:r w:rsidRPr="00043AAC">
        <w:rPr>
          <w:lang w:val="en-GB"/>
        </w:rPr>
        <w:t xml:space="preserve">, </w:t>
      </w:r>
      <w:r w:rsidRPr="00043AAC">
        <w:rPr>
          <w:i/>
          <w:lang w:val="en-GB"/>
        </w:rPr>
        <w:t>33</w:t>
      </w:r>
      <w:r w:rsidRPr="00043AAC">
        <w:rPr>
          <w:lang w:val="en-GB"/>
        </w:rPr>
        <w:t xml:space="preserve">, 4106-4121; b) R. Wang, Y. Li, H. Liu, Y.-L. He, M. Hao, </w:t>
      </w:r>
      <w:r w:rsidRPr="00043AAC">
        <w:rPr>
          <w:i/>
          <w:lang w:val="en-GB"/>
        </w:rPr>
        <w:t xml:space="preserve">Journal of Materials Chemistry A </w:t>
      </w:r>
      <w:r w:rsidRPr="00043AAC">
        <w:rPr>
          <w:b/>
          <w:lang w:val="en-GB"/>
        </w:rPr>
        <w:t>2021</w:t>
      </w:r>
      <w:r w:rsidRPr="00043AAC">
        <w:rPr>
          <w:lang w:val="en-GB"/>
        </w:rPr>
        <w:t xml:space="preserve">, </w:t>
      </w:r>
      <w:r w:rsidRPr="00043AAC">
        <w:rPr>
          <w:i/>
          <w:lang w:val="en-GB"/>
        </w:rPr>
        <w:t>9</w:t>
      </w:r>
      <w:r w:rsidRPr="00043AAC">
        <w:rPr>
          <w:lang w:val="en-GB"/>
        </w:rPr>
        <w:t xml:space="preserve">, 2345-2356; cT. Davies, J. Tummino, </w:t>
      </w:r>
      <w:r w:rsidRPr="00043AAC">
        <w:rPr>
          <w:i/>
          <w:lang w:val="en-GB"/>
        </w:rPr>
        <w:t xml:space="preserve">C </w:t>
      </w:r>
      <w:r w:rsidRPr="00043AAC">
        <w:rPr>
          <w:b/>
          <w:lang w:val="en-GB"/>
        </w:rPr>
        <w:t>2018</w:t>
      </w:r>
      <w:r w:rsidRPr="00043AAC">
        <w:rPr>
          <w:lang w:val="en-GB"/>
        </w:rPr>
        <w:t xml:space="preserve">, </w:t>
      </w:r>
      <w:r w:rsidRPr="00043AAC">
        <w:rPr>
          <w:i/>
          <w:lang w:val="en-GB"/>
        </w:rPr>
        <w:t>4</w:t>
      </w:r>
      <w:r w:rsidRPr="00043AAC">
        <w:rPr>
          <w:lang w:val="en-GB"/>
        </w:rPr>
        <w:t>.</w:t>
      </w:r>
    </w:p>
    <w:p w14:paraId="520C508E" w14:textId="77777777" w:rsidR="00FE53E3" w:rsidRPr="00043AAC" w:rsidRDefault="00FE53E3" w:rsidP="00FE53E3">
      <w:pPr>
        <w:pStyle w:val="EndNoteBibliography"/>
        <w:ind w:left="720" w:hanging="720"/>
        <w:rPr>
          <w:lang w:val="en-GB"/>
        </w:rPr>
      </w:pPr>
      <w:r w:rsidRPr="00043AAC">
        <w:rPr>
          <w:lang w:val="en-GB"/>
        </w:rPr>
        <w:t>[26]</w:t>
      </w:r>
      <w:r w:rsidRPr="00043AAC">
        <w:rPr>
          <w:lang w:val="en-GB"/>
        </w:rPr>
        <w:tab/>
        <w:t xml:space="preserve">H. Ishitobi, S. Yamamoto, T. Ishii, K. Oba, H. Doki, R. Obata, A. Miyashita, H. Okazaki, N. Nakagawa, </w:t>
      </w:r>
      <w:r w:rsidRPr="00043AAC">
        <w:rPr>
          <w:i/>
          <w:lang w:val="en-GB"/>
        </w:rPr>
        <w:t xml:space="preserve">Journal of Chemical Engineering of Japan </w:t>
      </w:r>
      <w:r w:rsidRPr="00043AAC">
        <w:rPr>
          <w:b/>
          <w:lang w:val="en-GB"/>
        </w:rPr>
        <w:t>2021</w:t>
      </w:r>
      <w:r w:rsidRPr="00043AAC">
        <w:rPr>
          <w:lang w:val="en-GB"/>
        </w:rPr>
        <w:t xml:space="preserve">, </w:t>
      </w:r>
      <w:r w:rsidRPr="00043AAC">
        <w:rPr>
          <w:i/>
          <w:lang w:val="en-GB"/>
        </w:rPr>
        <w:t>54</w:t>
      </w:r>
      <w:r w:rsidRPr="00043AAC">
        <w:rPr>
          <w:lang w:val="en-GB"/>
        </w:rPr>
        <w:t>, 219-225.</w:t>
      </w:r>
    </w:p>
    <w:p w14:paraId="3D7B358C" w14:textId="77777777" w:rsidR="00FE53E3" w:rsidRPr="00043AAC" w:rsidRDefault="00FE53E3" w:rsidP="00FE53E3">
      <w:pPr>
        <w:pStyle w:val="EndNoteBibliography"/>
        <w:ind w:left="720" w:hanging="720"/>
        <w:rPr>
          <w:lang w:val="en-GB"/>
        </w:rPr>
      </w:pPr>
      <w:r w:rsidRPr="00043AAC">
        <w:rPr>
          <w:lang w:val="en-GB"/>
        </w:rPr>
        <w:t>[27]</w:t>
      </w:r>
      <w:r w:rsidRPr="00043AAC">
        <w:rPr>
          <w:lang w:val="en-GB"/>
        </w:rPr>
        <w:tab/>
        <w:t xml:space="preserve">a) M. Jing, X. Qi, X. An, X. Ma, D. Fang, X. Fan, J. Liu, C. Yan, </w:t>
      </w:r>
      <w:r w:rsidRPr="00043AAC">
        <w:rPr>
          <w:i/>
          <w:lang w:val="en-GB"/>
        </w:rPr>
        <w:t xml:space="preserve">Electrochimica Acta </w:t>
      </w:r>
      <w:r w:rsidRPr="00043AAC">
        <w:rPr>
          <w:b/>
          <w:lang w:val="en-GB"/>
        </w:rPr>
        <w:t>2021</w:t>
      </w:r>
      <w:r w:rsidRPr="00043AAC">
        <w:rPr>
          <w:lang w:val="en-GB"/>
        </w:rPr>
        <w:t xml:space="preserve">, </w:t>
      </w:r>
      <w:r w:rsidRPr="00043AAC">
        <w:rPr>
          <w:i/>
          <w:lang w:val="en-GB"/>
        </w:rPr>
        <w:t>390</w:t>
      </w:r>
      <w:r w:rsidRPr="00043AAC">
        <w:rPr>
          <w:lang w:val="en-GB"/>
        </w:rPr>
        <w:t xml:space="preserve">; b) J. Sun, H. Jiang, C. Zhao, X. Fan, C. Chao, T. Zhao, </w:t>
      </w:r>
      <w:r w:rsidRPr="00043AAC">
        <w:rPr>
          <w:i/>
          <w:lang w:val="en-GB"/>
        </w:rPr>
        <w:t xml:space="preserve">Science Bulletin </w:t>
      </w:r>
      <w:r w:rsidRPr="00043AAC">
        <w:rPr>
          <w:b/>
          <w:lang w:val="en-GB"/>
        </w:rPr>
        <w:t>2021</w:t>
      </w:r>
      <w:r w:rsidRPr="00043AAC">
        <w:rPr>
          <w:lang w:val="en-GB"/>
        </w:rPr>
        <w:t xml:space="preserve">, </w:t>
      </w:r>
      <w:r w:rsidRPr="00043AAC">
        <w:rPr>
          <w:i/>
          <w:lang w:val="en-GB"/>
        </w:rPr>
        <w:t>66</w:t>
      </w:r>
      <w:r w:rsidRPr="00043AAC">
        <w:rPr>
          <w:lang w:val="en-GB"/>
        </w:rPr>
        <w:t xml:space="preserve">, 904-913; c) J. Sun, H. R. Jiang, M. C. Wu, X. Z. Fan, C. Y. H. Chao, T. S. Zhao, </w:t>
      </w:r>
      <w:r w:rsidRPr="00043AAC">
        <w:rPr>
          <w:i/>
          <w:lang w:val="en-GB"/>
        </w:rPr>
        <w:t xml:space="preserve">Journal of Power Sources </w:t>
      </w:r>
      <w:r w:rsidRPr="00043AAC">
        <w:rPr>
          <w:b/>
          <w:lang w:val="en-GB"/>
        </w:rPr>
        <w:t>2020</w:t>
      </w:r>
      <w:r w:rsidRPr="00043AAC">
        <w:rPr>
          <w:lang w:val="en-GB"/>
        </w:rPr>
        <w:t xml:space="preserve">, </w:t>
      </w:r>
      <w:r w:rsidRPr="00043AAC">
        <w:rPr>
          <w:i/>
          <w:lang w:val="en-GB"/>
        </w:rPr>
        <w:t>470</w:t>
      </w:r>
      <w:r w:rsidRPr="00043AAC">
        <w:rPr>
          <w:lang w:val="en-GB"/>
        </w:rPr>
        <w:t xml:space="preserve">; d) J. Sun, L. Zeng, H. R. Jiang, C. Y. H. Chao, T. S. Zhao, </w:t>
      </w:r>
      <w:r w:rsidRPr="00043AAC">
        <w:rPr>
          <w:i/>
          <w:lang w:val="en-GB"/>
        </w:rPr>
        <w:t xml:space="preserve">Journal of Power Sources </w:t>
      </w:r>
      <w:r w:rsidRPr="00043AAC">
        <w:rPr>
          <w:b/>
          <w:lang w:val="en-GB"/>
        </w:rPr>
        <w:t>2018</w:t>
      </w:r>
      <w:r w:rsidRPr="00043AAC">
        <w:rPr>
          <w:lang w:val="en-GB"/>
        </w:rPr>
        <w:t xml:space="preserve">, </w:t>
      </w:r>
      <w:r w:rsidRPr="00043AAC">
        <w:rPr>
          <w:i/>
          <w:lang w:val="en-GB"/>
        </w:rPr>
        <w:t>405</w:t>
      </w:r>
      <w:r w:rsidRPr="00043AAC">
        <w:rPr>
          <w:lang w:val="en-GB"/>
        </w:rPr>
        <w:t xml:space="preserve">, 106-113; e) S. Liu, M. Kok, Y. Kim, J. L. Barton, F. R. Brushett, J. Gostick, </w:t>
      </w:r>
      <w:r w:rsidRPr="00043AAC">
        <w:rPr>
          <w:i/>
          <w:lang w:val="en-GB"/>
        </w:rPr>
        <w:t xml:space="preserve">Journal of The Electrochemical Society </w:t>
      </w:r>
      <w:r w:rsidRPr="00043AAC">
        <w:rPr>
          <w:b/>
          <w:lang w:val="en-GB"/>
        </w:rPr>
        <w:t>2017</w:t>
      </w:r>
      <w:r w:rsidRPr="00043AAC">
        <w:rPr>
          <w:lang w:val="en-GB"/>
        </w:rPr>
        <w:t xml:space="preserve">, </w:t>
      </w:r>
      <w:r w:rsidRPr="00043AAC">
        <w:rPr>
          <w:i/>
          <w:lang w:val="en-GB"/>
        </w:rPr>
        <w:t>164</w:t>
      </w:r>
      <w:r w:rsidRPr="00043AAC">
        <w:rPr>
          <w:lang w:val="en-GB"/>
        </w:rPr>
        <w:t>, A2038-A2048.</w:t>
      </w:r>
    </w:p>
    <w:p w14:paraId="3AC20D28" w14:textId="77777777" w:rsidR="00FE53E3" w:rsidRPr="00043AAC" w:rsidRDefault="00FE53E3" w:rsidP="00FE53E3">
      <w:pPr>
        <w:pStyle w:val="EndNoteBibliography"/>
        <w:ind w:left="720" w:hanging="720"/>
        <w:rPr>
          <w:lang w:val="es-ES"/>
        </w:rPr>
      </w:pPr>
      <w:r w:rsidRPr="00043AAC">
        <w:rPr>
          <w:lang w:val="es-ES"/>
        </w:rPr>
        <w:t>[28]</w:t>
      </w:r>
      <w:r w:rsidRPr="00043AAC">
        <w:rPr>
          <w:lang w:val="es-ES"/>
        </w:rPr>
        <w:tab/>
        <w:t xml:space="preserve">R. A. Elgammal, Z. Tang, C.-N. Sun, J. Lawton, T. A. Zawodzinski, </w:t>
      </w:r>
      <w:r w:rsidRPr="00043AAC">
        <w:rPr>
          <w:i/>
          <w:lang w:val="es-ES"/>
        </w:rPr>
        <w:t xml:space="preserve">Electrochimica Acta </w:t>
      </w:r>
      <w:r w:rsidRPr="00043AAC">
        <w:rPr>
          <w:b/>
          <w:lang w:val="es-ES"/>
        </w:rPr>
        <w:t>2017</w:t>
      </w:r>
      <w:r w:rsidRPr="00043AAC">
        <w:rPr>
          <w:lang w:val="es-ES"/>
        </w:rPr>
        <w:t xml:space="preserve">, </w:t>
      </w:r>
      <w:r w:rsidRPr="00043AAC">
        <w:rPr>
          <w:i/>
          <w:lang w:val="es-ES"/>
        </w:rPr>
        <w:t>237</w:t>
      </w:r>
      <w:r w:rsidRPr="00043AAC">
        <w:rPr>
          <w:lang w:val="es-ES"/>
        </w:rPr>
        <w:t>, 1-11.</w:t>
      </w:r>
    </w:p>
    <w:p w14:paraId="417F9471" w14:textId="77777777" w:rsidR="00FE53E3" w:rsidRPr="00043AAC" w:rsidRDefault="00FE53E3" w:rsidP="00FE53E3">
      <w:pPr>
        <w:pStyle w:val="EndNoteBibliography"/>
        <w:ind w:left="720" w:hanging="720"/>
        <w:rPr>
          <w:lang w:val="es-ES"/>
        </w:rPr>
      </w:pPr>
      <w:r w:rsidRPr="00043AAC">
        <w:rPr>
          <w:lang w:val="es-ES"/>
        </w:rPr>
        <w:t>[29]</w:t>
      </w:r>
      <w:r w:rsidRPr="00043AAC">
        <w:rPr>
          <w:lang w:val="es-ES"/>
        </w:rPr>
        <w:tab/>
        <w:t xml:space="preserve">C. N. Sun, M. M. Mench, T. A. Zawodzinski, </w:t>
      </w:r>
      <w:r w:rsidRPr="00043AAC">
        <w:rPr>
          <w:i/>
          <w:lang w:val="es-ES"/>
        </w:rPr>
        <w:t xml:space="preserve">Electrochimica Acta </w:t>
      </w:r>
      <w:r w:rsidRPr="00043AAC">
        <w:rPr>
          <w:b/>
          <w:lang w:val="es-ES"/>
        </w:rPr>
        <w:t>2017</w:t>
      </w:r>
      <w:r w:rsidRPr="00043AAC">
        <w:rPr>
          <w:lang w:val="es-ES"/>
        </w:rPr>
        <w:t xml:space="preserve">, </w:t>
      </w:r>
      <w:r w:rsidRPr="00043AAC">
        <w:rPr>
          <w:i/>
          <w:lang w:val="es-ES"/>
        </w:rPr>
        <w:t>237</w:t>
      </w:r>
      <w:r w:rsidRPr="00043AAC">
        <w:rPr>
          <w:lang w:val="es-ES"/>
        </w:rPr>
        <w:t>, 199-206.</w:t>
      </w:r>
    </w:p>
    <w:p w14:paraId="566E95E1" w14:textId="77777777" w:rsidR="00FE53E3" w:rsidRPr="00043AAC" w:rsidRDefault="00FE53E3" w:rsidP="00FE53E3">
      <w:pPr>
        <w:pStyle w:val="EndNoteBibliography"/>
        <w:ind w:left="720" w:hanging="720"/>
        <w:rPr>
          <w:lang w:val="en-GB"/>
        </w:rPr>
      </w:pPr>
      <w:r w:rsidRPr="00043AAC">
        <w:rPr>
          <w:lang w:val="en-GB"/>
        </w:rPr>
        <w:t>[30]</w:t>
      </w:r>
      <w:r w:rsidRPr="00043AAC">
        <w:rPr>
          <w:lang w:val="en-GB"/>
        </w:rPr>
        <w:tab/>
        <w:t xml:space="preserve">X. L. Zhou, Y. K. Zeng, X. B. Zhu, L. Wei, T. S. Zhao, </w:t>
      </w:r>
      <w:r w:rsidRPr="00043AAC">
        <w:rPr>
          <w:i/>
          <w:lang w:val="en-GB"/>
        </w:rPr>
        <w:t xml:space="preserve">Journal of Power Sources </w:t>
      </w:r>
      <w:r w:rsidRPr="00043AAC">
        <w:rPr>
          <w:b/>
          <w:lang w:val="en-GB"/>
        </w:rPr>
        <w:t>2016</w:t>
      </w:r>
      <w:r w:rsidRPr="00043AAC">
        <w:rPr>
          <w:lang w:val="en-GB"/>
        </w:rPr>
        <w:t xml:space="preserve">, </w:t>
      </w:r>
      <w:r w:rsidRPr="00043AAC">
        <w:rPr>
          <w:i/>
          <w:lang w:val="en-GB"/>
        </w:rPr>
        <w:t>325</w:t>
      </w:r>
      <w:r w:rsidRPr="00043AAC">
        <w:rPr>
          <w:lang w:val="en-GB"/>
        </w:rPr>
        <w:t>, 329-336.</w:t>
      </w:r>
    </w:p>
    <w:p w14:paraId="6B78C8FB" w14:textId="77777777" w:rsidR="00FE53E3" w:rsidRPr="00043AAC" w:rsidRDefault="00FE53E3" w:rsidP="00FE53E3">
      <w:pPr>
        <w:pStyle w:val="EndNoteBibliography"/>
        <w:ind w:left="720" w:hanging="720"/>
        <w:rPr>
          <w:lang w:val="es-ES"/>
        </w:rPr>
      </w:pPr>
      <w:r w:rsidRPr="00043AAC">
        <w:rPr>
          <w:lang w:val="es-ES"/>
        </w:rPr>
        <w:t>[31]</w:t>
      </w:r>
      <w:r w:rsidRPr="00043AAC">
        <w:rPr>
          <w:lang w:val="es-ES"/>
        </w:rPr>
        <w:tab/>
        <w:t xml:space="preserve">U. S. D. o. Energy, </w:t>
      </w:r>
      <w:r w:rsidRPr="00043AAC">
        <w:rPr>
          <w:b/>
          <w:lang w:val="es-ES"/>
        </w:rPr>
        <w:t>2009</w:t>
      </w:r>
      <w:r w:rsidRPr="00043AAC">
        <w:rPr>
          <w:lang w:val="es-ES"/>
        </w:rPr>
        <w:t>, 70-70.</w:t>
      </w:r>
    </w:p>
    <w:p w14:paraId="13C322C6" w14:textId="77777777" w:rsidR="00FE53E3" w:rsidRPr="00043AAC" w:rsidRDefault="00FE53E3" w:rsidP="00FE53E3">
      <w:pPr>
        <w:pStyle w:val="EndNoteBibliography"/>
        <w:ind w:left="720" w:hanging="720"/>
        <w:rPr>
          <w:lang w:val="es-ES"/>
        </w:rPr>
      </w:pPr>
      <w:r w:rsidRPr="00043AAC">
        <w:rPr>
          <w:lang w:val="es-ES"/>
        </w:rPr>
        <w:t>[32]</w:t>
      </w:r>
      <w:r w:rsidRPr="00043AAC">
        <w:rPr>
          <w:lang w:val="es-ES"/>
        </w:rPr>
        <w:tab/>
        <w:t xml:space="preserve">a) C. Flox, M. Skoumal, J. Rubio-Garcia, T. Andreu, J. R. Morante, </w:t>
      </w:r>
      <w:r w:rsidRPr="00043AAC">
        <w:rPr>
          <w:i/>
          <w:lang w:val="es-ES"/>
        </w:rPr>
        <w:t xml:space="preserve">Applied Energy </w:t>
      </w:r>
      <w:r w:rsidRPr="00043AAC">
        <w:rPr>
          <w:b/>
          <w:lang w:val="es-ES"/>
        </w:rPr>
        <w:t>2013</w:t>
      </w:r>
      <w:r w:rsidRPr="00043AAC">
        <w:rPr>
          <w:lang w:val="es-ES"/>
        </w:rPr>
        <w:t xml:space="preserve">, </w:t>
      </w:r>
      <w:r w:rsidRPr="00043AAC">
        <w:rPr>
          <w:i/>
          <w:lang w:val="es-ES"/>
        </w:rPr>
        <w:t>109</w:t>
      </w:r>
      <w:r w:rsidRPr="00043AAC">
        <w:rPr>
          <w:lang w:val="es-ES"/>
        </w:rPr>
        <w:t xml:space="preserve">, 344-351; b) J. Vázquez-Galván, C. Flox, C. Fàbrega, E. Ventosa, A. Parra, T. Andreu, J. R. Morante, </w:t>
      </w:r>
      <w:r w:rsidRPr="00043AAC">
        <w:rPr>
          <w:i/>
          <w:lang w:val="es-ES"/>
        </w:rPr>
        <w:t xml:space="preserve">ChemSusChem </w:t>
      </w:r>
      <w:r w:rsidRPr="00043AAC">
        <w:rPr>
          <w:b/>
          <w:lang w:val="es-ES"/>
        </w:rPr>
        <w:t>2017</w:t>
      </w:r>
      <w:r w:rsidRPr="00043AAC">
        <w:rPr>
          <w:lang w:val="es-ES"/>
        </w:rPr>
        <w:t xml:space="preserve">, </w:t>
      </w:r>
      <w:r w:rsidRPr="00043AAC">
        <w:rPr>
          <w:i/>
          <w:lang w:val="es-ES"/>
        </w:rPr>
        <w:t>10</w:t>
      </w:r>
      <w:r w:rsidRPr="00043AAC">
        <w:rPr>
          <w:lang w:val="es-ES"/>
        </w:rPr>
        <w:t>, 2089-2098.</w:t>
      </w:r>
    </w:p>
    <w:p w14:paraId="4019B476" w14:textId="77777777" w:rsidR="00FE53E3" w:rsidRPr="009772C6" w:rsidRDefault="00FE53E3" w:rsidP="00FE53E3">
      <w:pPr>
        <w:pStyle w:val="References"/>
        <w:rPr>
          <w:lang w:val="es-ES"/>
        </w:rPr>
      </w:pPr>
      <w:r w:rsidRPr="00025049">
        <w:fldChar w:fldCharType="end"/>
      </w:r>
    </w:p>
    <w:p w14:paraId="352CE4FD" w14:textId="77777777" w:rsidR="00FE53E3" w:rsidRPr="009772C6" w:rsidRDefault="00FE53E3" w:rsidP="00FE53E3">
      <w:pPr>
        <w:pStyle w:val="References"/>
        <w:rPr>
          <w:lang w:val="es-ES"/>
        </w:rPr>
      </w:pPr>
    </w:p>
    <w:p w14:paraId="16599AC0" w14:textId="77777777" w:rsidR="00FE53E3" w:rsidRPr="009772C6" w:rsidRDefault="00FE53E3" w:rsidP="00FE53E3">
      <w:pPr>
        <w:rPr>
          <w:lang w:val="es-ES"/>
        </w:rPr>
      </w:pPr>
    </w:p>
    <w:p w14:paraId="06926D41" w14:textId="77777777" w:rsidR="00FE53E3" w:rsidRPr="009772C6" w:rsidRDefault="00FE53E3" w:rsidP="00FE53E3">
      <w:pPr>
        <w:rPr>
          <w:lang w:val="es-ES"/>
        </w:rPr>
        <w:sectPr w:rsidR="00FE53E3" w:rsidRPr="009772C6" w:rsidSect="00E10A76">
          <w:type w:val="continuous"/>
          <w:pgSz w:w="11906" w:h="16838" w:code="9"/>
          <w:pgMar w:top="1673" w:right="936" w:bottom="1134" w:left="936" w:header="709" w:footer="709" w:gutter="0"/>
          <w:cols w:num="2" w:space="284"/>
          <w:docGrid w:linePitch="360"/>
        </w:sectPr>
      </w:pPr>
    </w:p>
    <w:p w14:paraId="3A75FE40" w14:textId="77777777" w:rsidR="00FE53E3" w:rsidRPr="009772C6" w:rsidRDefault="00FE53E3" w:rsidP="00FE53E3">
      <w:pPr>
        <w:rPr>
          <w:bCs/>
          <w:lang w:val="es-ES"/>
        </w:rPr>
      </w:pPr>
    </w:p>
    <w:p w14:paraId="5BA7BA76" w14:textId="77777777" w:rsidR="00FE53E3" w:rsidRPr="00025049" w:rsidRDefault="00FE53E3" w:rsidP="00FE53E3">
      <w:pPr>
        <w:rPr>
          <w:b/>
        </w:rPr>
      </w:pPr>
      <w:r w:rsidRPr="00025049">
        <w:rPr>
          <w:b/>
        </w:rPr>
        <w:t>Entry for the Table of Contents</w:t>
      </w:r>
    </w:p>
    <w:p w14:paraId="4CA91935" w14:textId="77777777" w:rsidR="00FE53E3" w:rsidRPr="00025049" w:rsidRDefault="00FE53E3" w:rsidP="00FE53E3">
      <w:pPr>
        <w:pStyle w:val="TableOfContentText"/>
      </w:pPr>
    </w:p>
    <w:p w14:paraId="0E38E604" w14:textId="77777777" w:rsidR="00FE53E3" w:rsidRPr="00025049" w:rsidRDefault="00FE53E3" w:rsidP="00FE53E3">
      <w:pPr>
        <w:pStyle w:val="TableOfContentText"/>
        <w:rPr>
          <w:color w:val="FF0000"/>
        </w:rPr>
      </w:pPr>
      <w:r w:rsidRPr="00025049">
        <w:rPr>
          <w:noProof/>
          <w:color w:val="FF0000"/>
        </w:rPr>
        <w:drawing>
          <wp:inline distT="0" distB="0" distL="0" distR="0" wp14:anchorId="40C7BAB2" wp14:editId="49520EFD">
            <wp:extent cx="4132094" cy="900000"/>
            <wp:effectExtent l="0" t="0" r="1905" b="0"/>
            <wp:docPr id="24" name="Imagen 24"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Imagen que contiene Interfaz de usuario gráfica&#10;&#10;Descripción generada automáticament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132094" cy="900000"/>
                    </a:xfrm>
                    <a:prstGeom prst="rect">
                      <a:avLst/>
                    </a:prstGeom>
                  </pic:spPr>
                </pic:pic>
              </a:graphicData>
            </a:graphic>
          </wp:inline>
        </w:drawing>
      </w:r>
    </w:p>
    <w:p w14:paraId="37DCE02D" w14:textId="77777777" w:rsidR="00FE53E3" w:rsidRDefault="00FE53E3" w:rsidP="00FE53E3">
      <w:pPr>
        <w:pStyle w:val="TableOfContentText"/>
        <w:jc w:val="both"/>
      </w:pPr>
      <w:r>
        <w:t>Carbon Aerogels Porosity Optimisation: Different synthetic conditions for the growth of carbon aerogels (CAGs) over a carbon paper electrode were explored, in order to und</w:t>
      </w:r>
      <w:r w:rsidRPr="002F4D4E">
        <w:rPr>
          <w:color w:val="auto"/>
        </w:rPr>
        <w:t xml:space="preserve">erstand the performance in a thin electrode Zero-Gap all Vanadium Redox Flow Battery. To understand the performance of the electrodes prepared, polarization curves and galvanostatic charge/discharge experiments were performed. As result, the best performing electrode prepared, shows a very high volumetric power density and electrolyte utilisation even. </w:t>
      </w:r>
    </w:p>
    <w:p w14:paraId="2F90E515" w14:textId="77777777" w:rsidR="00FE53E3" w:rsidRDefault="00FE53E3" w:rsidP="00FE53E3">
      <w:pPr>
        <w:pStyle w:val="TableOfContentText"/>
      </w:pPr>
    </w:p>
    <w:p w14:paraId="64B11C16" w14:textId="77777777" w:rsidR="00FE53E3" w:rsidRDefault="00FE53E3" w:rsidP="00FE53E3">
      <w:pPr>
        <w:pStyle w:val="TableOfContentText"/>
      </w:pPr>
      <w:r>
        <w:t>Abstract:</w:t>
      </w:r>
    </w:p>
    <w:p w14:paraId="798F6070" w14:textId="77777777" w:rsidR="00FE53E3" w:rsidRPr="00025049" w:rsidRDefault="00FE53E3" w:rsidP="00FE53E3">
      <w:pPr>
        <w:pStyle w:val="TableOfContentText"/>
        <w:jc w:val="both"/>
        <w:rPr>
          <w:color w:val="FF0000"/>
        </w:rPr>
      </w:pPr>
      <w:r w:rsidRPr="00025049">
        <w:t xml:space="preserve">Direct growth of Resorcinol–Formaldehyde Carbon Aerogels (CAGs) on carbon paper electrodes was achieved using a new approach. Materials with variations in density, </w:t>
      </w:r>
      <w:proofErr w:type="spellStart"/>
      <w:r w:rsidRPr="00025049">
        <w:t>mesoporosity</w:t>
      </w:r>
      <w:proofErr w:type="spellEnd"/>
      <w:r w:rsidRPr="00025049">
        <w:t xml:space="preserve"> and microporosity were prepared. Microstructural properties of the resultant electrodes are shown to directly influence performance in zero-gap redox flow battery (RFB). BET analysis shows a total surface area between 643 to 931 m</w:t>
      </w:r>
      <w:r w:rsidRPr="00025049">
        <w:rPr>
          <w:vertAlign w:val="superscript"/>
        </w:rPr>
        <w:t>2</w:t>
      </w:r>
      <w:r w:rsidRPr="00025049">
        <w:t xml:space="preserve"> g</w:t>
      </w:r>
      <w:r w:rsidRPr="00025049">
        <w:rPr>
          <w:vertAlign w:val="superscript"/>
        </w:rPr>
        <w:t>-1</w:t>
      </w:r>
      <w:r w:rsidRPr="00025049">
        <w:t xml:space="preserve">. Deposition of only ~15 wt.% CAG on the carbon electrode leads to a 320-fold increase in electrochemical surface area. Analysis of the results saw a strong positive correlation of RFB performance with surface area. The best performing electrodes had a good balance between microporous and external surface area, and on the macroscopic scale had sufficiently large pores to allow efficient electrolyte permeation. Although the poorest performing electrodes which had the highest surface area, they also had poor macroscopic porosity leading to large </w:t>
      </w:r>
      <w:r w:rsidRPr="002F4D4E">
        <w:rPr>
          <w:color w:val="auto"/>
        </w:rPr>
        <w:t>mass transport and solution resistance loses. The best performing electrodes were tested in a zero-gap setup using polarization curves, showing a 25% increase in power density at 100 mA cm</w:t>
      </w:r>
      <w:r w:rsidRPr="002F4D4E">
        <w:rPr>
          <w:color w:val="auto"/>
          <w:vertAlign w:val="superscript"/>
        </w:rPr>
        <w:t>-2</w:t>
      </w:r>
      <w:r w:rsidRPr="002F4D4E">
        <w:rPr>
          <w:color w:val="auto"/>
        </w:rPr>
        <w:t xml:space="preserve"> and a peak power density of 706 </w:t>
      </w:r>
      <w:proofErr w:type="spellStart"/>
      <w:r w:rsidRPr="002F4D4E">
        <w:rPr>
          <w:color w:val="auto"/>
        </w:rPr>
        <w:t>mW</w:t>
      </w:r>
      <w:proofErr w:type="spellEnd"/>
      <w:r w:rsidRPr="002F4D4E">
        <w:rPr>
          <w:color w:val="auto"/>
        </w:rPr>
        <w:t xml:space="preserve"> cm</w:t>
      </w:r>
      <w:r w:rsidRPr="002F4D4E">
        <w:rPr>
          <w:color w:val="auto"/>
          <w:vertAlign w:val="superscript"/>
        </w:rPr>
        <w:t>-2</w:t>
      </w:r>
      <w:r w:rsidRPr="002F4D4E">
        <w:rPr>
          <w:color w:val="auto"/>
        </w:rPr>
        <w:t xml:space="preserve"> at 1 V using thin electrodes.</w:t>
      </w:r>
    </w:p>
    <w:p w14:paraId="0C73B0D6" w14:textId="77777777" w:rsidR="00FE53E3" w:rsidRPr="00025049" w:rsidRDefault="00FE53E3" w:rsidP="00FE53E3">
      <w:pPr>
        <w:pStyle w:val="TableOfContentText"/>
        <w:spacing w:before="360"/>
        <w:rPr>
          <w:color w:val="FF0000"/>
        </w:rPr>
      </w:pPr>
      <w:r w:rsidRPr="00025049">
        <w:t xml:space="preserve">Institute and/or researcher Twitter usernames: </w:t>
      </w:r>
      <w:r w:rsidRPr="00025049">
        <w:rPr>
          <w:i/>
          <w:iCs/>
        </w:rPr>
        <w:t>@imperialcollege</w:t>
      </w:r>
    </w:p>
    <w:p w14:paraId="7C49A312" w14:textId="77777777" w:rsidR="00925A0B" w:rsidRDefault="00AC13EB"/>
    <w:sectPr w:rsidR="00925A0B" w:rsidSect="00500F94">
      <w:pgSz w:w="11906" w:h="16838" w:code="9"/>
      <w:pgMar w:top="1134" w:right="936" w:bottom="1134" w:left="936" w:header="1021"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EECDC" w14:textId="77777777" w:rsidR="00FE53E3" w:rsidRDefault="00FE53E3" w:rsidP="00FE53E3">
      <w:pPr>
        <w:spacing w:after="0" w:line="240" w:lineRule="auto"/>
      </w:pPr>
      <w:r>
        <w:separator/>
      </w:r>
    </w:p>
  </w:endnote>
  <w:endnote w:type="continuationSeparator" w:id="0">
    <w:p w14:paraId="43A8FC0F" w14:textId="77777777" w:rsidR="00FE53E3" w:rsidRDefault="00FE53E3" w:rsidP="00FE53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B0318" w14:textId="77777777" w:rsidR="00FE53E3" w:rsidRDefault="00FE53E3">
    <w:pPr>
      <w:pStyle w:val="Footer"/>
      <w:jc w:val="center"/>
    </w:pPr>
    <w:r>
      <w:fldChar w:fldCharType="begin"/>
    </w:r>
    <w:r>
      <w:instrText xml:space="preserve"> PAGE   \* MERGEFORMAT </w:instrText>
    </w:r>
    <w:r>
      <w:fldChar w:fldCharType="separate"/>
    </w:r>
    <w:r>
      <w:rPr>
        <w:noProof/>
      </w:rPr>
      <w:t>1</w:t>
    </w:r>
    <w:r>
      <w:rPr>
        <w:noProof/>
      </w:rPr>
      <w:fldChar w:fldCharType="end"/>
    </w:r>
  </w:p>
  <w:p w14:paraId="071289A3" w14:textId="77777777" w:rsidR="00FE53E3" w:rsidRPr="0095126A" w:rsidRDefault="00FE53E3" w:rsidP="009512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7B5D1" w14:textId="77777777" w:rsidR="00FE53E3" w:rsidRDefault="00FE53E3" w:rsidP="00FE53E3">
      <w:pPr>
        <w:spacing w:after="0" w:line="240" w:lineRule="auto"/>
      </w:pPr>
      <w:r>
        <w:separator/>
      </w:r>
    </w:p>
  </w:footnote>
  <w:footnote w:type="continuationSeparator" w:id="0">
    <w:p w14:paraId="4B35036D" w14:textId="77777777" w:rsidR="00FE53E3" w:rsidRDefault="00FE53E3" w:rsidP="00FE53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88B0A" w14:textId="77777777" w:rsidR="00FE53E3" w:rsidRDefault="00FE53E3">
    <w:pPr>
      <w:pStyle w:val="Header"/>
    </w:pPr>
    <w:r>
      <w:rPr>
        <w:noProof/>
        <w:lang w:eastAsia="zh-CN"/>
      </w:rPr>
      <w:pict w14:anchorId="1BB17F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22073" o:spid="_x0000_s1027" type="#_x0000_t75" style="position:absolute;margin-left:0;margin-top:0;width:688.65pt;height:937.8pt;z-index:-251656192;mso-position-horizontal:center;mso-position-horizontal-relative:margin;mso-position-vertical:center;mso-position-vertical-relative:margin" o:allowincell="f">
          <v:imagedata r:id="rId1" o:title="Wiley-VCH_gedreh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D00FE"/>
    <w:multiLevelType w:val="hybridMultilevel"/>
    <w:tmpl w:val="7B76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DFD29E8"/>
    <w:multiLevelType w:val="multilevel"/>
    <w:tmpl w:val="6412801A"/>
    <w:lvl w:ilvl="0">
      <w:start w:val="1"/>
      <w:numFmt w:val="decimal"/>
      <w:pStyle w:val="Head1"/>
      <w:lvlText w:val="%1."/>
      <w:lvlJc w:val="left"/>
      <w:pPr>
        <w:ind w:left="360" w:hanging="360"/>
      </w:pPr>
      <w:rPr>
        <w:rFonts w:hint="default"/>
      </w:rPr>
    </w:lvl>
    <w:lvl w:ilvl="1">
      <w:start w:val="1"/>
      <w:numFmt w:val="decimal"/>
      <w:lvlText w:val="%1.%2."/>
      <w:lvlJc w:val="left"/>
      <w:pPr>
        <w:ind w:left="858" w:hanging="432"/>
      </w:pPr>
      <w:rPr>
        <w:i/>
        <w:iCs/>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3E3"/>
    <w:rsid w:val="00393DEF"/>
    <w:rsid w:val="00394667"/>
    <w:rsid w:val="0078671E"/>
    <w:rsid w:val="009D173B"/>
    <w:rsid w:val="00AC13EB"/>
    <w:rsid w:val="00C52C0D"/>
    <w:rsid w:val="00FE43DC"/>
    <w:rsid w:val="00FE53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371B56"/>
  <w15:chartTrackingRefBased/>
  <w15:docId w15:val="{5BA992C0-F9BB-4DA6-8A10-500BE949B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1"/>
    <w:basedOn w:val="Normal"/>
    <w:next w:val="Normal"/>
    <w:qFormat/>
    <w:rsid w:val="00FE53E3"/>
    <w:pPr>
      <w:spacing w:before="120" w:after="0" w:line="480" w:lineRule="exact"/>
    </w:pPr>
    <w:rPr>
      <w:rFonts w:ascii="Arial" w:eastAsia="MS Mincho" w:hAnsi="Arial" w:cs="Times New Roman"/>
      <w:b/>
      <w:sz w:val="32"/>
      <w:szCs w:val="28"/>
      <w:lang w:val="de-DE" w:eastAsia="ja-JP"/>
    </w:rPr>
  </w:style>
  <w:style w:type="paragraph" w:customStyle="1" w:styleId="Authors">
    <w:name w:val="Authors"/>
    <w:basedOn w:val="Normal"/>
    <w:qFormat/>
    <w:rsid w:val="00FE53E3"/>
    <w:pPr>
      <w:spacing w:before="120" w:after="120" w:line="320" w:lineRule="exact"/>
    </w:pPr>
    <w:rPr>
      <w:rFonts w:ascii="Arial" w:eastAsia="MS Mincho" w:hAnsi="Arial" w:cs="Times New Roman"/>
      <w:szCs w:val="24"/>
      <w:lang w:eastAsia="ja-JP"/>
    </w:rPr>
  </w:style>
  <w:style w:type="paragraph" w:customStyle="1" w:styleId="Dedication">
    <w:name w:val="Dedication"/>
    <w:basedOn w:val="Normal"/>
    <w:qFormat/>
    <w:rsid w:val="00FE53E3"/>
    <w:pPr>
      <w:spacing w:before="230" w:after="360" w:line="230" w:lineRule="exact"/>
    </w:pPr>
    <w:rPr>
      <w:rFonts w:ascii="Arial" w:eastAsia="MS Mincho" w:hAnsi="Arial" w:cs="Times New Roman"/>
      <w:sz w:val="17"/>
      <w:szCs w:val="24"/>
      <w:lang w:val="de-DE" w:eastAsia="ja-JP"/>
    </w:rPr>
  </w:style>
  <w:style w:type="paragraph" w:customStyle="1" w:styleId="P1withoutIndendation">
    <w:name w:val="P1_without_Indendation"/>
    <w:basedOn w:val="Normal"/>
    <w:qFormat/>
    <w:rsid w:val="00FE53E3"/>
    <w:pPr>
      <w:spacing w:after="0" w:line="225" w:lineRule="exact"/>
      <w:jc w:val="both"/>
    </w:pPr>
    <w:rPr>
      <w:rFonts w:ascii="Arial" w:eastAsia="MS Mincho" w:hAnsi="Arial" w:cs="Times New Roman"/>
      <w:sz w:val="17"/>
      <w:szCs w:val="24"/>
      <w:lang w:val="de-DE" w:eastAsia="ja-JP"/>
    </w:rPr>
  </w:style>
  <w:style w:type="paragraph" w:customStyle="1" w:styleId="History">
    <w:name w:val="History"/>
    <w:basedOn w:val="Normal"/>
    <w:rsid w:val="00FE53E3"/>
    <w:pPr>
      <w:spacing w:before="230" w:after="460" w:line="180" w:lineRule="exact"/>
    </w:pPr>
    <w:rPr>
      <w:rFonts w:ascii="Arial" w:eastAsia="MS Mincho" w:hAnsi="Arial" w:cs="Times New Roman"/>
      <w:sz w:val="14"/>
      <w:szCs w:val="16"/>
      <w:lang w:val="de-DE" w:eastAsia="ja-JP"/>
    </w:rPr>
  </w:style>
  <w:style w:type="paragraph" w:customStyle="1" w:styleId="Adress">
    <w:name w:val="Adress"/>
    <w:basedOn w:val="Normal"/>
    <w:qFormat/>
    <w:rsid w:val="00FE53E3"/>
    <w:pPr>
      <w:spacing w:after="0" w:line="180" w:lineRule="exact"/>
      <w:ind w:left="425" w:hanging="425"/>
    </w:pPr>
    <w:rPr>
      <w:rFonts w:ascii="Arial" w:eastAsia="MS Mincho" w:hAnsi="Arial" w:cs="Times New Roman"/>
      <w:sz w:val="14"/>
      <w:szCs w:val="20"/>
      <w:lang w:val="de-DE" w:eastAsia="ja-JP"/>
    </w:rPr>
  </w:style>
  <w:style w:type="paragraph" w:customStyle="1" w:styleId="Footnote">
    <w:name w:val="Footnote"/>
    <w:basedOn w:val="Adress"/>
    <w:rsid w:val="00FE53E3"/>
    <w:pPr>
      <w:spacing w:before="120"/>
    </w:pPr>
    <w:rPr>
      <w:szCs w:val="14"/>
      <w:lang w:val="en-GB"/>
    </w:rPr>
  </w:style>
  <w:style w:type="paragraph" w:customStyle="1" w:styleId="References">
    <w:name w:val="References"/>
    <w:basedOn w:val="Normal"/>
    <w:qFormat/>
    <w:rsid w:val="00FE53E3"/>
    <w:pPr>
      <w:spacing w:after="0" w:line="200" w:lineRule="exact"/>
      <w:ind w:left="425" w:hanging="425"/>
      <w:jc w:val="both"/>
    </w:pPr>
    <w:rPr>
      <w:rFonts w:ascii="Arial" w:eastAsia="MS Mincho" w:hAnsi="Arial" w:cs="Times New Roman"/>
      <w:sz w:val="14"/>
      <w:szCs w:val="14"/>
      <w:lang w:eastAsia="ja-JP"/>
    </w:rPr>
  </w:style>
  <w:style w:type="paragraph" w:customStyle="1" w:styleId="ColumnTitle">
    <w:name w:val="ColumnTitle"/>
    <w:basedOn w:val="Normal"/>
    <w:rsid w:val="00FE53E3"/>
    <w:pPr>
      <w:pBdr>
        <w:bottom w:val="single" w:sz="36" w:space="1" w:color="DDDDDD"/>
      </w:pBdr>
      <w:spacing w:after="320" w:line="240" w:lineRule="auto"/>
      <w:jc w:val="right"/>
    </w:pPr>
    <w:rPr>
      <w:rFonts w:ascii="Arial" w:eastAsia="MS Mincho" w:hAnsi="Arial" w:cs="Arial"/>
      <w:b/>
      <w:color w:val="C0C0C0"/>
      <w:sz w:val="36"/>
      <w:szCs w:val="36"/>
      <w:lang w:eastAsia="ja-JP"/>
    </w:rPr>
  </w:style>
  <w:style w:type="paragraph" w:customStyle="1" w:styleId="ExperimentalSection">
    <w:name w:val="ExperimentalSection"/>
    <w:basedOn w:val="Normal"/>
    <w:qFormat/>
    <w:rsid w:val="00FE53E3"/>
    <w:pPr>
      <w:spacing w:after="240" w:line="200" w:lineRule="exact"/>
      <w:jc w:val="both"/>
    </w:pPr>
    <w:rPr>
      <w:rFonts w:ascii="Arial" w:eastAsia="MS Mincho" w:hAnsi="Arial" w:cs="Times New Roman"/>
      <w:sz w:val="15"/>
      <w:szCs w:val="14"/>
      <w:lang w:eastAsia="ja-JP"/>
    </w:rPr>
  </w:style>
  <w:style w:type="paragraph" w:customStyle="1" w:styleId="HExperimentalSection">
    <w:name w:val="HExperimental_Section"/>
    <w:basedOn w:val="Normal"/>
    <w:autoRedefine/>
    <w:qFormat/>
    <w:rsid w:val="00FE53E3"/>
    <w:pPr>
      <w:spacing w:before="460" w:after="230" w:line="230" w:lineRule="atLeast"/>
    </w:pPr>
    <w:rPr>
      <w:rFonts w:ascii="Arial" w:eastAsia="MS Mincho" w:hAnsi="Arial" w:cs="Times New Roman"/>
      <w:b/>
      <w:szCs w:val="20"/>
      <w:lang w:val="de-DE" w:eastAsia="ja-JP"/>
    </w:rPr>
  </w:style>
  <w:style w:type="paragraph" w:customStyle="1" w:styleId="SchemeCaption">
    <w:name w:val="SchemeCaption"/>
    <w:basedOn w:val="Normal"/>
    <w:rsid w:val="00FE53E3"/>
    <w:pPr>
      <w:spacing w:before="230" w:after="460" w:line="180" w:lineRule="exact"/>
      <w:jc w:val="both"/>
    </w:pPr>
    <w:rPr>
      <w:rFonts w:ascii="Arial" w:eastAsia="MS Mincho" w:hAnsi="Arial" w:cs="Times New Roman"/>
      <w:sz w:val="14"/>
      <w:szCs w:val="14"/>
      <w:lang w:eastAsia="ja-JP"/>
    </w:rPr>
  </w:style>
  <w:style w:type="paragraph" w:customStyle="1" w:styleId="FigureCaption">
    <w:name w:val="FigureCaption"/>
    <w:basedOn w:val="Normal"/>
    <w:rsid w:val="00FE53E3"/>
    <w:pPr>
      <w:spacing w:before="230" w:after="460" w:line="180" w:lineRule="exact"/>
      <w:jc w:val="both"/>
    </w:pPr>
    <w:rPr>
      <w:rFonts w:ascii="Arial" w:eastAsia="MS Mincho" w:hAnsi="Arial" w:cs="Times New Roman"/>
      <w:sz w:val="14"/>
      <w:szCs w:val="14"/>
      <w:lang w:eastAsia="ja-JP"/>
    </w:rPr>
  </w:style>
  <w:style w:type="paragraph" w:customStyle="1" w:styleId="TableCaption">
    <w:name w:val="TableCaption"/>
    <w:basedOn w:val="Normal"/>
    <w:qFormat/>
    <w:rsid w:val="00FE53E3"/>
    <w:pPr>
      <w:pBdr>
        <w:top w:val="single" w:sz="4" w:space="4" w:color="DDDDDD"/>
        <w:left w:val="single" w:sz="4" w:space="4" w:color="DDDDDD"/>
        <w:bottom w:val="single" w:sz="4" w:space="4" w:color="DDDDDD"/>
        <w:right w:val="single" w:sz="4" w:space="4" w:color="DDDDDD"/>
      </w:pBdr>
      <w:spacing w:before="360" w:after="0" w:line="180" w:lineRule="exact"/>
      <w:jc w:val="both"/>
    </w:pPr>
    <w:rPr>
      <w:rFonts w:ascii="Arial" w:eastAsia="MS Mincho" w:hAnsi="Arial" w:cs="Times New Roman"/>
      <w:sz w:val="14"/>
      <w:szCs w:val="14"/>
      <w:lang w:eastAsia="ja-JP"/>
    </w:rPr>
  </w:style>
  <w:style w:type="paragraph" w:customStyle="1" w:styleId="TableHead">
    <w:name w:val="TableHead"/>
    <w:basedOn w:val="TableCaption"/>
    <w:rsid w:val="00FE53E3"/>
    <w:pPr>
      <w:pBdr>
        <w:top w:val="single" w:sz="4" w:space="4" w:color="FFFFFF"/>
        <w:left w:val="single" w:sz="4" w:space="4" w:color="FFFFFF"/>
        <w:bottom w:val="single" w:sz="4" w:space="4" w:color="FFFFFF"/>
        <w:right w:val="single" w:sz="4" w:space="4" w:color="FFFFFF"/>
      </w:pBdr>
    </w:pPr>
  </w:style>
  <w:style w:type="paragraph" w:customStyle="1" w:styleId="TableBody">
    <w:name w:val="TableBody"/>
    <w:basedOn w:val="TableHead"/>
    <w:rsid w:val="00FE53E3"/>
  </w:style>
  <w:style w:type="paragraph" w:customStyle="1" w:styleId="TableFoot">
    <w:name w:val="TableFoot"/>
    <w:basedOn w:val="TableBody"/>
    <w:rsid w:val="00FE53E3"/>
    <w:pPr>
      <w:spacing w:before="60" w:after="60"/>
    </w:pPr>
  </w:style>
  <w:style w:type="paragraph" w:customStyle="1" w:styleId="Keywords">
    <w:name w:val="Keywords"/>
    <w:basedOn w:val="Normal"/>
    <w:link w:val="KeywordsCar"/>
    <w:qFormat/>
    <w:rsid w:val="00FE53E3"/>
    <w:pPr>
      <w:spacing w:before="240" w:after="240" w:line="250" w:lineRule="exact"/>
    </w:pPr>
    <w:rPr>
      <w:rFonts w:ascii="Arial" w:eastAsia="MS Mincho" w:hAnsi="Arial" w:cs="Times New Roman"/>
      <w:sz w:val="17"/>
      <w:szCs w:val="20"/>
      <w:lang w:eastAsia="ja-JP"/>
    </w:rPr>
  </w:style>
  <w:style w:type="paragraph" w:customStyle="1" w:styleId="ManuscriptID">
    <w:name w:val="ManuscriptID"/>
    <w:basedOn w:val="Normal"/>
    <w:qFormat/>
    <w:rsid w:val="00FE53E3"/>
    <w:pPr>
      <w:spacing w:before="220" w:after="0" w:line="230" w:lineRule="exact"/>
    </w:pPr>
    <w:rPr>
      <w:rFonts w:ascii="Arial" w:eastAsia="MS Mincho" w:hAnsi="Arial" w:cs="Times New Roman"/>
      <w:b/>
      <w:sz w:val="17"/>
      <w:szCs w:val="15"/>
      <w:lang w:eastAsia="ja-JP"/>
    </w:rPr>
  </w:style>
  <w:style w:type="paragraph" w:customStyle="1" w:styleId="AuthorsTOC">
    <w:name w:val="Authors_TOC"/>
    <w:basedOn w:val="Authors"/>
    <w:rsid w:val="00FE53E3"/>
    <w:pPr>
      <w:spacing w:after="0" w:line="225" w:lineRule="atLeast"/>
    </w:pPr>
    <w:rPr>
      <w:i/>
      <w:sz w:val="17"/>
      <w:szCs w:val="20"/>
    </w:rPr>
  </w:style>
  <w:style w:type="paragraph" w:customStyle="1" w:styleId="TitleTOC">
    <w:name w:val="Title_TOC"/>
    <w:basedOn w:val="AuthorsTOC"/>
    <w:rsid w:val="00FE53E3"/>
    <w:rPr>
      <w:b/>
      <w:i w:val="0"/>
    </w:rPr>
  </w:style>
  <w:style w:type="paragraph" w:customStyle="1" w:styleId="TableOfContentText">
    <w:name w:val="TableOfContentText"/>
    <w:basedOn w:val="AuthorsTOC"/>
    <w:rsid w:val="00FE53E3"/>
    <w:rPr>
      <w:i w:val="0"/>
      <w:color w:val="000000"/>
    </w:rPr>
  </w:style>
  <w:style w:type="paragraph" w:customStyle="1" w:styleId="P1withIndendation">
    <w:name w:val="P1_with_Indendation"/>
    <w:basedOn w:val="TableCaption"/>
    <w:qFormat/>
    <w:rsid w:val="00FE53E3"/>
    <w:pPr>
      <w:pBdr>
        <w:top w:val="none" w:sz="0" w:space="0" w:color="auto"/>
        <w:left w:val="none" w:sz="0" w:space="0" w:color="auto"/>
        <w:bottom w:val="none" w:sz="0" w:space="0" w:color="auto"/>
        <w:right w:val="none" w:sz="0" w:space="0" w:color="auto"/>
      </w:pBdr>
      <w:spacing w:line="225" w:lineRule="exact"/>
      <w:ind w:firstLine="284"/>
    </w:pPr>
    <w:rPr>
      <w:sz w:val="17"/>
    </w:rPr>
  </w:style>
  <w:style w:type="paragraph" w:customStyle="1" w:styleId="HAcknowledgements">
    <w:name w:val="HAcknowledgements"/>
    <w:basedOn w:val="Normal"/>
    <w:qFormat/>
    <w:rsid w:val="00FE53E3"/>
    <w:pPr>
      <w:spacing w:before="480" w:after="230" w:line="230" w:lineRule="atLeast"/>
    </w:pPr>
    <w:rPr>
      <w:rFonts w:ascii="Arial" w:eastAsia="MS Mincho" w:hAnsi="Arial" w:cs="Times New Roman"/>
      <w:b/>
      <w:szCs w:val="24"/>
      <w:lang w:eastAsia="ja-JP"/>
    </w:rPr>
  </w:style>
  <w:style w:type="paragraph" w:customStyle="1" w:styleId="Acknowledgements">
    <w:name w:val="Acknowledgements"/>
    <w:basedOn w:val="P1withoutIndendation"/>
    <w:qFormat/>
    <w:rsid w:val="00FE53E3"/>
    <w:pPr>
      <w:spacing w:after="240" w:line="230" w:lineRule="atLeast"/>
    </w:pPr>
  </w:style>
  <w:style w:type="paragraph" w:customStyle="1" w:styleId="ColumnTitleTOC">
    <w:name w:val="ColumnTitle_TOC"/>
    <w:basedOn w:val="ColumnTitle"/>
    <w:rsid w:val="00FE53E3"/>
    <w:pPr>
      <w:pBdr>
        <w:bottom w:val="single" w:sz="36" w:space="3" w:color="008080"/>
      </w:pBdr>
      <w:spacing w:after="0"/>
      <w:jc w:val="left"/>
    </w:pPr>
    <w:rPr>
      <w:b w:val="0"/>
      <w:color w:val="000000"/>
      <w:sz w:val="28"/>
      <w:szCs w:val="28"/>
    </w:rPr>
  </w:style>
  <w:style w:type="paragraph" w:customStyle="1" w:styleId="SubjectHeadingTOC">
    <w:name w:val="SubjectHeading_TOC"/>
    <w:basedOn w:val="Normal"/>
    <w:rsid w:val="00FE53E3"/>
    <w:pPr>
      <w:spacing w:before="60" w:after="60" w:line="230" w:lineRule="exact"/>
    </w:pPr>
    <w:rPr>
      <w:rFonts w:ascii="Arial" w:eastAsia="MS Mincho" w:hAnsi="Arial" w:cs="Times New Roman"/>
      <w:b/>
      <w:i/>
      <w:color w:val="FFFFFF"/>
      <w:sz w:val="21"/>
      <w:szCs w:val="18"/>
      <w:lang w:eastAsia="ja-JP"/>
    </w:rPr>
  </w:style>
  <w:style w:type="paragraph" w:customStyle="1" w:styleId="GAAuthors">
    <w:name w:val="GAAuthors"/>
    <w:basedOn w:val="Normal"/>
    <w:rsid w:val="00FE53E3"/>
    <w:pPr>
      <w:spacing w:before="360" w:after="60" w:line="220" w:lineRule="exact"/>
    </w:pPr>
    <w:rPr>
      <w:rFonts w:ascii="Times New Roman" w:eastAsia="MS Mincho" w:hAnsi="Times New Roman" w:cs="Times New Roman"/>
      <w:b/>
      <w:sz w:val="18"/>
      <w:szCs w:val="20"/>
      <w:lang w:eastAsia="ja-JP"/>
    </w:rPr>
  </w:style>
  <w:style w:type="paragraph" w:customStyle="1" w:styleId="GACatchPhrase">
    <w:name w:val="GACatchPhrase"/>
    <w:basedOn w:val="Normal"/>
    <w:rsid w:val="00FE53E3"/>
    <w:pPr>
      <w:spacing w:before="40" w:after="0" w:line="240" w:lineRule="auto"/>
      <w:jc w:val="right"/>
    </w:pPr>
    <w:rPr>
      <w:rFonts w:ascii="Times New Roman" w:eastAsia="MS Mincho" w:hAnsi="Times New Roman" w:cs="Arial"/>
      <w:b/>
      <w:color w:val="008080"/>
      <w:sz w:val="18"/>
      <w:szCs w:val="16"/>
      <w:lang w:eastAsia="ja-JP"/>
    </w:rPr>
  </w:style>
  <w:style w:type="paragraph" w:customStyle="1" w:styleId="GAText">
    <w:name w:val="GAText"/>
    <w:basedOn w:val="Normal"/>
    <w:rsid w:val="00FE53E3"/>
    <w:pPr>
      <w:spacing w:before="120" w:after="0" w:line="220" w:lineRule="exact"/>
    </w:pPr>
    <w:rPr>
      <w:rFonts w:ascii="Times New Roman" w:eastAsia="MS Mincho" w:hAnsi="Times New Roman" w:cs="Times New Roman"/>
      <w:color w:val="000000"/>
      <w:sz w:val="18"/>
      <w:szCs w:val="24"/>
      <w:lang w:val="de-DE" w:eastAsia="ja-JP"/>
    </w:rPr>
  </w:style>
  <w:style w:type="paragraph" w:customStyle="1" w:styleId="GATitel">
    <w:name w:val="GATitel"/>
    <w:basedOn w:val="GAAuthors"/>
    <w:rsid w:val="00FE53E3"/>
    <w:pPr>
      <w:spacing w:before="240"/>
    </w:pPr>
    <w:rPr>
      <w:b w:val="0"/>
    </w:rPr>
  </w:style>
  <w:style w:type="paragraph" w:customStyle="1" w:styleId="GAKeywords">
    <w:name w:val="GAKeywords"/>
    <w:basedOn w:val="Keywords"/>
    <w:rsid w:val="00FE53E3"/>
    <w:pPr>
      <w:framePr w:hSpace="141" w:wrap="around" w:hAnchor="text" w:y="673"/>
      <w:spacing w:before="200" w:after="0" w:line="220" w:lineRule="exact"/>
    </w:pPr>
    <w:rPr>
      <w:rFonts w:ascii="Times New Roman" w:hAnsi="Times New Roman"/>
      <w:b/>
      <w:szCs w:val="24"/>
    </w:rPr>
  </w:style>
  <w:style w:type="paragraph" w:customStyle="1" w:styleId="MSType">
    <w:name w:val="MSType"/>
    <w:basedOn w:val="ColumnTitleTOC"/>
    <w:rsid w:val="00FE53E3"/>
    <w:pPr>
      <w:framePr w:hSpace="141" w:wrap="around" w:vAnchor="page" w:hAnchor="margin" w:y="1504"/>
      <w:pBdr>
        <w:bottom w:val="none" w:sz="0" w:space="0" w:color="auto"/>
      </w:pBdr>
      <w:spacing w:before="60" w:after="60"/>
    </w:pPr>
    <w:rPr>
      <w:rFonts w:ascii="Arial Black" w:hAnsi="Arial Black"/>
      <w:b/>
      <w:color w:val="FFFFFF"/>
      <w:spacing w:val="20"/>
      <w:sz w:val="20"/>
      <w:szCs w:val="20"/>
    </w:rPr>
  </w:style>
  <w:style w:type="paragraph" w:customStyle="1" w:styleId="PageNumbers">
    <w:name w:val="PageNumbers"/>
    <w:basedOn w:val="Normal"/>
    <w:rsid w:val="00FE53E3"/>
    <w:pPr>
      <w:spacing w:before="230" w:after="0" w:line="240" w:lineRule="auto"/>
    </w:pPr>
    <w:rPr>
      <w:rFonts w:ascii="Arial" w:eastAsia="MS Mincho" w:hAnsi="Arial" w:cs="Times New Roman"/>
      <w:b/>
      <w:i/>
      <w:sz w:val="17"/>
      <w:szCs w:val="24"/>
      <w:lang w:val="de-DE" w:eastAsia="ja-JP"/>
    </w:rPr>
  </w:style>
  <w:style w:type="paragraph" w:styleId="Header">
    <w:name w:val="header"/>
    <w:basedOn w:val="Normal"/>
    <w:link w:val="HeaderChar"/>
    <w:uiPriority w:val="99"/>
    <w:unhideWhenUsed/>
    <w:rsid w:val="00FE53E3"/>
    <w:pPr>
      <w:tabs>
        <w:tab w:val="center" w:pos="4703"/>
        <w:tab w:val="right" w:pos="9406"/>
      </w:tabs>
      <w:spacing w:after="0" w:line="240" w:lineRule="auto"/>
    </w:pPr>
    <w:rPr>
      <w:rFonts w:ascii="Times New Roman" w:eastAsia="MS Mincho" w:hAnsi="Times New Roman" w:cs="Times New Roman"/>
      <w:sz w:val="24"/>
      <w:szCs w:val="24"/>
      <w:lang w:val="de-DE" w:eastAsia="ja-JP"/>
    </w:rPr>
  </w:style>
  <w:style w:type="character" w:customStyle="1" w:styleId="HeaderChar">
    <w:name w:val="Header Char"/>
    <w:basedOn w:val="DefaultParagraphFont"/>
    <w:link w:val="Header"/>
    <w:uiPriority w:val="99"/>
    <w:rsid w:val="00FE53E3"/>
    <w:rPr>
      <w:rFonts w:ascii="Times New Roman" w:eastAsia="MS Mincho" w:hAnsi="Times New Roman" w:cs="Times New Roman"/>
      <w:sz w:val="24"/>
      <w:szCs w:val="24"/>
      <w:lang w:val="de-DE" w:eastAsia="ja-JP"/>
    </w:rPr>
  </w:style>
  <w:style w:type="paragraph" w:styleId="Footer">
    <w:name w:val="footer"/>
    <w:basedOn w:val="Normal"/>
    <w:link w:val="FooterChar"/>
    <w:uiPriority w:val="99"/>
    <w:unhideWhenUsed/>
    <w:rsid w:val="00FE53E3"/>
    <w:pPr>
      <w:tabs>
        <w:tab w:val="center" w:pos="4703"/>
        <w:tab w:val="right" w:pos="9406"/>
      </w:tabs>
      <w:spacing w:after="0" w:line="240" w:lineRule="auto"/>
    </w:pPr>
    <w:rPr>
      <w:rFonts w:ascii="Times New Roman" w:eastAsia="MS Mincho" w:hAnsi="Times New Roman" w:cs="Times New Roman"/>
      <w:sz w:val="24"/>
      <w:szCs w:val="24"/>
      <w:lang w:val="de-DE" w:eastAsia="ja-JP"/>
    </w:rPr>
  </w:style>
  <w:style w:type="character" w:customStyle="1" w:styleId="FooterChar">
    <w:name w:val="Footer Char"/>
    <w:basedOn w:val="DefaultParagraphFont"/>
    <w:link w:val="Footer"/>
    <w:uiPriority w:val="99"/>
    <w:rsid w:val="00FE53E3"/>
    <w:rPr>
      <w:rFonts w:ascii="Times New Roman" w:eastAsia="MS Mincho" w:hAnsi="Times New Roman" w:cs="Times New Roman"/>
      <w:sz w:val="24"/>
      <w:szCs w:val="24"/>
      <w:lang w:val="de-DE" w:eastAsia="ja-JP"/>
    </w:rPr>
  </w:style>
  <w:style w:type="paragraph" w:styleId="BalloonText">
    <w:name w:val="Balloon Text"/>
    <w:basedOn w:val="Normal"/>
    <w:link w:val="BalloonTextChar"/>
    <w:uiPriority w:val="99"/>
    <w:semiHidden/>
    <w:unhideWhenUsed/>
    <w:rsid w:val="00FE53E3"/>
    <w:pPr>
      <w:spacing w:after="0" w:line="240" w:lineRule="auto"/>
    </w:pPr>
    <w:rPr>
      <w:rFonts w:ascii="Tahoma" w:eastAsia="MS Mincho" w:hAnsi="Tahoma" w:cs="Tahoma"/>
      <w:sz w:val="16"/>
      <w:szCs w:val="16"/>
      <w:lang w:val="de-DE" w:eastAsia="ja-JP"/>
    </w:rPr>
  </w:style>
  <w:style w:type="character" w:customStyle="1" w:styleId="BalloonTextChar">
    <w:name w:val="Balloon Text Char"/>
    <w:basedOn w:val="DefaultParagraphFont"/>
    <w:link w:val="BalloonText"/>
    <w:uiPriority w:val="99"/>
    <w:semiHidden/>
    <w:rsid w:val="00FE53E3"/>
    <w:rPr>
      <w:rFonts w:ascii="Tahoma" w:eastAsia="MS Mincho" w:hAnsi="Tahoma" w:cs="Tahoma"/>
      <w:sz w:val="16"/>
      <w:szCs w:val="16"/>
      <w:lang w:val="de-DE" w:eastAsia="ja-JP"/>
    </w:rPr>
  </w:style>
  <w:style w:type="paragraph" w:customStyle="1" w:styleId="FormatvorlageHistoryObenEinfacheeinfarbigeLinie05PtZeilenbr">
    <w:name w:val="Formatvorlage History + Oben: (Einfache einfarbige Linie  05 Pt. Zeilenbr..."/>
    <w:basedOn w:val="History"/>
    <w:qFormat/>
    <w:rsid w:val="00FE53E3"/>
    <w:pPr>
      <w:pBdr>
        <w:top w:val="single" w:sz="4" w:space="14" w:color="000000"/>
      </w:pBdr>
    </w:pPr>
    <w:rPr>
      <w:szCs w:val="20"/>
    </w:rPr>
  </w:style>
  <w:style w:type="paragraph" w:customStyle="1" w:styleId="FormatvorlageP1withoutIndendationVor36Pt">
    <w:name w:val="Formatvorlage P1_without_Indendation + Vor:  36 Pt."/>
    <w:basedOn w:val="P1withoutIndendation"/>
    <w:qFormat/>
    <w:rsid w:val="00FE53E3"/>
    <w:pPr>
      <w:spacing w:before="720"/>
    </w:pPr>
    <w:rPr>
      <w:szCs w:val="20"/>
    </w:rPr>
  </w:style>
  <w:style w:type="paragraph" w:customStyle="1" w:styleId="TableSpacer">
    <w:name w:val="TableSpacer"/>
    <w:basedOn w:val="Normal"/>
    <w:qFormat/>
    <w:rsid w:val="00FE53E3"/>
    <w:pPr>
      <w:spacing w:before="360" w:after="0" w:line="240" w:lineRule="auto"/>
    </w:pPr>
    <w:rPr>
      <w:rFonts w:ascii="Arial" w:eastAsia="MS Mincho" w:hAnsi="Arial" w:cs="Times New Roman"/>
      <w:noProof/>
      <w:sz w:val="14"/>
      <w:szCs w:val="24"/>
      <w:lang w:val="de-DE" w:eastAsia="ja-JP"/>
    </w:rPr>
  </w:style>
  <w:style w:type="paragraph" w:customStyle="1" w:styleId="Abstract">
    <w:name w:val="Abstract"/>
    <w:basedOn w:val="Normal"/>
    <w:qFormat/>
    <w:rsid w:val="00FE53E3"/>
    <w:pPr>
      <w:spacing w:after="600" w:line="225" w:lineRule="exact"/>
      <w:jc w:val="both"/>
    </w:pPr>
    <w:rPr>
      <w:rFonts w:ascii="Arial" w:eastAsia="MS Mincho" w:hAnsi="Arial" w:cs="Times New Roman"/>
      <w:sz w:val="16"/>
      <w:szCs w:val="20"/>
      <w:lang w:eastAsia="ja-JP"/>
    </w:rPr>
  </w:style>
  <w:style w:type="paragraph" w:customStyle="1" w:styleId="H1">
    <w:name w:val="H1"/>
    <w:basedOn w:val="Normal"/>
    <w:qFormat/>
    <w:rsid w:val="00FE53E3"/>
    <w:pPr>
      <w:spacing w:before="480" w:after="230" w:line="225" w:lineRule="exact"/>
    </w:pPr>
    <w:rPr>
      <w:rFonts w:ascii="Arial" w:eastAsia="MS Mincho" w:hAnsi="Arial" w:cs="Times New Roman"/>
      <w:b/>
      <w:szCs w:val="24"/>
      <w:lang w:eastAsia="ja-JP"/>
    </w:rPr>
  </w:style>
  <w:style w:type="paragraph" w:customStyle="1" w:styleId="P1">
    <w:name w:val="P1"/>
    <w:basedOn w:val="P1withoutIndendation"/>
    <w:qFormat/>
    <w:rsid w:val="00FE53E3"/>
    <w:rPr>
      <w:lang w:val="en-US"/>
    </w:rPr>
  </w:style>
  <w:style w:type="character" w:styleId="Hyperlink">
    <w:name w:val="Hyperlink"/>
    <w:uiPriority w:val="99"/>
    <w:unhideWhenUsed/>
    <w:rsid w:val="00FE53E3"/>
    <w:rPr>
      <w:color w:val="0563C1"/>
      <w:u w:val="single"/>
    </w:rPr>
  </w:style>
  <w:style w:type="character" w:styleId="CommentReference">
    <w:name w:val="annotation reference"/>
    <w:uiPriority w:val="99"/>
    <w:unhideWhenUsed/>
    <w:rsid w:val="00FE53E3"/>
    <w:rPr>
      <w:sz w:val="16"/>
      <w:szCs w:val="16"/>
    </w:rPr>
  </w:style>
  <w:style w:type="paragraph" w:customStyle="1" w:styleId="Head1">
    <w:name w:val="Head 1"/>
    <w:basedOn w:val="Normal"/>
    <w:autoRedefine/>
    <w:rsid w:val="00FE53E3"/>
    <w:pPr>
      <w:numPr>
        <w:numId w:val="2"/>
      </w:numPr>
      <w:spacing w:before="240" w:after="0" w:line="360" w:lineRule="auto"/>
    </w:pPr>
    <w:rPr>
      <w:rFonts w:ascii="Times New Roman" w:eastAsia="MS Mincho" w:hAnsi="Times New Roman" w:cs="Times New Roman"/>
      <w:b/>
      <w:sz w:val="24"/>
      <w:szCs w:val="24"/>
      <w:lang w:val="en-US" w:eastAsia="ja-JP"/>
    </w:rPr>
  </w:style>
  <w:style w:type="paragraph" w:styleId="ListParagraph">
    <w:name w:val="List Paragraph"/>
    <w:basedOn w:val="Normal"/>
    <w:uiPriority w:val="34"/>
    <w:qFormat/>
    <w:rsid w:val="00FE53E3"/>
    <w:pPr>
      <w:spacing w:after="0" w:line="480" w:lineRule="auto"/>
      <w:ind w:left="720"/>
      <w:jc w:val="both"/>
    </w:pPr>
    <w:rPr>
      <w:rFonts w:ascii="Times New Roman" w:eastAsia="MS Mincho" w:hAnsi="Times New Roman" w:cs="Times New Roman"/>
      <w:sz w:val="24"/>
      <w:szCs w:val="24"/>
      <w:lang w:val="de-DE" w:eastAsia="ja-JP"/>
    </w:rPr>
  </w:style>
  <w:style w:type="character" w:customStyle="1" w:styleId="06CHeading">
    <w:name w:val="06 C Heading"/>
    <w:uiPriority w:val="1"/>
    <w:rsid w:val="00FE53E3"/>
    <w:rPr>
      <w:rFonts w:ascii="Times New Roman" w:hAnsi="Times New Roman" w:cs="Times New Roman"/>
      <w:b/>
      <w:smallCaps/>
      <w:w w:val="108"/>
      <w:sz w:val="18"/>
      <w:szCs w:val="18"/>
      <w:lang w:val="en-GB"/>
    </w:rPr>
  </w:style>
  <w:style w:type="table" w:styleId="TableGrid">
    <w:name w:val="Table Grid"/>
    <w:basedOn w:val="TableNormal"/>
    <w:uiPriority w:val="59"/>
    <w:rsid w:val="00FE53E3"/>
    <w:pPr>
      <w:spacing w:after="0" w:line="240" w:lineRule="auto"/>
    </w:pPr>
    <w:rPr>
      <w:rFonts w:ascii="Times New Roman" w:eastAsia="SimSu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qFormat/>
    <w:rsid w:val="00FE53E3"/>
    <w:pPr>
      <w:spacing w:before="230" w:after="460" w:line="360" w:lineRule="auto"/>
      <w:jc w:val="both"/>
    </w:pPr>
    <w:rPr>
      <w:rFonts w:ascii="Arial" w:eastAsia="Times New Roman" w:hAnsi="Arial" w:cs="Times New Roman"/>
      <w:b/>
      <w:bCs/>
      <w:sz w:val="14"/>
      <w:szCs w:val="20"/>
      <w:lang w:eastAsia="en-GB"/>
    </w:rPr>
  </w:style>
  <w:style w:type="paragraph" w:customStyle="1" w:styleId="Ack">
    <w:name w:val="Ack"/>
    <w:basedOn w:val="Normal"/>
    <w:rsid w:val="00FE53E3"/>
    <w:pPr>
      <w:spacing w:after="0" w:line="480" w:lineRule="auto"/>
      <w:jc w:val="both"/>
    </w:pPr>
    <w:rPr>
      <w:rFonts w:ascii="Times New Roman" w:eastAsia="MS Mincho" w:hAnsi="Times New Roman" w:cs="Times New Roman"/>
      <w:sz w:val="24"/>
      <w:szCs w:val="24"/>
      <w:lang w:val="de-DE" w:eastAsia="ja-JP"/>
    </w:rPr>
  </w:style>
  <w:style w:type="table" w:customStyle="1" w:styleId="PlainTable41">
    <w:name w:val="Plain Table 41"/>
    <w:basedOn w:val="TableNormal"/>
    <w:uiPriority w:val="44"/>
    <w:rsid w:val="00FE53E3"/>
    <w:pPr>
      <w:spacing w:after="0" w:line="240" w:lineRule="auto"/>
    </w:pPr>
    <w:rPr>
      <w:rFonts w:ascii="Times New Roman" w:eastAsia="SimSun" w:hAnsi="Times New Roman" w:cs="Times New Roman"/>
      <w:sz w:val="20"/>
      <w:szCs w:val="20"/>
      <w:lang w:eastAsia="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RSCB02ArticleText">
    <w:name w:val="RSC B02 Article Text"/>
    <w:basedOn w:val="Normal"/>
    <w:link w:val="RSCB02ArticleTextChar"/>
    <w:qFormat/>
    <w:rsid w:val="00FE53E3"/>
    <w:pPr>
      <w:spacing w:after="0" w:line="240" w:lineRule="exact"/>
      <w:jc w:val="both"/>
    </w:pPr>
    <w:rPr>
      <w:rFonts w:ascii="Calibri" w:eastAsia="Calibri" w:hAnsi="Calibri" w:cs="Times New Roman"/>
      <w:w w:val="108"/>
      <w:sz w:val="18"/>
      <w:szCs w:val="18"/>
    </w:rPr>
  </w:style>
  <w:style w:type="character" w:customStyle="1" w:styleId="RSCB02ArticleTextChar">
    <w:name w:val="RSC B02 Article Text Char"/>
    <w:link w:val="RSCB02ArticleText"/>
    <w:rsid w:val="00FE53E3"/>
    <w:rPr>
      <w:rFonts w:ascii="Calibri" w:eastAsia="Calibri" w:hAnsi="Calibri" w:cs="Times New Roman"/>
      <w:w w:val="108"/>
      <w:sz w:val="18"/>
      <w:szCs w:val="18"/>
    </w:rPr>
  </w:style>
  <w:style w:type="paragraph" w:customStyle="1" w:styleId="EndNoteBibliographyTitle">
    <w:name w:val="EndNote Bibliography Title"/>
    <w:basedOn w:val="Normal"/>
    <w:link w:val="EndNoteBibliographyTitleCar"/>
    <w:rsid w:val="00FE53E3"/>
    <w:pPr>
      <w:spacing w:after="0" w:line="240" w:lineRule="auto"/>
      <w:jc w:val="center"/>
    </w:pPr>
    <w:rPr>
      <w:rFonts w:ascii="Arial" w:eastAsia="MS Mincho" w:hAnsi="Arial" w:cs="Arial"/>
      <w:noProof/>
      <w:sz w:val="16"/>
      <w:szCs w:val="24"/>
      <w:lang w:val="de-DE" w:eastAsia="ja-JP"/>
    </w:rPr>
  </w:style>
  <w:style w:type="character" w:customStyle="1" w:styleId="KeywordsCar">
    <w:name w:val="Keywords Car"/>
    <w:basedOn w:val="DefaultParagraphFont"/>
    <w:link w:val="Keywords"/>
    <w:rsid w:val="00FE53E3"/>
    <w:rPr>
      <w:rFonts w:ascii="Arial" w:eastAsia="MS Mincho" w:hAnsi="Arial" w:cs="Times New Roman"/>
      <w:sz w:val="17"/>
      <w:szCs w:val="20"/>
      <w:lang w:eastAsia="ja-JP"/>
    </w:rPr>
  </w:style>
  <w:style w:type="character" w:customStyle="1" w:styleId="EndNoteBibliographyTitleCar">
    <w:name w:val="EndNote Bibliography Title Car"/>
    <w:basedOn w:val="KeywordsCar"/>
    <w:link w:val="EndNoteBibliographyTitle"/>
    <w:rsid w:val="00FE53E3"/>
    <w:rPr>
      <w:rFonts w:ascii="Arial" w:eastAsia="MS Mincho" w:hAnsi="Arial" w:cs="Arial"/>
      <w:noProof/>
      <w:sz w:val="16"/>
      <w:szCs w:val="24"/>
      <w:lang w:val="de-DE" w:eastAsia="ja-JP"/>
    </w:rPr>
  </w:style>
  <w:style w:type="paragraph" w:customStyle="1" w:styleId="EndNoteBibliography">
    <w:name w:val="EndNote Bibliography"/>
    <w:basedOn w:val="Normal"/>
    <w:link w:val="EndNoteBibliographyCar"/>
    <w:rsid w:val="00FE53E3"/>
    <w:pPr>
      <w:spacing w:after="0" w:line="240" w:lineRule="auto"/>
    </w:pPr>
    <w:rPr>
      <w:rFonts w:ascii="Arial" w:eastAsia="MS Mincho" w:hAnsi="Arial" w:cs="Arial"/>
      <w:noProof/>
      <w:sz w:val="16"/>
      <w:szCs w:val="24"/>
      <w:lang w:val="de-DE" w:eastAsia="ja-JP"/>
    </w:rPr>
  </w:style>
  <w:style w:type="character" w:customStyle="1" w:styleId="EndNoteBibliographyCar">
    <w:name w:val="EndNote Bibliography Car"/>
    <w:basedOn w:val="KeywordsCar"/>
    <w:link w:val="EndNoteBibliography"/>
    <w:rsid w:val="00FE53E3"/>
    <w:rPr>
      <w:rFonts w:ascii="Arial" w:eastAsia="MS Mincho" w:hAnsi="Arial" w:cs="Arial"/>
      <w:noProof/>
      <w:sz w:val="16"/>
      <w:szCs w:val="24"/>
      <w:lang w:val="de-DE" w:eastAsia="ja-JP"/>
    </w:rPr>
  </w:style>
  <w:style w:type="paragraph" w:customStyle="1" w:styleId="RSCT03TableBody">
    <w:name w:val="RSC T03 Table Body"/>
    <w:basedOn w:val="Normal"/>
    <w:link w:val="RSCT03TableBodyChar"/>
    <w:qFormat/>
    <w:rsid w:val="00FE53E3"/>
    <w:pPr>
      <w:keepNext/>
      <w:keepLines/>
      <w:spacing w:after="0" w:line="220" w:lineRule="exact"/>
      <w:jc w:val="center"/>
    </w:pPr>
    <w:rPr>
      <w:rFonts w:ascii="Calibri" w:eastAsia="Times New Roman" w:hAnsi="Calibri" w:cs="Times New Roman"/>
      <w:sz w:val="16"/>
      <w:szCs w:val="16"/>
      <w:lang w:eastAsia="en-GB"/>
    </w:rPr>
  </w:style>
  <w:style w:type="character" w:customStyle="1" w:styleId="RSCT03TableBodyChar">
    <w:name w:val="RSC T03 Table Body Char"/>
    <w:link w:val="RSCT03TableBody"/>
    <w:rsid w:val="00FE53E3"/>
    <w:rPr>
      <w:rFonts w:ascii="Calibri" w:eastAsia="Times New Roman" w:hAnsi="Calibri" w:cs="Times New Roman"/>
      <w:sz w:val="16"/>
      <w:szCs w:val="16"/>
      <w:lang w:eastAsia="en-GB"/>
    </w:rPr>
  </w:style>
  <w:style w:type="table" w:styleId="PlainTable5">
    <w:name w:val="Plain Table 5"/>
    <w:basedOn w:val="TableNormal"/>
    <w:uiPriority w:val="45"/>
    <w:rsid w:val="00FE53E3"/>
    <w:pPr>
      <w:spacing w:after="0" w:line="240" w:lineRule="auto"/>
    </w:pPr>
    <w:rPr>
      <w:rFonts w:ascii="Calibri" w:eastAsia="Calibri" w:hAnsi="Calibri" w:cs="Times New Roman"/>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RSCI05CaptiontoFigureSchemeChartwithbottombar">
    <w:name w:val="RSC I05 Caption to Figure/Scheme/Chart with bottom bar"/>
    <w:link w:val="RSCI05CaptiontoFigureSchemeChartwithbottombarChar"/>
    <w:rsid w:val="00FE53E3"/>
    <w:pPr>
      <w:pBdr>
        <w:bottom w:val="single" w:sz="12" w:space="1" w:color="A6A6A6"/>
      </w:pBdr>
      <w:spacing w:after="200" w:line="276" w:lineRule="auto"/>
      <w:jc w:val="both"/>
    </w:pPr>
    <w:rPr>
      <w:rFonts w:ascii="Calibri" w:eastAsia="Calibri" w:hAnsi="Calibri" w:cs="Times New Roman"/>
      <w:bCs/>
      <w:sz w:val="14"/>
      <w:szCs w:val="18"/>
    </w:rPr>
  </w:style>
  <w:style w:type="character" w:customStyle="1" w:styleId="RSCI05CaptiontoFigureSchemeChartwithbottombarChar">
    <w:name w:val="RSC I05 Caption to Figure/Scheme/Chart with bottom bar Char"/>
    <w:link w:val="RSCI05CaptiontoFigureSchemeChartwithbottombar"/>
    <w:rsid w:val="00FE53E3"/>
    <w:rPr>
      <w:rFonts w:ascii="Calibri" w:eastAsia="Calibri" w:hAnsi="Calibri" w:cs="Times New Roman"/>
      <w:bCs/>
      <w:sz w:val="14"/>
      <w:szCs w:val="18"/>
    </w:rPr>
  </w:style>
  <w:style w:type="table" w:styleId="ListTable7Colorful">
    <w:name w:val="List Table 7 Colorful"/>
    <w:basedOn w:val="TableNormal"/>
    <w:uiPriority w:val="52"/>
    <w:rsid w:val="00FE53E3"/>
    <w:pPr>
      <w:spacing w:after="0" w:line="240" w:lineRule="auto"/>
    </w:pPr>
    <w:rPr>
      <w:rFonts w:ascii="Calibri" w:eastAsia="Calibri" w:hAnsi="Calibri" w:cs="Times New Roman"/>
      <w:color w:val="00000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Biography">
    <w:name w:val="Biography"/>
    <w:basedOn w:val="Normal"/>
    <w:autoRedefine/>
    <w:rsid w:val="00FE53E3"/>
    <w:pPr>
      <w:spacing w:after="0" w:line="480" w:lineRule="auto"/>
      <w:jc w:val="both"/>
    </w:pPr>
    <w:rPr>
      <w:rFonts w:ascii="Times New Roman" w:eastAsia="MS Mincho" w:hAnsi="Times New Roman" w:cs="Times New Roman"/>
      <w:i/>
      <w:sz w:val="24"/>
      <w:szCs w:val="24"/>
      <w:lang w:val="en-US" w:eastAsia="ja-JP"/>
    </w:rPr>
  </w:style>
  <w:style w:type="paragraph" w:styleId="CommentText">
    <w:name w:val="annotation text"/>
    <w:basedOn w:val="Normal"/>
    <w:link w:val="CommentTextChar"/>
    <w:uiPriority w:val="99"/>
    <w:unhideWhenUsed/>
    <w:rsid w:val="00FE53E3"/>
    <w:pPr>
      <w:spacing w:after="0" w:line="240" w:lineRule="auto"/>
    </w:pPr>
    <w:rPr>
      <w:rFonts w:ascii="Times New Roman" w:eastAsia="MS Mincho" w:hAnsi="Times New Roman" w:cs="Times New Roman"/>
      <w:sz w:val="20"/>
      <w:szCs w:val="20"/>
      <w:lang w:val="de-DE" w:eastAsia="ja-JP"/>
    </w:rPr>
  </w:style>
  <w:style w:type="character" w:customStyle="1" w:styleId="CommentTextChar">
    <w:name w:val="Comment Text Char"/>
    <w:basedOn w:val="DefaultParagraphFont"/>
    <w:link w:val="CommentText"/>
    <w:uiPriority w:val="99"/>
    <w:rsid w:val="00FE53E3"/>
    <w:rPr>
      <w:rFonts w:ascii="Times New Roman" w:eastAsia="MS Mincho" w:hAnsi="Times New Roman" w:cs="Times New Roman"/>
      <w:sz w:val="20"/>
      <w:szCs w:val="20"/>
      <w:lang w:val="de-DE" w:eastAsia="ja-JP"/>
    </w:rPr>
  </w:style>
  <w:style w:type="paragraph" w:styleId="CommentSubject">
    <w:name w:val="annotation subject"/>
    <w:basedOn w:val="CommentText"/>
    <w:next w:val="CommentText"/>
    <w:link w:val="CommentSubjectChar"/>
    <w:uiPriority w:val="99"/>
    <w:semiHidden/>
    <w:unhideWhenUsed/>
    <w:rsid w:val="00FE53E3"/>
    <w:rPr>
      <w:b/>
      <w:bCs/>
    </w:rPr>
  </w:style>
  <w:style w:type="character" w:customStyle="1" w:styleId="CommentSubjectChar">
    <w:name w:val="Comment Subject Char"/>
    <w:basedOn w:val="CommentTextChar"/>
    <w:link w:val="CommentSubject"/>
    <w:uiPriority w:val="99"/>
    <w:semiHidden/>
    <w:rsid w:val="00FE53E3"/>
    <w:rPr>
      <w:rFonts w:ascii="Times New Roman" w:eastAsia="MS Mincho" w:hAnsi="Times New Roman" w:cs="Times New Roman"/>
      <w:b/>
      <w:bCs/>
      <w:sz w:val="20"/>
      <w:szCs w:val="20"/>
      <w:lang w:val="de-D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thony@imperial.ac.uk" TargetMode="External"/><Relationship Id="rId13" Type="http://schemas.openxmlformats.org/officeDocument/2006/relationships/image" Target="media/image4.png"/><Relationship Id="rId18" Type="http://schemas.openxmlformats.org/officeDocument/2006/relationships/image" Target="media/image9.wmf"/><Relationship Id="rId26" Type="http://schemas.openxmlformats.org/officeDocument/2006/relationships/image" Target="media/image17.wmf"/><Relationship Id="rId3" Type="http://schemas.openxmlformats.org/officeDocument/2006/relationships/settings" Target="settings.xml"/><Relationship Id="rId21" Type="http://schemas.openxmlformats.org/officeDocument/2006/relationships/image" Target="media/image12.wmf"/><Relationship Id="rId34" Type="http://schemas.openxmlformats.org/officeDocument/2006/relationships/image" Target="media/image25.tiff"/><Relationship Id="rId7" Type="http://schemas.openxmlformats.org/officeDocument/2006/relationships/hyperlink" Target="mailto:a.parra-puerto@imperial.ac.uk" TargetMode="External"/><Relationship Id="rId12" Type="http://schemas.openxmlformats.org/officeDocument/2006/relationships/image" Target="media/image3.png"/><Relationship Id="rId17" Type="http://schemas.openxmlformats.org/officeDocument/2006/relationships/image" Target="media/image8.emf"/><Relationship Id="rId25" Type="http://schemas.openxmlformats.org/officeDocument/2006/relationships/image" Target="media/image16.wmf"/><Relationship Id="rId33" Type="http://schemas.openxmlformats.org/officeDocument/2006/relationships/image" Target="media/image24.jpeg"/><Relationship Id="rId2" Type="http://schemas.openxmlformats.org/officeDocument/2006/relationships/styles" Target="styles.xml"/><Relationship Id="rId16" Type="http://schemas.openxmlformats.org/officeDocument/2006/relationships/image" Target="media/image7.wmf"/><Relationship Id="rId20" Type="http://schemas.openxmlformats.org/officeDocument/2006/relationships/image" Target="media/image11.emf"/><Relationship Id="rId29" Type="http://schemas.openxmlformats.org/officeDocument/2006/relationships/image" Target="media/image20.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5.wmf"/><Relationship Id="rId32" Type="http://schemas.openxmlformats.org/officeDocument/2006/relationships/image" Target="media/image23.wmf"/><Relationship Id="rId5" Type="http://schemas.openxmlformats.org/officeDocument/2006/relationships/footnotes" Target="footnotes.xml"/><Relationship Id="rId15" Type="http://schemas.openxmlformats.org/officeDocument/2006/relationships/image" Target="media/image6.wmf"/><Relationship Id="rId23" Type="http://schemas.openxmlformats.org/officeDocument/2006/relationships/image" Target="media/image14.wmf"/><Relationship Id="rId28" Type="http://schemas.openxmlformats.org/officeDocument/2006/relationships/image" Target="media/image19.wmf"/><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10.wmf"/><Relationship Id="rId31" Type="http://schemas.openxmlformats.org/officeDocument/2006/relationships/image" Target="media/image22.wmf"/><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wmf"/><Relationship Id="rId27" Type="http://schemas.openxmlformats.org/officeDocument/2006/relationships/image" Target="media/image18.wmf"/><Relationship Id="rId30" Type="http://schemas.openxmlformats.org/officeDocument/2006/relationships/image" Target="media/image21.wmf"/><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14</Pages>
  <Words>13633</Words>
  <Characters>77713</Characters>
  <Application>Microsoft Office Word</Application>
  <DocSecurity>0</DocSecurity>
  <Lines>647</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Kucernak, Anthony R J</dc:creator>
  <cp:keywords/>
  <dc:description/>
  <cp:lastModifiedBy>Kucernak, Anthony R J</cp:lastModifiedBy>
  <cp:revision>2</cp:revision>
  <dcterms:created xsi:type="dcterms:W3CDTF">2022-02-24T17:54:00Z</dcterms:created>
  <dcterms:modified xsi:type="dcterms:W3CDTF">2022-02-24T18:11:00Z</dcterms:modified>
</cp:coreProperties>
</file>