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6C4C07" w14:textId="6D970B48" w:rsidR="004A16A7" w:rsidRPr="00F47D72" w:rsidRDefault="00C061D8" w:rsidP="004A16A7">
      <w:pPr>
        <w:pStyle w:val="Title"/>
      </w:pPr>
      <w:r>
        <w:rPr>
          <w:caps w:val="0"/>
        </w:rPr>
        <w:t xml:space="preserve">OPTIMISING TRIBOCHARGER DESIGNS FOR SEPARATING GRANULAR MATERIAL USING THE DISCRETE ELEMENT METHOD </w:t>
      </w:r>
    </w:p>
    <w:p w14:paraId="5DFF74CE" w14:textId="769C0AAD" w:rsidR="004A16A7" w:rsidRPr="00F47D72" w:rsidRDefault="004A16A7" w:rsidP="004A16A7">
      <w:pPr>
        <w:pStyle w:val="anchorcentered"/>
        <w:rPr>
          <w:lang w:val="en-GB"/>
        </w:rPr>
      </w:pPr>
      <w:r w:rsidRPr="00F47D72">
        <w:rPr>
          <w:lang w:val="en-GB"/>
        </w:rPr>
        <w:t>Joshua N. Rasera</w:t>
      </w:r>
      <w:r w:rsidRPr="00F47D72">
        <w:rPr>
          <w:rStyle w:val="FootnoteReference"/>
          <w:lang w:val="en-GB"/>
        </w:rPr>
        <w:footnoteReference w:id="2"/>
      </w:r>
      <w:r w:rsidRPr="00F47D72">
        <w:rPr>
          <w:lang w:val="en-GB"/>
        </w:rPr>
        <w:t xml:space="preserve"> &amp; Jan J. Cilliers</w:t>
      </w:r>
    </w:p>
    <w:p w14:paraId="427B01AF" w14:textId="77777777" w:rsidR="004A16A7" w:rsidRPr="00F47D72" w:rsidRDefault="004A16A7" w:rsidP="004A16A7">
      <w:pPr>
        <w:pStyle w:val="anchorcentered"/>
        <w:rPr>
          <w:lang w:val="en-GB"/>
        </w:rPr>
      </w:pPr>
      <w:r w:rsidRPr="00F47D72">
        <w:rPr>
          <w:lang w:val="en-GB"/>
        </w:rPr>
        <w:t xml:space="preserve"> Imperial College London </w:t>
      </w:r>
    </w:p>
    <w:p w14:paraId="5B38A97C" w14:textId="77777777" w:rsidR="004A16A7" w:rsidRPr="00F47D72" w:rsidRDefault="004A16A7" w:rsidP="004A16A7">
      <w:pPr>
        <w:pStyle w:val="anchorcentered"/>
        <w:rPr>
          <w:lang w:val="en-GB"/>
        </w:rPr>
      </w:pPr>
    </w:p>
    <w:p w14:paraId="7ED0CF25" w14:textId="77777777" w:rsidR="004A16A7" w:rsidRPr="00F47D72" w:rsidRDefault="004A16A7" w:rsidP="004A16A7">
      <w:pPr>
        <w:pStyle w:val="anchorcentered"/>
        <w:rPr>
          <w:lang w:val="en-GB"/>
        </w:rPr>
      </w:pPr>
      <w:r w:rsidRPr="00F47D72">
        <w:rPr>
          <w:lang w:val="en-GB"/>
        </w:rPr>
        <w:t xml:space="preserve">Kathryn </w:t>
      </w:r>
      <w:proofErr w:type="spellStart"/>
      <w:r w:rsidRPr="00F47D72">
        <w:rPr>
          <w:lang w:val="en-GB"/>
        </w:rPr>
        <w:t>Hadler</w:t>
      </w:r>
      <w:proofErr w:type="spellEnd"/>
      <w:r w:rsidRPr="00F47D72">
        <w:rPr>
          <w:lang w:val="en-GB"/>
        </w:rPr>
        <w:t xml:space="preserve"> </w:t>
      </w:r>
    </w:p>
    <w:p w14:paraId="350D6B4A" w14:textId="0F746198" w:rsidR="004A16A7" w:rsidRPr="00F47D72" w:rsidRDefault="004A16A7" w:rsidP="004A16A7">
      <w:pPr>
        <w:pStyle w:val="anchorcentered"/>
        <w:rPr>
          <w:lang w:val="en-GB"/>
        </w:rPr>
      </w:pPr>
      <w:r w:rsidRPr="00F47D72">
        <w:rPr>
          <w:lang w:val="en-GB"/>
        </w:rPr>
        <w:t>European Space Resources Innovation Centre</w:t>
      </w:r>
      <w:r w:rsidRPr="00F47D72">
        <w:rPr>
          <w:rStyle w:val="apple-converted-space"/>
          <w:rFonts w:ascii="-webkit-standard" w:hAnsi="-webkit-standard"/>
          <w:color w:val="000000"/>
          <w:lang w:val="en-GB"/>
        </w:rPr>
        <w:t> </w:t>
      </w:r>
    </w:p>
    <w:p w14:paraId="2AD0A168" w14:textId="24F55BCF" w:rsidR="004A16A7" w:rsidRPr="00F47D72" w:rsidRDefault="004A16A7" w:rsidP="004A16A7">
      <w:pPr>
        <w:pStyle w:val="Heading1"/>
      </w:pPr>
      <w:r w:rsidRPr="00F47D72">
        <w:t xml:space="preserve">ABSTRACT </w:t>
      </w:r>
    </w:p>
    <w:p w14:paraId="2E36F834" w14:textId="2F8C2617" w:rsidR="00DC1755" w:rsidRPr="00B61ADB" w:rsidRDefault="00DC1755" w:rsidP="00B61ADB">
      <w:r w:rsidRPr="00DC1755">
        <w:t xml:space="preserve">The optimisation of </w:t>
      </w:r>
      <w:proofErr w:type="spellStart"/>
      <w:r w:rsidRPr="00DC1755">
        <w:t>tribochargers</w:t>
      </w:r>
      <w:proofErr w:type="spellEnd"/>
      <w:r w:rsidRPr="00DC1755">
        <w:t xml:space="preserve"> using the discrete element method for the </w:t>
      </w:r>
      <w:r w:rsidR="0032396B">
        <w:t>separating</w:t>
      </w:r>
      <w:r w:rsidRPr="00DC1755">
        <w:t xml:space="preserve"> granular materials, essential for dry mineral beneficiation</w:t>
      </w:r>
      <w:r w:rsidR="0032396B">
        <w:t>,</w:t>
      </w:r>
      <w:r w:rsidRPr="00DC1755">
        <w:t xml:space="preserve"> is studied. Various tribocharger designs are compared; an optimum is identified. The suitability of the design for charging other materials is considered. We extend </w:t>
      </w:r>
      <w:r w:rsidR="0032396B" w:rsidRPr="00DC1755">
        <w:t>our</w:t>
      </w:r>
      <w:r w:rsidRPr="00DC1755">
        <w:t xml:space="preserve"> analysis to simulate the conditions on the Moon, adapting the tribocharger design its unique environment. We highlight the versatility of our modelling approach and its potential for mineral processing on Earth and in space, particularly in the context of space resource utilisation. </w:t>
      </w:r>
      <w:r>
        <w:t>W</w:t>
      </w:r>
      <w:r w:rsidRPr="00DC1755">
        <w:t xml:space="preserve">e </w:t>
      </w:r>
      <w:r>
        <w:t>provide</w:t>
      </w:r>
      <w:r w:rsidRPr="00DC1755">
        <w:t xml:space="preserve"> insights into the adaptability and effectiveness of tribocharging technologies under diverse conditions.</w:t>
      </w:r>
    </w:p>
    <w:p w14:paraId="3573854A" w14:textId="06E83B06" w:rsidR="001A5B09" w:rsidRPr="00F47D72" w:rsidRDefault="004A16A7" w:rsidP="00E455F8">
      <w:pPr>
        <w:pStyle w:val="Heading1"/>
      </w:pPr>
      <w:r w:rsidRPr="00F47D72">
        <w:t xml:space="preserve">INTRODUCTION </w:t>
      </w:r>
    </w:p>
    <w:p w14:paraId="18959A98" w14:textId="20F35333" w:rsidR="00B900C1" w:rsidRPr="00F47D72" w:rsidRDefault="004A16A7" w:rsidP="004A16A7">
      <w:r w:rsidRPr="00F47D72">
        <w:t xml:space="preserve">Space Resource Utilisation (SRU) is integral to human exploration and habitation of space. A </w:t>
      </w:r>
      <w:r w:rsidR="00BD1774">
        <w:t>critical</w:t>
      </w:r>
      <w:r w:rsidRPr="00F47D72">
        <w:t xml:space="preserve"> first step for SRU is the production of oxygen from lunar regolith, as it can sustain human life and fuel space vehicles. Lunar minerals, comprising about 40% oxygen by mass, offer a rich resource for this purpose (French et al. 1991). Utilising space materials for water, fuel, and building supplies could significantly reduce the launch mass and overall cost of space missions. </w:t>
      </w:r>
    </w:p>
    <w:p w14:paraId="72483D30" w14:textId="77777777" w:rsidR="00B900C1" w:rsidRPr="00F47D72" w:rsidRDefault="00B900C1" w:rsidP="004A16A7"/>
    <w:p w14:paraId="01E9E9B1" w14:textId="0A0F6A6D" w:rsidR="00B900C1" w:rsidRPr="00F47D72" w:rsidRDefault="004A16A7" w:rsidP="00CF3222">
      <w:r w:rsidRPr="00F47D72">
        <w:t>Mineral beneficiation employs physical property differences like density, surface chemistry, or electromagnetic characteristics for separation (</w:t>
      </w:r>
      <w:r w:rsidR="00444344" w:rsidRPr="00F47D72">
        <w:t>Wills &amp; Finch, 2015</w:t>
      </w:r>
      <w:r w:rsidRPr="00F47D72">
        <w:t xml:space="preserve">; Rasera 2020). </w:t>
      </w:r>
      <w:r w:rsidR="001E22FD" w:rsidRPr="00F47D72">
        <w:t xml:space="preserve">Dry processing techniques have been considered for </w:t>
      </w:r>
      <w:r w:rsidR="00277286" w:rsidRPr="00F47D72">
        <w:t>several</w:t>
      </w:r>
      <w:r w:rsidR="001E22FD" w:rsidRPr="00F47D72">
        <w:t xml:space="preserve"> mineral processing applications</w:t>
      </w:r>
      <w:r w:rsidR="00FA5AFD" w:rsidRPr="00F47D72">
        <w:t xml:space="preserve"> at lab- and pilot-scale</w:t>
      </w:r>
      <w:r w:rsidR="001E22FD" w:rsidRPr="00F47D72">
        <w:t xml:space="preserve"> (</w:t>
      </w:r>
      <w:r w:rsidR="00444344" w:rsidRPr="00F47D72">
        <w:t>Wills &amp; Finch, 2015</w:t>
      </w:r>
      <w:r w:rsidR="001E22FD" w:rsidRPr="00F47D72">
        <w:t>; Kelly</w:t>
      </w:r>
      <w:r w:rsidR="00277286" w:rsidRPr="00F47D72">
        <w:t xml:space="preserve"> and Spottiswood,</w:t>
      </w:r>
      <w:r w:rsidR="001E22FD" w:rsidRPr="00F47D72">
        <w:t xml:space="preserve"> 1989a, b, c; </w:t>
      </w:r>
      <w:proofErr w:type="spellStart"/>
      <w:r w:rsidR="001E22FD" w:rsidRPr="00F47D72">
        <w:t>Manouchehri</w:t>
      </w:r>
      <w:proofErr w:type="spellEnd"/>
      <w:r w:rsidR="001E22FD" w:rsidRPr="00F47D72">
        <w:t xml:space="preserve"> </w:t>
      </w:r>
      <w:r w:rsidR="00444344" w:rsidRPr="00F47D72">
        <w:t xml:space="preserve">et al., </w:t>
      </w:r>
      <w:r w:rsidR="001E22FD" w:rsidRPr="00F47D72">
        <w:t xml:space="preserve">2000a, b; </w:t>
      </w:r>
      <w:proofErr w:type="spellStart"/>
      <w:r w:rsidR="001E22FD" w:rsidRPr="00F47D72">
        <w:t>Trigwell</w:t>
      </w:r>
      <w:proofErr w:type="spellEnd"/>
      <w:r w:rsidR="001E22FD" w:rsidRPr="00F47D72">
        <w:t xml:space="preserve"> </w:t>
      </w:r>
      <w:r w:rsidR="002970E6" w:rsidRPr="00F47D72">
        <w:t xml:space="preserve">et al., </w:t>
      </w:r>
      <w:r w:rsidR="001E22FD" w:rsidRPr="00F47D72">
        <w:t xml:space="preserve">2003; </w:t>
      </w:r>
      <w:proofErr w:type="spellStart"/>
      <w:r w:rsidR="001E22FD" w:rsidRPr="00F47D72">
        <w:t>Dwari</w:t>
      </w:r>
      <w:proofErr w:type="spellEnd"/>
      <w:r w:rsidR="00277286" w:rsidRPr="00F47D72">
        <w:t xml:space="preserve"> et al.,</w:t>
      </w:r>
      <w:r w:rsidR="001E22FD" w:rsidRPr="00F47D72">
        <w:t xml:space="preserve"> 2009; Bittner</w:t>
      </w:r>
      <w:r w:rsidR="00444344" w:rsidRPr="00F47D72">
        <w:t xml:space="preserve"> et al.,</w:t>
      </w:r>
      <w:r w:rsidR="001E22FD" w:rsidRPr="00F47D72">
        <w:t xml:space="preserve"> 2014; </w:t>
      </w:r>
      <w:proofErr w:type="spellStart"/>
      <w:r w:rsidR="001E22FD" w:rsidRPr="00F47D72">
        <w:t>Bilici</w:t>
      </w:r>
      <w:proofErr w:type="spellEnd"/>
      <w:r w:rsidR="001E22FD" w:rsidRPr="00F47D72">
        <w:t xml:space="preserve"> </w:t>
      </w:r>
      <w:r w:rsidR="00444344" w:rsidRPr="00F47D72">
        <w:t xml:space="preserve">et al., </w:t>
      </w:r>
      <w:r w:rsidR="001E22FD" w:rsidRPr="00F47D72">
        <w:t xml:space="preserve">2011; Brands </w:t>
      </w:r>
      <w:r w:rsidR="00444344" w:rsidRPr="00F47D72">
        <w:t xml:space="preserve">et al., </w:t>
      </w:r>
      <w:r w:rsidR="001E22FD" w:rsidRPr="00F47D72">
        <w:t xml:space="preserve">2001; Ballantyne </w:t>
      </w:r>
      <w:r w:rsidR="00444344" w:rsidRPr="00F47D72">
        <w:t xml:space="preserve">&amp; Holtham, </w:t>
      </w:r>
      <w:r w:rsidR="001E22FD" w:rsidRPr="00F47D72">
        <w:t>2010, 2014; Ireland 2010a, b, 2012</w:t>
      </w:r>
      <w:r w:rsidR="00A56B48" w:rsidRPr="00F47D72">
        <w:t xml:space="preserve">; Ireland &amp; </w:t>
      </w:r>
      <w:r w:rsidR="00CD6ABD" w:rsidRPr="00F47D72">
        <w:t>Nicholson</w:t>
      </w:r>
      <w:r w:rsidR="00A56B48" w:rsidRPr="00F47D72">
        <w:t>, 2011</w:t>
      </w:r>
      <w:r w:rsidR="001E22FD" w:rsidRPr="00F47D72">
        <w:t xml:space="preserve">; Lawver 1973; </w:t>
      </w:r>
      <w:proofErr w:type="spellStart"/>
      <w:r w:rsidR="001E22FD" w:rsidRPr="00F47D72">
        <w:t>Dwari</w:t>
      </w:r>
      <w:proofErr w:type="spellEnd"/>
      <w:r w:rsidR="001E22FD" w:rsidRPr="00F47D72">
        <w:t xml:space="preserve"> </w:t>
      </w:r>
      <w:r w:rsidR="00277286" w:rsidRPr="00F47D72">
        <w:t xml:space="preserve">et al., </w:t>
      </w:r>
      <w:r w:rsidR="001E22FD" w:rsidRPr="00F47D72">
        <w:t xml:space="preserve">2007). </w:t>
      </w:r>
      <w:r w:rsidR="00432D9F" w:rsidRPr="00F47D72">
        <w:t>However, industrial-scale</w:t>
      </w:r>
      <w:r w:rsidR="007878B7" w:rsidRPr="00F47D72">
        <w:t xml:space="preserve"> dry processing technologies for terrestrial applications</w:t>
      </w:r>
      <w:r w:rsidR="00432D9F" w:rsidRPr="00F47D72">
        <w:t xml:space="preserve"> have been</w:t>
      </w:r>
      <w:r w:rsidR="00FA5AFD" w:rsidRPr="00F47D72">
        <w:t xml:space="preserve"> limited to the use of high-tension roll separators for the separation of ilmenite and rutile from zircon in beach sands operations (Bittner</w:t>
      </w:r>
      <w:r w:rsidR="00A56B48" w:rsidRPr="00F47D72">
        <w:t xml:space="preserve"> et al.,</w:t>
      </w:r>
      <w:r w:rsidR="00FA5AFD" w:rsidRPr="00F47D72">
        <w:t xml:space="preserve"> 2014; </w:t>
      </w:r>
      <w:proofErr w:type="spellStart"/>
      <w:r w:rsidR="00FA5AFD" w:rsidRPr="00F47D72">
        <w:t>Dwari</w:t>
      </w:r>
      <w:proofErr w:type="spellEnd"/>
      <w:r w:rsidR="00FA5AFD" w:rsidRPr="00F47D72">
        <w:t xml:space="preserve"> 2007; </w:t>
      </w:r>
      <w:r w:rsidR="00444344" w:rsidRPr="00F47D72">
        <w:t>Wills &amp; Finch, 2015</w:t>
      </w:r>
      <w:r w:rsidR="00FA5AFD" w:rsidRPr="00F47D72">
        <w:t>; Lawver 1973)</w:t>
      </w:r>
      <w:r w:rsidR="007878B7" w:rsidRPr="00F47D72">
        <w:t xml:space="preserve">. </w:t>
      </w:r>
      <w:r w:rsidR="00CF3222" w:rsidRPr="00F47D72">
        <w:t>F</w:t>
      </w:r>
      <w:r w:rsidR="007878B7" w:rsidRPr="00F47D72">
        <w:t xml:space="preserve">or </w:t>
      </w:r>
      <w:proofErr w:type="gramStart"/>
      <w:r w:rsidR="00FA5AFD" w:rsidRPr="00F47D72">
        <w:t>the majority of</w:t>
      </w:r>
      <w:proofErr w:type="gramEnd"/>
      <w:r w:rsidR="007878B7" w:rsidRPr="00F47D72">
        <w:t xml:space="preserve"> mining applications, </w:t>
      </w:r>
      <w:r w:rsidRPr="00F47D72">
        <w:t>water-</w:t>
      </w:r>
      <w:r w:rsidR="00CF3222" w:rsidRPr="00F47D72">
        <w:t>driven t</w:t>
      </w:r>
      <w:r w:rsidRPr="00F47D72">
        <w:t xml:space="preserve">echnologies, </w:t>
      </w:r>
      <w:r w:rsidR="00CF3222" w:rsidRPr="00F47D72">
        <w:t>such as</w:t>
      </w:r>
      <w:r w:rsidRPr="00F47D72">
        <w:t xml:space="preserve"> froth flotation and spiral concentrators</w:t>
      </w:r>
      <w:r w:rsidR="00CF3222" w:rsidRPr="00F47D72">
        <w:t>, have been favoured</w:t>
      </w:r>
      <w:r w:rsidRPr="00F47D72">
        <w:t xml:space="preserve"> (</w:t>
      </w:r>
      <w:r w:rsidR="00444344" w:rsidRPr="00F47D72">
        <w:t>Wills &amp; Finch, 2015</w:t>
      </w:r>
      <w:r w:rsidRPr="00F47D72">
        <w:t xml:space="preserve">). </w:t>
      </w:r>
    </w:p>
    <w:p w14:paraId="3BD54351" w14:textId="77777777" w:rsidR="00B900C1" w:rsidRPr="00F47D72" w:rsidRDefault="00B900C1" w:rsidP="004A16A7"/>
    <w:p w14:paraId="4AFD5B91" w14:textId="3C5862F8" w:rsidR="006B6431" w:rsidRPr="00F47D72" w:rsidRDefault="004A16A7" w:rsidP="00B900C1">
      <w:r w:rsidRPr="00F47D72">
        <w:t>Tribocharging, the frictional imparting of electrostatic charge, is a millennia-old phenomenon (Lacks 2012), yet its underlying mechanisms remain elusive (Lacks</w:t>
      </w:r>
      <w:r w:rsidR="00A56B48" w:rsidRPr="00F47D72">
        <w:t xml:space="preserve"> </w:t>
      </w:r>
      <w:r w:rsidR="00480AEB" w:rsidRPr="00F47D72">
        <w:t xml:space="preserve">&amp; </w:t>
      </w:r>
      <w:proofErr w:type="spellStart"/>
      <w:r w:rsidR="00480AEB" w:rsidRPr="00F47D72">
        <w:t>Levandovsky</w:t>
      </w:r>
      <w:proofErr w:type="spellEnd"/>
      <w:r w:rsidR="00480AEB" w:rsidRPr="00F47D72">
        <w:t>,</w:t>
      </w:r>
      <w:r w:rsidRPr="00F47D72">
        <w:t xml:space="preserve"> 2007; </w:t>
      </w:r>
      <w:proofErr w:type="spellStart"/>
      <w:r w:rsidRPr="00F47D72">
        <w:t>Waitukaitis</w:t>
      </w:r>
      <w:proofErr w:type="spellEnd"/>
      <w:r w:rsidRPr="00F47D72">
        <w:t xml:space="preserve"> </w:t>
      </w:r>
      <w:r w:rsidR="00480AEB" w:rsidRPr="00F47D72">
        <w:t xml:space="preserve">et al., </w:t>
      </w:r>
      <w:r w:rsidRPr="00F47D72">
        <w:t>2014; Zhao</w:t>
      </w:r>
      <w:r w:rsidR="00480AEB" w:rsidRPr="00F47D72">
        <w:t xml:space="preserve"> et al.,</w:t>
      </w:r>
      <w:r w:rsidRPr="00F47D72">
        <w:t xml:space="preserve"> 2003). Factors influencing charge</w:t>
      </w:r>
      <w:r w:rsidR="00B900C1" w:rsidRPr="00F47D72">
        <w:t xml:space="preserve"> transfer and retention include humidity, temperature, impact velocity, and material composition (</w:t>
      </w:r>
      <w:proofErr w:type="spellStart"/>
      <w:r w:rsidR="00B900C1" w:rsidRPr="00F47D72">
        <w:t>Trigwell</w:t>
      </w:r>
      <w:proofErr w:type="spellEnd"/>
      <w:r w:rsidR="008B7A30" w:rsidRPr="00F47D72">
        <w:t xml:space="preserve"> et al.,</w:t>
      </w:r>
      <w:r w:rsidR="00B900C1" w:rsidRPr="00F47D72">
        <w:t xml:space="preserve"> 2003; Xie </w:t>
      </w:r>
      <w:r w:rsidR="009D0767" w:rsidRPr="00F47D72">
        <w:t xml:space="preserve">et al., </w:t>
      </w:r>
      <w:r w:rsidR="00B900C1" w:rsidRPr="00F47D72">
        <w:t>2016; Cruise</w:t>
      </w:r>
      <w:r w:rsidR="008B7A30" w:rsidRPr="00F47D72">
        <w:t xml:space="preserve"> et al.,</w:t>
      </w:r>
      <w:r w:rsidR="00B900C1" w:rsidRPr="00F47D72">
        <w:t xml:space="preserve"> 2022). </w:t>
      </w:r>
    </w:p>
    <w:p w14:paraId="6AA711EA" w14:textId="77777777" w:rsidR="006B6431" w:rsidRPr="00F47D72" w:rsidRDefault="006B6431" w:rsidP="00B900C1"/>
    <w:p w14:paraId="62266B26" w14:textId="36A5954E" w:rsidR="006B6431" w:rsidRPr="00F47D72" w:rsidRDefault="00B900C1" w:rsidP="00B900C1">
      <w:r w:rsidRPr="00F47D72">
        <w:t>While tribocharging in material conveyance is often seen as undesirable (</w:t>
      </w:r>
      <w:proofErr w:type="spellStart"/>
      <w:r w:rsidRPr="00F47D72">
        <w:t>Cezan</w:t>
      </w:r>
      <w:proofErr w:type="spellEnd"/>
      <w:r w:rsidRPr="00F47D72">
        <w:t xml:space="preserve"> </w:t>
      </w:r>
      <w:r w:rsidR="009D0767" w:rsidRPr="00F47D72">
        <w:t xml:space="preserve">et al., </w:t>
      </w:r>
      <w:r w:rsidRPr="00F47D72">
        <w:t xml:space="preserve">2019; Mukherjee </w:t>
      </w:r>
      <w:r w:rsidR="009D0767" w:rsidRPr="00F47D72">
        <w:t xml:space="preserve">et al., </w:t>
      </w:r>
      <w:r w:rsidRPr="00F47D72">
        <w:t xml:space="preserve">2021; </w:t>
      </w:r>
      <w:proofErr w:type="spellStart"/>
      <w:r w:rsidRPr="00F47D72">
        <w:t>Sayfidinov</w:t>
      </w:r>
      <w:proofErr w:type="spellEnd"/>
      <w:r w:rsidRPr="00F47D72">
        <w:t xml:space="preserve"> </w:t>
      </w:r>
      <w:r w:rsidR="00861E03" w:rsidRPr="00F47D72">
        <w:t xml:space="preserve">et al., </w:t>
      </w:r>
      <w:r w:rsidRPr="00F47D72">
        <w:t xml:space="preserve">2018; </w:t>
      </w:r>
      <w:proofErr w:type="spellStart"/>
      <w:r w:rsidRPr="00F47D72">
        <w:t>Pingali</w:t>
      </w:r>
      <w:proofErr w:type="spellEnd"/>
      <w:r w:rsidRPr="00F47D72">
        <w:t xml:space="preserve"> </w:t>
      </w:r>
      <w:r w:rsidR="00861E03" w:rsidRPr="00F47D72">
        <w:t xml:space="preserve">et al., </w:t>
      </w:r>
      <w:r w:rsidRPr="00F47D72">
        <w:t>2009), it is beneficial for recycling separation (</w:t>
      </w:r>
      <w:proofErr w:type="spellStart"/>
      <w:r w:rsidRPr="00F47D72">
        <w:t>Iuga</w:t>
      </w:r>
      <w:proofErr w:type="spellEnd"/>
      <w:r w:rsidR="00861E03" w:rsidRPr="00F47D72">
        <w:t xml:space="preserve"> et al.,</w:t>
      </w:r>
      <w:r w:rsidRPr="00F47D72">
        <w:t xml:space="preserve"> 2005, 2016; Silveira </w:t>
      </w:r>
      <w:r w:rsidR="00861E03" w:rsidRPr="00F47D72">
        <w:t xml:space="preserve">et al., </w:t>
      </w:r>
      <w:r w:rsidRPr="00F47D72">
        <w:t xml:space="preserve">2018; </w:t>
      </w:r>
      <w:proofErr w:type="spellStart"/>
      <w:r w:rsidRPr="00F47D72">
        <w:t>Zelmat</w:t>
      </w:r>
      <w:proofErr w:type="spellEnd"/>
      <w:r w:rsidRPr="00F47D72">
        <w:t xml:space="preserve"> </w:t>
      </w:r>
      <w:r w:rsidR="00861E03" w:rsidRPr="00F47D72">
        <w:t xml:space="preserve">et al., </w:t>
      </w:r>
      <w:r w:rsidRPr="00F47D72">
        <w:t xml:space="preserve">2013; </w:t>
      </w:r>
      <w:proofErr w:type="spellStart"/>
      <w:r w:rsidRPr="00F47D72">
        <w:t>Benhafssa</w:t>
      </w:r>
      <w:proofErr w:type="spellEnd"/>
      <w:r w:rsidR="00861E03" w:rsidRPr="00F47D72">
        <w:t xml:space="preserve"> et al.,</w:t>
      </w:r>
      <w:r w:rsidRPr="00F47D72">
        <w:t xml:space="preserve"> 2016; Rodrigues </w:t>
      </w:r>
      <w:r w:rsidR="00861E03" w:rsidRPr="00F47D72">
        <w:t xml:space="preserve">&amp; </w:t>
      </w:r>
      <w:proofErr w:type="spellStart"/>
      <w:r w:rsidR="00861E03" w:rsidRPr="00F47D72">
        <w:t>Saron</w:t>
      </w:r>
      <w:proofErr w:type="spellEnd"/>
      <w:r w:rsidR="00861E03" w:rsidRPr="00F47D72">
        <w:t xml:space="preserve">, </w:t>
      </w:r>
      <w:r w:rsidRPr="00F47D72">
        <w:t xml:space="preserve">2022; Li </w:t>
      </w:r>
      <w:r w:rsidR="00861E03" w:rsidRPr="00F47D72">
        <w:t xml:space="preserve">et al., </w:t>
      </w:r>
      <w:r w:rsidRPr="00F47D72">
        <w:t xml:space="preserve">2015; </w:t>
      </w:r>
      <w:proofErr w:type="spellStart"/>
      <w:r w:rsidRPr="00F47D72">
        <w:t>Bilici</w:t>
      </w:r>
      <w:proofErr w:type="spellEnd"/>
      <w:r w:rsidRPr="00F47D72">
        <w:t xml:space="preserve"> </w:t>
      </w:r>
      <w:r w:rsidR="00861E03" w:rsidRPr="00F47D72">
        <w:t xml:space="preserve">et al., </w:t>
      </w:r>
      <w:r w:rsidRPr="00F47D72">
        <w:t>2011), printer toner application (</w:t>
      </w:r>
      <w:proofErr w:type="spellStart"/>
      <w:r w:rsidRPr="00F47D72">
        <w:t>Shinbrot</w:t>
      </w:r>
      <w:proofErr w:type="spellEnd"/>
      <w:r w:rsidR="00333C3C" w:rsidRPr="00F47D72">
        <w:t xml:space="preserve"> et al.,</w:t>
      </w:r>
      <w:r w:rsidRPr="00F47D72">
        <w:t xml:space="preserve"> 2008; </w:t>
      </w:r>
      <w:proofErr w:type="spellStart"/>
      <w:r w:rsidRPr="00F47D72">
        <w:t>Noshiro</w:t>
      </w:r>
      <w:proofErr w:type="spellEnd"/>
      <w:r w:rsidRPr="00F47D72">
        <w:t xml:space="preserve"> </w:t>
      </w:r>
      <w:r w:rsidR="00333C3C" w:rsidRPr="00F47D72">
        <w:t xml:space="preserve">et al., </w:t>
      </w:r>
      <w:r w:rsidRPr="00F47D72">
        <w:t>1999; Anderson 1994, 1996; Takagi</w:t>
      </w:r>
      <w:r w:rsidR="00CD6ABD" w:rsidRPr="00F47D72">
        <w:t xml:space="preserve"> et al.,</w:t>
      </w:r>
      <w:r w:rsidRPr="00F47D72">
        <w:t xml:space="preserve"> 2003; Law </w:t>
      </w:r>
      <w:r w:rsidR="00CD6ABD" w:rsidRPr="00F47D72">
        <w:t xml:space="preserve">et al., </w:t>
      </w:r>
      <w:r w:rsidRPr="00F47D72">
        <w:t>1994), and dry mineral beneficiation (Kelly</w:t>
      </w:r>
      <w:r w:rsidR="00CD6ABD" w:rsidRPr="00F47D72">
        <w:t xml:space="preserve"> &amp; Spottiswood,</w:t>
      </w:r>
      <w:r w:rsidRPr="00F47D72">
        <w:t xml:space="preserve"> 1989a, b, c; </w:t>
      </w:r>
      <w:proofErr w:type="spellStart"/>
      <w:r w:rsidRPr="00F47D72">
        <w:t>Manouchehri</w:t>
      </w:r>
      <w:proofErr w:type="spellEnd"/>
      <w:r w:rsidRPr="00F47D72">
        <w:t xml:space="preserve"> </w:t>
      </w:r>
      <w:r w:rsidR="00CD6ABD" w:rsidRPr="00F47D72">
        <w:t xml:space="preserve">et al., </w:t>
      </w:r>
      <w:r w:rsidRPr="00F47D72">
        <w:t xml:space="preserve">2000a, b; </w:t>
      </w:r>
      <w:proofErr w:type="spellStart"/>
      <w:r w:rsidRPr="00F47D72">
        <w:t>Inculet</w:t>
      </w:r>
      <w:proofErr w:type="spellEnd"/>
      <w:r w:rsidRPr="00F47D72">
        <w:t xml:space="preserve"> </w:t>
      </w:r>
      <w:r w:rsidR="00CD6ABD" w:rsidRPr="00F47D72">
        <w:t xml:space="preserve">et al, </w:t>
      </w:r>
      <w:r w:rsidRPr="00F47D72">
        <w:t>1972; Ireland 2010a, b, 2012</w:t>
      </w:r>
      <w:r w:rsidR="00CD6ABD" w:rsidRPr="00F47D72">
        <w:t>; Ireland &amp; Nicholson, 2011</w:t>
      </w:r>
      <w:r w:rsidRPr="00F47D72">
        <w:t xml:space="preserve">; </w:t>
      </w:r>
      <w:proofErr w:type="spellStart"/>
      <w:r w:rsidRPr="00F47D72">
        <w:t>Trigwell</w:t>
      </w:r>
      <w:proofErr w:type="spellEnd"/>
      <w:r w:rsidR="00CD6ABD" w:rsidRPr="00F47D72">
        <w:t xml:space="preserve"> et al.,</w:t>
      </w:r>
      <w:r w:rsidRPr="00F47D72">
        <w:t xml:space="preserve"> 2003; Rasera </w:t>
      </w:r>
      <w:r w:rsidR="00CD6ABD" w:rsidRPr="00F47D72">
        <w:t xml:space="preserve">et al., </w:t>
      </w:r>
      <w:r w:rsidRPr="00F47D72">
        <w:t xml:space="preserve">2020; Yu </w:t>
      </w:r>
      <w:r w:rsidR="00CD6ABD" w:rsidRPr="00F47D72">
        <w:t xml:space="preserve">et al., </w:t>
      </w:r>
      <w:r w:rsidRPr="00F47D72">
        <w:t xml:space="preserve">2024). </w:t>
      </w:r>
    </w:p>
    <w:p w14:paraId="76D7A924" w14:textId="77777777" w:rsidR="006B6431" w:rsidRPr="00F47D72" w:rsidRDefault="006B6431" w:rsidP="00B900C1"/>
    <w:p w14:paraId="5F78CA0E" w14:textId="791DCA6C" w:rsidR="006B6431" w:rsidRPr="00F47D72" w:rsidRDefault="00B900C1" w:rsidP="00B900C1">
      <w:r w:rsidRPr="00F47D72">
        <w:lastRenderedPageBreak/>
        <w:t>For separation applications, it is necessary to optimise the design of the tribocharger to maximise the charge transferred to particles of each mineral type.</w:t>
      </w:r>
      <w:r w:rsidR="00567087" w:rsidRPr="00F47D72">
        <w:t xml:space="preserve"> </w:t>
      </w:r>
      <w:r w:rsidRPr="00F47D72">
        <w:t>Th</w:t>
      </w:r>
      <w:r w:rsidR="00F770CA" w:rsidRPr="00F47D72">
        <w:t xml:space="preserve">e aim of this </w:t>
      </w:r>
      <w:r w:rsidRPr="00F47D72">
        <w:t xml:space="preserve">work </w:t>
      </w:r>
      <w:r w:rsidR="00F770CA" w:rsidRPr="00F47D72">
        <w:t>is to</w:t>
      </w:r>
      <w:r w:rsidRPr="00F47D72">
        <w:t xml:space="preserve"> exten</w:t>
      </w:r>
      <w:r w:rsidR="00F770CA" w:rsidRPr="00F47D72">
        <w:t>d</w:t>
      </w:r>
      <w:r w:rsidRPr="00F47D72">
        <w:t xml:space="preserve"> of </w:t>
      </w:r>
      <w:r w:rsidR="00567087" w:rsidRPr="00F47D72">
        <w:t>our</w:t>
      </w:r>
      <w:r w:rsidRPr="00F47D72">
        <w:t xml:space="preserve"> previous </w:t>
      </w:r>
      <w:r w:rsidR="00567087" w:rsidRPr="00F47D72">
        <w:t>investigations into the use of the discrete element method (DEM)</w:t>
      </w:r>
      <w:r w:rsidRPr="00F47D72">
        <w:t xml:space="preserve"> </w:t>
      </w:r>
      <w:proofErr w:type="gramStart"/>
      <w:r w:rsidR="00581FAD" w:rsidRPr="00F47D72">
        <w:t>as a means to</w:t>
      </w:r>
      <w:proofErr w:type="gramEnd"/>
      <w:r w:rsidR="005937BE" w:rsidRPr="00F47D72">
        <w:t xml:space="preserve"> optimise the design of a </w:t>
      </w:r>
      <w:r w:rsidR="006213FB" w:rsidRPr="00F47D72">
        <w:t>tribocharger</w:t>
      </w:r>
      <w:r w:rsidR="005937BE" w:rsidRPr="00F47D72">
        <w:t xml:space="preserve">. </w:t>
      </w:r>
      <w:r w:rsidR="00893867" w:rsidRPr="00F47D72">
        <w:t>W</w:t>
      </w:r>
      <w:r w:rsidR="006213FB" w:rsidRPr="00F47D72">
        <w:t>e</w:t>
      </w:r>
      <w:r w:rsidR="00893867" w:rsidRPr="00F47D72">
        <w:t xml:space="preserve"> begin by</w:t>
      </w:r>
      <w:r w:rsidR="006213FB" w:rsidRPr="00F47D72">
        <w:t xml:space="preserve"> present</w:t>
      </w:r>
      <w:r w:rsidR="00893867" w:rsidRPr="00F47D72">
        <w:t>ing</w:t>
      </w:r>
      <w:r w:rsidR="006213FB" w:rsidRPr="00F47D72">
        <w:t xml:space="preserve"> our modelling approach</w:t>
      </w:r>
      <w:r w:rsidR="00893867" w:rsidRPr="00F47D72">
        <w:t xml:space="preserve"> and optimised design </w:t>
      </w:r>
      <w:r w:rsidR="00617B1D">
        <w:t xml:space="preserve">under </w:t>
      </w:r>
      <w:r w:rsidR="00893867" w:rsidRPr="00F47D72">
        <w:t xml:space="preserve">terrestrial </w:t>
      </w:r>
      <w:r w:rsidR="00617B1D">
        <w:t>conditions</w:t>
      </w:r>
      <w:r w:rsidR="007530B6">
        <w:t xml:space="preserve"> using PTFE spheres</w:t>
      </w:r>
      <w:r w:rsidR="0019125E" w:rsidRPr="00F47D72">
        <w:t xml:space="preserve">. </w:t>
      </w:r>
      <w:r w:rsidR="007F3A51">
        <w:t xml:space="preserve">We </w:t>
      </w:r>
      <w:r w:rsidR="00617B1D">
        <w:t xml:space="preserve">consider the </w:t>
      </w:r>
      <w:r w:rsidRPr="00F47D72">
        <w:t xml:space="preserve">suitability </w:t>
      </w:r>
      <w:r w:rsidR="00617B1D">
        <w:t>of the</w:t>
      </w:r>
      <w:r w:rsidRPr="00F47D72">
        <w:t xml:space="preserve"> optimised tribocharger design</w:t>
      </w:r>
      <w:r w:rsidR="007530B6">
        <w:t xml:space="preserve"> to different materials and size classes</w:t>
      </w:r>
      <w:r w:rsidRPr="00F47D72">
        <w:t>.</w:t>
      </w:r>
      <w:r w:rsidR="006213FB" w:rsidRPr="00F47D72">
        <w:t xml:space="preserve"> </w:t>
      </w:r>
      <w:r w:rsidR="00F770CA" w:rsidRPr="00F47D72">
        <w:t>Finally,</w:t>
      </w:r>
      <w:r w:rsidR="00977F45" w:rsidRPr="00F47D72">
        <w:t xml:space="preserve"> having validated modelling approach and demonstrated the suitability of the optimised design, extend our modelling </w:t>
      </w:r>
      <w:r w:rsidR="00293994" w:rsidRPr="00F47D72">
        <w:t>to identify an optimal tribocharger design for use on the Moon.</w:t>
      </w:r>
    </w:p>
    <w:p w14:paraId="74159D02" w14:textId="074D5BD5" w:rsidR="007D121C" w:rsidRPr="00F47D72" w:rsidRDefault="006B6431" w:rsidP="003A30E4">
      <w:pPr>
        <w:pStyle w:val="Heading1"/>
      </w:pPr>
      <w:r w:rsidRPr="00F47D72">
        <w:t>Modelling</w:t>
      </w:r>
      <w:r w:rsidR="003A30E4">
        <w:t xml:space="preserve"> </w:t>
      </w:r>
      <w:r w:rsidR="007D121C" w:rsidRPr="00F47D72">
        <w:t>M</w:t>
      </w:r>
      <w:r w:rsidR="00D833A8" w:rsidRPr="00F47D72">
        <w:t>ethodology</w:t>
      </w:r>
    </w:p>
    <w:p w14:paraId="7BD81F70" w14:textId="5B234B89" w:rsidR="009538BB" w:rsidRPr="00F47D72" w:rsidRDefault="009538BB" w:rsidP="009538BB">
      <w:r w:rsidRPr="00F47D72">
        <w:t xml:space="preserve">Cundall and </w:t>
      </w:r>
      <w:proofErr w:type="spellStart"/>
      <w:r w:rsidRPr="00F47D72">
        <w:t>Strack's</w:t>
      </w:r>
      <w:proofErr w:type="spellEnd"/>
      <w:r w:rsidRPr="00F47D72">
        <w:t xml:space="preserve"> discrete element method is of particular interest for modelling triboelectrification (Cundall 1971; Cundall</w:t>
      </w:r>
      <w:r w:rsidR="00CD6ABD" w:rsidRPr="00F47D72">
        <w:t xml:space="preserve"> &amp; </w:t>
      </w:r>
      <w:proofErr w:type="spellStart"/>
      <w:r w:rsidR="00CD6ABD" w:rsidRPr="00F47D72">
        <w:t>Strack</w:t>
      </w:r>
      <w:proofErr w:type="spellEnd"/>
      <w:r w:rsidRPr="00F47D72">
        <w:t xml:space="preserve"> 1979; Rasera</w:t>
      </w:r>
      <w:r w:rsidR="00CD6ABD" w:rsidRPr="00F47D72">
        <w:t xml:space="preserve"> et al.</w:t>
      </w:r>
      <w:r w:rsidRPr="00F47D72">
        <w:t xml:space="preserve">, 2022a; </w:t>
      </w:r>
      <w:proofErr w:type="spellStart"/>
      <w:r w:rsidRPr="00F47D72">
        <w:t>Laurentie</w:t>
      </w:r>
      <w:proofErr w:type="spellEnd"/>
      <w:r w:rsidR="00CD6ABD" w:rsidRPr="00F47D72">
        <w:t xml:space="preserve"> et al.</w:t>
      </w:r>
      <w:r w:rsidRPr="00F47D72">
        <w:t>, 2010</w:t>
      </w:r>
      <w:r w:rsidR="00CD6ABD" w:rsidRPr="00F47D72">
        <w:t>,</w:t>
      </w:r>
      <w:r w:rsidRPr="00F47D72">
        <w:t xml:space="preserve"> 2013; </w:t>
      </w:r>
      <w:proofErr w:type="spellStart"/>
      <w:r w:rsidRPr="00F47D72">
        <w:t>Kolehmainen</w:t>
      </w:r>
      <w:proofErr w:type="spellEnd"/>
      <w:r w:rsidR="00CD6ABD" w:rsidRPr="00F47D72">
        <w:t xml:space="preserve"> et al.,</w:t>
      </w:r>
      <w:r w:rsidRPr="00F47D72">
        <w:t xml:space="preserve"> 2016</w:t>
      </w:r>
      <w:r w:rsidR="00CD6ABD" w:rsidRPr="00F47D72">
        <w:t xml:space="preserve">, </w:t>
      </w:r>
      <w:r w:rsidRPr="00F47D72">
        <w:t>2017a</w:t>
      </w:r>
      <w:r w:rsidR="00CD6ABD" w:rsidRPr="00F47D72">
        <w:t>,</w:t>
      </w:r>
      <w:r w:rsidRPr="00F47D72">
        <w:t xml:space="preserve"> b; Ali</w:t>
      </w:r>
      <w:r w:rsidR="00CD6ABD" w:rsidRPr="00F47D72">
        <w:t xml:space="preserve"> et al.</w:t>
      </w:r>
      <w:r w:rsidRPr="00F47D72">
        <w:t>, 1998; Pei</w:t>
      </w:r>
      <w:r w:rsidR="00CD6ABD" w:rsidRPr="00F47D72">
        <w:t xml:space="preserve"> et al.</w:t>
      </w:r>
      <w:r w:rsidRPr="00F47D72">
        <w:t xml:space="preserve">, 2015; </w:t>
      </w:r>
      <w:proofErr w:type="spellStart"/>
      <w:r w:rsidRPr="00F47D72">
        <w:t>Sippola</w:t>
      </w:r>
      <w:proofErr w:type="spellEnd"/>
      <w:r w:rsidR="00CD6ABD" w:rsidRPr="00F47D72">
        <w:t xml:space="preserve"> et al.</w:t>
      </w:r>
      <w:r w:rsidRPr="00F47D72">
        <w:t>, 2018; Konopka</w:t>
      </w:r>
      <w:r w:rsidR="00CD6ABD" w:rsidRPr="00F47D72">
        <w:t xml:space="preserve"> et al.</w:t>
      </w:r>
      <w:r w:rsidRPr="00F47D72">
        <w:t>, 2017). The DEM lends itself to coupling with tribocharging models, as parameters necessary for evaluating charge transfer are extracted easily.</w:t>
      </w:r>
    </w:p>
    <w:p w14:paraId="2D3B18EE" w14:textId="77777777" w:rsidR="009538BB" w:rsidRPr="00F47D72" w:rsidRDefault="009538BB" w:rsidP="009538BB"/>
    <w:p w14:paraId="4F382512" w14:textId="55C0B6D7" w:rsidR="009538BB" w:rsidRPr="00F47D72" w:rsidRDefault="009538BB" w:rsidP="009538BB">
      <w:r w:rsidRPr="00F47D72">
        <w:t>Substantial effort has been put toward developing and evaluating means to model the charge transfer process (Rasera</w:t>
      </w:r>
      <w:r w:rsidR="00E94B09" w:rsidRPr="00F47D72">
        <w:t xml:space="preserve"> et al., 2022a. b</w:t>
      </w:r>
      <w:r w:rsidRPr="00F47D72">
        <w:t>; Yu</w:t>
      </w:r>
      <w:r w:rsidR="0063375E" w:rsidRPr="00F47D72">
        <w:t xml:space="preserve"> et al.</w:t>
      </w:r>
      <w:r w:rsidRPr="00F47D72">
        <w:t>, 2017; Xie</w:t>
      </w:r>
      <w:r w:rsidR="0063375E" w:rsidRPr="00F47D72">
        <w:t xml:space="preserve"> et al.</w:t>
      </w:r>
      <w:r w:rsidRPr="00F47D72">
        <w:t>, 2013; Hu</w:t>
      </w:r>
      <w:r w:rsidR="0063375E" w:rsidRPr="00F47D72">
        <w:t xml:space="preserve"> et al.</w:t>
      </w:r>
      <w:r w:rsidRPr="00F47D72">
        <w:t xml:space="preserve">, 2012; </w:t>
      </w:r>
      <w:proofErr w:type="spellStart"/>
      <w:r w:rsidRPr="00F47D72">
        <w:t>Laurentie</w:t>
      </w:r>
      <w:proofErr w:type="spellEnd"/>
      <w:r w:rsidR="0063375E" w:rsidRPr="00F47D72">
        <w:t xml:space="preserve"> et al</w:t>
      </w:r>
      <w:r w:rsidRPr="00F47D72">
        <w:t xml:space="preserve">, 2010, 2013; </w:t>
      </w:r>
      <w:proofErr w:type="spellStart"/>
      <w:r w:rsidRPr="00F47D72">
        <w:t>Kolehmainen</w:t>
      </w:r>
      <w:proofErr w:type="spellEnd"/>
      <w:r w:rsidRPr="00F47D72">
        <w:t>, 201</w:t>
      </w:r>
      <w:r w:rsidR="00837944" w:rsidRPr="00F47D72">
        <w:t>6,</w:t>
      </w:r>
      <w:r w:rsidRPr="00F47D72">
        <w:t xml:space="preserve"> 2017a</w:t>
      </w:r>
      <w:r w:rsidR="00837944" w:rsidRPr="00F47D72">
        <w:t>,</w:t>
      </w:r>
      <w:r w:rsidRPr="00F47D72">
        <w:t>b; Ali</w:t>
      </w:r>
      <w:r w:rsidR="00837944" w:rsidRPr="00F47D72">
        <w:t xml:space="preserve"> et al.</w:t>
      </w:r>
      <w:r w:rsidRPr="00F47D72">
        <w:t>, 1998; Pei</w:t>
      </w:r>
      <w:r w:rsidR="00837944" w:rsidRPr="00F47D72">
        <w:t xml:space="preserve"> et al.</w:t>
      </w:r>
      <w:r w:rsidRPr="00F47D72">
        <w:t xml:space="preserve">, 2015; </w:t>
      </w:r>
      <w:proofErr w:type="spellStart"/>
      <w:r w:rsidRPr="00F47D72">
        <w:t>Sippola</w:t>
      </w:r>
      <w:proofErr w:type="spellEnd"/>
      <w:r w:rsidR="00837944" w:rsidRPr="00F47D72">
        <w:t xml:space="preserve"> et al.</w:t>
      </w:r>
      <w:r w:rsidRPr="00F47D72">
        <w:t>, 2018; Konopka</w:t>
      </w:r>
      <w:r w:rsidR="00837944" w:rsidRPr="00F47D72">
        <w:t xml:space="preserve"> et al.</w:t>
      </w:r>
      <w:r w:rsidRPr="00F47D72">
        <w:t>, 2017; Lacks, 2012; Duff</w:t>
      </w:r>
      <w:r w:rsidR="00837944" w:rsidRPr="00F47D72">
        <w:t xml:space="preserve"> &amp; Lacks</w:t>
      </w:r>
      <w:r w:rsidRPr="00F47D72">
        <w:t>, 2008; Forward</w:t>
      </w:r>
      <w:r w:rsidR="00837944" w:rsidRPr="00F47D72">
        <w:t xml:space="preserve"> et al.</w:t>
      </w:r>
      <w:r w:rsidRPr="00F47D72">
        <w:t>, 2009a). The tribocharging model employed in our studies uses the high-density limit of surface state theory to describe the charge transferred between two surfaces, following Schein et al.</w:t>
      </w:r>
      <w:r w:rsidR="0078375E" w:rsidRPr="00F47D72">
        <w:t xml:space="preserve"> (1992)</w:t>
      </w:r>
      <w:r w:rsidRPr="00F47D72">
        <w:t xml:space="preserve">, </w:t>
      </w:r>
      <w:proofErr w:type="spellStart"/>
      <w:r w:rsidRPr="00F47D72">
        <w:t>Matsusaka</w:t>
      </w:r>
      <w:proofErr w:type="spellEnd"/>
      <w:r w:rsidRPr="00F47D72">
        <w:t xml:space="preserve"> et al.</w:t>
      </w:r>
      <w:r w:rsidR="00480523" w:rsidRPr="00F47D72">
        <w:t xml:space="preserve"> (2000)</w:t>
      </w:r>
      <w:r w:rsidRPr="00F47D72">
        <w:t xml:space="preserve">, </w:t>
      </w:r>
      <w:proofErr w:type="spellStart"/>
      <w:r w:rsidRPr="00F47D72">
        <w:t>Laurentie</w:t>
      </w:r>
      <w:proofErr w:type="spellEnd"/>
      <w:r w:rsidRPr="00F47D72">
        <w:t xml:space="preserve"> et al.</w:t>
      </w:r>
      <w:r w:rsidR="00480523" w:rsidRPr="00F47D72">
        <w:t xml:space="preserve"> (2010, 2013)</w:t>
      </w:r>
      <w:r w:rsidRPr="00F47D72">
        <w:t xml:space="preserve">, and </w:t>
      </w:r>
      <w:proofErr w:type="spellStart"/>
      <w:r w:rsidRPr="00F47D72">
        <w:t>Kolehmainen</w:t>
      </w:r>
      <w:proofErr w:type="spellEnd"/>
      <w:r w:rsidRPr="00F47D72">
        <w:t xml:space="preserve"> et al</w:t>
      </w:r>
      <w:r w:rsidR="00480523" w:rsidRPr="00F47D72">
        <w:t xml:space="preserve"> (2016, 2017a, b)</w:t>
      </w:r>
      <w:r w:rsidRPr="00F47D72">
        <w:t>. This model is given by the following equation:</w:t>
      </w:r>
    </w:p>
    <w:p w14:paraId="623AF418" w14:textId="77777777" w:rsidR="00BC0A25" w:rsidRPr="00F47D72" w:rsidRDefault="00BC0A25" w:rsidP="00BC0A25"/>
    <w:p w14:paraId="3441EA2A" w14:textId="0590FEE5" w:rsidR="00BC0A25" w:rsidRPr="00F47D72" w:rsidRDefault="00BC0A25" w:rsidP="00BC0A25">
      <m:oMathPara>
        <m:oMath>
          <m:r>
            <w:rPr>
              <w:rFonts w:ascii="Cambria Math" w:hAnsi="Cambria Math"/>
            </w:rPr>
            <m:t xml:space="preserve">σ= </m:t>
          </m:r>
          <m:sSub>
            <m:sSubPr>
              <m:ctrlPr>
                <w:rPr>
                  <w:rFonts w:ascii="Cambria Math" w:hAnsi="Cambria Math"/>
                  <w:i/>
                </w:rPr>
              </m:ctrlPr>
            </m:sSubPr>
            <m:e>
              <m:r>
                <w:rPr>
                  <w:rFonts w:ascii="Cambria Math" w:hAnsi="Cambria Math"/>
                </w:rPr>
                <m:t>κ</m:t>
              </m:r>
            </m:e>
            <m:sub>
              <m:r>
                <w:rPr>
                  <w:rFonts w:ascii="Cambria Math" w:hAnsi="Cambria Math"/>
                </w:rPr>
                <m:t>c</m:t>
              </m:r>
            </m:sub>
          </m:sSub>
          <m:sSub>
            <m:sSubPr>
              <m:ctrlPr>
                <w:rPr>
                  <w:rFonts w:ascii="Cambria Math" w:hAnsi="Cambria Math"/>
                  <w:i/>
                </w:rPr>
              </m:ctrlPr>
            </m:sSubPr>
            <m:e>
              <m:r>
                <w:rPr>
                  <w:rFonts w:ascii="Cambria Math" w:hAnsi="Cambria Math"/>
                </w:rPr>
                <m:t>ε</m:t>
              </m:r>
            </m:e>
            <m:sub>
              <m:r>
                <w:rPr>
                  <w:rFonts w:ascii="Cambria Math" w:hAnsi="Cambria Math"/>
                </w:rPr>
                <m:t>0</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ϕ</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ϕ</m:t>
                      </m:r>
                    </m:e>
                    <m:sub>
                      <m:r>
                        <w:rPr>
                          <w:rFonts w:ascii="Cambria Math" w:hAnsi="Cambria Math"/>
                        </w:rPr>
                        <m:t>j</m:t>
                      </m:r>
                    </m:sub>
                  </m:sSub>
                </m:num>
                <m:den>
                  <m:r>
                    <w:rPr>
                      <w:rFonts w:ascii="Cambria Math" w:hAnsi="Cambria Math"/>
                    </w:rPr>
                    <m:t>δe</m:t>
                  </m:r>
                </m:den>
              </m:f>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contact</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n</m:t>
                      </m:r>
                    </m:e>
                  </m:acc>
                </m:e>
                <m:sub>
                  <m:r>
                    <w:rPr>
                      <w:rFonts w:ascii="Cambria Math" w:hAnsi="Cambria Math"/>
                    </w:rPr>
                    <m:t>ij</m:t>
                  </m:r>
                </m:sub>
              </m:sSub>
            </m:e>
          </m:d>
        </m:oMath>
      </m:oMathPara>
    </w:p>
    <w:p w14:paraId="03B72AD4" w14:textId="77777777" w:rsidR="00BC0A25" w:rsidRPr="00F47D72" w:rsidRDefault="00BC0A25" w:rsidP="00BC0A25"/>
    <w:p w14:paraId="2FDC7DA2" w14:textId="53EFA13A" w:rsidR="00E37E3A" w:rsidRPr="00F47D72" w:rsidRDefault="00E37E3A" w:rsidP="00E37E3A">
      <w:r w:rsidRPr="00F47D72">
        <w:t xml:space="preserve">Here, </w:t>
      </w:r>
      <m:oMath>
        <m:r>
          <w:rPr>
            <w:rFonts w:ascii="Cambria Math" w:hAnsi="Cambria Math"/>
          </w:rPr>
          <m:t>σ</m:t>
        </m:r>
      </m:oMath>
      <w:r w:rsidRPr="00F47D72">
        <w:t xml:space="preserve"> is the charge transferred per unit area; </w:t>
      </w:r>
      <m:oMath>
        <m:sSub>
          <m:sSubPr>
            <m:ctrlPr>
              <w:rPr>
                <w:rFonts w:ascii="Cambria Math" w:hAnsi="Cambria Math"/>
                <w:i/>
              </w:rPr>
            </m:ctrlPr>
          </m:sSubPr>
          <m:e>
            <m:r>
              <w:rPr>
                <w:rFonts w:ascii="Cambria Math" w:hAnsi="Cambria Math"/>
              </w:rPr>
              <m:t>κ</m:t>
            </m:r>
          </m:e>
          <m:sub>
            <m:r>
              <w:rPr>
                <w:rFonts w:ascii="Cambria Math" w:hAnsi="Cambria Math"/>
              </w:rPr>
              <m:t>c</m:t>
            </m:r>
          </m:sub>
        </m:sSub>
      </m:oMath>
      <w:r w:rsidRPr="00F47D72">
        <w:t xml:space="preserve"> is the empirically-derived charging efficiency; </w:t>
      </w:r>
      <m:oMath>
        <m:sSub>
          <m:sSubPr>
            <m:ctrlPr>
              <w:rPr>
                <w:rFonts w:ascii="Cambria Math" w:hAnsi="Cambria Math"/>
                <w:i/>
              </w:rPr>
            </m:ctrlPr>
          </m:sSubPr>
          <m:e>
            <m:r>
              <w:rPr>
                <w:rFonts w:ascii="Cambria Math" w:hAnsi="Cambria Math"/>
              </w:rPr>
              <m:t>ε</m:t>
            </m:r>
          </m:e>
          <m:sub>
            <m:r>
              <w:rPr>
                <w:rFonts w:ascii="Cambria Math" w:hAnsi="Cambria Math"/>
              </w:rPr>
              <m:t>0</m:t>
            </m:r>
          </m:sub>
        </m:sSub>
      </m:oMath>
      <w:r w:rsidRPr="00F47D72">
        <w:t xml:space="preserve"> is the permittivity of free space; </w:t>
      </w:r>
      <m:oMath>
        <m:sSub>
          <m:sSubPr>
            <m:ctrlPr>
              <w:rPr>
                <w:rFonts w:ascii="Cambria Math" w:hAnsi="Cambria Math"/>
                <w:i/>
              </w:rPr>
            </m:ctrlPr>
          </m:sSubPr>
          <m:e>
            <m:r>
              <w:rPr>
                <w:rFonts w:ascii="Cambria Math" w:hAnsi="Cambria Math"/>
              </w:rPr>
              <m:t>δ</m:t>
            </m:r>
          </m:e>
          <m:sub>
            <m:r>
              <w:rPr>
                <w:rFonts w:ascii="Cambria Math" w:hAnsi="Cambria Math"/>
              </w:rPr>
              <m:t>e</m:t>
            </m:r>
          </m:sub>
        </m:sSub>
      </m:oMath>
      <w:r w:rsidRPr="00F47D72">
        <w:t xml:space="preserve"> is the separation distance between two particles at which point charge transfer ceases; </w:t>
      </w:r>
      <m:oMath>
        <m:r>
          <w:rPr>
            <w:rFonts w:ascii="Cambria Math" w:hAnsi="Cambria Math"/>
          </w:rPr>
          <m:t>e</m:t>
        </m:r>
      </m:oMath>
      <w:r w:rsidRPr="00F47D72">
        <w:t xml:space="preserve"> is the magnitude of the electron charge; </w:t>
      </w:r>
      <m:oMath>
        <m:sSub>
          <m:sSubPr>
            <m:ctrlPr>
              <w:rPr>
                <w:rFonts w:ascii="Cambria Math" w:hAnsi="Cambria Math"/>
                <w:i/>
              </w:rPr>
            </m:ctrlPr>
          </m:sSubPr>
          <m:e>
            <m:r>
              <w:rPr>
                <w:rFonts w:ascii="Cambria Math" w:hAnsi="Cambria Math"/>
              </w:rPr>
              <m:t>ϕ</m:t>
            </m:r>
          </m:e>
          <m:sub>
            <m:r>
              <w:rPr>
                <w:rFonts w:ascii="Cambria Math" w:hAnsi="Cambria Math"/>
              </w:rPr>
              <m:t>i</m:t>
            </m:r>
          </m:sub>
        </m:sSub>
      </m:oMath>
      <w:r w:rsidRPr="00F47D72">
        <w:t xml:space="preserve"> and </w:t>
      </w:r>
      <m:oMath>
        <m:sSub>
          <m:sSubPr>
            <m:ctrlPr>
              <w:rPr>
                <w:rFonts w:ascii="Cambria Math" w:hAnsi="Cambria Math"/>
                <w:i/>
              </w:rPr>
            </m:ctrlPr>
          </m:sSubPr>
          <m:e>
            <m:r>
              <w:rPr>
                <w:rFonts w:ascii="Cambria Math" w:hAnsi="Cambria Math"/>
              </w:rPr>
              <m:t>ϕ</m:t>
            </m:r>
          </m:e>
          <m:sub>
            <m:r>
              <w:rPr>
                <w:rFonts w:ascii="Cambria Math" w:hAnsi="Cambria Math"/>
              </w:rPr>
              <m:t>j</m:t>
            </m:r>
          </m:sub>
        </m:sSub>
      </m:oMath>
      <w:r w:rsidRPr="00F47D72">
        <w:t xml:space="preserve"> are the effective work functions;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contact</m:t>
            </m:r>
          </m:sub>
        </m:sSub>
      </m:oMath>
      <w:r w:rsidRPr="00F47D72">
        <w:t xml:space="preserve"> is the electrostatic field at the point of contact; and, </w:t>
      </w:r>
      <m:oMath>
        <m:sSub>
          <m:sSubPr>
            <m:ctrlPr>
              <w:rPr>
                <w:rFonts w:ascii="Cambria Math" w:hAnsi="Cambria Math"/>
                <w:i/>
              </w:rPr>
            </m:ctrlPr>
          </m:sSubPr>
          <m:e>
            <m:acc>
              <m:accPr>
                <m:ctrlPr>
                  <w:rPr>
                    <w:rFonts w:ascii="Cambria Math" w:hAnsi="Cambria Math"/>
                    <w:i/>
                  </w:rPr>
                </m:ctrlPr>
              </m:accPr>
              <m:e>
                <m:r>
                  <w:rPr>
                    <w:rFonts w:ascii="Cambria Math" w:hAnsi="Cambria Math"/>
                  </w:rPr>
                  <m:t>n</m:t>
                </m:r>
              </m:e>
            </m:acc>
          </m:e>
          <m:sub>
            <m:r>
              <w:rPr>
                <w:rFonts w:ascii="Cambria Math" w:hAnsi="Cambria Math"/>
              </w:rPr>
              <m:t>ij</m:t>
            </m:r>
          </m:sub>
        </m:sSub>
      </m:oMath>
      <w:r w:rsidRPr="00F47D72">
        <w:t xml:space="preserve"> is the unit normal vector pointing from particle i to j at the point of contact. While the use of this model has been demonstrated previously in the literature with good agreement to experimental data, this </w:t>
      </w:r>
      <w:r w:rsidR="004C2217" w:rsidRPr="00F47D72">
        <w:t>elaboration</w:t>
      </w:r>
      <w:r w:rsidRPr="00F47D72">
        <w:t xml:space="preserve"> is dependent on </w:t>
      </w:r>
      <w:r w:rsidR="004C2217" w:rsidRPr="00F47D72">
        <w:t>effective work functions, a property that is</w:t>
      </w:r>
      <w:r w:rsidRPr="00F47D72">
        <w:t xml:space="preserve"> </w:t>
      </w:r>
      <w:r w:rsidR="007A62EB" w:rsidRPr="00F47D72">
        <w:t>not suitable</w:t>
      </w:r>
      <w:r w:rsidRPr="00F47D72">
        <w:t xml:space="preserve"> for </w:t>
      </w:r>
      <w:r w:rsidR="007A62EB" w:rsidRPr="00F47D72">
        <w:t xml:space="preserve">describing </w:t>
      </w:r>
      <w:r w:rsidRPr="00F47D72">
        <w:t>insulating materials (Rasera</w:t>
      </w:r>
      <w:r w:rsidR="007A62EB" w:rsidRPr="00F47D72">
        <w:t xml:space="preserve"> et al.</w:t>
      </w:r>
      <w:r w:rsidRPr="00F47D72">
        <w:t>, 2022a</w:t>
      </w:r>
      <w:r w:rsidR="00480523" w:rsidRPr="00F47D72">
        <w:t>, b</w:t>
      </w:r>
      <w:r w:rsidR="00B52FCF" w:rsidRPr="00F47D72">
        <w:t>; Schein et al., 1992</w:t>
      </w:r>
      <w:r w:rsidRPr="00F47D72">
        <w:t>). Furthermore, other studies assume the charging efficiency to simply be 1, however, we demonstrated that this term is a critical parameter for modelling the charge transfer process.</w:t>
      </w:r>
    </w:p>
    <w:p w14:paraId="38CC7204" w14:textId="77777777" w:rsidR="00E37E3A" w:rsidRPr="00F47D72" w:rsidRDefault="00E37E3A" w:rsidP="00E37E3A"/>
    <w:p w14:paraId="163EC5D8" w14:textId="75D34F8B" w:rsidR="00E37E3A" w:rsidRPr="00F47D72" w:rsidRDefault="00E37E3A" w:rsidP="00E37E3A">
      <w:r w:rsidRPr="00F47D72">
        <w:t xml:space="preserve">To address the first issue, the work function term is replaced by the charge transfer limitation parameter, Γ, which is effectively the electrostatic field required to drive </w:t>
      </w:r>
      <m:oMath>
        <m:r>
          <m:rPr>
            <m:sty m:val="p"/>
          </m:rPr>
          <w:rPr>
            <w:rFonts w:ascii="Cambria Math" w:hAnsi="Cambria Math"/>
          </w:rPr>
          <m:t>Δ</m:t>
        </m:r>
        <m:r>
          <w:rPr>
            <w:rFonts w:ascii="Cambria Math" w:hAnsi="Cambria Math"/>
          </w:rPr>
          <m:t>q</m:t>
        </m:r>
      </m:oMath>
      <w:r w:rsidRPr="00F47D72">
        <w:t xml:space="preserve"> to 0. The equation above it thus rearranged in terms of the quantity of charge transferred, </w:t>
      </w:r>
      <m:oMath>
        <m:r>
          <m:rPr>
            <m:sty m:val="p"/>
          </m:rPr>
          <w:rPr>
            <w:rFonts w:ascii="Cambria Math" w:hAnsi="Cambria Math"/>
          </w:rPr>
          <m:t>Δ</m:t>
        </m:r>
        <m:r>
          <w:rPr>
            <w:rFonts w:ascii="Cambria Math" w:hAnsi="Cambria Math"/>
          </w:rPr>
          <m:t>q</m:t>
        </m:r>
      </m:oMath>
      <w:r w:rsidRPr="00F47D72">
        <w:t xml:space="preserve">, as a function of the change in contact area during a collision, </w:t>
      </w:r>
      <m:oMath>
        <m:r>
          <m:rPr>
            <m:sty m:val="p"/>
          </m:rPr>
          <w:rPr>
            <w:rFonts w:ascii="Cambria Math" w:hAnsi="Cambria Math"/>
          </w:rPr>
          <m:t>Δ</m:t>
        </m:r>
        <m:r>
          <w:rPr>
            <w:rFonts w:ascii="Cambria Math" w:hAnsi="Cambria Math"/>
          </w:rPr>
          <m:t>A</m:t>
        </m:r>
      </m:oMath>
      <w:r w:rsidRPr="00F47D72">
        <w:t>, as follows:</w:t>
      </w:r>
    </w:p>
    <w:p w14:paraId="0138A067" w14:textId="77777777" w:rsidR="00E37E3A" w:rsidRPr="00F47D72" w:rsidRDefault="00E37E3A" w:rsidP="00E37E3A"/>
    <w:p w14:paraId="1486CEA8" w14:textId="1C284575" w:rsidR="00A56AC4" w:rsidRPr="00F47D72" w:rsidRDefault="00A56AC4" w:rsidP="00E37E3A">
      <m:oMathPara>
        <m:oMath>
          <m:r>
            <m:rPr>
              <m:sty m:val="p"/>
            </m:rPr>
            <w:rPr>
              <w:rFonts w:ascii="Cambria Math" w:hAnsi="Cambria Math"/>
            </w:rPr>
            <m:t>Δ</m:t>
          </m:r>
          <m:r>
            <w:rPr>
              <w:rFonts w:ascii="Cambria Math" w:hAnsi="Cambria Math"/>
            </w:rPr>
            <m:t>q=</m:t>
          </m:r>
          <m:r>
            <m:rPr>
              <m:sty m:val="p"/>
            </m:rPr>
            <w:rPr>
              <w:rFonts w:ascii="Cambria Math" w:hAnsi="Cambria Math"/>
            </w:rPr>
            <m:t>Δ</m:t>
          </m:r>
          <m:r>
            <w:rPr>
              <w:rFonts w:ascii="Cambria Math" w:hAnsi="Cambria Math"/>
            </w:rPr>
            <m:t>A</m:t>
          </m:r>
          <m:sSub>
            <m:sSubPr>
              <m:ctrlPr>
                <w:rPr>
                  <w:rFonts w:ascii="Cambria Math" w:hAnsi="Cambria Math"/>
                  <w:i/>
                </w:rPr>
              </m:ctrlPr>
            </m:sSubPr>
            <m:e>
              <m:r>
                <w:rPr>
                  <w:rFonts w:ascii="Cambria Math" w:hAnsi="Cambria Math"/>
                </w:rPr>
                <m:t>κ</m:t>
              </m:r>
            </m:e>
            <m:sub>
              <m:r>
                <w:rPr>
                  <w:rFonts w:ascii="Cambria Math" w:hAnsi="Cambria Math"/>
                </w:rPr>
                <m:t>c</m:t>
              </m:r>
            </m:sub>
          </m:sSub>
          <m:sSub>
            <m:sSubPr>
              <m:ctrlPr>
                <w:rPr>
                  <w:rFonts w:ascii="Cambria Math" w:hAnsi="Cambria Math"/>
                  <w:i/>
                </w:rPr>
              </m:ctrlPr>
            </m:sSubPr>
            <m:e>
              <m:r>
                <w:rPr>
                  <w:rFonts w:ascii="Cambria Math" w:hAnsi="Cambria Math"/>
                </w:rPr>
                <m:t>ε</m:t>
              </m:r>
            </m:e>
            <m:sub>
              <m:r>
                <w:rPr>
                  <w:rFonts w:ascii="Cambria Math" w:hAnsi="Cambria Math"/>
                </w:rPr>
                <m:t>0</m:t>
              </m:r>
            </m:sub>
          </m:sSub>
          <m:d>
            <m:dPr>
              <m:ctrlPr>
                <w:rPr>
                  <w:rFonts w:ascii="Cambria Math" w:hAnsi="Cambria Math"/>
                  <w:i/>
                </w:rPr>
              </m:ctrlPr>
            </m:dPr>
            <m:e>
              <m:r>
                <m:rPr>
                  <m:sty m:val="p"/>
                </m:rPr>
                <w:rPr>
                  <w:rFonts w:ascii="Cambria Math" w:hAnsi="Cambria Math"/>
                </w:rPr>
                <m:t>Γ</m:t>
              </m:r>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contact</m:t>
                  </m:r>
                </m:sub>
              </m:sSub>
              <m:r>
                <w:rPr>
                  <w:rFonts w:ascii="Cambria Math" w:hAnsi="Cambria Math"/>
                </w:rPr>
                <m:t>∙</m:t>
              </m:r>
              <m:sSub>
                <m:sSubPr>
                  <m:ctrlPr>
                    <w:rPr>
                      <w:rFonts w:ascii="Cambria Math" w:hAnsi="Cambria Math"/>
                      <w:i/>
                    </w:rPr>
                  </m:ctrlPr>
                </m:sSubPr>
                <m:e>
                  <m:acc>
                    <m:accPr>
                      <m:ctrlPr>
                        <w:rPr>
                          <w:rFonts w:ascii="Cambria Math" w:hAnsi="Cambria Math"/>
                          <w:i/>
                        </w:rPr>
                      </m:ctrlPr>
                    </m:accPr>
                    <m:e>
                      <m:r>
                        <w:rPr>
                          <w:rFonts w:ascii="Cambria Math" w:hAnsi="Cambria Math"/>
                        </w:rPr>
                        <m:t>n</m:t>
                      </m:r>
                    </m:e>
                  </m:acc>
                </m:e>
                <m:sub>
                  <m:r>
                    <w:rPr>
                      <w:rFonts w:ascii="Cambria Math" w:hAnsi="Cambria Math"/>
                    </w:rPr>
                    <m:t>ij</m:t>
                  </m:r>
                </m:sub>
              </m:sSub>
            </m:e>
          </m:d>
        </m:oMath>
      </m:oMathPara>
    </w:p>
    <w:p w14:paraId="10D5847A" w14:textId="77777777" w:rsidR="00B06AEC" w:rsidRPr="00F47D72" w:rsidRDefault="00B06AEC" w:rsidP="00B06AEC"/>
    <w:p w14:paraId="0B9FF2AF" w14:textId="23827BB2" w:rsidR="00DA1D7D" w:rsidRPr="00F47D72" w:rsidRDefault="00B06AEC" w:rsidP="00DA1D7D">
      <w:r w:rsidRPr="00F47D72">
        <w:t xml:space="preserve">This form of the equation makes it well-suited for implementation in a DEM solver. The parameters </w:t>
      </w:r>
      <m:oMath>
        <m:r>
          <m:rPr>
            <m:sty m:val="p"/>
          </m:rPr>
          <w:rPr>
            <w:rFonts w:ascii="Cambria Math" w:hAnsi="Cambria Math"/>
          </w:rPr>
          <m:t>Γ</m:t>
        </m:r>
      </m:oMath>
      <w:r w:rsidRPr="00F47D72">
        <w:t xml:space="preserve"> and </w:t>
      </w:r>
      <m:oMath>
        <m:sSub>
          <m:sSubPr>
            <m:ctrlPr>
              <w:rPr>
                <w:rFonts w:ascii="Cambria Math" w:hAnsi="Cambria Math"/>
                <w:i/>
              </w:rPr>
            </m:ctrlPr>
          </m:sSubPr>
          <m:e>
            <m:r>
              <w:rPr>
                <w:rFonts w:ascii="Cambria Math" w:hAnsi="Cambria Math"/>
              </w:rPr>
              <m:t>κ</m:t>
            </m:r>
          </m:e>
          <m:sub>
            <m:r>
              <w:rPr>
                <w:rFonts w:ascii="Cambria Math" w:hAnsi="Cambria Math"/>
              </w:rPr>
              <m:t>c</m:t>
            </m:r>
          </m:sub>
        </m:sSub>
      </m:oMath>
      <w:r w:rsidRPr="00F47D72">
        <w:t xml:space="preserve"> must be determined</w:t>
      </w:r>
      <w:r w:rsidR="005D67B9" w:rsidRPr="00F47D72">
        <w:t xml:space="preserve"> experimentally</w:t>
      </w:r>
      <w:r w:rsidRPr="00F47D72">
        <w:t xml:space="preserve"> for both particle-particle and particle-wall interactions, and for each material pairing</w:t>
      </w:r>
      <w:r w:rsidR="00DA1D7D" w:rsidRPr="00F47D72">
        <w:t xml:space="preserve">; a method for calculating these can be found in Rasera </w:t>
      </w:r>
      <w:r w:rsidR="003F39B5" w:rsidRPr="00F47D72">
        <w:t xml:space="preserve">et al. </w:t>
      </w:r>
      <w:r w:rsidR="00DA1D7D" w:rsidRPr="00F47D72">
        <w:t>(202</w:t>
      </w:r>
      <w:r w:rsidR="003F39B5" w:rsidRPr="00F47D72">
        <w:t>2a, b</w:t>
      </w:r>
      <w:r w:rsidR="00DA1D7D" w:rsidRPr="00F47D72">
        <w:t>).</w:t>
      </w:r>
      <w:r w:rsidRPr="00F47D72">
        <w:t xml:space="preserve"> </w:t>
      </w:r>
      <w:r w:rsidR="00DA1D7D" w:rsidRPr="00F47D72">
        <w:t>The algorithm for modelling triboelectric charging is as follows: </w:t>
      </w:r>
    </w:p>
    <w:p w14:paraId="122DDDA6" w14:textId="77777777" w:rsidR="00DA1D7D" w:rsidRPr="00F47D72" w:rsidRDefault="00DA1D7D" w:rsidP="00DA1D7D">
      <w:pPr>
        <w:pStyle w:val="NumberList"/>
        <w:rPr>
          <w:sz w:val="20"/>
          <w:lang w:val="en-GB"/>
        </w:rPr>
      </w:pPr>
      <w:r w:rsidRPr="00F47D72">
        <w:rPr>
          <w:sz w:val="20"/>
          <w:lang w:val="en-GB"/>
        </w:rPr>
        <w:t>Update the particle positions and velocities using the laws of motion. </w:t>
      </w:r>
    </w:p>
    <w:p w14:paraId="049CD405" w14:textId="77777777" w:rsidR="00DA1D7D" w:rsidRPr="00F47D72" w:rsidRDefault="00DA1D7D" w:rsidP="00DA1D7D">
      <w:pPr>
        <w:pStyle w:val="NumberList"/>
        <w:rPr>
          <w:sz w:val="20"/>
          <w:lang w:val="en-GB"/>
        </w:rPr>
      </w:pPr>
      <w:r w:rsidRPr="00F47D72">
        <w:rPr>
          <w:sz w:val="20"/>
          <w:lang w:val="en-GB"/>
        </w:rPr>
        <w:t>Identify contacting bodies (particles and/or walls). </w:t>
      </w:r>
    </w:p>
    <w:p w14:paraId="0F7E6576" w14:textId="77777777" w:rsidR="00DA1D7D" w:rsidRPr="00F47D72" w:rsidRDefault="00DA1D7D" w:rsidP="00DA1D7D">
      <w:pPr>
        <w:pStyle w:val="NumberList"/>
        <w:rPr>
          <w:sz w:val="20"/>
          <w:lang w:val="en-GB"/>
        </w:rPr>
      </w:pPr>
      <w:r w:rsidRPr="00F47D72">
        <w:rPr>
          <w:sz w:val="20"/>
          <w:lang w:val="en-GB"/>
        </w:rPr>
        <w:t>Determine the overlap and evaluate the change in contact area. </w:t>
      </w:r>
    </w:p>
    <w:p w14:paraId="7F0728B2" w14:textId="77777777" w:rsidR="00DA1D7D" w:rsidRPr="00F47D72" w:rsidRDefault="00DA1D7D" w:rsidP="00DA1D7D">
      <w:pPr>
        <w:pStyle w:val="NumberList"/>
        <w:rPr>
          <w:sz w:val="20"/>
          <w:lang w:val="en-GB"/>
        </w:rPr>
      </w:pPr>
      <w:r w:rsidRPr="00F47D72">
        <w:rPr>
          <w:sz w:val="20"/>
          <w:lang w:val="en-GB"/>
        </w:rPr>
        <w:t>Find the electrostatic field at the centroid of each particle. If the contact is between two particles, use linear interpolation to find the field at the point of contact. If the contact is between a particle and a wall, calculate the field at the point of contact directly. </w:t>
      </w:r>
    </w:p>
    <w:p w14:paraId="50B123C8" w14:textId="77777777" w:rsidR="00DA1D7D" w:rsidRPr="00F47D72" w:rsidRDefault="00DA1D7D" w:rsidP="00DA1D7D">
      <w:pPr>
        <w:pStyle w:val="NumberList"/>
        <w:rPr>
          <w:sz w:val="20"/>
          <w:lang w:val="en-GB"/>
        </w:rPr>
      </w:pPr>
      <w:r w:rsidRPr="00F47D72">
        <w:rPr>
          <w:sz w:val="20"/>
          <w:lang w:val="en-GB"/>
        </w:rPr>
        <w:t>Evaluate the quantity of charge exchanged. </w:t>
      </w:r>
    </w:p>
    <w:p w14:paraId="36B697E2" w14:textId="77777777" w:rsidR="00DA1D7D" w:rsidRPr="00F47D72" w:rsidRDefault="00DA1D7D" w:rsidP="00DA1D7D">
      <w:pPr>
        <w:pStyle w:val="NumberList"/>
        <w:rPr>
          <w:sz w:val="20"/>
          <w:lang w:val="en-GB"/>
        </w:rPr>
      </w:pPr>
      <w:r w:rsidRPr="00F47D72">
        <w:rPr>
          <w:sz w:val="20"/>
          <w:lang w:val="en-GB"/>
        </w:rPr>
        <w:t>Determine the electrostatic force acting on each particle. </w:t>
      </w:r>
    </w:p>
    <w:p w14:paraId="205F3BAB" w14:textId="602E86E0" w:rsidR="00DA1D7D" w:rsidRPr="00F47D72" w:rsidRDefault="00DA1D7D" w:rsidP="00B06AEC">
      <w:pPr>
        <w:pStyle w:val="NumberList"/>
        <w:rPr>
          <w:sz w:val="20"/>
          <w:lang w:val="en-GB"/>
        </w:rPr>
      </w:pPr>
      <w:r w:rsidRPr="00F47D72">
        <w:rPr>
          <w:sz w:val="20"/>
          <w:lang w:val="en-GB"/>
        </w:rPr>
        <w:t>Use a Hertzian contact model to update the mechanical forces and moments. </w:t>
      </w:r>
    </w:p>
    <w:p w14:paraId="69FA2B5E" w14:textId="2FDF97EC" w:rsidR="00F65FCA" w:rsidRPr="00F47D72" w:rsidRDefault="000B2FCF" w:rsidP="00DA1D7D">
      <w:r w:rsidRPr="00F47D72">
        <w:lastRenderedPageBreak/>
        <w:t xml:space="preserve">Rasera et al. (2022a) and Cruise et al. (2022) identify two crucial design criteria for effective tribocharging: first, the maximisation of particle-wall contacts is essential for predictable charge transfer since interactions between particles are inherently random; second, it's important to limit the number of particles </w:t>
      </w:r>
      <w:proofErr w:type="gramStart"/>
      <w:r w:rsidRPr="00F47D72">
        <w:t>in a given</w:t>
      </w:r>
      <w:proofErr w:type="gramEnd"/>
      <w:r w:rsidRPr="00F47D72">
        <w:t xml:space="preserve"> charging space, as a higher particle count suppresses both bulk saturation charge and charge transfer. </w:t>
      </w:r>
      <w:r w:rsidR="00B767B9" w:rsidRPr="00F47D72">
        <w:t>F</w:t>
      </w:r>
      <w:r w:rsidR="00882C49" w:rsidRPr="00F47D72">
        <w:t xml:space="preserve">or the purposes of design optimisation, we </w:t>
      </w:r>
      <w:r w:rsidR="00DA1D7D" w:rsidRPr="00F47D72">
        <w:t>simplify the algorithm to track only</w:t>
      </w:r>
      <w:r w:rsidR="00882C49" w:rsidRPr="00F47D72">
        <w:t xml:space="preserve"> the net particle-particle and particle-wall contact </w:t>
      </w:r>
      <w:r w:rsidR="003A3A03" w:rsidRPr="00F47D72">
        <w:t>areas and</w:t>
      </w:r>
      <w:r w:rsidR="00EA3BCA" w:rsidRPr="00F47D72">
        <w:t xml:space="preserve"> use </w:t>
      </w:r>
      <w:r w:rsidR="00B767B9" w:rsidRPr="00F47D72">
        <w:t>these a</w:t>
      </w:r>
      <w:r w:rsidR="00EA3BCA" w:rsidRPr="00F47D72">
        <w:t>s</w:t>
      </w:r>
      <w:r w:rsidR="00B767B9" w:rsidRPr="00F47D72">
        <w:t xml:space="preserve"> proxies for charge transfer</w:t>
      </w:r>
      <w:r w:rsidR="00EA3BCA" w:rsidRPr="00F47D72">
        <w:t xml:space="preserve"> (Rasera</w:t>
      </w:r>
      <w:r w:rsidR="003A3A03" w:rsidRPr="00F47D72">
        <w:t xml:space="preserve"> et al.,</w:t>
      </w:r>
      <w:r w:rsidR="00EA3BCA" w:rsidRPr="00F47D72">
        <w:t xml:space="preserve"> 2022b)</w:t>
      </w:r>
      <w:r w:rsidR="00882C49" w:rsidRPr="00F47D72">
        <w:t xml:space="preserve">. </w:t>
      </w:r>
      <w:r w:rsidR="001F0BD6" w:rsidRPr="00F47D72">
        <w:t>This</w:t>
      </w:r>
      <w:r w:rsidR="009B4BB5" w:rsidRPr="00F47D72">
        <w:t xml:space="preserve"> simplification</w:t>
      </w:r>
      <w:r w:rsidR="001F0BD6" w:rsidRPr="00F47D72">
        <w:t xml:space="preserve"> </w:t>
      </w:r>
      <w:r w:rsidR="00566B27" w:rsidRPr="00F47D72">
        <w:t>reduces</w:t>
      </w:r>
      <w:r w:rsidR="009B4BB5" w:rsidRPr="00F47D72">
        <w:t xml:space="preserve"> greatly</w:t>
      </w:r>
      <w:r w:rsidR="00566B27" w:rsidRPr="00F47D72">
        <w:t xml:space="preserve"> the computational cost by </w:t>
      </w:r>
      <w:r w:rsidR="009B4BB5" w:rsidRPr="00F47D72">
        <w:t>removing</w:t>
      </w:r>
      <w:r w:rsidR="00566B27" w:rsidRPr="00F47D72">
        <w:t xml:space="preserve"> the calculation of </w:t>
      </w:r>
      <w:r w:rsidR="00DA1D7D" w:rsidRPr="00F47D72">
        <w:t>the local electrostatic field at each point of contact at every timestep.</w:t>
      </w:r>
      <w:r w:rsidR="00B767B9" w:rsidRPr="00F47D72">
        <w:t xml:space="preserve"> With respect to the </w:t>
      </w:r>
      <w:r w:rsidR="00AC7B13" w:rsidRPr="00F47D72">
        <w:t xml:space="preserve">second criteria, we maintain a constant particle inlet velocity of </w:t>
      </w:r>
      <w:r w:rsidR="00FB1FBA" w:rsidRPr="00F47D72">
        <w:t>0.08 m/s</w:t>
      </w:r>
      <w:r w:rsidR="00E672D8" w:rsidRPr="00F47D72">
        <w:t xml:space="preserve">. </w:t>
      </w:r>
      <w:r w:rsidR="00B91645" w:rsidRPr="00F47D72">
        <w:t>T</w:t>
      </w:r>
      <w:r w:rsidR="00FB1FBA" w:rsidRPr="00F47D72">
        <w:t>he residence time of each particle within the domain</w:t>
      </w:r>
      <w:r w:rsidR="00B91645" w:rsidRPr="00F47D72">
        <w:t xml:space="preserve"> is then tracked and compared; lower residence times imply fewer particles within the domain at any given time.</w:t>
      </w:r>
    </w:p>
    <w:p w14:paraId="719D1AB0" w14:textId="62C15E45" w:rsidR="00F65FCA" w:rsidRPr="00F47D72" w:rsidRDefault="00F65FCA" w:rsidP="00F65FCA">
      <w:pPr>
        <w:pStyle w:val="Heading1"/>
      </w:pPr>
      <w:r w:rsidRPr="00F47D72">
        <w:t>Tribocharger Design optimisation</w:t>
      </w:r>
    </w:p>
    <w:p w14:paraId="58B22EE7" w14:textId="7238ECD8" w:rsidR="00B06AEC" w:rsidRPr="00F47D72" w:rsidRDefault="00B06AEC" w:rsidP="00B06AEC">
      <w:pPr>
        <w:pStyle w:val="Heading2"/>
      </w:pPr>
      <w:r w:rsidRPr="00F47D72">
        <w:t>Baseline Design</w:t>
      </w:r>
    </w:p>
    <w:p w14:paraId="48B9D5AE" w14:textId="582F7944" w:rsidR="00CF7422" w:rsidRPr="00F47D72" w:rsidRDefault="00B06AEC" w:rsidP="00EE34BF">
      <w:r w:rsidRPr="00F47D72">
        <w:t>Two basic designs were considered: angled slats within a tube</w:t>
      </w:r>
      <w:r w:rsidR="00920DD2" w:rsidRPr="00F47D72">
        <w:t xml:space="preserve"> </w:t>
      </w:r>
      <w:r w:rsidR="002D2AD0" w:rsidRPr="00F47D72">
        <w:t>(</w:t>
      </w:r>
      <w:r w:rsidR="00920DD2" w:rsidRPr="00F47D72">
        <w:t>at</w:t>
      </w:r>
      <w:r w:rsidR="002D2AD0" w:rsidRPr="00F47D72">
        <w:t xml:space="preserve"> both</w:t>
      </w:r>
      <w:r w:rsidR="00920DD2" w:rsidRPr="00F47D72">
        <w:t xml:space="preserve"> 30° and 45°</w:t>
      </w:r>
      <w:r w:rsidR="002D2AD0" w:rsidRPr="00F47D72">
        <w:t xml:space="preserve"> with respect to </w:t>
      </w:r>
      <w:r w:rsidR="00CF7422" w:rsidRPr="00F47D72">
        <w:t>the vertical)</w:t>
      </w:r>
      <w:r w:rsidRPr="00F47D72">
        <w:t xml:space="preserve">, as well as a twisted baffle design employed with success by </w:t>
      </w:r>
      <w:proofErr w:type="spellStart"/>
      <w:r w:rsidRPr="00F47D72">
        <w:t>Trigwell</w:t>
      </w:r>
      <w:proofErr w:type="spellEnd"/>
      <w:r w:rsidRPr="00F47D72">
        <w:t xml:space="preserve"> et al. </w:t>
      </w:r>
      <w:r w:rsidR="00C31D21" w:rsidRPr="00F47D72">
        <w:t>(</w:t>
      </w:r>
      <w:r w:rsidRPr="00F47D72">
        <w:t>2009</w:t>
      </w:r>
      <w:r w:rsidR="00C31D21" w:rsidRPr="00F47D72">
        <w:t xml:space="preserve">, </w:t>
      </w:r>
      <w:r w:rsidRPr="00F47D72">
        <w:t>2012</w:t>
      </w:r>
      <w:r w:rsidR="00705516" w:rsidRPr="00F47D72">
        <w:t>)</w:t>
      </w:r>
      <w:r w:rsidRPr="00F47D72">
        <w:t xml:space="preserve"> and Quinn et al. </w:t>
      </w:r>
      <w:r w:rsidR="00C31D21" w:rsidRPr="00F47D72">
        <w:t>(</w:t>
      </w:r>
      <w:r w:rsidRPr="00F47D72">
        <w:t>2013</w:t>
      </w:r>
      <w:r w:rsidR="00705516" w:rsidRPr="00F47D72">
        <w:t>)</w:t>
      </w:r>
      <w:r w:rsidRPr="00F47D72">
        <w:t xml:space="preserve">. </w:t>
      </w:r>
    </w:p>
    <w:p w14:paraId="766A7BD0" w14:textId="69A6E77A" w:rsidR="00CF7422" w:rsidRPr="00F47D72" w:rsidRDefault="00FB1FBA" w:rsidP="00FB1FBA">
      <w:pPr>
        <w:jc w:val="right"/>
      </w:pPr>
      <w:r w:rsidRPr="00F47D72">
        <w:t>.</w:t>
      </w:r>
    </w:p>
    <w:p w14:paraId="2C4BF3FC" w14:textId="00B9CCE6" w:rsidR="000223B3" w:rsidRPr="00F47D72" w:rsidRDefault="00B06AEC" w:rsidP="00EE34BF">
      <w:r w:rsidRPr="00F47D72">
        <w:t>Different slat spacings were tested to ensure that particles would not build up within the tribocharger domain. This consideration was necessary to ensure that the proportion of particle-wall contacts would remain high relative to the particle-particle contacts, whilst also minimising the volume fraction of particles within the domain.</w:t>
      </w:r>
      <w:r w:rsidR="00905FAF" w:rsidRPr="00F47D72">
        <w:t xml:space="preserve"> </w:t>
      </w:r>
      <w:r w:rsidR="00D81F83" w:rsidRPr="00F47D72">
        <w:fldChar w:fldCharType="begin"/>
      </w:r>
      <w:r w:rsidR="00D81F83" w:rsidRPr="00F47D72">
        <w:instrText xml:space="preserve"> REF _Ref157078180 \h </w:instrText>
      </w:r>
      <w:r w:rsidR="00D81F83" w:rsidRPr="00F47D72">
        <w:fldChar w:fldCharType="separate"/>
      </w:r>
      <w:r w:rsidR="00B504ED" w:rsidRPr="00F47D72">
        <w:t xml:space="preserve">Figure </w:t>
      </w:r>
      <w:r w:rsidR="00B504ED">
        <w:rPr>
          <w:noProof/>
        </w:rPr>
        <w:t>1</w:t>
      </w:r>
      <w:r w:rsidR="00D81F83" w:rsidRPr="00F47D72">
        <w:fldChar w:fldCharType="end"/>
      </w:r>
      <w:r w:rsidR="00D81F83" w:rsidRPr="00F47D72">
        <w:t xml:space="preserve"> </w:t>
      </w:r>
      <w:r w:rsidR="00316651" w:rsidRPr="00F47D72">
        <w:t>presents a comparison of the 30° slat design with a spacing of 1.0 cm and 1.25 cm</w:t>
      </w:r>
      <w:r w:rsidR="00407FB2" w:rsidRPr="00F47D72">
        <w:t>.</w:t>
      </w:r>
      <w:r w:rsidR="00402F07" w:rsidRPr="00F47D72">
        <w:t xml:space="preserve"> </w:t>
      </w:r>
      <w:r w:rsidR="00750695" w:rsidRPr="00F47D72">
        <w:t xml:space="preserve">This difference is explained by the </w:t>
      </w:r>
      <w:r w:rsidR="003649D7" w:rsidRPr="00F47D72">
        <w:t>still images from the simulations found in</w:t>
      </w:r>
      <w:r w:rsidR="00D81F83" w:rsidRPr="00F47D72">
        <w:t xml:space="preserve"> </w:t>
      </w:r>
      <w:r w:rsidR="00D81F83" w:rsidRPr="00F47D72">
        <w:fldChar w:fldCharType="begin"/>
      </w:r>
      <w:r w:rsidR="00D81F83" w:rsidRPr="00F47D72">
        <w:instrText xml:space="preserve"> REF _Ref157078210 \h </w:instrText>
      </w:r>
      <w:r w:rsidR="00D81F83" w:rsidRPr="00F47D72">
        <w:fldChar w:fldCharType="separate"/>
      </w:r>
      <w:r w:rsidR="00B504ED" w:rsidRPr="00F47D72">
        <w:t xml:space="preserve">Figure </w:t>
      </w:r>
      <w:r w:rsidR="00B504ED">
        <w:rPr>
          <w:noProof/>
        </w:rPr>
        <w:t>2</w:t>
      </w:r>
      <w:r w:rsidR="00D81F83" w:rsidRPr="00F47D72">
        <w:fldChar w:fldCharType="end"/>
      </w:r>
      <w:r w:rsidR="003649D7" w:rsidRPr="00F47D72">
        <w:t xml:space="preserve">: the narrower spacing </w:t>
      </w:r>
      <w:r w:rsidR="005E03F7" w:rsidRPr="00F47D72">
        <w:t>reduced greatly the</w:t>
      </w:r>
      <w:r w:rsidR="003649D7" w:rsidRPr="00F47D72">
        <w:t xml:space="preserve"> throughput and partially blocked</w:t>
      </w:r>
      <w:r w:rsidR="005E03F7" w:rsidRPr="00F47D72">
        <w:t xml:space="preserve"> the</w:t>
      </w:r>
      <w:r w:rsidR="003649D7" w:rsidRPr="00F47D72">
        <w:t xml:space="preserve"> particle flow</w:t>
      </w:r>
      <w:r w:rsidR="005E03F7" w:rsidRPr="00F47D72">
        <w:t>, resulting in</w:t>
      </w:r>
      <w:r w:rsidR="00CD725E" w:rsidRPr="00F47D72">
        <w:t xml:space="preserve"> </w:t>
      </w:r>
      <w:r w:rsidR="00280526" w:rsidRPr="00F47D72">
        <w:t>22</w:t>
      </w:r>
      <w:r w:rsidR="002D2AD0" w:rsidRPr="00F47D72">
        <w:t>-fold increase in particle-particle contact area.</w:t>
      </w:r>
    </w:p>
    <w:p w14:paraId="2534C565" w14:textId="77777777" w:rsidR="000223B3" w:rsidRPr="00F47D72" w:rsidRDefault="000223B3" w:rsidP="00EE34BF"/>
    <w:p w14:paraId="18598571" w14:textId="77777777" w:rsidR="004775C3" w:rsidRPr="00F47D72" w:rsidRDefault="000223B3" w:rsidP="00EA58F8">
      <w:pPr>
        <w:keepNext/>
        <w:jc w:val="center"/>
      </w:pPr>
      <w:r w:rsidRPr="00F47D72">
        <w:rPr>
          <w:noProof/>
        </w:rPr>
        <w:drawing>
          <wp:inline distT="0" distB="0" distL="0" distR="0" wp14:anchorId="7E07CA43" wp14:editId="5ED06E2E">
            <wp:extent cx="3593370" cy="2160000"/>
            <wp:effectExtent l="0" t="0" r="1270" b="0"/>
            <wp:docPr id="12817813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81385" name="Picture 7"/>
                    <pic:cNvPicPr/>
                  </pic:nvPicPr>
                  <pic:blipFill>
                    <a:blip r:embed="rId8" cstate="hqprint">
                      <a:extLst>
                        <a:ext uri="{28A0092B-C50C-407E-A947-70E740481C1C}">
                          <a14:useLocalDpi xmlns:a14="http://schemas.microsoft.com/office/drawing/2010/main" val="0"/>
                        </a:ext>
                      </a:extLst>
                    </a:blip>
                    <a:stretch>
                      <a:fillRect/>
                    </a:stretch>
                  </pic:blipFill>
                  <pic:spPr>
                    <a:xfrm>
                      <a:off x="0" y="0"/>
                      <a:ext cx="3593370" cy="2160000"/>
                    </a:xfrm>
                    <a:prstGeom prst="rect">
                      <a:avLst/>
                    </a:prstGeom>
                  </pic:spPr>
                </pic:pic>
              </a:graphicData>
            </a:graphic>
          </wp:inline>
        </w:drawing>
      </w:r>
    </w:p>
    <w:p w14:paraId="3D60FF97" w14:textId="2D11E175" w:rsidR="004775C3" w:rsidRDefault="004775C3" w:rsidP="00EA58F8">
      <w:pPr>
        <w:pStyle w:val="FigureCaption"/>
      </w:pPr>
      <w:bookmarkStart w:id="0" w:name="_Ref157078180"/>
      <w:r w:rsidRPr="00F47D72">
        <w:t xml:space="preserve">Figure </w:t>
      </w:r>
      <w:r w:rsidRPr="00F47D72">
        <w:fldChar w:fldCharType="begin"/>
      </w:r>
      <w:r w:rsidRPr="00F47D72">
        <w:instrText xml:space="preserve"> SEQ Figure \* ARABIC </w:instrText>
      </w:r>
      <w:r w:rsidRPr="00F47D72">
        <w:fldChar w:fldCharType="separate"/>
      </w:r>
      <w:r w:rsidR="00B504ED">
        <w:rPr>
          <w:noProof/>
        </w:rPr>
        <w:t>1</w:t>
      </w:r>
      <w:r w:rsidRPr="00F47D72">
        <w:fldChar w:fldCharType="end"/>
      </w:r>
      <w:bookmarkEnd w:id="0"/>
      <w:r w:rsidRPr="00F47D72">
        <w:t>.</w:t>
      </w:r>
      <w:r w:rsidR="00693350" w:rsidRPr="00F47D72">
        <w:t xml:space="preserve"> A comparison of the net particle-particle and particle-wall contact areas</w:t>
      </w:r>
      <w:r w:rsidR="00EA58F8" w:rsidRPr="00F47D72">
        <w:t xml:space="preserve"> for the 30° slat design</w:t>
      </w:r>
      <w:r w:rsidR="00693350" w:rsidRPr="00F47D72">
        <w:t xml:space="preserve"> resulting from</w:t>
      </w:r>
      <w:r w:rsidR="00EA58F8" w:rsidRPr="00F47D72">
        <w:t xml:space="preserve"> 1.0 and 1.25 cm slat spacings</w:t>
      </w:r>
    </w:p>
    <w:p w14:paraId="3196C5F1" w14:textId="77777777" w:rsidR="003A30E4" w:rsidRDefault="003A30E4" w:rsidP="003A30E4">
      <w:r w:rsidRPr="00F47D72">
        <w:t xml:space="preserve">The ratio of particle-particle to particle-wall contacts was made for the three preliminary designs; the simulation outputs are found in </w:t>
      </w:r>
      <w:r w:rsidRPr="00F47D72">
        <w:fldChar w:fldCharType="begin"/>
      </w:r>
      <w:r w:rsidRPr="00F47D72">
        <w:instrText xml:space="preserve"> REF _Ref157078223 \h </w:instrText>
      </w:r>
      <w:r w:rsidRPr="00F47D72">
        <w:fldChar w:fldCharType="separate"/>
      </w:r>
      <w:r w:rsidRPr="00F47D72">
        <w:t xml:space="preserve">Figure </w:t>
      </w:r>
      <w:r>
        <w:rPr>
          <w:noProof/>
        </w:rPr>
        <w:t>3</w:t>
      </w:r>
      <w:r w:rsidRPr="00F47D72">
        <w:fldChar w:fldCharType="end"/>
      </w:r>
      <w:r w:rsidRPr="00F47D72">
        <w:t>. There were no statistically significant differences between the net particle-particle contact areas for each design. However, the twisted baffle generated significantly greater net particle-wall contact area than the slat designs. Further, it was the only design where the net particle-wall contact exceeded the net particle-particle contact area.</w:t>
      </w:r>
    </w:p>
    <w:p w14:paraId="68003136" w14:textId="77777777" w:rsidR="003A30E4" w:rsidRPr="00F47D72" w:rsidRDefault="003A30E4" w:rsidP="003A30E4"/>
    <w:p w14:paraId="0F9A680F" w14:textId="193B22B7" w:rsidR="003A30E4" w:rsidRPr="00F47D72" w:rsidRDefault="003A30E4" w:rsidP="003A30E4">
      <w:r w:rsidRPr="00F47D72">
        <w:t xml:space="preserve">A subsequent study was performed to determine how the segmented design of </w:t>
      </w:r>
      <w:proofErr w:type="spellStart"/>
      <w:r w:rsidRPr="00F47D72">
        <w:t>Trigwell</w:t>
      </w:r>
      <w:proofErr w:type="spellEnd"/>
      <w:r w:rsidRPr="00F47D72">
        <w:t xml:space="preserve"> et al. (2009, 2012} and Quinn et al. (2013) would perform against a continuous baffle. The two 90° segments were compared to a single 180° design. The net particle-particle and particle-wall contact areas output by the simulations are found in </w:t>
      </w:r>
      <w:r w:rsidRPr="00F47D72">
        <w:fldChar w:fldCharType="begin"/>
      </w:r>
      <w:r w:rsidRPr="00F47D72">
        <w:instrText xml:space="preserve"> REF _Ref157078258 \h </w:instrText>
      </w:r>
      <w:r w:rsidRPr="00F47D72">
        <w:fldChar w:fldCharType="separate"/>
      </w:r>
      <w:r w:rsidRPr="00F47D72">
        <w:t xml:space="preserve">Figure </w:t>
      </w:r>
      <w:r>
        <w:rPr>
          <w:noProof/>
        </w:rPr>
        <w:t>4</w:t>
      </w:r>
      <w:r w:rsidRPr="00F47D72">
        <w:fldChar w:fldCharType="end"/>
      </w:r>
      <w:r w:rsidRPr="00F47D72">
        <w:t>. The segmented design produced greater overall particle-particle and particle-wall contact areas, however the relative ratio between them was low (PW/PP = 1.03). In comparison, the continuous design generated lower overall net contact areas for both modes, but the contact ratio was significantly higher (PW/PP = 2.55). This indicates that a continuous design is preferable to a segmented one.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2956"/>
      </w:tblGrid>
      <w:tr w:rsidR="00114F89" w:rsidRPr="00F47D72" w14:paraId="215E0959" w14:textId="77777777" w:rsidTr="00552152">
        <w:trPr>
          <w:trHeight w:val="4025"/>
          <w:jc w:val="center"/>
        </w:trPr>
        <w:tc>
          <w:tcPr>
            <w:tcW w:w="2712" w:type="dxa"/>
          </w:tcPr>
          <w:p w14:paraId="08D152AA" w14:textId="77777777" w:rsidR="00114F89" w:rsidRPr="00F47D72" w:rsidRDefault="00114F89" w:rsidP="000B5C4A">
            <w:pPr>
              <w:pStyle w:val="FigureCaption"/>
              <w:jc w:val="center"/>
            </w:pPr>
            <w:r w:rsidRPr="00F47D72">
              <w:rPr>
                <w:noProof/>
              </w:rPr>
              <w:lastRenderedPageBreak/>
              <w:drawing>
                <wp:inline distT="0" distB="0" distL="0" distR="0" wp14:anchorId="2201A59C" wp14:editId="65F4535A">
                  <wp:extent cx="1711103" cy="2448000"/>
                  <wp:effectExtent l="0" t="0" r="3810" b="3175"/>
                  <wp:docPr id="7200120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12083" name="Picture 8"/>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1711103" cy="2448000"/>
                          </a:xfrm>
                          <a:prstGeom prst="rect">
                            <a:avLst/>
                          </a:prstGeom>
                        </pic:spPr>
                      </pic:pic>
                    </a:graphicData>
                  </a:graphic>
                </wp:inline>
              </w:drawing>
            </w:r>
          </w:p>
          <w:p w14:paraId="48B0C258" w14:textId="02B91738" w:rsidR="00FC2AC8" w:rsidRPr="00F47D72" w:rsidRDefault="000B5C4A" w:rsidP="0071642F">
            <w:pPr>
              <w:pStyle w:val="FigureCaption"/>
              <w:numPr>
                <w:ilvl w:val="0"/>
                <w:numId w:val="9"/>
              </w:numPr>
            </w:pPr>
            <w:r w:rsidRPr="00F47D72">
              <w:t>1</w:t>
            </w:r>
            <w:r w:rsidR="00DB31DF" w:rsidRPr="00F47D72">
              <w:t>.0</w:t>
            </w:r>
            <w:r w:rsidRPr="00F47D72">
              <w:t xml:space="preserve"> cm </w:t>
            </w:r>
            <w:r w:rsidR="00552152">
              <w:t xml:space="preserve">slat </w:t>
            </w:r>
            <w:r w:rsidRPr="00F47D72">
              <w:t>spacing</w:t>
            </w:r>
          </w:p>
        </w:tc>
        <w:tc>
          <w:tcPr>
            <w:tcW w:w="2716" w:type="dxa"/>
          </w:tcPr>
          <w:p w14:paraId="2E93993C" w14:textId="77777777" w:rsidR="00114F89" w:rsidRPr="00F47D72" w:rsidRDefault="00114F89" w:rsidP="000B5C4A">
            <w:pPr>
              <w:pStyle w:val="FigureCaption"/>
              <w:jc w:val="center"/>
            </w:pPr>
            <w:r w:rsidRPr="00F47D72">
              <w:rPr>
                <w:noProof/>
              </w:rPr>
              <w:drawing>
                <wp:inline distT="0" distB="0" distL="0" distR="0" wp14:anchorId="5930D35D" wp14:editId="440A9B4B">
                  <wp:extent cx="1736083" cy="2448000"/>
                  <wp:effectExtent l="0" t="0" r="4445" b="3175"/>
                  <wp:docPr id="8188632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63236" name="Picture 9"/>
                          <pic:cNvPicPr/>
                        </pic:nvPicPr>
                        <pic:blipFill>
                          <a:blip r:embed="rId10" cstate="hqprint">
                            <a:extLst>
                              <a:ext uri="{28A0092B-C50C-407E-A947-70E740481C1C}">
                                <a14:useLocalDpi xmlns:a14="http://schemas.microsoft.com/office/drawing/2010/main" val="0"/>
                              </a:ext>
                            </a:extLst>
                          </a:blip>
                          <a:stretch>
                            <a:fillRect/>
                          </a:stretch>
                        </pic:blipFill>
                        <pic:spPr>
                          <a:xfrm>
                            <a:off x="0" y="0"/>
                            <a:ext cx="1736083" cy="2448000"/>
                          </a:xfrm>
                          <a:prstGeom prst="rect">
                            <a:avLst/>
                          </a:prstGeom>
                        </pic:spPr>
                      </pic:pic>
                    </a:graphicData>
                  </a:graphic>
                </wp:inline>
              </w:drawing>
            </w:r>
          </w:p>
          <w:p w14:paraId="401C866E" w14:textId="7EBE3B28" w:rsidR="000B5C4A" w:rsidRPr="00F47D72" w:rsidRDefault="000B5C4A" w:rsidP="0071642F">
            <w:pPr>
              <w:pStyle w:val="FigureCaption"/>
              <w:keepNext/>
              <w:numPr>
                <w:ilvl w:val="0"/>
                <w:numId w:val="9"/>
              </w:numPr>
            </w:pPr>
            <w:r w:rsidRPr="00F47D72">
              <w:t>1.25 cm s</w:t>
            </w:r>
            <w:r w:rsidR="00552152">
              <w:t>lat s</w:t>
            </w:r>
            <w:r w:rsidRPr="00F47D72">
              <w:t>pacing</w:t>
            </w:r>
          </w:p>
        </w:tc>
      </w:tr>
    </w:tbl>
    <w:p w14:paraId="09C0C582" w14:textId="3174AD23" w:rsidR="00B06AEC" w:rsidRPr="00F47D72" w:rsidRDefault="0071642F" w:rsidP="00293994">
      <w:pPr>
        <w:pStyle w:val="FigureCaption"/>
      </w:pPr>
      <w:bookmarkStart w:id="1" w:name="_Ref157078210"/>
      <w:r w:rsidRPr="00F47D72">
        <w:t xml:space="preserve">Figure </w:t>
      </w:r>
      <w:r w:rsidRPr="00F47D72">
        <w:fldChar w:fldCharType="begin"/>
      </w:r>
      <w:r w:rsidRPr="00F47D72">
        <w:instrText xml:space="preserve"> SEQ Figure \* ARABIC </w:instrText>
      </w:r>
      <w:r w:rsidRPr="00F47D72">
        <w:fldChar w:fldCharType="separate"/>
      </w:r>
      <w:r w:rsidR="00B504ED">
        <w:rPr>
          <w:noProof/>
        </w:rPr>
        <w:t>2</w:t>
      </w:r>
      <w:r w:rsidRPr="00F47D72">
        <w:fldChar w:fldCharType="end"/>
      </w:r>
      <w:bookmarkEnd w:id="1"/>
      <w:r w:rsidRPr="00F47D72">
        <w:t xml:space="preserve">. </w:t>
      </w:r>
      <w:r w:rsidR="00DB31DF" w:rsidRPr="00F47D72">
        <w:t xml:space="preserve">A comparison of the difference in flow </w:t>
      </w:r>
      <w:r w:rsidR="008B0884">
        <w:t>behaviour</w:t>
      </w:r>
      <w:r w:rsidR="00DB31DF" w:rsidRPr="00F47D72">
        <w:t xml:space="preserve"> between the 1.0 cm and 1.25 cm slat spacing</w:t>
      </w:r>
      <w:r w:rsidR="00BB2895" w:rsidRPr="00F47D72">
        <w:t>s</w:t>
      </w:r>
      <w:r w:rsidR="008B0884">
        <w:t>.</w:t>
      </w:r>
      <w:r w:rsidR="001B32C7">
        <w:t xml:space="preserve"> The </w:t>
      </w:r>
      <w:r w:rsidR="00BB2ED6">
        <w:t xml:space="preserve">small increase in slat spacing </w:t>
      </w:r>
      <w:r w:rsidR="00184DE1">
        <w:t>prevented the formation of blockages.</w:t>
      </w:r>
    </w:p>
    <w:p w14:paraId="4CBD257A" w14:textId="77777777" w:rsidR="00D81F83" w:rsidRPr="00F47D72" w:rsidRDefault="00D81F83" w:rsidP="00D81F83">
      <w:pPr>
        <w:keepNext/>
        <w:jc w:val="center"/>
      </w:pPr>
      <w:r w:rsidRPr="00F47D72">
        <w:rPr>
          <w:noProof/>
        </w:rPr>
        <w:drawing>
          <wp:inline distT="0" distB="0" distL="0" distR="0" wp14:anchorId="12AC0FCE" wp14:editId="758E844F">
            <wp:extent cx="3593362" cy="2160000"/>
            <wp:effectExtent l="0" t="0" r="1270" b="0"/>
            <wp:docPr id="1820584063"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84063" name="Picture 1" descr="A graph of different colored bars&#10;&#10;Description automatically generated"/>
                    <pic:cNvPicPr/>
                  </pic:nvPicPr>
                  <pic:blipFill>
                    <a:blip r:embed="rId11" cstate="hqprint">
                      <a:extLst>
                        <a:ext uri="{28A0092B-C50C-407E-A947-70E740481C1C}">
                          <a14:useLocalDpi xmlns:a14="http://schemas.microsoft.com/office/drawing/2010/main" val="0"/>
                        </a:ext>
                      </a:extLst>
                    </a:blip>
                    <a:stretch>
                      <a:fillRect/>
                    </a:stretch>
                  </pic:blipFill>
                  <pic:spPr>
                    <a:xfrm>
                      <a:off x="0" y="0"/>
                      <a:ext cx="3593362" cy="2160000"/>
                    </a:xfrm>
                    <a:prstGeom prst="rect">
                      <a:avLst/>
                    </a:prstGeom>
                  </pic:spPr>
                </pic:pic>
              </a:graphicData>
            </a:graphic>
          </wp:inline>
        </w:drawing>
      </w:r>
    </w:p>
    <w:p w14:paraId="75ED4410" w14:textId="13B6F62D" w:rsidR="00B06AEC" w:rsidRPr="00F47D72" w:rsidRDefault="00D81F83" w:rsidP="00D81F83">
      <w:pPr>
        <w:pStyle w:val="FigureCaption"/>
      </w:pPr>
      <w:bookmarkStart w:id="2" w:name="_Ref157078223"/>
      <w:r w:rsidRPr="00F47D72">
        <w:t xml:space="preserve">Figure </w:t>
      </w:r>
      <w:r w:rsidRPr="00F47D72">
        <w:fldChar w:fldCharType="begin"/>
      </w:r>
      <w:r w:rsidRPr="00F47D72">
        <w:instrText xml:space="preserve"> SEQ Figure \* ARABIC </w:instrText>
      </w:r>
      <w:r w:rsidRPr="00F47D72">
        <w:fldChar w:fldCharType="separate"/>
      </w:r>
      <w:r w:rsidR="00B504ED">
        <w:rPr>
          <w:noProof/>
        </w:rPr>
        <w:t>3</w:t>
      </w:r>
      <w:r w:rsidRPr="00F47D72">
        <w:fldChar w:fldCharType="end"/>
      </w:r>
      <w:bookmarkEnd w:id="2"/>
      <w:r w:rsidRPr="00F47D72">
        <w:t>. A comparison of the performance of the three preliminary designs found that the net particle-wall contact area accumulated by the twisted baffle design were statistically significant</w:t>
      </w:r>
      <w:r w:rsidR="00BE7364" w:rsidRPr="00F47D72">
        <w:t xml:space="preserve">; error bars indicate </w:t>
      </w:r>
      <w:r w:rsidRPr="00F47D72">
        <w:t>95% confidence intervals</w:t>
      </w:r>
    </w:p>
    <w:p w14:paraId="0A4FDCA5" w14:textId="77777777" w:rsidR="003072ED" w:rsidRPr="00F47D72" w:rsidRDefault="003072ED" w:rsidP="003D08D0">
      <w:pPr>
        <w:keepNext/>
        <w:jc w:val="center"/>
      </w:pPr>
      <w:r w:rsidRPr="00F47D72">
        <w:rPr>
          <w:noProof/>
        </w:rPr>
        <w:drawing>
          <wp:inline distT="0" distB="0" distL="0" distR="0" wp14:anchorId="49B80090" wp14:editId="315EE00F">
            <wp:extent cx="3593364" cy="2160000"/>
            <wp:effectExtent l="0" t="0" r="1270" b="0"/>
            <wp:docPr id="8240728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72836" name="Picture 2"/>
                    <pic:cNvPicPr/>
                  </pic:nvPicPr>
                  <pic:blipFill>
                    <a:blip r:embed="rId12" cstate="hqprint">
                      <a:extLst>
                        <a:ext uri="{28A0092B-C50C-407E-A947-70E740481C1C}">
                          <a14:useLocalDpi xmlns:a14="http://schemas.microsoft.com/office/drawing/2010/main" val="0"/>
                        </a:ext>
                      </a:extLst>
                    </a:blip>
                    <a:stretch>
                      <a:fillRect/>
                    </a:stretch>
                  </pic:blipFill>
                  <pic:spPr>
                    <a:xfrm>
                      <a:off x="0" y="0"/>
                      <a:ext cx="3593364" cy="2160000"/>
                    </a:xfrm>
                    <a:prstGeom prst="rect">
                      <a:avLst/>
                    </a:prstGeom>
                  </pic:spPr>
                </pic:pic>
              </a:graphicData>
            </a:graphic>
          </wp:inline>
        </w:drawing>
      </w:r>
    </w:p>
    <w:p w14:paraId="25F5AAAA" w14:textId="31246712" w:rsidR="00427F93" w:rsidRPr="00F47D72" w:rsidRDefault="003072ED" w:rsidP="007D121C">
      <w:pPr>
        <w:pStyle w:val="FigureCaption"/>
      </w:pPr>
      <w:bookmarkStart w:id="3" w:name="_Ref157078258"/>
      <w:r w:rsidRPr="00F47D72">
        <w:t xml:space="preserve">Figure </w:t>
      </w:r>
      <w:r w:rsidRPr="00F47D72">
        <w:fldChar w:fldCharType="begin"/>
      </w:r>
      <w:r w:rsidRPr="00F47D72">
        <w:instrText xml:space="preserve"> SEQ Figure \* ARABIC </w:instrText>
      </w:r>
      <w:r w:rsidRPr="00F47D72">
        <w:fldChar w:fldCharType="separate"/>
      </w:r>
      <w:r w:rsidR="00B504ED">
        <w:rPr>
          <w:noProof/>
        </w:rPr>
        <w:t>4</w:t>
      </w:r>
      <w:r w:rsidRPr="00F47D72">
        <w:fldChar w:fldCharType="end"/>
      </w:r>
      <w:bookmarkEnd w:id="3"/>
      <w:r w:rsidR="008B0884">
        <w:t>.</w:t>
      </w:r>
      <w:r w:rsidR="00B654E7" w:rsidRPr="00F47D72">
        <w:t xml:space="preserve"> </w:t>
      </w:r>
      <w:r w:rsidR="00E913A3" w:rsidRPr="00F47D72">
        <w:t>A comparison of a baffle comprising two 90° segments against a continuous 180° baffle (95% confidence intervals indicated)</w:t>
      </w:r>
    </w:p>
    <w:p w14:paraId="51F63683" w14:textId="2BF90816" w:rsidR="00EE34BF" w:rsidRPr="00F47D72" w:rsidRDefault="00817738" w:rsidP="00664F47">
      <w:pPr>
        <w:pStyle w:val="Heading2"/>
      </w:pPr>
      <w:r w:rsidRPr="00F47D72">
        <w:lastRenderedPageBreak/>
        <w:t>Identification of an Optimal Design</w:t>
      </w:r>
    </w:p>
    <w:p w14:paraId="750F2780" w14:textId="12E69A20" w:rsidR="00ED01AD" w:rsidRPr="00F47D72" w:rsidRDefault="00D80F5B" w:rsidP="00ED01AD">
      <w:r>
        <w:t>As presented previously (Rasera et al., 2022b), w</w:t>
      </w:r>
      <w:r w:rsidR="00136704">
        <w:t>e</w:t>
      </w:r>
      <w:r w:rsidR="00034CD8" w:rsidRPr="00F47D72">
        <w:t xml:space="preserve"> demonstrate </w:t>
      </w:r>
      <w:r w:rsidR="00136704">
        <w:t>our</w:t>
      </w:r>
      <w:r w:rsidR="00ED01AD" w:rsidRPr="00F47D72">
        <w:t xml:space="preserve"> </w:t>
      </w:r>
      <w:r w:rsidR="00FD13CA" w:rsidRPr="00F47D72">
        <w:t>optimisation</w:t>
      </w:r>
      <w:r w:rsidR="00ED01AD" w:rsidRPr="00F47D72">
        <w:t xml:space="preserve"> </w:t>
      </w:r>
      <w:r w:rsidR="00034CD8" w:rsidRPr="00F47D72">
        <w:t xml:space="preserve">approach by focusing on the </w:t>
      </w:r>
      <w:r w:rsidR="00ED01AD" w:rsidRPr="00F47D72">
        <w:t>internal structure of the tribocharger</w:t>
      </w:r>
      <w:r w:rsidR="00FD13CA" w:rsidRPr="00F47D72">
        <w:t>.</w:t>
      </w:r>
      <w:r w:rsidR="00ED01AD" w:rsidRPr="00F47D72">
        <w:t xml:space="preserve"> </w:t>
      </w:r>
      <w:r w:rsidR="00FD13CA" w:rsidRPr="00F47D72">
        <w:t>S</w:t>
      </w:r>
      <w:r w:rsidR="00ED01AD" w:rsidRPr="00F47D72">
        <w:t>pecifically</w:t>
      </w:r>
      <w:r w:rsidR="00FD13CA" w:rsidRPr="00F47D72">
        <w:t xml:space="preserve">, we consider the </w:t>
      </w:r>
      <w:r w:rsidR="00ED01AD" w:rsidRPr="00F47D72">
        <w:t>effect of the charging baffle's pitch</w:t>
      </w:r>
      <w:r w:rsidR="0099063C" w:rsidRPr="00F47D72">
        <w:t>, defined as the height of one complete helical turn (360°),</w:t>
      </w:r>
      <w:r w:rsidR="00ED01AD" w:rsidRPr="00F47D72">
        <w:t xml:space="preserve"> on the contact dynamics. </w:t>
      </w:r>
      <w:r w:rsidR="0099063C" w:rsidRPr="00F47D72">
        <w:t>For</w:t>
      </w:r>
      <w:r w:rsidR="005A6DF5" w:rsidRPr="00F47D72">
        <w:t xml:space="preserve"> the preliminary validation of the optimisation approach, the</w:t>
      </w:r>
      <w:r w:rsidR="00ED01AD" w:rsidRPr="00F47D72">
        <w:t xml:space="preserve"> baffle's </w:t>
      </w:r>
      <w:r w:rsidR="0099063C" w:rsidRPr="00F47D72">
        <w:t>height was kept constant at</w:t>
      </w:r>
      <w:r w:rsidR="00ED01AD" w:rsidRPr="00F47D72">
        <w:t xml:space="preserve"> 4.5 cm. The pitch angle, determining the helical tightness, varied across designs. Five distinct pitches were assessed</w:t>
      </w:r>
      <w:r w:rsidR="000F5BD2" w:rsidRPr="00F47D72">
        <w:t xml:space="preserve"> (</w:t>
      </w:r>
      <w:r w:rsidR="00EE2C17" w:rsidRPr="00F47D72">
        <w:fldChar w:fldCharType="begin"/>
      </w:r>
      <w:r w:rsidR="00EE2C17" w:rsidRPr="00F47D72">
        <w:instrText xml:space="preserve"> REF _Ref157080574 \h </w:instrText>
      </w:r>
      <w:r w:rsidR="00EE2C17" w:rsidRPr="00F47D72">
        <w:fldChar w:fldCharType="separate"/>
      </w:r>
      <w:r w:rsidR="00B504ED" w:rsidRPr="00F47D72">
        <w:t xml:space="preserve">Figure </w:t>
      </w:r>
      <w:r w:rsidR="00B504ED">
        <w:rPr>
          <w:noProof/>
        </w:rPr>
        <w:t>5</w:t>
      </w:r>
      <w:r w:rsidR="00EE2C17" w:rsidRPr="00F47D72">
        <w:fldChar w:fldCharType="end"/>
      </w:r>
      <w:r w:rsidR="000F5BD2" w:rsidRPr="00F47D72">
        <w:t>)</w:t>
      </w:r>
      <w:r w:rsidR="00ED01AD" w:rsidRPr="00F47D72">
        <w:t>, all under a consistent particle inlet velocity of 0.08 m/s.</w:t>
      </w:r>
      <w:r w:rsidR="005C5ADB" w:rsidRPr="00F47D72">
        <w:t xml:space="preserve"> </w:t>
      </w:r>
      <w:r w:rsidR="00ED01AD" w:rsidRPr="00F47D72">
        <w:t>Th</w:t>
      </w:r>
      <w:r w:rsidR="005C5ADB" w:rsidRPr="00F47D72">
        <w:t>e</w:t>
      </w:r>
      <w:r w:rsidR="00ED01AD" w:rsidRPr="00F47D72">
        <w:t xml:space="preserve"> </w:t>
      </w:r>
      <w:r w:rsidR="005C5ADB" w:rsidRPr="00F47D72">
        <w:t>purpose of this was to</w:t>
      </w:r>
      <w:r w:rsidR="00ED01AD" w:rsidRPr="00F47D72">
        <w:t xml:space="preserve"> demonstrate </w:t>
      </w:r>
      <w:r w:rsidR="005C5ADB" w:rsidRPr="00F47D72">
        <w:t>the validity of the</w:t>
      </w:r>
      <w:r w:rsidR="00ED01AD" w:rsidRPr="00F47D72">
        <w:t xml:space="preserve"> optimi</w:t>
      </w:r>
      <w:r w:rsidR="00CD65DA" w:rsidRPr="00F47D72">
        <w:t>s</w:t>
      </w:r>
      <w:r w:rsidR="00ED01AD" w:rsidRPr="00F47D72">
        <w:t xml:space="preserve">ation method, not to find a universally optimal design. </w:t>
      </w:r>
      <w:r w:rsidR="00E37601" w:rsidRPr="00F47D72">
        <w:t>It is important to note that choice of particle and charger materials, particle size, charger geometries, and inlet flow rates may produce different optima.</w:t>
      </w:r>
    </w:p>
    <w:p w14:paraId="506F8028" w14:textId="77777777" w:rsidR="000F5BD2" w:rsidRPr="00F47D72" w:rsidRDefault="000F5BD2" w:rsidP="00ED01AD"/>
    <w:p w14:paraId="49B52FCE" w14:textId="77777777" w:rsidR="000F5BD2" w:rsidRPr="00F47D72" w:rsidRDefault="000F5BD2" w:rsidP="00EE2C17">
      <w:pPr>
        <w:keepNext/>
        <w:jc w:val="center"/>
      </w:pPr>
      <w:r w:rsidRPr="00F47D72">
        <w:rPr>
          <w:noProof/>
        </w:rPr>
        <w:drawing>
          <wp:inline distT="0" distB="0" distL="0" distR="0" wp14:anchorId="6A207BE8" wp14:editId="66009897">
            <wp:extent cx="3806024" cy="2160000"/>
            <wp:effectExtent l="0" t="0" r="4445" b="0"/>
            <wp:docPr id="235145832" name="Picture 11" descr="A diagram of a spiral 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45832" name="Picture 11" descr="A diagram of a spiral shape&#10;&#10;Description automatically generated with medium confidence"/>
                    <pic:cNvPicPr/>
                  </pic:nvPicPr>
                  <pic:blipFill>
                    <a:blip r:embed="rId13" cstate="hqprint">
                      <a:extLst>
                        <a:ext uri="{28A0092B-C50C-407E-A947-70E740481C1C}">
                          <a14:useLocalDpi xmlns:a14="http://schemas.microsoft.com/office/drawing/2010/main" val="0"/>
                        </a:ext>
                      </a:extLst>
                    </a:blip>
                    <a:stretch>
                      <a:fillRect/>
                    </a:stretch>
                  </pic:blipFill>
                  <pic:spPr>
                    <a:xfrm>
                      <a:off x="0" y="0"/>
                      <a:ext cx="3806024" cy="2160000"/>
                    </a:xfrm>
                    <a:prstGeom prst="rect">
                      <a:avLst/>
                    </a:prstGeom>
                  </pic:spPr>
                </pic:pic>
              </a:graphicData>
            </a:graphic>
          </wp:inline>
        </w:drawing>
      </w:r>
    </w:p>
    <w:p w14:paraId="71F1B513" w14:textId="23D29438" w:rsidR="00E37601" w:rsidRPr="00F47D72" w:rsidRDefault="000F5BD2" w:rsidP="00EE2C17">
      <w:pPr>
        <w:pStyle w:val="FigureCaption"/>
      </w:pPr>
      <w:bookmarkStart w:id="4" w:name="_Ref157080574"/>
      <w:r w:rsidRPr="00F47D72">
        <w:t xml:space="preserve">Figure </w:t>
      </w:r>
      <w:r w:rsidRPr="00F47D72">
        <w:fldChar w:fldCharType="begin"/>
      </w:r>
      <w:r w:rsidRPr="00F47D72">
        <w:instrText xml:space="preserve"> SEQ Figure \* ARABIC </w:instrText>
      </w:r>
      <w:r w:rsidRPr="00F47D72">
        <w:fldChar w:fldCharType="separate"/>
      </w:r>
      <w:r w:rsidR="00B504ED">
        <w:rPr>
          <w:noProof/>
        </w:rPr>
        <w:t>5</w:t>
      </w:r>
      <w:r w:rsidRPr="00F47D72">
        <w:fldChar w:fldCharType="end"/>
      </w:r>
      <w:bookmarkEnd w:id="4"/>
      <w:r w:rsidRPr="00F47D72">
        <w:t>.</w:t>
      </w:r>
      <w:r w:rsidR="0015472C" w:rsidRPr="00F47D72">
        <w:t xml:space="preserve"> CAD renderings of baffles designs with varying pitch (inset) evaluated in this study. The pitch angles are 180°, 270°, 360°, 450°, and 540°, respectively</w:t>
      </w:r>
    </w:p>
    <w:p w14:paraId="616B3F53" w14:textId="47250305" w:rsidR="00ED01AD" w:rsidRPr="00F47D72" w:rsidRDefault="00ED01AD" w:rsidP="00ED01AD">
      <w:r w:rsidRPr="00F47D72">
        <w:t>Each baffle design underwent testing using the DEM model with 150 PTFE particles, averaging 3.18 mm in radius. The analysis tracked the net particle-particle and particle-wall contact areas and recorded the residence times within the charger.</w:t>
      </w:r>
    </w:p>
    <w:p w14:paraId="6A694DA8" w14:textId="77777777" w:rsidR="00ED01AD" w:rsidRDefault="00ED01AD" w:rsidP="00ED01AD"/>
    <w:p w14:paraId="70252678" w14:textId="77777777" w:rsidR="003A30E4" w:rsidRPr="00F47D72" w:rsidRDefault="003A30E4" w:rsidP="003A30E4">
      <w:pPr>
        <w:keepNext/>
        <w:jc w:val="center"/>
      </w:pPr>
      <w:r w:rsidRPr="00F47D72">
        <w:rPr>
          <w:noProof/>
        </w:rPr>
        <w:drawing>
          <wp:inline distT="0" distB="0" distL="0" distR="0" wp14:anchorId="60CB012B" wp14:editId="6E5AA309">
            <wp:extent cx="3802396" cy="2160000"/>
            <wp:effectExtent l="0" t="0" r="0" b="0"/>
            <wp:docPr id="1539338591" name="Picture 10" descr="A graph of different colored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38591" name="Picture 10" descr="A graph of different colored columns&#10;&#10;Description automatically generated with medium confidence"/>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3802396" cy="2160000"/>
                    </a:xfrm>
                    <a:prstGeom prst="rect">
                      <a:avLst/>
                    </a:prstGeom>
                  </pic:spPr>
                </pic:pic>
              </a:graphicData>
            </a:graphic>
          </wp:inline>
        </w:drawing>
      </w:r>
    </w:p>
    <w:p w14:paraId="61F8D092" w14:textId="7DC89993" w:rsidR="003A30E4" w:rsidRPr="00F47D72" w:rsidRDefault="003A30E4" w:rsidP="003A30E4">
      <w:pPr>
        <w:pStyle w:val="FigureCaption"/>
      </w:pPr>
      <w:bookmarkStart w:id="5" w:name="_Ref157080594"/>
      <w:r w:rsidRPr="00F47D72">
        <w:t xml:space="preserve">Figure </w:t>
      </w:r>
      <w:r w:rsidRPr="00F47D72">
        <w:fldChar w:fldCharType="begin"/>
      </w:r>
      <w:r w:rsidRPr="00F47D72">
        <w:instrText xml:space="preserve"> SEQ Figure \* ARABIC </w:instrText>
      </w:r>
      <w:r w:rsidRPr="00F47D72">
        <w:fldChar w:fldCharType="separate"/>
      </w:r>
      <w:r>
        <w:rPr>
          <w:noProof/>
        </w:rPr>
        <w:t>6</w:t>
      </w:r>
      <w:r w:rsidRPr="00F47D72">
        <w:fldChar w:fldCharType="end"/>
      </w:r>
      <w:bookmarkEnd w:id="5"/>
      <w:r w:rsidRPr="00F47D72">
        <w:t>. Summary of the net particle-particle and particle-wall contact area accumulated per second for each charger design; error bars indicate 95% confidence intervals</w:t>
      </w:r>
      <w:r>
        <w:t xml:space="preserve"> (Rasera et al., 2022b)</w:t>
      </w:r>
    </w:p>
    <w:p w14:paraId="64D5258F" w14:textId="034F323A" w:rsidR="00ED01AD" w:rsidRPr="00F47D72" w:rsidRDefault="00ED01AD" w:rsidP="00ED01AD">
      <w:r w:rsidRPr="00F47D72">
        <w:t xml:space="preserve">The results, </w:t>
      </w:r>
      <w:r w:rsidR="00EE2C17" w:rsidRPr="00F47D72">
        <w:t>shown</w:t>
      </w:r>
      <w:r w:rsidRPr="00F47D72">
        <w:t xml:space="preserve"> in </w:t>
      </w:r>
      <w:r w:rsidR="00EE2C17" w:rsidRPr="00F47D72">
        <w:fldChar w:fldCharType="begin"/>
      </w:r>
      <w:r w:rsidR="00EE2C17" w:rsidRPr="00F47D72">
        <w:instrText xml:space="preserve"> REF _Ref157080594 \h </w:instrText>
      </w:r>
      <w:r w:rsidR="00EE2C17" w:rsidRPr="00F47D72">
        <w:fldChar w:fldCharType="separate"/>
      </w:r>
      <w:r w:rsidR="00B504ED" w:rsidRPr="00F47D72">
        <w:t xml:space="preserve">Figure </w:t>
      </w:r>
      <w:r w:rsidR="00B504ED">
        <w:rPr>
          <w:noProof/>
        </w:rPr>
        <w:t>6</w:t>
      </w:r>
      <w:r w:rsidR="00EE2C17" w:rsidRPr="00F47D72">
        <w:fldChar w:fldCharType="end"/>
      </w:r>
      <w:r w:rsidR="00EE2C17" w:rsidRPr="00F47D72">
        <w:t xml:space="preserve">, </w:t>
      </w:r>
      <w:r w:rsidRPr="00F47D72">
        <w:t xml:space="preserve">reveal that while there are significant differences in particle-particle contacts among the designs, the particle-wall contacts are less distinct. The 9 cm design notably exhibited a minimum in particle-wall contacts, and the 4.5 cm pitch design showed marginally higher efficiency compared to the 6 cm pitch. However, the differences between the 6 cm, 3.6 cm, and 3 cm pitches, as well as between the 4.5 cm, 3.6 cm, and 3 cm designs, were not significant. This suggests a balance point at the 6 cm design for particle-wall area. Moreover, </w:t>
      </w:r>
      <w:r w:rsidRPr="00F47D72">
        <w:lastRenderedPageBreak/>
        <w:t>the 4.5 cm design had a lower particle-wall to particle-particle contact area ratio and a 32% increase in average particle residence time compared to the 6 cm design.</w:t>
      </w:r>
    </w:p>
    <w:p w14:paraId="0AE94068" w14:textId="77777777" w:rsidR="000F5BD2" w:rsidRPr="00F47D72" w:rsidRDefault="000F5BD2" w:rsidP="00ED01AD"/>
    <w:p w14:paraId="4A3643B3" w14:textId="42C96A2D" w:rsidR="00354755" w:rsidRDefault="00ED01AD" w:rsidP="00ED01AD">
      <w:r w:rsidRPr="00F47D72">
        <w:t>In summary, the 6 cm pitch design emerged as the most balanced, maximising particle-wall contact area and the ratio of particle-wall to particle-particle contacts, while also enhancing throughput compared to the 4.5 cm design. Consequently, the 6 cm pitch design was selected as optimal for this study, and all further simulations and experimental investigations proceeded with this configuration.</w:t>
      </w:r>
    </w:p>
    <w:p w14:paraId="2C5B41F7" w14:textId="77777777" w:rsidR="009C6C81" w:rsidRPr="00F47D72" w:rsidRDefault="009C6C81" w:rsidP="009C6C81">
      <w:pPr>
        <w:pStyle w:val="Heading2"/>
      </w:pPr>
      <w:r w:rsidRPr="00F47D72">
        <w:t>Design Transferability</w:t>
      </w:r>
    </w:p>
    <w:p w14:paraId="43FE661D" w14:textId="6CFCFB34" w:rsidR="009C6C81" w:rsidRPr="00F47D72" w:rsidRDefault="009C6C81" w:rsidP="009C6C81">
      <w:r w:rsidRPr="00F47D72">
        <w:t xml:space="preserve">The models employed </w:t>
      </w:r>
      <w:r>
        <w:t>here</w:t>
      </w:r>
      <w:r w:rsidRPr="00F47D72">
        <w:t xml:space="preserve"> utilise large, ideal spheres, a methodological approach that, while effective, presents limitations in its applicability to real-world scenarios. </w:t>
      </w:r>
      <w:r w:rsidR="006237D1">
        <w:t>In our p</w:t>
      </w:r>
      <w:r w:rsidRPr="00F47D72">
        <w:t xml:space="preserve">revious studies </w:t>
      </w:r>
      <w:r w:rsidR="006237D1">
        <w:t>(</w:t>
      </w:r>
      <w:r w:rsidRPr="00F47D72">
        <w:t>Rasera et al.</w:t>
      </w:r>
      <w:r w:rsidR="006237D1">
        <w:t xml:space="preserve">, </w:t>
      </w:r>
      <w:r w:rsidRPr="00F47D72">
        <w:t xml:space="preserve">2022b, 2023), </w:t>
      </w:r>
      <w:r w:rsidR="006237D1">
        <w:t>we</w:t>
      </w:r>
      <w:r w:rsidRPr="00F47D72">
        <w:t xml:space="preserve"> established the robustness of our charging model for diverse sample sizes and compositions</w:t>
      </w:r>
      <w:r w:rsidR="00D80F5B">
        <w:t xml:space="preserve"> </w:t>
      </w:r>
      <w:r w:rsidRPr="00F47D72">
        <w:t>and have demonstrated the efficacy of optimised designs in laboratory settings for separating granular materials. This section</w:t>
      </w:r>
      <w:r>
        <w:t xml:space="preserve"> aims to support these previous findings</w:t>
      </w:r>
      <w:r w:rsidRPr="00F47D72">
        <w:t xml:space="preserve"> </w:t>
      </w:r>
      <w:r>
        <w:t xml:space="preserve">by </w:t>
      </w:r>
      <w:r w:rsidRPr="00F47D72">
        <w:t xml:space="preserve">extends </w:t>
      </w:r>
      <w:r>
        <w:t>our</w:t>
      </w:r>
      <w:r w:rsidRPr="00F47D72">
        <w:t xml:space="preserve"> analysis </w:t>
      </w:r>
      <w:r>
        <w:t>to</w:t>
      </w:r>
      <w:r w:rsidRPr="00F47D72">
        <w:t xml:space="preserve"> compar</w:t>
      </w:r>
      <w:r>
        <w:t xml:space="preserve">e </w:t>
      </w:r>
      <w:r w:rsidRPr="00F47D72">
        <w:t>the performance of a charger design, initially optimised for PTFE, with other single-material species and their mixtures. Although the charger may not represent the optimal design for all species, identifying consistent performance trends across different materials can validate the broader applicability of an optimised design. Moreover, a comprehensive understanding of the interaction dynamics within the tribocharger for varied particle types is instrumental in evaluating the design's versatility and efficiency in a range of processing environments.</w:t>
      </w:r>
    </w:p>
    <w:p w14:paraId="11A04805" w14:textId="77777777" w:rsidR="009C6C81" w:rsidRPr="00F47D72" w:rsidRDefault="009C6C81" w:rsidP="009C6C81"/>
    <w:p w14:paraId="4CF7A75B" w14:textId="5C6FD56C" w:rsidR="009C6C81" w:rsidRPr="00F47D72" w:rsidRDefault="009C6C81" w:rsidP="009C6C81">
      <w:r w:rsidRPr="00F47D72">
        <w:t xml:space="preserve">An investigation was conducted to compare trends in particle-wall and particle-particle contact areas across different material types. </w:t>
      </w:r>
      <w:r w:rsidRPr="00F47D72">
        <w:fldChar w:fldCharType="begin"/>
      </w:r>
      <w:r w:rsidRPr="00F47D72">
        <w:instrText xml:space="preserve"> REF _Ref157160247 \h </w:instrText>
      </w:r>
      <w:r w:rsidRPr="00F47D72">
        <w:fldChar w:fldCharType="separate"/>
      </w:r>
      <w:r w:rsidR="00B504ED" w:rsidRPr="00F47D72">
        <w:t xml:space="preserve">Figure </w:t>
      </w:r>
      <w:r w:rsidR="00B504ED">
        <w:rPr>
          <w:noProof/>
        </w:rPr>
        <w:t>7</w:t>
      </w:r>
      <w:r w:rsidRPr="00F47D72">
        <w:fldChar w:fldCharType="end"/>
      </w:r>
      <w:r w:rsidRPr="00F47D72">
        <w:t xml:space="preserve"> compares </w:t>
      </w:r>
      <w:r>
        <w:t>ratios of</w:t>
      </w:r>
      <w:r w:rsidRPr="00F47D72">
        <w:t xml:space="preserve"> net particle-wall </w:t>
      </w:r>
      <w:r>
        <w:t xml:space="preserve">to net particle-particle </w:t>
      </w:r>
      <w:r w:rsidRPr="00F47D72">
        <w:t>contact</w:t>
      </w:r>
      <w:r>
        <w:t xml:space="preserve"> areas</w:t>
      </w:r>
      <w:r w:rsidRPr="00F47D72">
        <w:t xml:space="preserve"> </w:t>
      </w:r>
      <w:r>
        <w:t>for</w:t>
      </w:r>
      <w:r w:rsidRPr="00F47D72">
        <w:t xml:space="preserve"> </w:t>
      </w:r>
      <w:r>
        <w:t xml:space="preserve">1.59 mm, </w:t>
      </w:r>
      <w:r w:rsidRPr="00F47D72">
        <w:t>3.18 mm</w:t>
      </w:r>
      <w:r>
        <w:t>, and 3.97 mm</w:t>
      </w:r>
      <w:r w:rsidRPr="00F47D72">
        <w:t xml:space="preserve"> PTFE</w:t>
      </w:r>
      <w:r>
        <w:t>, PA66 and PVC particles passed through a simulated tribocharger</w:t>
      </w:r>
      <w:r w:rsidRPr="00F47D72">
        <w:t>. The data from this figure suggests a consistent trend in the relative proportions of contact areas regardless of particle type. This indicates that while a tribocharger design may not be optimised for all materials, the trends in relative proportions of particle-particle and particle-wall contact are consistent. Such a trend implies that optimi</w:t>
      </w:r>
      <w:r>
        <w:t>s</w:t>
      </w:r>
      <w:r w:rsidRPr="00F47D72">
        <w:t>ing a design for one material should enhance the charging performance for other materials as well</w:t>
      </w:r>
      <w:r>
        <w:t>.</w:t>
      </w:r>
    </w:p>
    <w:p w14:paraId="53DC2918" w14:textId="77777777" w:rsidR="009C6C81" w:rsidRPr="00F47D72" w:rsidRDefault="009C6C81" w:rsidP="009C6C81"/>
    <w:p w14:paraId="40217228" w14:textId="77777777" w:rsidR="009C6C81" w:rsidRPr="00F47D72" w:rsidRDefault="009C6C81" w:rsidP="009C6C81">
      <w:pPr>
        <w:keepNext/>
        <w:jc w:val="center"/>
      </w:pPr>
      <w:r>
        <w:rPr>
          <w:noProof/>
        </w:rPr>
        <w:drawing>
          <wp:inline distT="0" distB="0" distL="0" distR="0" wp14:anchorId="254A3C0B" wp14:editId="70087C37">
            <wp:extent cx="3880000" cy="2160000"/>
            <wp:effectExtent l="0" t="0" r="0" b="0"/>
            <wp:docPr id="1316986932" name="Picture 8"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86932" name="Picture 8" descr="A graph of different colored bars&#10;&#10;Description automatically generated"/>
                    <pic:cNvPicPr/>
                  </pic:nvPicPr>
                  <pic:blipFill>
                    <a:blip r:embed="rId15" cstate="hqprint">
                      <a:extLst>
                        <a:ext uri="{28A0092B-C50C-407E-A947-70E740481C1C}">
                          <a14:useLocalDpi xmlns:a14="http://schemas.microsoft.com/office/drawing/2010/main" val="0"/>
                        </a:ext>
                      </a:extLst>
                    </a:blip>
                    <a:stretch>
                      <a:fillRect/>
                    </a:stretch>
                  </pic:blipFill>
                  <pic:spPr>
                    <a:xfrm>
                      <a:off x="0" y="0"/>
                      <a:ext cx="3880000" cy="2160000"/>
                    </a:xfrm>
                    <a:prstGeom prst="rect">
                      <a:avLst/>
                    </a:prstGeom>
                  </pic:spPr>
                </pic:pic>
              </a:graphicData>
            </a:graphic>
          </wp:inline>
        </w:drawing>
      </w:r>
    </w:p>
    <w:p w14:paraId="5E254CB5" w14:textId="00D48CE9" w:rsidR="009C6C81" w:rsidRPr="00F47D72" w:rsidRDefault="009C6C81" w:rsidP="009C6C81">
      <w:pPr>
        <w:pStyle w:val="FigureCaption"/>
      </w:pPr>
      <w:bookmarkStart w:id="6" w:name="_Ref157160247"/>
      <w:r w:rsidRPr="00F47D72">
        <w:t xml:space="preserve">Figure </w:t>
      </w:r>
      <w:r w:rsidRPr="00F47D72">
        <w:fldChar w:fldCharType="begin"/>
      </w:r>
      <w:r w:rsidRPr="00F47D72">
        <w:instrText xml:space="preserve"> SEQ Figure \* ARABIC </w:instrText>
      </w:r>
      <w:r w:rsidRPr="00F47D72">
        <w:fldChar w:fldCharType="separate"/>
      </w:r>
      <w:r w:rsidR="00B504ED">
        <w:rPr>
          <w:noProof/>
        </w:rPr>
        <w:t>7</w:t>
      </w:r>
      <w:r w:rsidRPr="00F47D72">
        <w:fldChar w:fldCharType="end"/>
      </w:r>
      <w:bookmarkEnd w:id="6"/>
      <w:r w:rsidRPr="00F47D72">
        <w:t xml:space="preserve">. A comparison of the net </w:t>
      </w:r>
      <w:r>
        <w:t xml:space="preserve">particle-wall (PW) to net particle-particle (PP) contact areas </w:t>
      </w:r>
      <w:r w:rsidRPr="00F47D72">
        <w:t>for</w:t>
      </w:r>
      <w:r>
        <w:t xml:space="preserve"> PA66, PTFE, and PVC </w:t>
      </w:r>
      <w:r w:rsidRPr="00F47D72">
        <w:t>particles; error bars indicate 95% confidence intervals</w:t>
      </w:r>
    </w:p>
    <w:p w14:paraId="57FCB656" w14:textId="377C2D32" w:rsidR="009C6C81" w:rsidRDefault="009C6C81" w:rsidP="009C6C81">
      <w:r w:rsidRPr="00F47D72">
        <w:t>Subsequently,</w:t>
      </w:r>
      <w:r>
        <w:t xml:space="preserve"> two mixed species, mixed size tests were conducted. In both cases, equal numbers of 1.59 mm and 3.97 mm particles were used. One sample was comprised of large PTFE and small PA66 particles, and the other of small PTFE and large PA66 particles. Each mixture was passed through a simulated tribocharger.</w:t>
      </w:r>
      <w:r w:rsidRPr="00F47D72">
        <w:t xml:space="preserve"> </w:t>
      </w:r>
      <w:r>
        <w:fldChar w:fldCharType="begin"/>
      </w:r>
      <w:r>
        <w:instrText xml:space="preserve"> REF _Ref157161821 \h </w:instrText>
      </w:r>
      <w:r>
        <w:fldChar w:fldCharType="separate"/>
      </w:r>
      <w:r w:rsidR="00B504ED">
        <w:t xml:space="preserve">Figure </w:t>
      </w:r>
      <w:r w:rsidR="00B504ED">
        <w:rPr>
          <w:noProof/>
        </w:rPr>
        <w:t>8</w:t>
      </w:r>
      <w:r>
        <w:fldChar w:fldCharType="end"/>
      </w:r>
      <w:r>
        <w:t xml:space="preserve"> </w:t>
      </w:r>
      <w:r w:rsidRPr="00F47D72">
        <w:t>presents the</w:t>
      </w:r>
      <w:r>
        <w:t xml:space="preserve"> ratio of</w:t>
      </w:r>
      <w:r w:rsidRPr="00F47D72">
        <w:t xml:space="preserve"> net particle-particle and particle-wall contact areas for each </w:t>
      </w:r>
      <w:r>
        <w:t>material at each size</w:t>
      </w:r>
      <w:r w:rsidRPr="00F47D72">
        <w:t xml:space="preserve">. </w:t>
      </w:r>
      <w:r>
        <w:t>Here</w:t>
      </w:r>
      <w:r w:rsidRPr="00F47D72">
        <w:t>, the particle-wall contact area was higher than the net particle-particle contact area for both particle types</w:t>
      </w:r>
      <w:r>
        <w:t xml:space="preserve">. The resulting ratios for each material and size are similar and consistent: larger particles have higher ratios of particle-wall to particle-particle contacts, and PTFE has a greater contact </w:t>
      </w:r>
      <w:r w:rsidR="000E7D60">
        <w:t>ratio</w:t>
      </w:r>
      <w:r>
        <w:t xml:space="preserve"> to PA66.</w:t>
      </w:r>
    </w:p>
    <w:p w14:paraId="14EBE161" w14:textId="77777777" w:rsidR="009C6C81" w:rsidRDefault="009C6C81" w:rsidP="009C6C81">
      <w:pPr>
        <w:jc w:val="center"/>
      </w:pPr>
      <w:r>
        <w:rPr>
          <w:noProof/>
        </w:rPr>
        <w:lastRenderedPageBreak/>
        <w:drawing>
          <wp:inline distT="0" distB="0" distL="0" distR="0" wp14:anchorId="6F6D2796" wp14:editId="07CBB594">
            <wp:extent cx="3610000" cy="2160000"/>
            <wp:effectExtent l="0" t="0" r="0" b="0"/>
            <wp:docPr id="350877133" name="Picture 9" descr="A graph of a number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877133" name="Picture 9" descr="A graph of a number of different colored bars&#10;&#10;Description automatically generated with medium confidence"/>
                    <pic:cNvPicPr/>
                  </pic:nvPicPr>
                  <pic:blipFill>
                    <a:blip r:embed="rId16" cstate="hqprint">
                      <a:extLst>
                        <a:ext uri="{28A0092B-C50C-407E-A947-70E740481C1C}">
                          <a14:useLocalDpi xmlns:a14="http://schemas.microsoft.com/office/drawing/2010/main" val="0"/>
                        </a:ext>
                      </a:extLst>
                    </a:blip>
                    <a:stretch>
                      <a:fillRect/>
                    </a:stretch>
                  </pic:blipFill>
                  <pic:spPr>
                    <a:xfrm>
                      <a:off x="0" y="0"/>
                      <a:ext cx="3610000" cy="2160000"/>
                    </a:xfrm>
                    <a:prstGeom prst="rect">
                      <a:avLst/>
                    </a:prstGeom>
                  </pic:spPr>
                </pic:pic>
              </a:graphicData>
            </a:graphic>
          </wp:inline>
        </w:drawing>
      </w:r>
    </w:p>
    <w:p w14:paraId="3831FB70" w14:textId="051EA9A9" w:rsidR="009C6C81" w:rsidRDefault="009C6C81" w:rsidP="009C6C81">
      <w:pPr>
        <w:pStyle w:val="FigureCaption"/>
      </w:pPr>
      <w:bookmarkStart w:id="7" w:name="_Ref157161821"/>
      <w:r>
        <w:t xml:space="preserve">Figure </w:t>
      </w:r>
      <w:r>
        <w:fldChar w:fldCharType="begin"/>
      </w:r>
      <w:r>
        <w:instrText xml:space="preserve"> SEQ Figure \* ARABIC </w:instrText>
      </w:r>
      <w:r>
        <w:fldChar w:fldCharType="separate"/>
      </w:r>
      <w:r w:rsidR="00B504ED">
        <w:rPr>
          <w:noProof/>
        </w:rPr>
        <w:t>8</w:t>
      </w:r>
      <w:r>
        <w:fldChar w:fldCharType="end"/>
      </w:r>
      <w:bookmarkEnd w:id="7"/>
      <w:r>
        <w:t>. A comparison of the particle-wall and particle-particle contact areas experienced by a binary mixture of PTFE and PA66</w:t>
      </w:r>
    </w:p>
    <w:p w14:paraId="1D2EED88" w14:textId="036A5079" w:rsidR="009C6C81" w:rsidRPr="00F47D72" w:rsidRDefault="002A2DB3" w:rsidP="00ED01AD">
      <w:r w:rsidRPr="002A2DB3">
        <w:t xml:space="preserve">The findings from this analysis </w:t>
      </w:r>
      <w:r>
        <w:t>support</w:t>
      </w:r>
      <w:r w:rsidRPr="002A2DB3">
        <w:t xml:space="preserve"> the robustness and flexibility of </w:t>
      </w:r>
      <w:r>
        <w:t>our</w:t>
      </w:r>
      <w:r w:rsidRPr="002A2DB3">
        <w:t xml:space="preserve"> tribocharger </w:t>
      </w:r>
      <w:r>
        <w:t>optimisation approach</w:t>
      </w:r>
      <w:r w:rsidRPr="002A2DB3">
        <w:t xml:space="preserve">, revealing consistent patterns in contact area ratios across a range of materials and particle sizes. Such consistency is crucial, particularly as it suggests the </w:t>
      </w:r>
      <w:r>
        <w:t>method’s</w:t>
      </w:r>
      <w:r w:rsidRPr="002A2DB3">
        <w:t xml:space="preserve"> capacity for</w:t>
      </w:r>
      <w:r>
        <w:t xml:space="preserve"> designing</w:t>
      </w:r>
      <w:r w:rsidRPr="002A2DB3">
        <w:t xml:space="preserve"> effective particle charging is not limited to a specific material type. This is particularly valuable in contexts where regular or easy access to the target environment is constrained</w:t>
      </w:r>
      <w:r w:rsidR="005576C5">
        <w:t>, such as the lunar surface.</w:t>
      </w:r>
    </w:p>
    <w:p w14:paraId="47E19204" w14:textId="6D399220" w:rsidR="0044549E" w:rsidRPr="00F47D72" w:rsidRDefault="0044549E" w:rsidP="00C72B86">
      <w:pPr>
        <w:pStyle w:val="Heading1"/>
      </w:pPr>
      <w:r w:rsidRPr="00F47D72">
        <w:t>Lunar</w:t>
      </w:r>
      <w:r w:rsidR="00B1288A" w:rsidRPr="00F47D72">
        <w:t xml:space="preserve"> case study</w:t>
      </w:r>
    </w:p>
    <w:p w14:paraId="6B4033FD" w14:textId="64033B06" w:rsidR="00FF1423" w:rsidRPr="00F47D72" w:rsidRDefault="00FF1423" w:rsidP="00FF1423">
      <w:r w:rsidRPr="00F47D72">
        <w:t xml:space="preserve">As we have demonstrated the efficacy of the </w:t>
      </w:r>
      <w:r w:rsidR="00ED2A7E" w:rsidRPr="00F47D72">
        <w:t>optimis</w:t>
      </w:r>
      <w:r w:rsidRPr="00F47D72">
        <w:t xml:space="preserve">ed tribocharger design in terrestrial settings, it is essential to consider </w:t>
      </w:r>
      <w:r w:rsidR="00E65DD5">
        <w:t>the</w:t>
      </w:r>
      <w:r w:rsidRPr="00F47D72">
        <w:t xml:space="preserve"> applicability </w:t>
      </w:r>
      <w:r w:rsidR="00E65DD5">
        <w:t xml:space="preserve">of the optimisation method </w:t>
      </w:r>
      <w:r w:rsidRPr="00F47D72">
        <w:t xml:space="preserve">for lunar environments. The unique conditions of the Moon, including its lower gravity and lack of atmosphere, present distinct challenges and opportunities for mineral beneficiation. In this section, we extend </w:t>
      </w:r>
      <w:proofErr w:type="gramStart"/>
      <w:r w:rsidRPr="00F47D72">
        <w:t xml:space="preserve">the </w:t>
      </w:r>
      <w:r w:rsidR="00E65DD5">
        <w:t>our</w:t>
      </w:r>
      <w:proofErr w:type="gramEnd"/>
      <w:r w:rsidR="00E65DD5">
        <w:t xml:space="preserve"> approach </w:t>
      </w:r>
      <w:r w:rsidRPr="00F47D72">
        <w:t>to explore the feasibility and adaptations required for the tribocharger in lunar applications</w:t>
      </w:r>
      <w:r w:rsidR="00E65DD5">
        <w:t>.</w:t>
      </w:r>
    </w:p>
    <w:p w14:paraId="3D9E020D" w14:textId="77777777" w:rsidR="00B1288A" w:rsidRPr="00F47D72" w:rsidRDefault="00B1288A" w:rsidP="00B1288A"/>
    <w:p w14:paraId="3403A539" w14:textId="573A9F9D" w:rsidR="00B1288A" w:rsidRPr="00F47D72" w:rsidRDefault="00B1288A" w:rsidP="00B1288A">
      <w:r w:rsidRPr="00F47D72">
        <w:t xml:space="preserve">Using the approach described </w:t>
      </w:r>
      <w:r w:rsidR="00C31D21" w:rsidRPr="00F47D72">
        <w:t>above</w:t>
      </w:r>
      <w:r w:rsidRPr="00F47D72">
        <w:t xml:space="preserve">, the baseline design and DEM process parameters were modified to consider a tribocharger on the lunar surface. The lunar gravity, </w:t>
      </w:r>
      <w:r w:rsidR="00C31D21" w:rsidRPr="00F47D72">
        <w:t>1/6</w:t>
      </w:r>
      <w:r w:rsidR="00C31D21" w:rsidRPr="00F47D72">
        <w:rPr>
          <w:vertAlign w:val="superscript"/>
        </w:rPr>
        <w:t>th</w:t>
      </w:r>
      <w:r w:rsidRPr="00F47D72">
        <w:t xml:space="preserve"> that of Earth</w:t>
      </w:r>
      <w:r w:rsidR="00C31D21" w:rsidRPr="00F47D72">
        <w:t>’s</w:t>
      </w:r>
      <w:r w:rsidRPr="00F47D72">
        <w:t>, was used. Several modifications were made to the initial design to accommodate the lower gravity. First, the baffle length was increased, and the flow velocity reduced to accommodate bouncing and provide more opportunities for particle-wall interactions. The inlet was placed further away from the top of the baffle to prevent erroneous and problematic interactions between bouncing particles and newly generated particles. A comparison of the designs employed are found in</w:t>
      </w:r>
      <w:r w:rsidR="00605CF8" w:rsidRPr="00F47D72">
        <w:t xml:space="preserve"> </w:t>
      </w:r>
      <w:r w:rsidR="00605CF8" w:rsidRPr="00F47D72">
        <w:fldChar w:fldCharType="begin"/>
      </w:r>
      <w:r w:rsidR="00605CF8" w:rsidRPr="00F47D72">
        <w:instrText xml:space="preserve"> REF _Ref157079059 \h </w:instrText>
      </w:r>
      <w:r w:rsidR="00605CF8" w:rsidRPr="00F47D72">
        <w:fldChar w:fldCharType="separate"/>
      </w:r>
      <w:r w:rsidR="00B504ED" w:rsidRPr="00F47D72">
        <w:t xml:space="preserve">Figure </w:t>
      </w:r>
      <w:r w:rsidR="00B504ED">
        <w:rPr>
          <w:noProof/>
        </w:rPr>
        <w:t>9</w:t>
      </w:r>
      <w:r w:rsidR="00605CF8" w:rsidRPr="00F47D72">
        <w:fldChar w:fldCharType="end"/>
      </w:r>
      <w:r w:rsidRPr="00F47D72">
        <w:t>.</w:t>
      </w:r>
    </w:p>
    <w:p w14:paraId="1E7454BF" w14:textId="77777777" w:rsidR="00B1288A" w:rsidRPr="00F47D72" w:rsidRDefault="00B1288A" w:rsidP="00B1288A"/>
    <w:p w14:paraId="79DE7E1C" w14:textId="77777777" w:rsidR="00777EF5" w:rsidRPr="00F47D72" w:rsidRDefault="00777EF5" w:rsidP="00214268">
      <w:pPr>
        <w:keepNext/>
        <w:jc w:val="center"/>
      </w:pPr>
      <w:r w:rsidRPr="00F47D72">
        <w:rPr>
          <w:noProof/>
        </w:rPr>
        <w:drawing>
          <wp:inline distT="0" distB="0" distL="0" distR="0" wp14:anchorId="7313C0A0" wp14:editId="7EA6BCCC">
            <wp:extent cx="4509838" cy="2160000"/>
            <wp:effectExtent l="0" t="0" r="0" b="0"/>
            <wp:docPr id="1144909861" name="Picture 3"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09861" name="Picture 3" descr="A diagram of a graph&#10;&#10;Description automatically generated with medium confidence"/>
                    <pic:cNvPicPr/>
                  </pic:nvPicPr>
                  <pic:blipFill>
                    <a:blip r:embed="rId17" cstate="hqprint">
                      <a:extLst>
                        <a:ext uri="{28A0092B-C50C-407E-A947-70E740481C1C}">
                          <a14:useLocalDpi xmlns:a14="http://schemas.microsoft.com/office/drawing/2010/main" val="0"/>
                        </a:ext>
                      </a:extLst>
                    </a:blip>
                    <a:stretch>
                      <a:fillRect/>
                    </a:stretch>
                  </pic:blipFill>
                  <pic:spPr>
                    <a:xfrm>
                      <a:off x="0" y="0"/>
                      <a:ext cx="4509838" cy="2160000"/>
                    </a:xfrm>
                    <a:prstGeom prst="rect">
                      <a:avLst/>
                    </a:prstGeom>
                  </pic:spPr>
                </pic:pic>
              </a:graphicData>
            </a:graphic>
          </wp:inline>
        </w:drawing>
      </w:r>
    </w:p>
    <w:p w14:paraId="14DBB542" w14:textId="46D4473D" w:rsidR="00B1288A" w:rsidRPr="00F47D72" w:rsidRDefault="00777EF5" w:rsidP="00777EF5">
      <w:pPr>
        <w:pStyle w:val="FigureCaption"/>
      </w:pPr>
      <w:bookmarkStart w:id="8" w:name="_Ref157079059"/>
      <w:r w:rsidRPr="00F47D72">
        <w:t xml:space="preserve">Figure </w:t>
      </w:r>
      <w:r w:rsidRPr="00F47D72">
        <w:fldChar w:fldCharType="begin"/>
      </w:r>
      <w:r w:rsidRPr="00F47D72">
        <w:instrText xml:space="preserve"> SEQ Figure \* ARABIC </w:instrText>
      </w:r>
      <w:r w:rsidRPr="00F47D72">
        <w:fldChar w:fldCharType="separate"/>
      </w:r>
      <w:r w:rsidR="00B504ED">
        <w:rPr>
          <w:noProof/>
        </w:rPr>
        <w:t>9</w:t>
      </w:r>
      <w:r w:rsidRPr="00F47D72">
        <w:fldChar w:fldCharType="end"/>
      </w:r>
      <w:bookmarkEnd w:id="8"/>
      <w:r w:rsidR="00214268" w:rsidRPr="00F47D72">
        <w:t>. CAD renderings of baffle designs with varying pitch (inset) evaluates; the pitch angles are 180°, 270°, 360°, 450°, 540°, 630°, and 720°, respectively</w:t>
      </w:r>
    </w:p>
    <w:p w14:paraId="1E7CA21D" w14:textId="4C621AFD" w:rsidR="00214268" w:rsidRPr="00F47D72" w:rsidRDefault="00333D28" w:rsidP="00333D28">
      <w:r w:rsidRPr="00F47D72">
        <w:lastRenderedPageBreak/>
        <w:t>The simulation outputs using these parameters are found in</w:t>
      </w:r>
      <w:r w:rsidR="00605CF8" w:rsidRPr="00F47D72">
        <w:t xml:space="preserve"> </w:t>
      </w:r>
      <w:r w:rsidR="00605CF8" w:rsidRPr="00F47D72">
        <w:fldChar w:fldCharType="begin"/>
      </w:r>
      <w:r w:rsidR="00605CF8" w:rsidRPr="00F47D72">
        <w:instrText xml:space="preserve"> REF _Ref157079075 \h </w:instrText>
      </w:r>
      <w:r w:rsidR="00605CF8" w:rsidRPr="00F47D72">
        <w:fldChar w:fldCharType="separate"/>
      </w:r>
      <w:r w:rsidR="00B504ED" w:rsidRPr="00F47D72">
        <w:t xml:space="preserve">Figure </w:t>
      </w:r>
      <w:r w:rsidR="00B504ED">
        <w:rPr>
          <w:noProof/>
        </w:rPr>
        <w:t>10</w:t>
      </w:r>
      <w:r w:rsidR="00605CF8" w:rsidRPr="00F47D72">
        <w:fldChar w:fldCharType="end"/>
      </w:r>
      <w:r w:rsidRPr="00F47D72">
        <w:t>, with error bars indicating 95% confidence intervals. Note that both the particle-wall and particle-particle contact areas are appreciably lower than for the terrestrial case. The 450</w:t>
      </w:r>
      <w:r w:rsidR="007E713E" w:rsidRPr="00F47D72">
        <w:t>°</w:t>
      </w:r>
      <w:r w:rsidRPr="00F47D72">
        <w:t xml:space="preserve"> design offers optimal particle-wall contacts as there are not statistically significant differences with the 540</w:t>
      </w:r>
      <w:r w:rsidR="007E713E" w:rsidRPr="00F47D72">
        <w:t>°</w:t>
      </w:r>
      <w:r w:rsidRPr="00F47D72">
        <w:t>, 630</w:t>
      </w:r>
      <w:r w:rsidR="007E713E" w:rsidRPr="00F47D72">
        <w:t>°</w:t>
      </w:r>
      <w:r w:rsidRPr="00F47D72">
        <w:t>, and 720</w:t>
      </w:r>
      <w:r w:rsidR="007E713E" w:rsidRPr="00F47D72">
        <w:t>°</w:t>
      </w:r>
      <w:r w:rsidRPr="00F47D72">
        <w:t xml:space="preserve"> designs. Furthermore, the particle-particle contact area is significantly lower for the 450</w:t>
      </w:r>
      <w:r w:rsidR="007E713E" w:rsidRPr="00F47D72">
        <w:t>°</w:t>
      </w:r>
      <w:r w:rsidRPr="00F47D72">
        <w:t xml:space="preserve"> design compared to all the other designs considered.</w:t>
      </w:r>
    </w:p>
    <w:p w14:paraId="01133088" w14:textId="77777777" w:rsidR="00333D28" w:rsidRPr="00F47D72" w:rsidRDefault="00333D28" w:rsidP="00333D28"/>
    <w:p w14:paraId="4A7F6A07" w14:textId="77777777" w:rsidR="00333D28" w:rsidRPr="00F47D72" w:rsidRDefault="00333D28" w:rsidP="00023714">
      <w:pPr>
        <w:keepNext/>
        <w:jc w:val="center"/>
      </w:pPr>
      <w:r w:rsidRPr="00F47D72">
        <w:rPr>
          <w:noProof/>
        </w:rPr>
        <w:drawing>
          <wp:inline distT="0" distB="0" distL="0" distR="0" wp14:anchorId="6AE5F682" wp14:editId="0DD23D08">
            <wp:extent cx="3680000" cy="2160000"/>
            <wp:effectExtent l="0" t="0" r="3175" b="0"/>
            <wp:docPr id="1438381811" name="Picture 4" descr="A graph of different siz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81811" name="Picture 4" descr="A graph of different sizes and numbers&#10;&#10;Description automatically generated"/>
                    <pic:cNvPicPr/>
                  </pic:nvPicPr>
                  <pic:blipFill>
                    <a:blip r:embed="rId18" cstate="hqprint">
                      <a:extLst>
                        <a:ext uri="{28A0092B-C50C-407E-A947-70E740481C1C}">
                          <a14:useLocalDpi xmlns:a14="http://schemas.microsoft.com/office/drawing/2010/main" val="0"/>
                        </a:ext>
                      </a:extLst>
                    </a:blip>
                    <a:stretch>
                      <a:fillRect/>
                    </a:stretch>
                  </pic:blipFill>
                  <pic:spPr>
                    <a:xfrm>
                      <a:off x="0" y="0"/>
                      <a:ext cx="3680000" cy="2160000"/>
                    </a:xfrm>
                    <a:prstGeom prst="rect">
                      <a:avLst/>
                    </a:prstGeom>
                  </pic:spPr>
                </pic:pic>
              </a:graphicData>
            </a:graphic>
          </wp:inline>
        </w:drawing>
      </w:r>
    </w:p>
    <w:p w14:paraId="324F7C67" w14:textId="7DF16765" w:rsidR="00333D28" w:rsidRPr="00F47D72" w:rsidRDefault="00333D28" w:rsidP="00333D28">
      <w:pPr>
        <w:pStyle w:val="FigureCaption"/>
      </w:pPr>
      <w:bookmarkStart w:id="9" w:name="_Ref157079075"/>
      <w:r w:rsidRPr="00F47D72">
        <w:t xml:space="preserve">Figure </w:t>
      </w:r>
      <w:r w:rsidRPr="00F47D72">
        <w:fldChar w:fldCharType="begin"/>
      </w:r>
      <w:r w:rsidRPr="00F47D72">
        <w:instrText xml:space="preserve"> SEQ Figure \* ARABIC </w:instrText>
      </w:r>
      <w:r w:rsidRPr="00F47D72">
        <w:fldChar w:fldCharType="separate"/>
      </w:r>
      <w:r w:rsidR="00B504ED">
        <w:rPr>
          <w:noProof/>
        </w:rPr>
        <w:t>10</w:t>
      </w:r>
      <w:r w:rsidRPr="00F47D72">
        <w:fldChar w:fldCharType="end"/>
      </w:r>
      <w:bookmarkEnd w:id="9"/>
      <w:r w:rsidRPr="00F47D72">
        <w:t xml:space="preserve">. </w:t>
      </w:r>
      <w:r w:rsidR="00497094" w:rsidRPr="00F47D72">
        <w:t>Summary of the net particle-particle and particle-wall contact area accumulated per second for each charger design</w:t>
      </w:r>
    </w:p>
    <w:p w14:paraId="251B6E0D" w14:textId="4FD8D941" w:rsidR="00023714" w:rsidRDefault="00023714" w:rsidP="00497094">
      <w:r w:rsidRPr="00F47D72">
        <w:t>The proportion of particles that experienced particle-particle interactions were compared for each design (</w:t>
      </w:r>
      <w:r w:rsidR="00605CF8" w:rsidRPr="00F47D72">
        <w:fldChar w:fldCharType="begin"/>
      </w:r>
      <w:r w:rsidR="00605CF8" w:rsidRPr="00F47D72">
        <w:instrText xml:space="preserve"> REF _Ref157079094 \h </w:instrText>
      </w:r>
      <w:r w:rsidR="00605CF8" w:rsidRPr="00F47D72">
        <w:fldChar w:fldCharType="separate"/>
      </w:r>
      <w:r w:rsidR="00B504ED" w:rsidRPr="00F47D72">
        <w:t xml:space="preserve">Figure </w:t>
      </w:r>
      <w:r w:rsidR="00B504ED">
        <w:rPr>
          <w:noProof/>
        </w:rPr>
        <w:t>11</w:t>
      </w:r>
      <w:r w:rsidR="00605CF8" w:rsidRPr="00F47D72">
        <w:fldChar w:fldCharType="end"/>
      </w:r>
      <w:r w:rsidRPr="00F47D72">
        <w:t>). This comparison was made to ensure that the low particle-particle area accumulation rate of the 450</w:t>
      </w:r>
      <w:r w:rsidR="007E713E" w:rsidRPr="00F47D72">
        <w:t>°</w:t>
      </w:r>
      <w:r w:rsidRPr="00F47D72">
        <w:t xml:space="preserve"> design was not due to a large proportion of particles not interacting with other particles. Furthermore, </w:t>
      </w:r>
      <w:r w:rsidR="006365F3" w:rsidRPr="00F47D72">
        <w:fldChar w:fldCharType="begin"/>
      </w:r>
      <w:r w:rsidR="006365F3" w:rsidRPr="00F47D72">
        <w:instrText xml:space="preserve"> REF _Ref157079114 \h </w:instrText>
      </w:r>
      <w:r w:rsidR="006365F3" w:rsidRPr="00F47D72">
        <w:fldChar w:fldCharType="separate"/>
      </w:r>
      <w:r w:rsidR="00B504ED" w:rsidRPr="00F47D72">
        <w:t xml:space="preserve">Figure </w:t>
      </w:r>
      <w:r w:rsidR="00B504ED">
        <w:rPr>
          <w:noProof/>
        </w:rPr>
        <w:t>12</w:t>
      </w:r>
      <w:r w:rsidR="006365F3" w:rsidRPr="00F47D72">
        <w:fldChar w:fldCharType="end"/>
      </w:r>
      <w:r w:rsidR="006365F3" w:rsidRPr="00F47D72">
        <w:t xml:space="preserve"> </w:t>
      </w:r>
      <w:r w:rsidRPr="00F47D72">
        <w:t xml:space="preserve">presents the accumulation of particle-particle and particle-wall contact area, excluding any of the particles with </w:t>
      </w:r>
      <w:r w:rsidR="00A705D9" w:rsidRPr="00F47D72">
        <w:t>zero</w:t>
      </w:r>
      <w:r w:rsidRPr="00F47D72">
        <w:t xml:space="preserve"> net particle-particle contact area. These analyses both suggest that the 450</w:t>
      </w:r>
      <w:r w:rsidR="007E713E" w:rsidRPr="00F47D72">
        <w:t>°</w:t>
      </w:r>
      <w:r w:rsidRPr="00F47D72">
        <w:t xml:space="preserve"> design is optimal, and not an artefact of the flow characteristics.</w:t>
      </w:r>
    </w:p>
    <w:p w14:paraId="495CF033" w14:textId="77777777" w:rsidR="003A30E4" w:rsidRPr="00F47D72" w:rsidRDefault="003A30E4" w:rsidP="00497094"/>
    <w:p w14:paraId="5001D161" w14:textId="77777777" w:rsidR="00023714" w:rsidRPr="00F47D72" w:rsidRDefault="00023714" w:rsidP="007E713E">
      <w:pPr>
        <w:keepNext/>
        <w:jc w:val="center"/>
      </w:pPr>
      <w:r w:rsidRPr="00F47D72">
        <w:rPr>
          <w:noProof/>
        </w:rPr>
        <w:drawing>
          <wp:inline distT="0" distB="0" distL="0" distR="0" wp14:anchorId="3968F7AC" wp14:editId="5C8670D7">
            <wp:extent cx="3620000" cy="2160000"/>
            <wp:effectExtent l="0" t="0" r="0" b="0"/>
            <wp:docPr id="2065766546" name="Picture 6" descr="A graph of a graph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66546" name="Picture 6" descr="A graph of a graph with text&#10;&#10;Description automatically generated with medium confidence"/>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3620000" cy="2160000"/>
                    </a:xfrm>
                    <a:prstGeom prst="rect">
                      <a:avLst/>
                    </a:prstGeom>
                  </pic:spPr>
                </pic:pic>
              </a:graphicData>
            </a:graphic>
          </wp:inline>
        </w:drawing>
      </w:r>
    </w:p>
    <w:p w14:paraId="4FF75528" w14:textId="77FD9ED0" w:rsidR="00023714" w:rsidRPr="00F47D72" w:rsidRDefault="00023714" w:rsidP="007E713E">
      <w:pPr>
        <w:pStyle w:val="FigureCaption"/>
      </w:pPr>
      <w:bookmarkStart w:id="10" w:name="_Ref157079094"/>
      <w:r w:rsidRPr="00F47D72">
        <w:t xml:space="preserve">Figure </w:t>
      </w:r>
      <w:r w:rsidRPr="00F47D72">
        <w:fldChar w:fldCharType="begin"/>
      </w:r>
      <w:r w:rsidRPr="00F47D72">
        <w:instrText xml:space="preserve"> SEQ Figure \* ARABIC </w:instrText>
      </w:r>
      <w:r w:rsidRPr="00F47D72">
        <w:fldChar w:fldCharType="separate"/>
      </w:r>
      <w:r w:rsidR="00B504ED">
        <w:rPr>
          <w:noProof/>
        </w:rPr>
        <w:t>11</w:t>
      </w:r>
      <w:r w:rsidRPr="00F47D72">
        <w:fldChar w:fldCharType="end"/>
      </w:r>
      <w:bookmarkEnd w:id="10"/>
      <w:r w:rsidRPr="00F47D72">
        <w:t>.</w:t>
      </w:r>
      <w:r w:rsidR="007E713E" w:rsidRPr="00F47D72">
        <w:t xml:space="preserve"> Proportion of the total particles in each sample that experienced particle-particle interactions whilst passing through the tribocharger</w:t>
      </w:r>
    </w:p>
    <w:p w14:paraId="61E00D05" w14:textId="77777777" w:rsidR="003A30E4" w:rsidRPr="00F47D72" w:rsidRDefault="003A30E4" w:rsidP="003A30E4">
      <w:r>
        <w:t>This study highlights the adaptability and flexibility of our optimisation methodology to extraterrestrial environments. By modifying the baseline design to account for lunar conditions, we've demonstrated that the principles guiding our optimisation approach remain effective, even under the Moon's environmental constraints.</w:t>
      </w:r>
    </w:p>
    <w:p w14:paraId="4F027C52" w14:textId="77777777" w:rsidR="00023714" w:rsidRPr="00F47D72" w:rsidRDefault="00023714" w:rsidP="00497094"/>
    <w:p w14:paraId="69ECC70D" w14:textId="77777777" w:rsidR="007E713E" w:rsidRPr="00F47D72" w:rsidRDefault="00023714" w:rsidP="007E713E">
      <w:pPr>
        <w:keepNext/>
        <w:jc w:val="center"/>
      </w:pPr>
      <w:r w:rsidRPr="00F47D72">
        <w:rPr>
          <w:noProof/>
        </w:rPr>
        <w:lastRenderedPageBreak/>
        <w:drawing>
          <wp:inline distT="0" distB="0" distL="0" distR="0" wp14:anchorId="50499DC0" wp14:editId="452D0BFD">
            <wp:extent cx="3384935" cy="2160000"/>
            <wp:effectExtent l="0" t="0" r="0" b="0"/>
            <wp:docPr id="1657221228" name="Picture 5" descr="A graph of different siz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21228" name="Picture 5" descr="A graph of different sizes and numbers&#10;&#10;Description automatically generated"/>
                    <pic:cNvPicPr/>
                  </pic:nvPicPr>
                  <pic:blipFill>
                    <a:blip r:embed="rId20" cstate="hqprint">
                      <a:extLst>
                        <a:ext uri="{28A0092B-C50C-407E-A947-70E740481C1C}">
                          <a14:useLocalDpi xmlns:a14="http://schemas.microsoft.com/office/drawing/2010/main" val="0"/>
                        </a:ext>
                      </a:extLst>
                    </a:blip>
                    <a:stretch>
                      <a:fillRect/>
                    </a:stretch>
                  </pic:blipFill>
                  <pic:spPr>
                    <a:xfrm>
                      <a:off x="0" y="0"/>
                      <a:ext cx="3384935" cy="2160000"/>
                    </a:xfrm>
                    <a:prstGeom prst="rect">
                      <a:avLst/>
                    </a:prstGeom>
                  </pic:spPr>
                </pic:pic>
              </a:graphicData>
            </a:graphic>
          </wp:inline>
        </w:drawing>
      </w:r>
    </w:p>
    <w:p w14:paraId="6359E882" w14:textId="5873EAF8" w:rsidR="00E008D7" w:rsidRDefault="007E713E" w:rsidP="00930DCC">
      <w:pPr>
        <w:pStyle w:val="FigureCaption"/>
      </w:pPr>
      <w:bookmarkStart w:id="11" w:name="_Ref157079114"/>
      <w:r w:rsidRPr="00F47D72">
        <w:t xml:space="preserve">Figure </w:t>
      </w:r>
      <w:r w:rsidRPr="00F47D72">
        <w:fldChar w:fldCharType="begin"/>
      </w:r>
      <w:r w:rsidRPr="00F47D72">
        <w:instrText xml:space="preserve"> SEQ Figure \* ARABIC </w:instrText>
      </w:r>
      <w:r w:rsidRPr="00F47D72">
        <w:fldChar w:fldCharType="separate"/>
      </w:r>
      <w:r w:rsidR="00B504ED">
        <w:rPr>
          <w:noProof/>
        </w:rPr>
        <w:t>12</w:t>
      </w:r>
      <w:r w:rsidRPr="00F47D72">
        <w:fldChar w:fldCharType="end"/>
      </w:r>
      <w:bookmarkEnd w:id="11"/>
      <w:r w:rsidRPr="00F47D72">
        <w:t>. Summary of the net particle-particle and particle-wall contact area accumulated per second for each charger design, excluding any particles that did not experience any particle-particle interactions; error bars indicate 95% confidence intervals</w:t>
      </w:r>
    </w:p>
    <w:p w14:paraId="4E7534AF" w14:textId="7B22099A" w:rsidR="00CD6FD9" w:rsidRDefault="00CD6FD9" w:rsidP="00CD6FD9">
      <w:pPr>
        <w:pStyle w:val="Heading1"/>
      </w:pPr>
      <w:r w:rsidRPr="00F47D72">
        <w:t>Conclusion</w:t>
      </w:r>
    </w:p>
    <w:p w14:paraId="22C0EDC1" w14:textId="7FEB2DA5" w:rsidR="002F2B2A" w:rsidRPr="002F2B2A" w:rsidRDefault="00875435" w:rsidP="002F2B2A">
      <w:r w:rsidRPr="00464F12">
        <w:t>In this study, we explore the design optimi</w:t>
      </w:r>
      <w:r>
        <w:t>s</w:t>
      </w:r>
      <w:r w:rsidRPr="00464F12">
        <w:t xml:space="preserve">ation of </w:t>
      </w:r>
      <w:proofErr w:type="spellStart"/>
      <w:r w:rsidRPr="00464F12">
        <w:t>tribochargers</w:t>
      </w:r>
      <w:proofErr w:type="spellEnd"/>
      <w:r w:rsidRPr="00464F12">
        <w:t xml:space="preserve"> for granular material separation, demonstrating their effectiveness across</w:t>
      </w:r>
      <w:r>
        <w:t xml:space="preserve"> both</w:t>
      </w:r>
      <w:r w:rsidRPr="00464F12">
        <w:t xml:space="preserve"> terrestrial and lunar environments. The research has established the adaptability of </w:t>
      </w:r>
      <w:r>
        <w:t>our</w:t>
      </w:r>
      <w:r w:rsidRPr="00464F12">
        <w:t xml:space="preserve"> design</w:t>
      </w:r>
      <w:r>
        <w:t xml:space="preserve"> optimisation approach</w:t>
      </w:r>
      <w:r w:rsidRPr="00464F12">
        <w:t xml:space="preserve"> to different materials, sizes, and extraterrestrial conditions, notably on the Moon. This work not only advances our understanding of triboelectric charging but also opens avenues for its application in space resource utili</w:t>
      </w:r>
      <w:r>
        <w:t>s</w:t>
      </w:r>
      <w:r w:rsidRPr="00464F12">
        <w:t>ation and sets a foundation for future developments in extraterrestrial mining technologies.</w:t>
      </w:r>
    </w:p>
    <w:p w14:paraId="00BB8614" w14:textId="00131756" w:rsidR="00CD6FD9" w:rsidRPr="00F47D72" w:rsidRDefault="00CD6FD9" w:rsidP="00CD6FD9">
      <w:pPr>
        <w:pStyle w:val="Heading1"/>
      </w:pPr>
      <w:r w:rsidRPr="00F47D72">
        <w:t>Acknowledgements</w:t>
      </w:r>
    </w:p>
    <w:p w14:paraId="01DF6303" w14:textId="77777777" w:rsidR="00081130" w:rsidRPr="00F47D72" w:rsidRDefault="00081130" w:rsidP="00081130">
      <w:r w:rsidRPr="00F47D72">
        <w:t>This research has been made possible through the support of the Luxembourg National Research Fund (FNR) under Industrial Fellowship Grant 12489764.</w:t>
      </w:r>
    </w:p>
    <w:p w14:paraId="71E6159F" w14:textId="77777777" w:rsidR="00081130" w:rsidRPr="00F47D72" w:rsidRDefault="00081130" w:rsidP="00081130"/>
    <w:p w14:paraId="22D86310" w14:textId="77777777" w:rsidR="00081130" w:rsidRPr="00F47D72" w:rsidRDefault="00081130" w:rsidP="00081130">
      <w:r w:rsidRPr="00F47D72">
        <w:t xml:space="preserve">The authors acknowledge the support of the Natural Sciences and Engineering Research Council of Canada (NSERC) [ref: 411291661]. </w:t>
      </w:r>
      <w:proofErr w:type="spellStart"/>
      <w:r w:rsidRPr="00F47D72">
        <w:t>Cette</w:t>
      </w:r>
      <w:proofErr w:type="spellEnd"/>
      <w:r w:rsidRPr="00F47D72">
        <w:t xml:space="preserve"> recherche a </w:t>
      </w:r>
      <w:proofErr w:type="spellStart"/>
      <w:r w:rsidRPr="00F47D72">
        <w:t>été</w:t>
      </w:r>
      <w:proofErr w:type="spellEnd"/>
      <w:r w:rsidRPr="00F47D72">
        <w:t xml:space="preserve"> </w:t>
      </w:r>
      <w:proofErr w:type="spellStart"/>
      <w:r w:rsidRPr="00F47D72">
        <w:t>financée</w:t>
      </w:r>
      <w:proofErr w:type="spellEnd"/>
      <w:r w:rsidRPr="00F47D72">
        <w:t xml:space="preserve"> par le Conseil de </w:t>
      </w:r>
      <w:proofErr w:type="spellStart"/>
      <w:r w:rsidRPr="00F47D72">
        <w:t>recherches</w:t>
      </w:r>
      <w:proofErr w:type="spellEnd"/>
      <w:r w:rsidRPr="00F47D72">
        <w:t xml:space="preserve"> </w:t>
      </w:r>
      <w:proofErr w:type="spellStart"/>
      <w:r w:rsidRPr="00F47D72">
        <w:t>en</w:t>
      </w:r>
      <w:proofErr w:type="spellEnd"/>
      <w:r w:rsidRPr="00F47D72">
        <w:t xml:space="preserve"> sciences </w:t>
      </w:r>
      <w:proofErr w:type="spellStart"/>
      <w:r w:rsidRPr="00F47D72">
        <w:t>naturelles</w:t>
      </w:r>
      <w:proofErr w:type="spellEnd"/>
      <w:r w:rsidRPr="00F47D72">
        <w:t xml:space="preserve"> et </w:t>
      </w:r>
      <w:proofErr w:type="spellStart"/>
      <w:r w:rsidRPr="00F47D72">
        <w:t>en</w:t>
      </w:r>
      <w:proofErr w:type="spellEnd"/>
      <w:r w:rsidRPr="00F47D72">
        <w:t xml:space="preserve"> </w:t>
      </w:r>
      <w:proofErr w:type="spellStart"/>
      <w:r w:rsidRPr="00F47D72">
        <w:t>génie</w:t>
      </w:r>
      <w:proofErr w:type="spellEnd"/>
      <w:r w:rsidRPr="00F47D72">
        <w:t xml:space="preserve"> du Canada (CRSNG), [</w:t>
      </w:r>
      <w:proofErr w:type="spellStart"/>
      <w:r w:rsidRPr="00F47D72">
        <w:t>réf</w:t>
      </w:r>
      <w:proofErr w:type="spellEnd"/>
      <w:r w:rsidRPr="00F47D72">
        <w:t>: 411291661].</w:t>
      </w:r>
    </w:p>
    <w:p w14:paraId="78665919" w14:textId="77777777" w:rsidR="00081130" w:rsidRPr="00F47D72" w:rsidRDefault="00081130" w:rsidP="00081130"/>
    <w:p w14:paraId="0F3FD690" w14:textId="57B9BD6D" w:rsidR="00CD6FD9" w:rsidRDefault="00081130" w:rsidP="00081130">
      <w:r w:rsidRPr="00F47D72">
        <w:t xml:space="preserve">The authors acknowledge the generous support of Itasca Consulting Group for the provision of a PFC license as well as support and mentorship from Dr D.O. </w:t>
      </w:r>
      <w:proofErr w:type="spellStart"/>
      <w:r w:rsidRPr="00F47D72">
        <w:t>Potyondy</w:t>
      </w:r>
      <w:proofErr w:type="spellEnd"/>
      <w:r w:rsidRPr="00F47D72">
        <w:t xml:space="preserve"> for Dr J.N. Rasera through the Itasca Educational Partnership Program.</w:t>
      </w:r>
    </w:p>
    <w:p w14:paraId="1106F859" w14:textId="4501E599" w:rsidR="00377472" w:rsidRDefault="00377472" w:rsidP="00377472">
      <w:pPr>
        <w:pStyle w:val="Heading1"/>
      </w:pPr>
      <w:r>
        <w:t>List of Symbols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1"/>
        <w:gridCol w:w="4629"/>
      </w:tblGrid>
      <w:tr w:rsidR="00092095" w14:paraId="2E277A54" w14:textId="77777777" w:rsidTr="00A60487">
        <w:tc>
          <w:tcPr>
            <w:tcW w:w="4675" w:type="dxa"/>
          </w:tcPr>
          <w:tbl>
            <w:tblPr>
              <w:tblStyle w:val="GridTable4"/>
              <w:tblW w:w="4562" w:type="dxa"/>
              <w:tblLook w:val="04A0" w:firstRow="1" w:lastRow="0" w:firstColumn="1" w:lastColumn="0" w:noHBand="0" w:noVBand="1"/>
            </w:tblPr>
            <w:tblGrid>
              <w:gridCol w:w="968"/>
              <w:gridCol w:w="2822"/>
              <w:gridCol w:w="772"/>
            </w:tblGrid>
            <w:tr w:rsidR="00A52D74" w:rsidRPr="00092095" w14:paraId="62622BE5" w14:textId="77777777" w:rsidTr="00A604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dxa"/>
                </w:tcPr>
                <w:p w14:paraId="134C61CF" w14:textId="77777777" w:rsidR="00092095" w:rsidRPr="00092095" w:rsidRDefault="00092095" w:rsidP="00A60487">
                  <w:r>
                    <w:t>Symbol</w:t>
                  </w:r>
                </w:p>
              </w:tc>
              <w:tc>
                <w:tcPr>
                  <w:tcW w:w="2822" w:type="dxa"/>
                </w:tcPr>
                <w:p w14:paraId="745103FC" w14:textId="77777777" w:rsidR="00092095" w:rsidRPr="00092095" w:rsidRDefault="00092095" w:rsidP="00A60487">
                  <w:pPr>
                    <w:cnfStyle w:val="100000000000" w:firstRow="1" w:lastRow="0" w:firstColumn="0" w:lastColumn="0" w:oddVBand="0" w:evenVBand="0" w:oddHBand="0" w:evenHBand="0" w:firstRowFirstColumn="0" w:firstRowLastColumn="0" w:lastRowFirstColumn="0" w:lastRowLastColumn="0"/>
                  </w:pPr>
                  <w:r>
                    <w:t>Definition</w:t>
                  </w:r>
                </w:p>
              </w:tc>
              <w:tc>
                <w:tcPr>
                  <w:tcW w:w="772" w:type="dxa"/>
                </w:tcPr>
                <w:p w14:paraId="6312C6D1" w14:textId="77777777" w:rsidR="00092095" w:rsidRPr="00092095" w:rsidRDefault="00092095" w:rsidP="00A60487">
                  <w:pPr>
                    <w:cnfStyle w:val="100000000000" w:firstRow="1" w:lastRow="0" w:firstColumn="0" w:lastColumn="0" w:oddVBand="0" w:evenVBand="0" w:oddHBand="0" w:evenHBand="0" w:firstRowFirstColumn="0" w:firstRowLastColumn="0" w:lastRowFirstColumn="0" w:lastRowLastColumn="0"/>
                  </w:pPr>
                  <w:r>
                    <w:t>Units</w:t>
                  </w:r>
                </w:p>
              </w:tc>
            </w:tr>
            <w:tr w:rsidR="00A52D74" w:rsidRPr="00092095" w14:paraId="2957AAE2"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dxa"/>
                </w:tcPr>
                <w:p w14:paraId="6B3AE693" w14:textId="1886C0BF" w:rsidR="00092095" w:rsidRDefault="00092095" w:rsidP="00A60487">
                  <m:oMathPara>
                    <m:oMath>
                      <m:r>
                        <m:rPr>
                          <m:sty m:val="bi"/>
                        </m:rPr>
                        <w:rPr>
                          <w:rFonts w:ascii="Cambria Math" w:hAnsi="Cambria Math"/>
                        </w:rPr>
                        <m:t>σ</m:t>
                      </m:r>
                    </m:oMath>
                  </m:oMathPara>
                </w:p>
              </w:tc>
              <w:tc>
                <w:tcPr>
                  <w:tcW w:w="2822" w:type="dxa"/>
                </w:tcPr>
                <w:p w14:paraId="4DAC954E" w14:textId="78CAC2C9" w:rsidR="00092095" w:rsidRDefault="00092095" w:rsidP="00A60487">
                  <w:pPr>
                    <w:cnfStyle w:val="000000100000" w:firstRow="0" w:lastRow="0" w:firstColumn="0" w:lastColumn="0" w:oddVBand="0" w:evenVBand="0" w:oddHBand="1" w:evenHBand="0" w:firstRowFirstColumn="0" w:firstRowLastColumn="0" w:lastRowFirstColumn="0" w:lastRowLastColumn="0"/>
                  </w:pPr>
                  <w:r>
                    <w:t>Charge transfer</w:t>
                  </w:r>
                  <w:r w:rsidR="00B91009">
                    <w:t xml:space="preserve"> per unit area</w:t>
                  </w:r>
                </w:p>
              </w:tc>
              <w:tc>
                <w:tcPr>
                  <w:tcW w:w="772" w:type="dxa"/>
                </w:tcPr>
                <w:p w14:paraId="70E8AD92" w14:textId="68FD1A22" w:rsidR="00092095" w:rsidRDefault="00A60487"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C/</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tc>
            </w:tr>
            <w:tr w:rsidR="00092095" w:rsidRPr="00092095" w14:paraId="14D5D6C0" w14:textId="77777777" w:rsidTr="00A60487">
              <w:tc>
                <w:tcPr>
                  <w:cnfStyle w:val="001000000000" w:firstRow="0" w:lastRow="0" w:firstColumn="1" w:lastColumn="0" w:oddVBand="0" w:evenVBand="0" w:oddHBand="0" w:evenHBand="0" w:firstRowFirstColumn="0" w:firstRowLastColumn="0" w:lastRowFirstColumn="0" w:lastRowLastColumn="0"/>
                  <w:tcW w:w="968" w:type="dxa"/>
                </w:tcPr>
                <w:p w14:paraId="234368B6" w14:textId="253C4044" w:rsidR="00092095" w:rsidRDefault="00000000" w:rsidP="00A60487">
                  <m:oMathPara>
                    <m:oMath>
                      <m:sSub>
                        <m:sSubPr>
                          <m:ctrlPr>
                            <w:rPr>
                              <w:rFonts w:ascii="Cambria Math" w:hAnsi="Cambria Math"/>
                              <w:i/>
                            </w:rPr>
                          </m:ctrlPr>
                        </m:sSubPr>
                        <m:e>
                          <m:r>
                            <m:rPr>
                              <m:sty m:val="bi"/>
                            </m:rPr>
                            <w:rPr>
                              <w:rFonts w:ascii="Cambria Math" w:hAnsi="Cambria Math"/>
                            </w:rPr>
                            <m:t>κ</m:t>
                          </m:r>
                        </m:e>
                        <m:sub>
                          <m:r>
                            <m:rPr>
                              <m:sty m:val="bi"/>
                            </m:rPr>
                            <w:rPr>
                              <w:rFonts w:ascii="Cambria Math" w:hAnsi="Cambria Math"/>
                            </w:rPr>
                            <m:t>c</m:t>
                          </m:r>
                        </m:sub>
                      </m:sSub>
                    </m:oMath>
                  </m:oMathPara>
                </w:p>
              </w:tc>
              <w:tc>
                <w:tcPr>
                  <w:tcW w:w="2822" w:type="dxa"/>
                </w:tcPr>
                <w:p w14:paraId="6C14C1F7" w14:textId="09A4C5F4" w:rsidR="00092095" w:rsidRDefault="00B91009" w:rsidP="00A60487">
                  <w:pPr>
                    <w:cnfStyle w:val="000000000000" w:firstRow="0" w:lastRow="0" w:firstColumn="0" w:lastColumn="0" w:oddVBand="0" w:evenVBand="0" w:oddHBand="0" w:evenHBand="0" w:firstRowFirstColumn="0" w:firstRowLastColumn="0" w:lastRowFirstColumn="0" w:lastRowLastColumn="0"/>
                  </w:pPr>
                  <w:r>
                    <w:t>Charging efficiency</w:t>
                  </w:r>
                </w:p>
              </w:tc>
              <w:tc>
                <w:tcPr>
                  <w:tcW w:w="772" w:type="dxa"/>
                </w:tcPr>
                <w:p w14:paraId="7362153E" w14:textId="3C37D61B" w:rsidR="00092095" w:rsidRDefault="00A60487" w:rsidP="00A60487">
                  <w:pPr>
                    <w:cnfStyle w:val="000000000000" w:firstRow="0" w:lastRow="0" w:firstColumn="0" w:lastColumn="0" w:oddVBand="0" w:evenVBand="0" w:oddHBand="0" w:evenHBand="0" w:firstRowFirstColumn="0" w:firstRowLastColumn="0" w:lastRowFirstColumn="0" w:lastRowLastColumn="0"/>
                  </w:pPr>
                  <w:r>
                    <w:t>-</w:t>
                  </w:r>
                </w:p>
              </w:tc>
            </w:tr>
            <w:tr w:rsidR="00A52D74" w:rsidRPr="00092095" w14:paraId="3C72586F"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dxa"/>
                </w:tcPr>
                <w:p w14:paraId="6A9C3487" w14:textId="7D4C615E" w:rsidR="00092095" w:rsidRDefault="00000000" w:rsidP="00A60487">
                  <m:oMathPara>
                    <m:oMath>
                      <m:sSub>
                        <m:sSubPr>
                          <m:ctrlPr>
                            <w:rPr>
                              <w:rFonts w:ascii="Cambria Math" w:hAnsi="Cambria Math"/>
                              <w:i/>
                            </w:rPr>
                          </m:ctrlPr>
                        </m:sSubPr>
                        <m:e>
                          <m:r>
                            <m:rPr>
                              <m:sty m:val="bi"/>
                            </m:rPr>
                            <w:rPr>
                              <w:rFonts w:ascii="Cambria Math" w:hAnsi="Cambria Math"/>
                            </w:rPr>
                            <m:t>ε</m:t>
                          </m:r>
                        </m:e>
                        <m:sub>
                          <m:r>
                            <m:rPr>
                              <m:sty m:val="bi"/>
                            </m:rPr>
                            <w:rPr>
                              <w:rFonts w:ascii="Cambria Math" w:hAnsi="Cambria Math"/>
                            </w:rPr>
                            <m:t>0</m:t>
                          </m:r>
                        </m:sub>
                      </m:sSub>
                    </m:oMath>
                  </m:oMathPara>
                </w:p>
              </w:tc>
              <w:tc>
                <w:tcPr>
                  <w:tcW w:w="2822" w:type="dxa"/>
                </w:tcPr>
                <w:p w14:paraId="05980267" w14:textId="4E283780" w:rsidR="00092095" w:rsidRDefault="00B91009" w:rsidP="00A60487">
                  <w:pPr>
                    <w:cnfStyle w:val="000000100000" w:firstRow="0" w:lastRow="0" w:firstColumn="0" w:lastColumn="0" w:oddVBand="0" w:evenVBand="0" w:oddHBand="1" w:evenHBand="0" w:firstRowFirstColumn="0" w:firstRowLastColumn="0" w:lastRowFirstColumn="0" w:lastRowLastColumn="0"/>
                  </w:pPr>
                  <w:r>
                    <w:t>Permittivity of free space</w:t>
                  </w:r>
                </w:p>
              </w:tc>
              <w:tc>
                <w:tcPr>
                  <w:tcW w:w="772" w:type="dxa"/>
                </w:tcPr>
                <w:p w14:paraId="33A0D75A" w14:textId="23228111" w:rsidR="00092095" w:rsidRDefault="00A52D74"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F/m</m:t>
                      </m:r>
                    </m:oMath>
                  </m:oMathPara>
                </w:p>
              </w:tc>
            </w:tr>
            <w:tr w:rsidR="00A63786" w:rsidRPr="00092095" w14:paraId="3A50E748" w14:textId="77777777" w:rsidTr="00A60487">
              <w:tc>
                <w:tcPr>
                  <w:cnfStyle w:val="001000000000" w:firstRow="0" w:lastRow="0" w:firstColumn="1" w:lastColumn="0" w:oddVBand="0" w:evenVBand="0" w:oddHBand="0" w:evenHBand="0" w:firstRowFirstColumn="0" w:firstRowLastColumn="0" w:lastRowFirstColumn="0" w:lastRowLastColumn="0"/>
                  <w:tcW w:w="968" w:type="dxa"/>
                  <w:vAlign w:val="center"/>
                </w:tcPr>
                <w:p w14:paraId="55546482" w14:textId="02E43C98" w:rsidR="00A63786" w:rsidRDefault="00000000" w:rsidP="00A60487">
                  <m:oMathPara>
                    <m:oMath>
                      <m:sSub>
                        <m:sSubPr>
                          <m:ctrlPr>
                            <w:rPr>
                              <w:rFonts w:ascii="Cambria Math" w:hAnsi="Cambria Math"/>
                              <w:i/>
                            </w:rPr>
                          </m:ctrlPr>
                        </m:sSubPr>
                        <m:e>
                          <m:acc>
                            <m:accPr>
                              <m:chr m:val="⃗"/>
                              <m:ctrlPr>
                                <w:rPr>
                                  <w:rFonts w:ascii="Cambria Math" w:hAnsi="Cambria Math"/>
                                  <w:i/>
                                </w:rPr>
                              </m:ctrlPr>
                            </m:accPr>
                            <m:e>
                              <m:r>
                                <m:rPr>
                                  <m:sty m:val="bi"/>
                                </m:rPr>
                                <w:rPr>
                                  <w:rFonts w:ascii="Cambria Math" w:hAnsi="Cambria Math"/>
                                </w:rPr>
                                <m:t>E</m:t>
                              </m:r>
                            </m:e>
                          </m:acc>
                        </m:e>
                        <m:sub>
                          <m:r>
                            <m:rPr>
                              <m:sty m:val="bi"/>
                            </m:rPr>
                            <w:rPr>
                              <w:rFonts w:ascii="Cambria Math" w:hAnsi="Cambria Math"/>
                            </w:rPr>
                            <m:t>contact</m:t>
                          </m:r>
                        </m:sub>
                      </m:sSub>
                    </m:oMath>
                  </m:oMathPara>
                </w:p>
              </w:tc>
              <w:tc>
                <w:tcPr>
                  <w:tcW w:w="2822" w:type="dxa"/>
                </w:tcPr>
                <w:p w14:paraId="21A0BE46" w14:textId="4C1A022F" w:rsidR="00A63786" w:rsidRDefault="00A63786" w:rsidP="00A60487">
                  <w:pPr>
                    <w:cnfStyle w:val="000000000000" w:firstRow="0" w:lastRow="0" w:firstColumn="0" w:lastColumn="0" w:oddVBand="0" w:evenVBand="0" w:oddHBand="0" w:evenHBand="0" w:firstRowFirstColumn="0" w:firstRowLastColumn="0" w:lastRowFirstColumn="0" w:lastRowLastColumn="0"/>
                  </w:pPr>
                  <w:r>
                    <w:t>Electrostatic field strength at point of contact</w:t>
                  </w:r>
                </w:p>
              </w:tc>
              <w:tc>
                <w:tcPr>
                  <w:tcW w:w="772" w:type="dxa"/>
                </w:tcPr>
                <w:p w14:paraId="2EB03E40" w14:textId="294C9A4D" w:rsidR="00A63786" w:rsidRDefault="00A52D74" w:rsidP="00A60487">
                  <w:pPr>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V/m</m:t>
                      </m:r>
                    </m:oMath>
                  </m:oMathPara>
                </w:p>
              </w:tc>
            </w:tr>
            <w:tr w:rsidR="00F1696E" w:rsidRPr="00092095" w14:paraId="6700291E"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8" w:type="dxa"/>
                </w:tcPr>
                <w:p w14:paraId="4140F1EB" w14:textId="37E10F77" w:rsidR="00F1696E" w:rsidRDefault="00F1696E" w:rsidP="00A60487">
                  <m:oMathPara>
                    <m:oMath>
                      <m:r>
                        <m:rPr>
                          <m:sty m:val="b"/>
                        </m:rPr>
                        <w:rPr>
                          <w:rFonts w:ascii="Cambria Math" w:hAnsi="Cambria Math"/>
                        </w:rPr>
                        <m:t>Δ</m:t>
                      </m:r>
                      <m:r>
                        <m:rPr>
                          <m:sty m:val="bi"/>
                        </m:rPr>
                        <w:rPr>
                          <w:rFonts w:ascii="Cambria Math" w:hAnsi="Cambria Math"/>
                        </w:rPr>
                        <m:t>q</m:t>
                      </m:r>
                    </m:oMath>
                  </m:oMathPara>
                </w:p>
              </w:tc>
              <w:tc>
                <w:tcPr>
                  <w:tcW w:w="2822" w:type="dxa"/>
                </w:tcPr>
                <w:p w14:paraId="738DAC12" w14:textId="3FCA46A1" w:rsidR="00F1696E" w:rsidRDefault="00F1696E" w:rsidP="00A60487">
                  <w:pPr>
                    <w:cnfStyle w:val="000000100000" w:firstRow="0" w:lastRow="0" w:firstColumn="0" w:lastColumn="0" w:oddVBand="0" w:evenVBand="0" w:oddHBand="1" w:evenHBand="0" w:firstRowFirstColumn="0" w:firstRowLastColumn="0" w:lastRowFirstColumn="0" w:lastRowLastColumn="0"/>
                  </w:pPr>
                  <w:r>
                    <w:t>Quantity of charge transferred</w:t>
                  </w:r>
                </w:p>
              </w:tc>
              <w:tc>
                <w:tcPr>
                  <w:tcW w:w="772" w:type="dxa"/>
                </w:tcPr>
                <w:p w14:paraId="1D0F175E" w14:textId="1296265F" w:rsidR="00F1696E" w:rsidRDefault="00A52D74"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C</m:t>
                      </m:r>
                    </m:oMath>
                  </m:oMathPara>
                </w:p>
              </w:tc>
            </w:tr>
          </w:tbl>
          <w:p w14:paraId="32614E0B" w14:textId="77777777" w:rsidR="00092095" w:rsidRDefault="00092095" w:rsidP="00A60487"/>
        </w:tc>
        <w:tc>
          <w:tcPr>
            <w:tcW w:w="4675" w:type="dxa"/>
          </w:tcPr>
          <w:tbl>
            <w:tblPr>
              <w:tblStyle w:val="GridTable4"/>
              <w:tblW w:w="4459" w:type="dxa"/>
              <w:tblLook w:val="04A0" w:firstRow="1" w:lastRow="0" w:firstColumn="1" w:lastColumn="0" w:noHBand="0" w:noVBand="1"/>
            </w:tblPr>
            <w:tblGrid>
              <w:gridCol w:w="961"/>
              <w:gridCol w:w="2726"/>
              <w:gridCol w:w="772"/>
            </w:tblGrid>
            <w:tr w:rsidR="00B16708" w:rsidRPr="00092095" w14:paraId="3929303E" w14:textId="77777777" w:rsidTr="00A604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14:paraId="029033DB" w14:textId="77777777" w:rsidR="00092095" w:rsidRPr="00092095" w:rsidRDefault="00092095" w:rsidP="00A60487">
                  <w:r>
                    <w:t>Symbol</w:t>
                  </w:r>
                </w:p>
              </w:tc>
              <w:tc>
                <w:tcPr>
                  <w:tcW w:w="2726" w:type="dxa"/>
                </w:tcPr>
                <w:p w14:paraId="71220909" w14:textId="77777777" w:rsidR="00092095" w:rsidRPr="00092095" w:rsidRDefault="00092095" w:rsidP="00A60487">
                  <w:pPr>
                    <w:cnfStyle w:val="100000000000" w:firstRow="1" w:lastRow="0" w:firstColumn="0" w:lastColumn="0" w:oddVBand="0" w:evenVBand="0" w:oddHBand="0" w:evenHBand="0" w:firstRowFirstColumn="0" w:firstRowLastColumn="0" w:lastRowFirstColumn="0" w:lastRowLastColumn="0"/>
                  </w:pPr>
                  <w:r>
                    <w:t>Definition</w:t>
                  </w:r>
                </w:p>
              </w:tc>
              <w:tc>
                <w:tcPr>
                  <w:tcW w:w="772" w:type="dxa"/>
                </w:tcPr>
                <w:p w14:paraId="41C18C1E" w14:textId="77777777" w:rsidR="00092095" w:rsidRPr="00092095" w:rsidRDefault="00092095" w:rsidP="00A60487">
                  <w:pPr>
                    <w:cnfStyle w:val="100000000000" w:firstRow="1" w:lastRow="0" w:firstColumn="0" w:lastColumn="0" w:oddVBand="0" w:evenVBand="0" w:oddHBand="0" w:evenHBand="0" w:firstRowFirstColumn="0" w:firstRowLastColumn="0" w:lastRowFirstColumn="0" w:lastRowLastColumn="0"/>
                  </w:pPr>
                  <w:r>
                    <w:t>Units</w:t>
                  </w:r>
                </w:p>
              </w:tc>
            </w:tr>
            <w:tr w:rsidR="00B16708" w:rsidRPr="00092095" w14:paraId="7FA0CDBA"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14:paraId="7C2C9017" w14:textId="5A5AE82D" w:rsidR="00092095" w:rsidRDefault="00000000" w:rsidP="00A60487">
                  <m:oMathPara>
                    <m:oMath>
                      <m:sSub>
                        <m:sSubPr>
                          <m:ctrlPr>
                            <w:rPr>
                              <w:rFonts w:ascii="Cambria Math" w:hAnsi="Cambria Math"/>
                              <w:i/>
                            </w:rPr>
                          </m:ctrlPr>
                        </m:sSubPr>
                        <m:e>
                          <m:r>
                            <m:rPr>
                              <m:sty m:val="bi"/>
                            </m:rPr>
                            <w:rPr>
                              <w:rFonts w:ascii="Cambria Math" w:hAnsi="Cambria Math"/>
                            </w:rPr>
                            <m:t>δ</m:t>
                          </m:r>
                        </m:e>
                        <m:sub>
                          <m:r>
                            <m:rPr>
                              <m:sty m:val="bi"/>
                            </m:rPr>
                            <w:rPr>
                              <w:rFonts w:ascii="Cambria Math" w:hAnsi="Cambria Math"/>
                            </w:rPr>
                            <m:t>e</m:t>
                          </m:r>
                        </m:sub>
                      </m:sSub>
                    </m:oMath>
                  </m:oMathPara>
                </w:p>
              </w:tc>
              <w:tc>
                <w:tcPr>
                  <w:tcW w:w="2726" w:type="dxa"/>
                </w:tcPr>
                <w:p w14:paraId="54A0ACD4" w14:textId="2C61B55A" w:rsidR="00092095" w:rsidRDefault="00444607" w:rsidP="00A60487">
                  <w:pPr>
                    <w:cnfStyle w:val="000000100000" w:firstRow="0" w:lastRow="0" w:firstColumn="0" w:lastColumn="0" w:oddVBand="0" w:evenVBand="0" w:oddHBand="1" w:evenHBand="0" w:firstRowFirstColumn="0" w:firstRowLastColumn="0" w:lastRowFirstColumn="0" w:lastRowLastColumn="0"/>
                  </w:pPr>
                  <w:r>
                    <w:t>Charge transfer limit</w:t>
                  </w:r>
                </w:p>
              </w:tc>
              <w:tc>
                <w:tcPr>
                  <w:tcW w:w="772" w:type="dxa"/>
                </w:tcPr>
                <w:p w14:paraId="33131F34" w14:textId="5BCEDA6E" w:rsidR="00092095" w:rsidRDefault="00A52D74"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m</m:t>
                      </m:r>
                    </m:oMath>
                  </m:oMathPara>
                </w:p>
              </w:tc>
            </w:tr>
            <w:tr w:rsidR="00BD462C" w:rsidRPr="00092095" w14:paraId="5F103837" w14:textId="77777777" w:rsidTr="00A60487">
              <w:tc>
                <w:tcPr>
                  <w:cnfStyle w:val="001000000000" w:firstRow="0" w:lastRow="0" w:firstColumn="1" w:lastColumn="0" w:oddVBand="0" w:evenVBand="0" w:oddHBand="0" w:evenHBand="0" w:firstRowFirstColumn="0" w:firstRowLastColumn="0" w:lastRowFirstColumn="0" w:lastRowLastColumn="0"/>
                  <w:tcW w:w="961" w:type="dxa"/>
                </w:tcPr>
                <w:p w14:paraId="57014F7B" w14:textId="635E02EA" w:rsidR="00092095" w:rsidRDefault="00444607" w:rsidP="00A60487">
                  <m:oMathPara>
                    <m:oMath>
                      <m:r>
                        <m:rPr>
                          <m:sty m:val="bi"/>
                        </m:rPr>
                        <w:rPr>
                          <w:rFonts w:ascii="Cambria Math" w:hAnsi="Cambria Math"/>
                        </w:rPr>
                        <m:t>e</m:t>
                      </m:r>
                    </m:oMath>
                  </m:oMathPara>
                </w:p>
              </w:tc>
              <w:tc>
                <w:tcPr>
                  <w:tcW w:w="2726" w:type="dxa"/>
                </w:tcPr>
                <w:p w14:paraId="685305B6" w14:textId="75CFB186" w:rsidR="00092095" w:rsidRDefault="00444607" w:rsidP="00A60487">
                  <w:pPr>
                    <w:cnfStyle w:val="000000000000" w:firstRow="0" w:lastRow="0" w:firstColumn="0" w:lastColumn="0" w:oddVBand="0" w:evenVBand="0" w:oddHBand="0" w:evenHBand="0" w:firstRowFirstColumn="0" w:firstRowLastColumn="0" w:lastRowFirstColumn="0" w:lastRowLastColumn="0"/>
                  </w:pPr>
                  <w:r>
                    <w:t>Electron charge</w:t>
                  </w:r>
                </w:p>
              </w:tc>
              <w:tc>
                <w:tcPr>
                  <w:tcW w:w="772" w:type="dxa"/>
                </w:tcPr>
                <w:p w14:paraId="540F03C3" w14:textId="47CCC2DF" w:rsidR="00092095" w:rsidRDefault="00B16708" w:rsidP="00A60487">
                  <w:pPr>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C</m:t>
                      </m:r>
                    </m:oMath>
                  </m:oMathPara>
                </w:p>
              </w:tc>
            </w:tr>
            <w:tr w:rsidR="00B16708" w:rsidRPr="00092095" w14:paraId="1FEE8D57"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14:paraId="0C4970CC" w14:textId="3F374DEB" w:rsidR="00092095" w:rsidRDefault="00444607" w:rsidP="00A60487">
                  <m:oMathPara>
                    <m:oMath>
                      <m:r>
                        <m:rPr>
                          <m:sty m:val="bi"/>
                        </m:rPr>
                        <w:rPr>
                          <w:rFonts w:ascii="Cambria Math" w:hAnsi="Cambria Math"/>
                        </w:rPr>
                        <m:t>ϕ</m:t>
                      </m:r>
                    </m:oMath>
                  </m:oMathPara>
                </w:p>
              </w:tc>
              <w:tc>
                <w:tcPr>
                  <w:tcW w:w="2726" w:type="dxa"/>
                </w:tcPr>
                <w:p w14:paraId="7878FB47" w14:textId="1744B3D6" w:rsidR="00092095" w:rsidRDefault="00A63786" w:rsidP="00A60487">
                  <w:pPr>
                    <w:cnfStyle w:val="000000100000" w:firstRow="0" w:lastRow="0" w:firstColumn="0" w:lastColumn="0" w:oddVBand="0" w:evenVBand="0" w:oddHBand="1" w:evenHBand="0" w:firstRowFirstColumn="0" w:firstRowLastColumn="0" w:lastRowFirstColumn="0" w:lastRowLastColumn="0"/>
                  </w:pPr>
                  <w:r>
                    <w:t>Effective work function</w:t>
                  </w:r>
                </w:p>
              </w:tc>
              <w:tc>
                <w:tcPr>
                  <w:tcW w:w="772" w:type="dxa"/>
                </w:tcPr>
                <w:p w14:paraId="544CC356" w14:textId="76E7F83E" w:rsidR="00092095" w:rsidRDefault="00840D36"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eV</m:t>
                      </m:r>
                    </m:oMath>
                  </m:oMathPara>
                </w:p>
              </w:tc>
            </w:tr>
            <w:tr w:rsidR="00A63786" w:rsidRPr="00092095" w14:paraId="563B0CE1" w14:textId="77777777" w:rsidTr="00A60487">
              <w:tc>
                <w:tcPr>
                  <w:cnfStyle w:val="001000000000" w:firstRow="0" w:lastRow="0" w:firstColumn="1" w:lastColumn="0" w:oddVBand="0" w:evenVBand="0" w:oddHBand="0" w:evenHBand="0" w:firstRowFirstColumn="0" w:firstRowLastColumn="0" w:lastRowFirstColumn="0" w:lastRowLastColumn="0"/>
                  <w:tcW w:w="961" w:type="dxa"/>
                </w:tcPr>
                <w:p w14:paraId="5C1A6C9F" w14:textId="3269EC9B" w:rsidR="00A63786" w:rsidRDefault="00000000" w:rsidP="00A60487">
                  <m:oMathPara>
                    <m:oMath>
                      <m:sSub>
                        <m:sSubPr>
                          <m:ctrlPr>
                            <w:rPr>
                              <w:rFonts w:ascii="Cambria Math" w:hAnsi="Cambria Math"/>
                              <w:i/>
                            </w:rPr>
                          </m:ctrlPr>
                        </m:sSubPr>
                        <m:e>
                          <m:acc>
                            <m:accPr>
                              <m:ctrlPr>
                                <w:rPr>
                                  <w:rFonts w:ascii="Cambria Math" w:hAnsi="Cambria Math"/>
                                  <w:i/>
                                </w:rPr>
                              </m:ctrlPr>
                            </m:accPr>
                            <m:e>
                              <m:r>
                                <m:rPr>
                                  <m:sty m:val="bi"/>
                                </m:rPr>
                                <w:rPr>
                                  <w:rFonts w:ascii="Cambria Math" w:hAnsi="Cambria Math"/>
                                </w:rPr>
                                <m:t>n</m:t>
                              </m:r>
                            </m:e>
                          </m:acc>
                        </m:e>
                        <m:sub>
                          <m:r>
                            <m:rPr>
                              <m:sty m:val="bi"/>
                            </m:rPr>
                            <w:rPr>
                              <w:rFonts w:ascii="Cambria Math" w:hAnsi="Cambria Math"/>
                            </w:rPr>
                            <m:t>ij</m:t>
                          </m:r>
                        </m:sub>
                      </m:sSub>
                    </m:oMath>
                  </m:oMathPara>
                </w:p>
              </w:tc>
              <w:tc>
                <w:tcPr>
                  <w:tcW w:w="2726" w:type="dxa"/>
                </w:tcPr>
                <w:p w14:paraId="7CC5E40D" w14:textId="5A7DEE1F" w:rsidR="00A63786" w:rsidRDefault="00A63786" w:rsidP="00A60487">
                  <w:pPr>
                    <w:cnfStyle w:val="000000000000" w:firstRow="0" w:lastRow="0" w:firstColumn="0" w:lastColumn="0" w:oddVBand="0" w:evenVBand="0" w:oddHBand="0" w:evenHBand="0" w:firstRowFirstColumn="0" w:firstRowLastColumn="0" w:lastRowFirstColumn="0" w:lastRowLastColumn="0"/>
                  </w:pPr>
                  <w:r>
                    <w:t>Unit normal vector</w:t>
                  </w:r>
                </w:p>
              </w:tc>
              <w:tc>
                <w:tcPr>
                  <w:tcW w:w="772" w:type="dxa"/>
                </w:tcPr>
                <w:p w14:paraId="4ECAD430" w14:textId="4BC93AB4" w:rsidR="00A63786" w:rsidRDefault="00A7116A" w:rsidP="00A7116A">
                  <w:pPr>
                    <w:cnfStyle w:val="000000000000" w:firstRow="0" w:lastRow="0" w:firstColumn="0" w:lastColumn="0" w:oddVBand="0" w:evenVBand="0" w:oddHBand="0" w:evenHBand="0" w:firstRowFirstColumn="0" w:firstRowLastColumn="0" w:lastRowFirstColumn="0" w:lastRowLastColumn="0"/>
                  </w:pPr>
                  <w:r>
                    <w:t>-</w:t>
                  </w:r>
                </w:p>
              </w:tc>
            </w:tr>
            <w:tr w:rsidR="00A63786" w:rsidRPr="00092095" w14:paraId="08A54C4E" w14:textId="77777777" w:rsidTr="00A60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vAlign w:val="center"/>
                </w:tcPr>
                <w:p w14:paraId="302ADA0D" w14:textId="492280FD" w:rsidR="00A63786" w:rsidRDefault="00A63786" w:rsidP="00A60487">
                  <m:oMathPara>
                    <m:oMath>
                      <m:r>
                        <m:rPr>
                          <m:sty m:val="b"/>
                        </m:rPr>
                        <w:rPr>
                          <w:rFonts w:ascii="Cambria Math" w:hAnsi="Cambria Math"/>
                        </w:rPr>
                        <m:t>Γ</m:t>
                      </m:r>
                    </m:oMath>
                  </m:oMathPara>
                </w:p>
              </w:tc>
              <w:tc>
                <w:tcPr>
                  <w:tcW w:w="2726" w:type="dxa"/>
                </w:tcPr>
                <w:p w14:paraId="76FBE861" w14:textId="7D296A74" w:rsidR="00A63786" w:rsidRDefault="00A63786" w:rsidP="00A60487">
                  <w:pPr>
                    <w:cnfStyle w:val="000000100000" w:firstRow="0" w:lastRow="0" w:firstColumn="0" w:lastColumn="0" w:oddVBand="0" w:evenVBand="0" w:oddHBand="1" w:evenHBand="0" w:firstRowFirstColumn="0" w:firstRowLastColumn="0" w:lastRowFirstColumn="0" w:lastRowLastColumn="0"/>
                  </w:pPr>
                  <w:r>
                    <w:t xml:space="preserve">Charge transfer </w:t>
                  </w:r>
                  <w:r w:rsidR="00F1696E">
                    <w:t>limitation parameter</w:t>
                  </w:r>
                </w:p>
              </w:tc>
              <w:tc>
                <w:tcPr>
                  <w:tcW w:w="772" w:type="dxa"/>
                </w:tcPr>
                <w:p w14:paraId="390ED244" w14:textId="0044526D" w:rsidR="00A63786" w:rsidRDefault="00BD462C" w:rsidP="00A60487">
                  <w:pPr>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V/m</m:t>
                      </m:r>
                    </m:oMath>
                  </m:oMathPara>
                </w:p>
              </w:tc>
            </w:tr>
            <w:tr w:rsidR="00F1696E" w:rsidRPr="00092095" w14:paraId="03859894" w14:textId="77777777" w:rsidTr="00A60487">
              <w:tc>
                <w:tcPr>
                  <w:cnfStyle w:val="001000000000" w:firstRow="0" w:lastRow="0" w:firstColumn="1" w:lastColumn="0" w:oddVBand="0" w:evenVBand="0" w:oddHBand="0" w:evenHBand="0" w:firstRowFirstColumn="0" w:firstRowLastColumn="0" w:lastRowFirstColumn="0" w:lastRowLastColumn="0"/>
                  <w:tcW w:w="961" w:type="dxa"/>
                </w:tcPr>
                <w:p w14:paraId="69020F6A" w14:textId="2BE2283D" w:rsidR="00F1696E" w:rsidRPr="00A63786" w:rsidRDefault="00F1696E" w:rsidP="00A60487">
                  <w:pPr>
                    <w:rPr>
                      <w:b w:val="0"/>
                      <w:bCs w:val="0"/>
                    </w:rPr>
                  </w:pPr>
                  <m:oMathPara>
                    <m:oMath>
                      <m:r>
                        <m:rPr>
                          <m:sty m:val="b"/>
                        </m:rPr>
                        <w:rPr>
                          <w:rFonts w:ascii="Cambria Math" w:hAnsi="Cambria Math"/>
                        </w:rPr>
                        <m:t>ΔA</m:t>
                      </m:r>
                    </m:oMath>
                  </m:oMathPara>
                </w:p>
              </w:tc>
              <w:tc>
                <w:tcPr>
                  <w:tcW w:w="2726" w:type="dxa"/>
                </w:tcPr>
                <w:p w14:paraId="0F164408" w14:textId="55480D44" w:rsidR="00F1696E" w:rsidRDefault="00A60487" w:rsidP="00A60487">
                  <w:pPr>
                    <w:cnfStyle w:val="000000000000" w:firstRow="0" w:lastRow="0" w:firstColumn="0" w:lastColumn="0" w:oddVBand="0" w:evenVBand="0" w:oddHBand="0" w:evenHBand="0" w:firstRowFirstColumn="0" w:firstRowLastColumn="0" w:lastRowFirstColumn="0" w:lastRowLastColumn="0"/>
                  </w:pPr>
                  <w:r>
                    <w:t>Change in contact area</w:t>
                  </w:r>
                </w:p>
              </w:tc>
              <w:tc>
                <w:tcPr>
                  <w:tcW w:w="772" w:type="dxa"/>
                </w:tcPr>
                <w:p w14:paraId="643C974F" w14:textId="08E25488" w:rsidR="00F1696E" w:rsidRDefault="00000000" w:rsidP="00A60487">
                  <w:pPr>
                    <w:cnfStyle w:val="000000000000" w:firstRow="0" w:lastRow="0" w:firstColumn="0" w:lastColumn="0" w:oddVBand="0" w:evenVBand="0" w:oddHBand="0" w:evenHBand="0" w:firstRowFirstColumn="0" w:firstRowLastColumn="0" w:lastRowFirstColumn="0" w:lastRowLastColumn="0"/>
                  </w:pPr>
                  <m:oMathPara>
                    <m:oMath>
                      <m:sSup>
                        <m:sSupPr>
                          <m:ctrlPr>
                            <w:rPr>
                              <w:rFonts w:ascii="Cambria Math" w:hAnsi="Cambria Math"/>
                              <w:i/>
                            </w:rPr>
                          </m:ctrlPr>
                        </m:sSupPr>
                        <m:e>
                          <m:r>
                            <w:rPr>
                              <w:rFonts w:ascii="Cambria Math" w:hAnsi="Cambria Math"/>
                            </w:rPr>
                            <m:t>m</m:t>
                          </m:r>
                        </m:e>
                        <m:sup>
                          <m:r>
                            <w:rPr>
                              <w:rFonts w:ascii="Cambria Math" w:hAnsi="Cambria Math"/>
                            </w:rPr>
                            <m:t>2</m:t>
                          </m:r>
                        </m:sup>
                      </m:sSup>
                    </m:oMath>
                  </m:oMathPara>
                </w:p>
              </w:tc>
            </w:tr>
          </w:tbl>
          <w:p w14:paraId="59FBDBAE" w14:textId="77777777" w:rsidR="00092095" w:rsidRDefault="00092095" w:rsidP="00A60487"/>
        </w:tc>
      </w:tr>
    </w:tbl>
    <w:p w14:paraId="38B23C32" w14:textId="77777777" w:rsidR="00377472" w:rsidRPr="00377472" w:rsidRDefault="00377472" w:rsidP="00377472"/>
    <w:p w14:paraId="51033ADC" w14:textId="77777777" w:rsidR="004C03C8" w:rsidRPr="00F47D72" w:rsidRDefault="004C03C8" w:rsidP="00081130">
      <w:pPr>
        <w:rPr>
          <w:b/>
          <w:caps/>
          <w:sz w:val="22"/>
        </w:rPr>
      </w:pPr>
    </w:p>
    <w:p w14:paraId="7CE310B7" w14:textId="466CD08F" w:rsidR="009A1532" w:rsidRPr="00F47D72" w:rsidRDefault="009A1532" w:rsidP="009A1532">
      <w:pPr>
        <w:pStyle w:val="Heading1"/>
      </w:pPr>
      <w:r w:rsidRPr="00F47D72">
        <w:lastRenderedPageBreak/>
        <w:t>References</w:t>
      </w:r>
    </w:p>
    <w:p w14:paraId="6AD3A3D8" w14:textId="03F1B402" w:rsidR="00D263B4" w:rsidRPr="00F47D72" w:rsidRDefault="00D263B4" w:rsidP="00D263B4">
      <w:r w:rsidRPr="00F47D72">
        <w:t xml:space="preserve">Ali, F </w:t>
      </w:r>
      <w:proofErr w:type="spellStart"/>
      <w:r w:rsidRPr="00F47D72">
        <w:t>Sharmene</w:t>
      </w:r>
      <w:proofErr w:type="spellEnd"/>
      <w:r w:rsidRPr="00F47D72">
        <w:t xml:space="preserve">, Ali, M Adnan, Castle, GSP, </w:t>
      </w:r>
      <w:proofErr w:type="spellStart"/>
      <w:r w:rsidRPr="00F47D72">
        <w:t>Inculet</w:t>
      </w:r>
      <w:proofErr w:type="spellEnd"/>
      <w:r w:rsidRPr="00F47D72">
        <w:t>, II (1998). Charge exchange model of a disperse system of spherical powder particles. In Conference Record of 1998 IEEE Industry Applications Conference. Thirty-Third IAS Annual Meeting (Cat. No. 98CH36242) (IEEE Ed.), Vol. 3, 1884--1891.</w:t>
      </w:r>
    </w:p>
    <w:p w14:paraId="33415305" w14:textId="77777777" w:rsidR="00D263B4" w:rsidRPr="00F47D72" w:rsidRDefault="00D263B4" w:rsidP="00D263B4"/>
    <w:p w14:paraId="544198D1" w14:textId="77777777" w:rsidR="00D263B4" w:rsidRPr="00F47D72" w:rsidRDefault="00D263B4" w:rsidP="00D263B4">
      <w:r w:rsidRPr="00F47D72">
        <w:t>Anderson, JH (1996). The effect of additives on the tribocharging of electrophotographic toners. Journal of electrostatics, 37(3), 197--209.</w:t>
      </w:r>
    </w:p>
    <w:p w14:paraId="5988DCC3" w14:textId="77777777" w:rsidR="00D263B4" w:rsidRPr="00F47D72" w:rsidRDefault="00D263B4" w:rsidP="00D263B4"/>
    <w:p w14:paraId="385CC513" w14:textId="77777777" w:rsidR="00D263B4" w:rsidRPr="00F47D72" w:rsidRDefault="00D263B4" w:rsidP="00D263B4">
      <w:r w:rsidRPr="00F47D72">
        <w:t>Anderson, JH, others (1994). A comparison of experimental data, model predictions for tribocharging of two-component electrophotographic developers. Journal of Imaging Science, Technology, 38(4), 378--382.</w:t>
      </w:r>
    </w:p>
    <w:p w14:paraId="66681DB0" w14:textId="77777777" w:rsidR="00D263B4" w:rsidRPr="00F47D72" w:rsidRDefault="00D263B4" w:rsidP="00D263B4"/>
    <w:p w14:paraId="07B74C34" w14:textId="30346DE1" w:rsidR="00D263B4" w:rsidRPr="00F47D72" w:rsidRDefault="00D263B4" w:rsidP="00D263B4">
      <w:r w:rsidRPr="00F47D72">
        <w:t xml:space="preserve">Ballantyne, Grant R, Holtham, Peter N (2010). Application of </w:t>
      </w:r>
      <w:proofErr w:type="spellStart"/>
      <w:r w:rsidRPr="00F47D72">
        <w:t>dielectrophoresis</w:t>
      </w:r>
      <w:proofErr w:type="spellEnd"/>
      <w:r w:rsidRPr="00F47D72">
        <w:t xml:space="preserve"> for the separation of minerals. Minerals Engineering, 23(4), 350-358.</w:t>
      </w:r>
    </w:p>
    <w:p w14:paraId="3529D1CB" w14:textId="77777777" w:rsidR="00D263B4" w:rsidRPr="00F47D72" w:rsidRDefault="00D263B4" w:rsidP="00D263B4"/>
    <w:p w14:paraId="1DF31A5E" w14:textId="77777777" w:rsidR="00D263B4" w:rsidRPr="00F47D72" w:rsidRDefault="00D263B4" w:rsidP="00D263B4">
      <w:r w:rsidRPr="00F47D72">
        <w:t xml:space="preserve">Ballantyne, Grant R, Holtham, Peter N (2014). Evaluation of the potential for using </w:t>
      </w:r>
      <w:proofErr w:type="spellStart"/>
      <w:r w:rsidRPr="00F47D72">
        <w:t>dielectrophoresis</w:t>
      </w:r>
      <w:proofErr w:type="spellEnd"/>
      <w:r w:rsidRPr="00F47D72">
        <w:t xml:space="preserve"> to separate minerals. Minerals Engineering, 55, 75-79.</w:t>
      </w:r>
    </w:p>
    <w:p w14:paraId="362A19E2" w14:textId="77777777" w:rsidR="00D263B4" w:rsidRPr="00F47D72" w:rsidRDefault="00D263B4" w:rsidP="00D263B4"/>
    <w:p w14:paraId="124759D3" w14:textId="4347D7AE" w:rsidR="00D263B4" w:rsidRPr="00F47D72" w:rsidRDefault="00D263B4" w:rsidP="00D263B4">
      <w:proofErr w:type="spellStart"/>
      <w:r w:rsidRPr="00F47D72">
        <w:t>Benhafssa</w:t>
      </w:r>
      <w:proofErr w:type="spellEnd"/>
      <w:r w:rsidRPr="00F47D72">
        <w:t xml:space="preserve">, Abdelkader </w:t>
      </w:r>
      <w:proofErr w:type="spellStart"/>
      <w:r w:rsidRPr="00F47D72">
        <w:t>Mekhalef</w:t>
      </w:r>
      <w:proofErr w:type="spellEnd"/>
      <w:r w:rsidRPr="00F47D72">
        <w:t xml:space="preserve">, </w:t>
      </w:r>
      <w:proofErr w:type="spellStart"/>
      <w:r w:rsidRPr="00F47D72">
        <w:t>Zeghloul</w:t>
      </w:r>
      <w:proofErr w:type="spellEnd"/>
      <w:r w:rsidRPr="00F47D72">
        <w:t xml:space="preserve">, Thami, </w:t>
      </w:r>
      <w:proofErr w:type="spellStart"/>
      <w:r w:rsidRPr="00F47D72">
        <w:t>Messal</w:t>
      </w:r>
      <w:proofErr w:type="spellEnd"/>
      <w:r w:rsidRPr="00F47D72">
        <w:t xml:space="preserve">, Sara, </w:t>
      </w:r>
      <w:proofErr w:type="spellStart"/>
      <w:r w:rsidRPr="00F47D72">
        <w:t>Dascalescu</w:t>
      </w:r>
      <w:proofErr w:type="spellEnd"/>
      <w:r w:rsidRPr="00F47D72">
        <w:t xml:space="preserve">, Lucian, </w:t>
      </w:r>
      <w:proofErr w:type="spellStart"/>
      <w:r w:rsidRPr="00F47D72">
        <w:t>Medles</w:t>
      </w:r>
      <w:proofErr w:type="spellEnd"/>
      <w:r w:rsidRPr="00F47D72">
        <w:t>, Karim (2016). Factors that influence the efficiency of a propeller-type tribocharging device for granular plastics. IEEE Transactions on Industry Applications, 53(2), 1446--1451.</w:t>
      </w:r>
    </w:p>
    <w:p w14:paraId="2CEFEA0F" w14:textId="77777777" w:rsidR="00D263B4" w:rsidRPr="00F47D72" w:rsidRDefault="00D263B4" w:rsidP="00D263B4"/>
    <w:p w14:paraId="564DA6AD" w14:textId="10C542A7" w:rsidR="00D263B4" w:rsidRPr="00F47D72" w:rsidRDefault="00D263B4" w:rsidP="00D263B4">
      <w:proofErr w:type="spellStart"/>
      <w:r w:rsidRPr="00F47D72">
        <w:t>Bilici</w:t>
      </w:r>
      <w:proofErr w:type="spellEnd"/>
      <w:r w:rsidRPr="00F47D72">
        <w:t xml:space="preserve">, Mihai, </w:t>
      </w:r>
      <w:proofErr w:type="spellStart"/>
      <w:r w:rsidRPr="00F47D72">
        <w:t>Dascalescu</w:t>
      </w:r>
      <w:proofErr w:type="spellEnd"/>
      <w:r w:rsidRPr="00F47D72">
        <w:t xml:space="preserve">, Lucian, Dragan, </w:t>
      </w:r>
      <w:proofErr w:type="spellStart"/>
      <w:r w:rsidRPr="00F47D72">
        <w:t>Ciprian</w:t>
      </w:r>
      <w:proofErr w:type="spellEnd"/>
      <w:r w:rsidRPr="00F47D72">
        <w:t xml:space="preserve">, </w:t>
      </w:r>
      <w:proofErr w:type="spellStart"/>
      <w:r w:rsidRPr="00F47D72">
        <w:t>Fati</w:t>
      </w:r>
      <w:proofErr w:type="spellEnd"/>
      <w:r w:rsidRPr="00F47D72">
        <w:t xml:space="preserve">, Ovidiu, </w:t>
      </w:r>
      <w:proofErr w:type="spellStart"/>
      <w:r w:rsidRPr="00F47D72">
        <w:t>Iuga</w:t>
      </w:r>
      <w:proofErr w:type="spellEnd"/>
      <w:r w:rsidRPr="00F47D72">
        <w:t xml:space="preserve">, Alexandru, </w:t>
      </w:r>
      <w:proofErr w:type="spellStart"/>
      <w:r w:rsidRPr="00F47D72">
        <w:t>Samuila</w:t>
      </w:r>
      <w:proofErr w:type="spellEnd"/>
      <w:r w:rsidRPr="00F47D72">
        <w:t>, Adrian (2011). Tribocharging, electrostatic separation of mixed granular solids in fluid</w:t>
      </w:r>
      <w:r w:rsidR="00514D39" w:rsidRPr="00F47D72">
        <w:t>ised</w:t>
      </w:r>
      <w:r w:rsidRPr="00F47D72">
        <w:t xml:space="preserve"> bed devices. IEEE Transactions on Dielectrics, Electrical Insulation, 18(5), 1476-1483.</w:t>
      </w:r>
    </w:p>
    <w:p w14:paraId="7B2A505A" w14:textId="77777777" w:rsidR="00D263B4" w:rsidRPr="00F47D72" w:rsidRDefault="00D263B4" w:rsidP="00D263B4"/>
    <w:p w14:paraId="7C002F6F" w14:textId="27F19D3F" w:rsidR="00D263B4" w:rsidRPr="00F47D72" w:rsidRDefault="00D263B4" w:rsidP="00D263B4">
      <w:r w:rsidRPr="00F47D72">
        <w:t xml:space="preserve">Bittner, James D, </w:t>
      </w:r>
      <w:proofErr w:type="spellStart"/>
      <w:r w:rsidRPr="00F47D72">
        <w:t>Hrach</w:t>
      </w:r>
      <w:proofErr w:type="spellEnd"/>
      <w:r w:rsidRPr="00F47D72">
        <w:t xml:space="preserve">, FJ, </w:t>
      </w:r>
      <w:proofErr w:type="spellStart"/>
      <w:r w:rsidRPr="00F47D72">
        <w:t>Gasiorowski</w:t>
      </w:r>
      <w:proofErr w:type="spellEnd"/>
      <w:r w:rsidRPr="00F47D72">
        <w:t xml:space="preserve">, SA, </w:t>
      </w:r>
      <w:proofErr w:type="spellStart"/>
      <w:r w:rsidRPr="00F47D72">
        <w:t>Canellopoulus</w:t>
      </w:r>
      <w:proofErr w:type="spellEnd"/>
      <w:r w:rsidRPr="00F47D72">
        <w:t xml:space="preserve">, LA, </w:t>
      </w:r>
      <w:proofErr w:type="spellStart"/>
      <w:r w:rsidRPr="00F47D72">
        <w:t>Guicherd</w:t>
      </w:r>
      <w:proofErr w:type="spellEnd"/>
      <w:r w:rsidRPr="00F47D72">
        <w:t>, H (2014). Triboelectric belt separator for beneficiation of fine minerals. Procedia Engineering, 83, 122-129.</w:t>
      </w:r>
    </w:p>
    <w:p w14:paraId="0145FEEA" w14:textId="77777777" w:rsidR="00D263B4" w:rsidRPr="00F47D72" w:rsidRDefault="00D263B4" w:rsidP="00D263B4"/>
    <w:p w14:paraId="2E28A771" w14:textId="21597E10" w:rsidR="00D263B4" w:rsidRPr="00F47D72" w:rsidRDefault="00D263B4" w:rsidP="00D263B4">
      <w:r w:rsidRPr="00F47D72">
        <w:t xml:space="preserve">Brands, Ludwig, </w:t>
      </w:r>
      <w:proofErr w:type="spellStart"/>
      <w:r w:rsidRPr="00F47D72">
        <w:t>Beier</w:t>
      </w:r>
      <w:proofErr w:type="spellEnd"/>
      <w:r w:rsidRPr="00F47D72">
        <w:t xml:space="preserve">, Peter‐M, Stahl, Ingo (2001). Electrostatic separation. In Ullmann's </w:t>
      </w:r>
      <w:proofErr w:type="spellStart"/>
      <w:r w:rsidRPr="00F47D72">
        <w:t>Encyclopedia</w:t>
      </w:r>
      <w:proofErr w:type="spellEnd"/>
      <w:r w:rsidRPr="00F47D72">
        <w:t xml:space="preserve"> of Industrial Chemistry, 423--441. Wiley Online Library.</w:t>
      </w:r>
    </w:p>
    <w:p w14:paraId="3DD30DD6" w14:textId="77777777" w:rsidR="00D263B4" w:rsidRPr="00F47D72" w:rsidRDefault="00D263B4" w:rsidP="00D263B4"/>
    <w:p w14:paraId="38D5DB4C" w14:textId="64C6A913" w:rsidR="00D263B4" w:rsidRPr="00F47D72" w:rsidRDefault="00D263B4" w:rsidP="00D263B4">
      <w:proofErr w:type="spellStart"/>
      <w:r w:rsidRPr="00F47D72">
        <w:t>Cezan</w:t>
      </w:r>
      <w:proofErr w:type="spellEnd"/>
      <w:r w:rsidRPr="00F47D72">
        <w:t xml:space="preserve">, S </w:t>
      </w:r>
      <w:proofErr w:type="spellStart"/>
      <w:r w:rsidRPr="00F47D72">
        <w:t>Doruk</w:t>
      </w:r>
      <w:proofErr w:type="spellEnd"/>
      <w:r w:rsidRPr="00F47D72">
        <w:t xml:space="preserve">, </w:t>
      </w:r>
      <w:proofErr w:type="spellStart"/>
      <w:r w:rsidRPr="00F47D72">
        <w:t>Nalbant</w:t>
      </w:r>
      <w:proofErr w:type="spellEnd"/>
      <w:r w:rsidRPr="00F47D72">
        <w:t xml:space="preserve">, </w:t>
      </w:r>
      <w:proofErr w:type="spellStart"/>
      <w:r w:rsidRPr="00F47D72">
        <w:t>Atakan</w:t>
      </w:r>
      <w:proofErr w:type="spellEnd"/>
      <w:r w:rsidRPr="00F47D72">
        <w:t xml:space="preserve"> A, </w:t>
      </w:r>
      <w:proofErr w:type="spellStart"/>
      <w:r w:rsidRPr="00F47D72">
        <w:t>Buyuktemiz</w:t>
      </w:r>
      <w:proofErr w:type="spellEnd"/>
      <w:r w:rsidRPr="00F47D72">
        <w:t xml:space="preserve">, Muhammed, Dede, Yavuz, </w:t>
      </w:r>
      <w:proofErr w:type="spellStart"/>
      <w:r w:rsidRPr="00F47D72">
        <w:t>Baytekin</w:t>
      </w:r>
      <w:proofErr w:type="spellEnd"/>
      <w:r w:rsidRPr="00F47D72">
        <w:t xml:space="preserve">, H Tarik, </w:t>
      </w:r>
      <w:proofErr w:type="spellStart"/>
      <w:r w:rsidRPr="00F47D72">
        <w:t>Baytekin</w:t>
      </w:r>
      <w:proofErr w:type="spellEnd"/>
      <w:r w:rsidRPr="00F47D72">
        <w:t>, Bilge (2019). Control of triboelectric charges on common polymers by photoexcitation of organic dyes. Nature communications, 10(1), 1--8.</w:t>
      </w:r>
    </w:p>
    <w:p w14:paraId="6754A6AD" w14:textId="77777777" w:rsidR="00D263B4" w:rsidRPr="00F47D72" w:rsidRDefault="00D263B4" w:rsidP="00D263B4"/>
    <w:p w14:paraId="7F4AC301" w14:textId="29F9984E" w:rsidR="00D263B4" w:rsidRPr="00F47D72" w:rsidRDefault="00D263B4" w:rsidP="00D263B4">
      <w:r w:rsidRPr="00F47D72">
        <w:t xml:space="preserve">Cruise, Reuben D, </w:t>
      </w:r>
      <w:proofErr w:type="spellStart"/>
      <w:r w:rsidRPr="00F47D72">
        <w:t>Hadler</w:t>
      </w:r>
      <w:proofErr w:type="spellEnd"/>
      <w:r w:rsidRPr="00F47D72">
        <w:t>, Kathryn, Starr, Stanley O, Cilliers, Jan J (2022). The effect of particle size, relative humidity on triboelectric charge saturation. Journal of Physics D: Applied Physics</w:t>
      </w:r>
      <w:proofErr w:type="gramStart"/>
      <w:r w:rsidRPr="00F47D72">
        <w:t>, ,</w:t>
      </w:r>
      <w:proofErr w:type="gramEnd"/>
      <w:r w:rsidRPr="00F47D72">
        <w:t xml:space="preserve"> .</w:t>
      </w:r>
    </w:p>
    <w:p w14:paraId="345D6D55" w14:textId="77777777" w:rsidR="00D263B4" w:rsidRPr="00F47D72" w:rsidRDefault="00D263B4" w:rsidP="00D263B4"/>
    <w:p w14:paraId="7227F9BE" w14:textId="358B197C" w:rsidR="00D263B4" w:rsidRPr="00F47D72" w:rsidRDefault="00D263B4" w:rsidP="00D263B4">
      <w:r w:rsidRPr="00F47D72">
        <w:t>Cundall, Peter A (1971). A computer model for simulating progressive, large-scale movement in blocky rock system. In Proceedings of the International Symposium on Rock Mechanics, 1971</w:t>
      </w:r>
      <w:proofErr w:type="gramStart"/>
      <w:r w:rsidRPr="00F47D72">
        <w:t>, .</w:t>
      </w:r>
      <w:proofErr w:type="gramEnd"/>
      <w:r w:rsidRPr="00F47D72">
        <w:t xml:space="preserve"> .</w:t>
      </w:r>
    </w:p>
    <w:p w14:paraId="2A323004" w14:textId="77777777" w:rsidR="00D263B4" w:rsidRPr="00F47D72" w:rsidRDefault="00D263B4" w:rsidP="00D263B4"/>
    <w:p w14:paraId="02A4DBF3" w14:textId="7F38340F" w:rsidR="00D263B4" w:rsidRPr="00F47D72" w:rsidRDefault="00D263B4" w:rsidP="00D263B4">
      <w:r w:rsidRPr="00F47D72">
        <w:t xml:space="preserve">Cundall, Peter A, </w:t>
      </w:r>
      <w:proofErr w:type="spellStart"/>
      <w:r w:rsidRPr="00F47D72">
        <w:t>Strack</w:t>
      </w:r>
      <w:proofErr w:type="spellEnd"/>
      <w:r w:rsidRPr="00F47D72">
        <w:t xml:space="preserve">, Otto DL (1979). A discrete numerical model for granular assemblies. </w:t>
      </w:r>
      <w:proofErr w:type="spellStart"/>
      <w:r w:rsidRPr="00F47D72">
        <w:t>geotechnique</w:t>
      </w:r>
      <w:proofErr w:type="spellEnd"/>
      <w:r w:rsidRPr="00F47D72">
        <w:t>, 29(1), 47--65.</w:t>
      </w:r>
    </w:p>
    <w:p w14:paraId="6B8015F4" w14:textId="77777777" w:rsidR="00D263B4" w:rsidRPr="00F47D72" w:rsidRDefault="00D263B4" w:rsidP="00D263B4"/>
    <w:p w14:paraId="09969860" w14:textId="6268DA00" w:rsidR="00D263B4" w:rsidRPr="00F47D72" w:rsidRDefault="00D263B4" w:rsidP="00D263B4">
      <w:r w:rsidRPr="00F47D72">
        <w:t>Duff, Nathan, Lacks, Daniel J (2008). Particle dynamics simulations of triboelectric charging in granular insulator systems. Journal of Electrostatics, 66(1-2), 51--57.</w:t>
      </w:r>
    </w:p>
    <w:p w14:paraId="75A66AFE" w14:textId="77777777" w:rsidR="00D263B4" w:rsidRPr="00F47D72" w:rsidRDefault="00D263B4" w:rsidP="00D263B4"/>
    <w:p w14:paraId="71605CF6" w14:textId="2BD71752" w:rsidR="00D263B4" w:rsidRPr="00F47D72" w:rsidRDefault="00D263B4" w:rsidP="00D263B4">
      <w:proofErr w:type="spellStart"/>
      <w:r w:rsidRPr="00F47D72">
        <w:t>Dwari</w:t>
      </w:r>
      <w:proofErr w:type="spellEnd"/>
      <w:r w:rsidRPr="00F47D72">
        <w:t xml:space="preserve">, RK, Rao, K </w:t>
      </w:r>
      <w:proofErr w:type="spellStart"/>
      <w:r w:rsidRPr="00F47D72">
        <w:t>Hanumantha</w:t>
      </w:r>
      <w:proofErr w:type="spellEnd"/>
      <w:r w:rsidRPr="00F47D72">
        <w:t xml:space="preserve"> (2007). Dry beneficiation of coal—a review. Mineral Processing, Extractive Metallurgy Review, 28(3), 177--234.</w:t>
      </w:r>
    </w:p>
    <w:p w14:paraId="641976EE" w14:textId="77777777" w:rsidR="00D263B4" w:rsidRPr="00F47D72" w:rsidRDefault="00D263B4" w:rsidP="00D263B4"/>
    <w:p w14:paraId="18DB4225" w14:textId="0C639A0C" w:rsidR="00D263B4" w:rsidRPr="00F47D72" w:rsidRDefault="00D263B4" w:rsidP="00D263B4">
      <w:proofErr w:type="spellStart"/>
      <w:r w:rsidRPr="00F47D72">
        <w:t>Dwari</w:t>
      </w:r>
      <w:proofErr w:type="spellEnd"/>
      <w:r w:rsidRPr="00F47D72">
        <w:t xml:space="preserve">, RK, Rao, K </w:t>
      </w:r>
      <w:proofErr w:type="spellStart"/>
      <w:r w:rsidRPr="00F47D72">
        <w:t>Hanumantha</w:t>
      </w:r>
      <w:proofErr w:type="spellEnd"/>
      <w:r w:rsidRPr="00F47D72">
        <w:t>, Somasundaran, P (2009). Characterisation of particle tribo-charging, electron transfer with reference to electrostatic dry coal cleaning. International Journal of Mineral Processing, 91(3-4), 100--110.</w:t>
      </w:r>
    </w:p>
    <w:p w14:paraId="1E380C77" w14:textId="77777777" w:rsidR="00D263B4" w:rsidRPr="00F47D72" w:rsidRDefault="00D263B4" w:rsidP="00D263B4"/>
    <w:p w14:paraId="2E854881" w14:textId="3FF4679F" w:rsidR="00D263B4" w:rsidRPr="00F47D72" w:rsidRDefault="00D263B4" w:rsidP="00D263B4">
      <w:r w:rsidRPr="00F47D72">
        <w:lastRenderedPageBreak/>
        <w:t>Forward, Keith M, Lacks, Daniel J, Sankaran, R Mohan (2009). Triboelectric charging of lunar regolith simulant. Journal of Geophysical Research: Space Physics, 114(A10)</w:t>
      </w:r>
      <w:proofErr w:type="gramStart"/>
      <w:r w:rsidRPr="00F47D72">
        <w:t>, .</w:t>
      </w:r>
      <w:proofErr w:type="gramEnd"/>
    </w:p>
    <w:p w14:paraId="0E608D81" w14:textId="77777777" w:rsidR="00D263B4" w:rsidRPr="00F47D72" w:rsidRDefault="00D263B4" w:rsidP="00D263B4"/>
    <w:p w14:paraId="5EFEC5A4" w14:textId="292145C3" w:rsidR="00D263B4" w:rsidRPr="00F47D72" w:rsidRDefault="00D263B4" w:rsidP="00D263B4">
      <w:r w:rsidRPr="00F47D72">
        <w:t xml:space="preserve">Hu, </w:t>
      </w:r>
      <w:proofErr w:type="spellStart"/>
      <w:r w:rsidRPr="00F47D72">
        <w:t>Wenwen</w:t>
      </w:r>
      <w:proofErr w:type="spellEnd"/>
      <w:r w:rsidRPr="00F47D72">
        <w:t xml:space="preserve">, Xie, Li, Zheng, </w:t>
      </w:r>
      <w:proofErr w:type="spellStart"/>
      <w:r w:rsidRPr="00F47D72">
        <w:t>Xiaojing</w:t>
      </w:r>
      <w:proofErr w:type="spellEnd"/>
      <w:r w:rsidRPr="00F47D72">
        <w:t xml:space="preserve"> (2012). Simulation of the electrification of wind-blown sand. The European Physical Journal E, 35(3), 1--8.</w:t>
      </w:r>
    </w:p>
    <w:p w14:paraId="502AF643" w14:textId="77777777" w:rsidR="00D263B4" w:rsidRPr="00F47D72" w:rsidRDefault="00D263B4" w:rsidP="00D263B4"/>
    <w:p w14:paraId="6EF11A5D" w14:textId="479F8D62" w:rsidR="00D263B4" w:rsidRPr="00F47D72" w:rsidRDefault="00D263B4" w:rsidP="00D263B4">
      <w:proofErr w:type="spellStart"/>
      <w:r w:rsidRPr="00F47D72">
        <w:t>Inculet</w:t>
      </w:r>
      <w:proofErr w:type="spellEnd"/>
      <w:r w:rsidRPr="00F47D72">
        <w:t xml:space="preserve">, Ion I, </w:t>
      </w:r>
      <w:proofErr w:type="spellStart"/>
      <w:r w:rsidRPr="00F47D72">
        <w:t>Bergougnou</w:t>
      </w:r>
      <w:proofErr w:type="spellEnd"/>
      <w:r w:rsidRPr="00F47D72">
        <w:t>, Maurice A, Bauer, Stanley (1972). Electrostatic beneficiation apparatus for fluid</w:t>
      </w:r>
      <w:r w:rsidR="00514D39" w:rsidRPr="00F47D72">
        <w:t>ised</w:t>
      </w:r>
      <w:r w:rsidRPr="00F47D72">
        <w:t xml:space="preserve"> iron, other ores. IEEE Transactions on Industry Applications, (6), 744--748.</w:t>
      </w:r>
    </w:p>
    <w:p w14:paraId="0CD4C208" w14:textId="77777777" w:rsidR="00D263B4" w:rsidRPr="00F47D72" w:rsidRDefault="00D263B4" w:rsidP="00D263B4"/>
    <w:p w14:paraId="3349B176" w14:textId="2E7E627F" w:rsidR="00D263B4" w:rsidRPr="00F47D72" w:rsidRDefault="00D263B4" w:rsidP="00D263B4">
      <w:r w:rsidRPr="00F47D72">
        <w:t>Ireland, Peter M (2010a). Triboelectrification of particulate flows on surfaces: Part I—Experiments. Powder Technology, 198(2), 189--198.</w:t>
      </w:r>
    </w:p>
    <w:p w14:paraId="7746D6E9" w14:textId="77777777" w:rsidR="00D263B4" w:rsidRPr="00F47D72" w:rsidRDefault="00D263B4" w:rsidP="00D263B4"/>
    <w:p w14:paraId="328D504E" w14:textId="41956B7E" w:rsidR="00D263B4" w:rsidRPr="00F47D72" w:rsidRDefault="00D263B4" w:rsidP="00D263B4">
      <w:r w:rsidRPr="00F47D72">
        <w:t>Ireland, Peter M (2010b). Triboelectrification of particulate flows on surfaces: Part II—Mechanisms, models. Powder Technology, 198(2), 199--210.</w:t>
      </w:r>
    </w:p>
    <w:p w14:paraId="61D5D41B" w14:textId="77777777" w:rsidR="00D263B4" w:rsidRPr="00F47D72" w:rsidRDefault="00D263B4" w:rsidP="00D263B4"/>
    <w:p w14:paraId="50434DB9" w14:textId="6B7D9AE1" w:rsidR="00D263B4" w:rsidRPr="00F47D72" w:rsidRDefault="00D263B4" w:rsidP="00D263B4">
      <w:r w:rsidRPr="00F47D72">
        <w:t xml:space="preserve">Ireland, Peter M, Nicholson, Kurt (2011). Analysis, comparison of particle </w:t>
      </w:r>
      <w:proofErr w:type="spellStart"/>
      <w:r w:rsidRPr="00F47D72">
        <w:t>tribochargers</w:t>
      </w:r>
      <w:proofErr w:type="spellEnd"/>
      <w:r w:rsidRPr="00F47D72">
        <w:t>. Minerals Engineering, 24(8), 914--922.</w:t>
      </w:r>
    </w:p>
    <w:p w14:paraId="63F13D01" w14:textId="77777777" w:rsidR="00D263B4" w:rsidRPr="00F47D72" w:rsidRDefault="00D263B4" w:rsidP="00D263B4"/>
    <w:p w14:paraId="4C0A8731" w14:textId="77777777" w:rsidR="00D263B4" w:rsidRPr="00F47D72" w:rsidRDefault="00D263B4" w:rsidP="00D263B4">
      <w:r w:rsidRPr="00F47D72">
        <w:t>Ireland, Peter M (2012). Dynamic particle-surface tribocharging: The role of shape, contact mode. Journal of Electrostatics, 70(6), 524--531.</w:t>
      </w:r>
    </w:p>
    <w:p w14:paraId="6EEE67F4" w14:textId="77777777" w:rsidR="00D263B4" w:rsidRPr="00F47D72" w:rsidRDefault="00D263B4" w:rsidP="00D263B4"/>
    <w:p w14:paraId="2553DE5F" w14:textId="45F58DA9" w:rsidR="00D263B4" w:rsidRPr="00F47D72" w:rsidRDefault="00D263B4" w:rsidP="00D263B4">
      <w:proofErr w:type="spellStart"/>
      <w:r w:rsidRPr="00F47D72">
        <w:t>Iuga</w:t>
      </w:r>
      <w:proofErr w:type="spellEnd"/>
      <w:r w:rsidRPr="00F47D72">
        <w:t xml:space="preserve">, Alexandru, Calin, </w:t>
      </w:r>
      <w:proofErr w:type="spellStart"/>
      <w:r w:rsidRPr="00F47D72">
        <w:t>Laur</w:t>
      </w:r>
      <w:proofErr w:type="spellEnd"/>
      <w:r w:rsidRPr="00F47D72">
        <w:t xml:space="preserve">, </w:t>
      </w:r>
      <w:proofErr w:type="spellStart"/>
      <w:r w:rsidRPr="00F47D72">
        <w:t>Neamtu</w:t>
      </w:r>
      <w:proofErr w:type="spellEnd"/>
      <w:r w:rsidRPr="00F47D72">
        <w:t xml:space="preserve">, </w:t>
      </w:r>
      <w:proofErr w:type="spellStart"/>
      <w:r w:rsidRPr="00F47D72">
        <w:t>Vasile</w:t>
      </w:r>
      <w:proofErr w:type="spellEnd"/>
      <w:r w:rsidRPr="00F47D72">
        <w:t xml:space="preserve">, </w:t>
      </w:r>
      <w:proofErr w:type="spellStart"/>
      <w:r w:rsidRPr="00F47D72">
        <w:t>Mihalcioiu</w:t>
      </w:r>
      <w:proofErr w:type="spellEnd"/>
      <w:r w:rsidRPr="00F47D72">
        <w:t xml:space="preserve">, Adrian, </w:t>
      </w:r>
      <w:proofErr w:type="spellStart"/>
      <w:r w:rsidRPr="00F47D72">
        <w:t>Dascalescu</w:t>
      </w:r>
      <w:proofErr w:type="spellEnd"/>
      <w:r w:rsidRPr="00F47D72">
        <w:t>, Lucian (2005). Tribocharging of plastics granulates in a fluid</w:t>
      </w:r>
      <w:r w:rsidR="00514D39" w:rsidRPr="00F47D72">
        <w:t>ised</w:t>
      </w:r>
      <w:r w:rsidRPr="00F47D72">
        <w:t xml:space="preserve"> bed device. Journal of Electrostatics, 63(6-10), 937--942.</w:t>
      </w:r>
    </w:p>
    <w:p w14:paraId="48E5A061" w14:textId="77777777" w:rsidR="00D263B4" w:rsidRPr="00F47D72" w:rsidRDefault="00D263B4" w:rsidP="00D263B4"/>
    <w:p w14:paraId="1D86A1AE" w14:textId="4B16E896" w:rsidR="00D263B4" w:rsidRPr="00F47D72" w:rsidRDefault="00D263B4" w:rsidP="00D263B4">
      <w:proofErr w:type="spellStart"/>
      <w:r w:rsidRPr="00F47D72">
        <w:t>Iuga</w:t>
      </w:r>
      <w:proofErr w:type="spellEnd"/>
      <w:r w:rsidRPr="00F47D72">
        <w:t xml:space="preserve">, Alexandru, </w:t>
      </w:r>
      <w:proofErr w:type="spellStart"/>
      <w:r w:rsidRPr="00F47D72">
        <w:t>Samuila</w:t>
      </w:r>
      <w:proofErr w:type="spellEnd"/>
      <w:r w:rsidRPr="00F47D72">
        <w:t xml:space="preserve">, Adrian, </w:t>
      </w:r>
      <w:proofErr w:type="spellStart"/>
      <w:r w:rsidRPr="00F47D72">
        <w:t>Morar</w:t>
      </w:r>
      <w:proofErr w:type="spellEnd"/>
      <w:r w:rsidRPr="00F47D72">
        <w:t xml:space="preserve">, Roman, </w:t>
      </w:r>
      <w:proofErr w:type="spellStart"/>
      <w:r w:rsidRPr="00F47D72">
        <w:t>Bilici</w:t>
      </w:r>
      <w:proofErr w:type="spellEnd"/>
      <w:r w:rsidRPr="00F47D72">
        <w:t xml:space="preserve">, Mihai, </w:t>
      </w:r>
      <w:proofErr w:type="spellStart"/>
      <w:r w:rsidRPr="00F47D72">
        <w:t>Dascalescu</w:t>
      </w:r>
      <w:proofErr w:type="spellEnd"/>
      <w:r w:rsidRPr="00F47D72">
        <w:t>, Lucian (2016). Tribocharging techniques for the electrostatic separation of granular plastics from waste electric, electronic equipment. Particulate Science, Technology, 34(1), 45--54.</w:t>
      </w:r>
    </w:p>
    <w:p w14:paraId="25CC62B6" w14:textId="77777777" w:rsidR="00D263B4" w:rsidRPr="00F47D72" w:rsidRDefault="00D263B4" w:rsidP="00D263B4"/>
    <w:p w14:paraId="50F54868" w14:textId="3D256CC7" w:rsidR="00D263B4" w:rsidRPr="00F47D72" w:rsidRDefault="00D263B4" w:rsidP="00D263B4">
      <w:r w:rsidRPr="00F47D72">
        <w:t>Kelly, EG, Spottiswood, DJ (1989a). The theory of electrostatic separations: A review Part I. Fundamentals. Minerals Engineering, 2(1), 33--46.</w:t>
      </w:r>
    </w:p>
    <w:p w14:paraId="18BC9105" w14:textId="77777777" w:rsidR="00D263B4" w:rsidRPr="00F47D72" w:rsidRDefault="00D263B4" w:rsidP="00D263B4"/>
    <w:p w14:paraId="67F517E2" w14:textId="5FCAD8C5" w:rsidR="00D263B4" w:rsidRPr="00F47D72" w:rsidRDefault="00D263B4" w:rsidP="00D263B4">
      <w:r w:rsidRPr="00F47D72">
        <w:t xml:space="preserve">Kelly, EG, </w:t>
      </w:r>
      <w:proofErr w:type="spellStart"/>
      <w:r w:rsidRPr="00F47D72">
        <w:t>Spottiwood</w:t>
      </w:r>
      <w:proofErr w:type="spellEnd"/>
      <w:r w:rsidRPr="00F47D72">
        <w:t>, DJ (1989b). The theory of electrostatic separations: A review part II. Particle charging. Minerals Engineering, 2(2), 193--205.</w:t>
      </w:r>
    </w:p>
    <w:p w14:paraId="2A43B999" w14:textId="77777777" w:rsidR="00D263B4" w:rsidRPr="00F47D72" w:rsidRDefault="00D263B4" w:rsidP="00D263B4"/>
    <w:p w14:paraId="43CDE4E3" w14:textId="054B8AE9" w:rsidR="00D263B4" w:rsidRPr="00F47D72" w:rsidRDefault="00D263B4" w:rsidP="00D263B4">
      <w:r w:rsidRPr="00F47D72">
        <w:t>Kelly, EG, Spottiswood, DJ (1989c). The theory of electrostatic separations: A review part III. The separation of particles. Minerals Engineering, 2(3), 337--349.</w:t>
      </w:r>
    </w:p>
    <w:p w14:paraId="23E35D12" w14:textId="77777777" w:rsidR="00D263B4" w:rsidRPr="00F47D72" w:rsidRDefault="00D263B4" w:rsidP="00D263B4"/>
    <w:p w14:paraId="0F50EE2B" w14:textId="0D52F44A" w:rsidR="00D263B4" w:rsidRPr="00F47D72" w:rsidRDefault="00D263B4" w:rsidP="00D263B4">
      <w:proofErr w:type="spellStart"/>
      <w:r w:rsidRPr="00F47D72">
        <w:t>Kolehmainen</w:t>
      </w:r>
      <w:proofErr w:type="spellEnd"/>
      <w:r w:rsidRPr="00F47D72">
        <w:t xml:space="preserve">, </w:t>
      </w:r>
      <w:proofErr w:type="spellStart"/>
      <w:r w:rsidRPr="00F47D72">
        <w:t>Jari</w:t>
      </w:r>
      <w:proofErr w:type="spellEnd"/>
      <w:r w:rsidRPr="00F47D72">
        <w:t>, Ozel, Ali, Boyce, Christopher M, Sundaresan, Sankaran (2016). A hybrid approach to computing electrostatic forces in fluid</w:t>
      </w:r>
      <w:r w:rsidR="00514D39" w:rsidRPr="00F47D72">
        <w:t>ised</w:t>
      </w:r>
      <w:r w:rsidRPr="00F47D72">
        <w:t xml:space="preserve"> beds of charged particles. AIChE Journal, 62(7), 2282--2295.</w:t>
      </w:r>
    </w:p>
    <w:p w14:paraId="25E51365" w14:textId="77777777" w:rsidR="00D263B4" w:rsidRPr="00F47D72" w:rsidRDefault="00D263B4" w:rsidP="00D263B4"/>
    <w:p w14:paraId="2ECD9900" w14:textId="3D17390A" w:rsidR="00D263B4" w:rsidRPr="00F47D72" w:rsidRDefault="00D263B4" w:rsidP="00D263B4">
      <w:proofErr w:type="spellStart"/>
      <w:r w:rsidRPr="00F47D72">
        <w:t>Kolehmainen</w:t>
      </w:r>
      <w:proofErr w:type="spellEnd"/>
      <w:r w:rsidRPr="00F47D72">
        <w:t xml:space="preserve">, </w:t>
      </w:r>
      <w:proofErr w:type="spellStart"/>
      <w:r w:rsidRPr="00F47D72">
        <w:t>Jari</w:t>
      </w:r>
      <w:proofErr w:type="spellEnd"/>
      <w:r w:rsidRPr="00F47D72">
        <w:t>, Ozel, Ali, Boyce, Christopher M, Sundaresan, Sankaran (2017a). Triboelectric charging of monodisperse particles in fluid</w:t>
      </w:r>
      <w:r w:rsidR="00514D39" w:rsidRPr="00F47D72">
        <w:t>ised</w:t>
      </w:r>
      <w:r w:rsidRPr="00F47D72">
        <w:t xml:space="preserve"> beds. AIChE Journal, 63(6), 1872--1891.</w:t>
      </w:r>
    </w:p>
    <w:p w14:paraId="23414783" w14:textId="77777777" w:rsidR="00D263B4" w:rsidRPr="00F47D72" w:rsidRDefault="00D263B4" w:rsidP="00D263B4"/>
    <w:p w14:paraId="20736361" w14:textId="0C39555B" w:rsidR="00D263B4" w:rsidRPr="00F47D72" w:rsidRDefault="00D263B4" w:rsidP="00D263B4">
      <w:proofErr w:type="spellStart"/>
      <w:r w:rsidRPr="00F47D72">
        <w:t>Kolehmainen</w:t>
      </w:r>
      <w:proofErr w:type="spellEnd"/>
      <w:r w:rsidRPr="00F47D72">
        <w:t xml:space="preserve">, </w:t>
      </w:r>
      <w:proofErr w:type="spellStart"/>
      <w:r w:rsidRPr="00F47D72">
        <w:t>Jari</w:t>
      </w:r>
      <w:proofErr w:type="spellEnd"/>
      <w:r w:rsidRPr="00F47D72">
        <w:t xml:space="preserve">, </w:t>
      </w:r>
      <w:proofErr w:type="spellStart"/>
      <w:r w:rsidRPr="00F47D72">
        <w:t>Sippola</w:t>
      </w:r>
      <w:proofErr w:type="spellEnd"/>
      <w:r w:rsidRPr="00F47D72">
        <w:t xml:space="preserve">, Petteri, </w:t>
      </w:r>
      <w:proofErr w:type="spellStart"/>
      <w:r w:rsidRPr="00F47D72">
        <w:t>Raitanen</w:t>
      </w:r>
      <w:proofErr w:type="spellEnd"/>
      <w:r w:rsidRPr="00F47D72">
        <w:t xml:space="preserve">, </w:t>
      </w:r>
      <w:proofErr w:type="spellStart"/>
      <w:r w:rsidRPr="00F47D72">
        <w:t>Oskari</w:t>
      </w:r>
      <w:proofErr w:type="spellEnd"/>
      <w:r w:rsidRPr="00F47D72">
        <w:t xml:space="preserve">, Ozel, Ali, Boyce, Christopher M, </w:t>
      </w:r>
      <w:proofErr w:type="spellStart"/>
      <w:r w:rsidRPr="00F47D72">
        <w:t>Saarenrinne</w:t>
      </w:r>
      <w:proofErr w:type="spellEnd"/>
      <w:r w:rsidRPr="00F47D72">
        <w:t xml:space="preserve">, </w:t>
      </w:r>
      <w:proofErr w:type="spellStart"/>
      <w:r w:rsidRPr="00F47D72">
        <w:t>Pentti</w:t>
      </w:r>
      <w:proofErr w:type="spellEnd"/>
      <w:r w:rsidRPr="00F47D72">
        <w:t xml:space="preserve">, Sundaresan, Sankaran (2017b). Effect of humidity on triboelectric charging in a vertically vibrated granular bed: Experiments, </w:t>
      </w:r>
      <w:proofErr w:type="spellStart"/>
      <w:r w:rsidRPr="00F47D72">
        <w:t>modeling</w:t>
      </w:r>
      <w:proofErr w:type="spellEnd"/>
      <w:r w:rsidRPr="00F47D72">
        <w:t>. Chemical Engineering Science, 173, 363--373.</w:t>
      </w:r>
    </w:p>
    <w:p w14:paraId="342CF517" w14:textId="77777777" w:rsidR="00D263B4" w:rsidRPr="00F47D72" w:rsidRDefault="00D263B4" w:rsidP="00D263B4"/>
    <w:p w14:paraId="05B83391" w14:textId="0E8C372A" w:rsidR="00D263B4" w:rsidRPr="00F47D72" w:rsidRDefault="00D263B4" w:rsidP="00D263B4">
      <w:r w:rsidRPr="00F47D72">
        <w:t xml:space="preserve">Konopka, Ladislav, </w:t>
      </w:r>
      <w:proofErr w:type="spellStart"/>
      <w:r w:rsidRPr="00F47D72">
        <w:t>Kosek</w:t>
      </w:r>
      <w:proofErr w:type="spellEnd"/>
      <w:r w:rsidRPr="00F47D72">
        <w:t xml:space="preserve">, </w:t>
      </w:r>
      <w:proofErr w:type="spellStart"/>
      <w:r w:rsidRPr="00F47D72">
        <w:t>Juraj</w:t>
      </w:r>
      <w:proofErr w:type="spellEnd"/>
      <w:r w:rsidRPr="00F47D72">
        <w:t xml:space="preserve"> (2017). Discrete element </w:t>
      </w:r>
      <w:proofErr w:type="spellStart"/>
      <w:r w:rsidRPr="00F47D72">
        <w:t>modeling</w:t>
      </w:r>
      <w:proofErr w:type="spellEnd"/>
      <w:r w:rsidRPr="00F47D72">
        <w:t xml:space="preserve"> of electrostatic charging of polyethylene powder particles. Journal of electrostatics, 87, 150--157.</w:t>
      </w:r>
    </w:p>
    <w:p w14:paraId="1FF6EDDB" w14:textId="77777777" w:rsidR="00D263B4" w:rsidRPr="00F47D72" w:rsidRDefault="00D263B4" w:rsidP="00D263B4"/>
    <w:p w14:paraId="60E6CC31" w14:textId="21539E91" w:rsidR="00D263B4" w:rsidRPr="00F47D72" w:rsidRDefault="00D263B4" w:rsidP="00D263B4">
      <w:r w:rsidRPr="00F47D72">
        <w:t xml:space="preserve">Lacks, Daniel J, </w:t>
      </w:r>
      <w:proofErr w:type="spellStart"/>
      <w:r w:rsidRPr="00F47D72">
        <w:t>Levandovsky</w:t>
      </w:r>
      <w:proofErr w:type="spellEnd"/>
      <w:r w:rsidRPr="00F47D72">
        <w:t>, Artem (2007). Effect of particle size distribution on the polarity of triboelectric charging in granular insulator systems. Journal of Electrostatics, 65(2), 107--112.</w:t>
      </w:r>
    </w:p>
    <w:p w14:paraId="4BBAC843" w14:textId="77777777" w:rsidR="00D263B4" w:rsidRPr="00F47D72" w:rsidRDefault="00D263B4" w:rsidP="00D263B4"/>
    <w:p w14:paraId="0C749E70" w14:textId="77777777" w:rsidR="00D263B4" w:rsidRPr="00F47D72" w:rsidRDefault="00D263B4" w:rsidP="00D263B4">
      <w:r w:rsidRPr="00F47D72">
        <w:t xml:space="preserve">Lacks, Daniel J (2012). The unpredictability of electrostatic charging. </w:t>
      </w:r>
      <w:proofErr w:type="spellStart"/>
      <w:r w:rsidRPr="00F47D72">
        <w:t>Angewandte</w:t>
      </w:r>
      <w:proofErr w:type="spellEnd"/>
      <w:r w:rsidRPr="00F47D72">
        <w:t xml:space="preserve"> </w:t>
      </w:r>
      <w:proofErr w:type="spellStart"/>
      <w:r w:rsidRPr="00F47D72">
        <w:t>Chemie</w:t>
      </w:r>
      <w:proofErr w:type="spellEnd"/>
      <w:r w:rsidRPr="00F47D72">
        <w:t xml:space="preserve"> International Edition, 51(28), 6822--6823.</w:t>
      </w:r>
    </w:p>
    <w:p w14:paraId="156D4DB2" w14:textId="77777777" w:rsidR="00D263B4" w:rsidRPr="00F47D72" w:rsidRDefault="00D263B4" w:rsidP="00D263B4"/>
    <w:p w14:paraId="086995C6" w14:textId="70EED4F9" w:rsidR="00D263B4" w:rsidRPr="00F47D72" w:rsidRDefault="00D263B4" w:rsidP="00D263B4">
      <w:proofErr w:type="spellStart"/>
      <w:r w:rsidRPr="00F47D72">
        <w:lastRenderedPageBreak/>
        <w:t>Laurentie</w:t>
      </w:r>
      <w:proofErr w:type="spellEnd"/>
      <w:r w:rsidRPr="00F47D72">
        <w:t xml:space="preserve">, JC, </w:t>
      </w:r>
      <w:proofErr w:type="spellStart"/>
      <w:r w:rsidRPr="00F47D72">
        <w:t>Traoré</w:t>
      </w:r>
      <w:proofErr w:type="spellEnd"/>
      <w:r w:rsidRPr="00F47D72">
        <w:t xml:space="preserve">, P, </w:t>
      </w:r>
      <w:proofErr w:type="spellStart"/>
      <w:r w:rsidRPr="00F47D72">
        <w:t>Dascalescu</w:t>
      </w:r>
      <w:proofErr w:type="spellEnd"/>
      <w:r w:rsidRPr="00F47D72">
        <w:t xml:space="preserve">, L (2013). Discrete element </w:t>
      </w:r>
      <w:proofErr w:type="spellStart"/>
      <w:r w:rsidRPr="00F47D72">
        <w:t>modeling</w:t>
      </w:r>
      <w:proofErr w:type="spellEnd"/>
      <w:r w:rsidRPr="00F47D72">
        <w:t xml:space="preserve"> of triboelectric charging of insulating materials in vibrated granular beds. Journal of Electrostatics, 71(6), 951--957.</w:t>
      </w:r>
    </w:p>
    <w:p w14:paraId="47AF52BC" w14:textId="77777777" w:rsidR="00D263B4" w:rsidRPr="00F47D72" w:rsidRDefault="00D263B4" w:rsidP="00D263B4"/>
    <w:p w14:paraId="55A3795C" w14:textId="098CCE77" w:rsidR="00D263B4" w:rsidRPr="00F47D72" w:rsidRDefault="00D263B4" w:rsidP="00D263B4">
      <w:proofErr w:type="spellStart"/>
      <w:r w:rsidRPr="00F47D72">
        <w:t>Laurentie</w:t>
      </w:r>
      <w:proofErr w:type="spellEnd"/>
      <w:r w:rsidRPr="00F47D72">
        <w:t xml:space="preserve">, JC, </w:t>
      </w:r>
      <w:proofErr w:type="spellStart"/>
      <w:r w:rsidRPr="00F47D72">
        <w:t>Traoré</w:t>
      </w:r>
      <w:proofErr w:type="spellEnd"/>
      <w:r w:rsidRPr="00F47D72">
        <w:t xml:space="preserve"> Philippe, Dragan, </w:t>
      </w:r>
      <w:proofErr w:type="spellStart"/>
      <w:r w:rsidRPr="00F47D72">
        <w:t>Ciprian</w:t>
      </w:r>
      <w:proofErr w:type="spellEnd"/>
      <w:r w:rsidRPr="00F47D72">
        <w:t xml:space="preserve">, </w:t>
      </w:r>
      <w:proofErr w:type="spellStart"/>
      <w:r w:rsidRPr="00F47D72">
        <w:t>Dascalescu</w:t>
      </w:r>
      <w:proofErr w:type="spellEnd"/>
      <w:r w:rsidRPr="00F47D72">
        <w:t xml:space="preserve">, Lucian (2010). Numerical </w:t>
      </w:r>
      <w:proofErr w:type="spellStart"/>
      <w:r w:rsidRPr="00F47D72">
        <w:t>modeling</w:t>
      </w:r>
      <w:proofErr w:type="spellEnd"/>
      <w:r w:rsidRPr="00F47D72">
        <w:t xml:space="preserve"> of triboelectric charging of granular materials in vibrated beds. In 2010 IEEE Industry Applications Society Annual Meeting (IEEE Ed.), 1--6</w:t>
      </w:r>
      <w:proofErr w:type="gramStart"/>
      <w:r w:rsidRPr="00F47D72">
        <w:t>. .</w:t>
      </w:r>
      <w:proofErr w:type="gramEnd"/>
    </w:p>
    <w:p w14:paraId="21838967" w14:textId="77777777" w:rsidR="00D263B4" w:rsidRPr="00F47D72" w:rsidRDefault="00D263B4" w:rsidP="00D263B4"/>
    <w:p w14:paraId="7B73B39B" w14:textId="79D9544A" w:rsidR="00D263B4" w:rsidRPr="00F47D72" w:rsidRDefault="00D263B4" w:rsidP="00D263B4">
      <w:r w:rsidRPr="00F47D72">
        <w:t xml:space="preserve">Law, KY, </w:t>
      </w:r>
      <w:proofErr w:type="spellStart"/>
      <w:r w:rsidRPr="00F47D72">
        <w:t>Tarnawskyj</w:t>
      </w:r>
      <w:proofErr w:type="spellEnd"/>
      <w:r w:rsidRPr="00F47D72">
        <w:t xml:space="preserve">, IW, </w:t>
      </w:r>
      <w:proofErr w:type="spellStart"/>
      <w:r w:rsidRPr="00F47D72">
        <w:t>Salamida</w:t>
      </w:r>
      <w:proofErr w:type="spellEnd"/>
      <w:r w:rsidRPr="00F47D72">
        <w:t xml:space="preserve">, D, </w:t>
      </w:r>
      <w:proofErr w:type="spellStart"/>
      <w:r w:rsidRPr="00F47D72">
        <w:t>Debies</w:t>
      </w:r>
      <w:proofErr w:type="spellEnd"/>
      <w:r w:rsidRPr="00F47D72">
        <w:t xml:space="preserve">, T (1994). Tribocharging Mechanism </w:t>
      </w:r>
      <w:proofErr w:type="gramStart"/>
      <w:r w:rsidRPr="00F47D72">
        <w:t>In</w:t>
      </w:r>
      <w:proofErr w:type="gramEnd"/>
      <w:r w:rsidRPr="00F47D72">
        <w:t xml:space="preserve"> a Model Xerographic Toner. In INTERNATIONAL CONGRESS ON ADVANCES IN NONIMPACT PRINTING TECHNOLOGIES, 122--125</w:t>
      </w:r>
      <w:proofErr w:type="gramStart"/>
      <w:r w:rsidRPr="00F47D72">
        <w:t>. .</w:t>
      </w:r>
      <w:proofErr w:type="gramEnd"/>
    </w:p>
    <w:p w14:paraId="4A2BD0D2" w14:textId="77777777" w:rsidR="00D263B4" w:rsidRPr="00F47D72" w:rsidRDefault="00D263B4" w:rsidP="00D263B4"/>
    <w:p w14:paraId="20BE44CF" w14:textId="4E3B0B42" w:rsidR="00D263B4" w:rsidRPr="00F47D72" w:rsidRDefault="00D263B4" w:rsidP="00D263B4">
      <w:r w:rsidRPr="00F47D72">
        <w:t xml:space="preserve">Lawver, J E, </w:t>
      </w:r>
      <w:proofErr w:type="spellStart"/>
      <w:r w:rsidRPr="00F47D72">
        <w:t>Dyrenforth</w:t>
      </w:r>
      <w:proofErr w:type="spellEnd"/>
      <w:r w:rsidRPr="00F47D72">
        <w:t xml:space="preserve">, W P (1973). Electrostatic separation. In Electrostatics, its </w:t>
      </w:r>
      <w:proofErr w:type="gramStart"/>
      <w:r w:rsidRPr="00F47D72">
        <w:t>Applications</w:t>
      </w:r>
      <w:proofErr w:type="gramEnd"/>
      <w:r w:rsidRPr="00F47D72">
        <w:t>, 221--249. Wiley New York.</w:t>
      </w:r>
    </w:p>
    <w:p w14:paraId="54F18AC7" w14:textId="77777777" w:rsidR="00D263B4" w:rsidRPr="00F47D72" w:rsidRDefault="00D263B4" w:rsidP="00D263B4"/>
    <w:p w14:paraId="3E628AA6" w14:textId="0DF6ED12" w:rsidR="00D263B4" w:rsidRPr="00F47D72" w:rsidRDefault="00D263B4" w:rsidP="00D263B4">
      <w:r w:rsidRPr="00F47D72">
        <w:t xml:space="preserve">Li, Jia, Wu, </w:t>
      </w:r>
      <w:proofErr w:type="spellStart"/>
      <w:r w:rsidRPr="00F47D72">
        <w:t>Guiqing</w:t>
      </w:r>
      <w:proofErr w:type="spellEnd"/>
      <w:r w:rsidRPr="00F47D72">
        <w:t xml:space="preserve">, Xu, </w:t>
      </w:r>
      <w:proofErr w:type="spellStart"/>
      <w:r w:rsidRPr="00F47D72">
        <w:t>Zhenming</w:t>
      </w:r>
      <w:proofErr w:type="spellEnd"/>
      <w:r w:rsidRPr="00F47D72">
        <w:t xml:space="preserve"> (2015). Tribo-charging properties of waste plastic granules in process of tribo-electrostatic separation. Waste management, 35, 36--41.</w:t>
      </w:r>
    </w:p>
    <w:p w14:paraId="4B622BD9" w14:textId="77777777" w:rsidR="00D263B4" w:rsidRPr="00F47D72" w:rsidRDefault="00D263B4" w:rsidP="00D263B4"/>
    <w:p w14:paraId="656DC6CA" w14:textId="5165D9D2" w:rsidR="00D263B4" w:rsidRPr="00F47D72" w:rsidRDefault="00D263B4" w:rsidP="00D263B4">
      <w:proofErr w:type="spellStart"/>
      <w:r w:rsidRPr="00F47D72">
        <w:t>Manouchehri</w:t>
      </w:r>
      <w:proofErr w:type="spellEnd"/>
      <w:r w:rsidRPr="00F47D72">
        <w:t xml:space="preserve">, Hamid-Reza, </w:t>
      </w:r>
      <w:proofErr w:type="spellStart"/>
      <w:r w:rsidRPr="00F47D72">
        <w:t>Hanumantha</w:t>
      </w:r>
      <w:proofErr w:type="spellEnd"/>
      <w:r w:rsidRPr="00F47D72">
        <w:t xml:space="preserve"> Rao, K, </w:t>
      </w:r>
      <w:proofErr w:type="spellStart"/>
      <w:r w:rsidRPr="00F47D72">
        <w:t>Forssberg</w:t>
      </w:r>
      <w:proofErr w:type="spellEnd"/>
      <w:r w:rsidRPr="00F47D72">
        <w:t>, KSE (2000). Review of electrical separation methods - Part 1: Fundamental Aspects. Mining, Metallurgy, Exploration, 17(1), 23-36.</w:t>
      </w:r>
    </w:p>
    <w:p w14:paraId="76BBB1E5" w14:textId="77777777" w:rsidR="00D263B4" w:rsidRPr="00F47D72" w:rsidRDefault="00D263B4" w:rsidP="00D263B4"/>
    <w:p w14:paraId="3F700DF9" w14:textId="10390684" w:rsidR="00D263B4" w:rsidRPr="00F47D72" w:rsidRDefault="00D263B4" w:rsidP="00D263B4">
      <w:proofErr w:type="spellStart"/>
      <w:r w:rsidRPr="00F47D72">
        <w:t>Manouchehri</w:t>
      </w:r>
      <w:proofErr w:type="spellEnd"/>
      <w:r w:rsidRPr="00F47D72">
        <w:t xml:space="preserve">, Hamid-Reza, </w:t>
      </w:r>
      <w:proofErr w:type="spellStart"/>
      <w:r w:rsidRPr="00F47D72">
        <w:t>Hanumantha</w:t>
      </w:r>
      <w:proofErr w:type="spellEnd"/>
      <w:r w:rsidRPr="00F47D72">
        <w:t xml:space="preserve"> Rao, </w:t>
      </w:r>
      <w:proofErr w:type="gramStart"/>
      <w:r w:rsidRPr="00F47D72">
        <w:t>K ,</w:t>
      </w:r>
      <w:proofErr w:type="gramEnd"/>
      <w:r w:rsidRPr="00F47D72">
        <w:t xml:space="preserve"> </w:t>
      </w:r>
      <w:proofErr w:type="spellStart"/>
      <w:r w:rsidRPr="00F47D72">
        <w:t>Forssberg</w:t>
      </w:r>
      <w:proofErr w:type="spellEnd"/>
      <w:r w:rsidRPr="00F47D72">
        <w:t>, KSE (2000). Review of electrical separation methods - Part 2: Practical considerations. Mining, Metallurgy &amp; Exploration, 17(3), 139-166.</w:t>
      </w:r>
    </w:p>
    <w:p w14:paraId="576987F6" w14:textId="77777777" w:rsidR="00D263B4" w:rsidRPr="00F47D72" w:rsidRDefault="00D263B4" w:rsidP="00D263B4"/>
    <w:p w14:paraId="48D4D416" w14:textId="19A48406" w:rsidR="00D263B4" w:rsidRPr="00F47D72" w:rsidRDefault="00D263B4" w:rsidP="00D263B4">
      <w:proofErr w:type="spellStart"/>
      <w:r w:rsidRPr="00F47D72">
        <w:t>Matsusaka</w:t>
      </w:r>
      <w:proofErr w:type="spellEnd"/>
      <w:r w:rsidRPr="00F47D72">
        <w:t xml:space="preserve">, Shuji, </w:t>
      </w:r>
      <w:proofErr w:type="spellStart"/>
      <w:r w:rsidRPr="00F47D72">
        <w:t>Ghadiri</w:t>
      </w:r>
      <w:proofErr w:type="spellEnd"/>
      <w:r w:rsidRPr="00F47D72">
        <w:t xml:space="preserve">, </w:t>
      </w:r>
      <w:proofErr w:type="spellStart"/>
      <w:r w:rsidRPr="00F47D72">
        <w:t>Mojtaba</w:t>
      </w:r>
      <w:proofErr w:type="spellEnd"/>
      <w:r w:rsidRPr="00F47D72">
        <w:t>, Masuda, Hiroaki (2000). Electrification of an elastic sphere by repeated impacts on a metal plate. Journal of Physics D: Applied Physics, 33(18), 2311.</w:t>
      </w:r>
    </w:p>
    <w:p w14:paraId="20BA5E18" w14:textId="77777777" w:rsidR="00D263B4" w:rsidRPr="00F47D72" w:rsidRDefault="00D263B4" w:rsidP="00D263B4"/>
    <w:p w14:paraId="27D92689" w14:textId="0691C189" w:rsidR="00D263B4" w:rsidRPr="00F47D72" w:rsidRDefault="00D263B4" w:rsidP="00D263B4">
      <w:r w:rsidRPr="00F47D72">
        <w:t xml:space="preserve">McKay, David S, Carter, James L, Boles, Walter W, Allen, Carlton C, </w:t>
      </w:r>
      <w:proofErr w:type="spellStart"/>
      <w:r w:rsidRPr="00F47D72">
        <w:t>Allton</w:t>
      </w:r>
      <w:proofErr w:type="spellEnd"/>
      <w:r w:rsidRPr="00F47D72">
        <w:t xml:space="preserve">, Judith H (1994). JSC-1: A new lunar soil simulant. Engineering, </w:t>
      </w:r>
      <w:proofErr w:type="gramStart"/>
      <w:r w:rsidRPr="00F47D72">
        <w:t>construction,,</w:t>
      </w:r>
      <w:proofErr w:type="gramEnd"/>
      <w:r w:rsidRPr="00F47D72">
        <w:t xml:space="preserve"> operations in space IV, 2, 857--866.</w:t>
      </w:r>
    </w:p>
    <w:p w14:paraId="46BF9CCF" w14:textId="77777777" w:rsidR="00D263B4" w:rsidRPr="00F47D72" w:rsidRDefault="00D263B4" w:rsidP="00D263B4"/>
    <w:p w14:paraId="5E0972EC" w14:textId="3FEF9CA6" w:rsidR="00D263B4" w:rsidRPr="00F47D72" w:rsidRDefault="00D263B4" w:rsidP="00D263B4">
      <w:r w:rsidRPr="00F47D72">
        <w:t xml:space="preserve">Mukherjee, Raj, </w:t>
      </w:r>
      <w:proofErr w:type="spellStart"/>
      <w:r w:rsidRPr="00F47D72">
        <w:t>Sansare</w:t>
      </w:r>
      <w:proofErr w:type="spellEnd"/>
      <w:r w:rsidRPr="00F47D72">
        <w:t xml:space="preserve">, Sameera, Nagarajan, Venkatraman, Chaudhuri, Bodhisattwa (2021). Discrete Element </w:t>
      </w:r>
      <w:proofErr w:type="spellStart"/>
      <w:r w:rsidRPr="00F47D72">
        <w:t>Modeling</w:t>
      </w:r>
      <w:proofErr w:type="spellEnd"/>
      <w:r w:rsidRPr="00F47D72">
        <w:t xml:space="preserve"> ({DEM}) based investigation of tribocharging in the pharmaceutical powders during hopper discharge. International Journal of Pharmaceutics, 596, 120284.</w:t>
      </w:r>
    </w:p>
    <w:p w14:paraId="52C66272" w14:textId="77777777" w:rsidR="00D263B4" w:rsidRPr="00F47D72" w:rsidRDefault="00D263B4" w:rsidP="00D263B4"/>
    <w:p w14:paraId="2B8AABD7" w14:textId="0BA84E09" w:rsidR="00D263B4" w:rsidRPr="00F47D72" w:rsidRDefault="00D263B4" w:rsidP="00D263B4">
      <w:proofErr w:type="spellStart"/>
      <w:r w:rsidRPr="00F47D72">
        <w:t>Noshiro</w:t>
      </w:r>
      <w:proofErr w:type="spellEnd"/>
      <w:r w:rsidRPr="00F47D72">
        <w:t xml:space="preserve">, Toshihiko, Takeuchi, Manabu, ASANAE, Masumi, </w:t>
      </w:r>
      <w:proofErr w:type="spellStart"/>
      <w:r w:rsidRPr="00F47D72">
        <w:t>Ochiai</w:t>
      </w:r>
      <w:proofErr w:type="spellEnd"/>
      <w:r w:rsidRPr="00F47D72">
        <w:t>, Masahisa (1999). Influence of Toner Composition on Its Tribocharging Characteristics. Journal of the Society of Powder Technology, Japan, 36(9), 679--684.</w:t>
      </w:r>
    </w:p>
    <w:p w14:paraId="78E67046" w14:textId="77777777" w:rsidR="00D263B4" w:rsidRPr="00F47D72" w:rsidRDefault="00D263B4" w:rsidP="00D263B4"/>
    <w:p w14:paraId="01EF245C" w14:textId="1FBB8B94" w:rsidR="00D263B4" w:rsidRPr="00F47D72" w:rsidRDefault="00D263B4" w:rsidP="00D263B4">
      <w:r w:rsidRPr="00F47D72">
        <w:t xml:space="preserve">Pei, </w:t>
      </w:r>
      <w:proofErr w:type="spellStart"/>
      <w:r w:rsidRPr="00F47D72">
        <w:t>Chunlei</w:t>
      </w:r>
      <w:proofErr w:type="spellEnd"/>
      <w:r w:rsidRPr="00F47D72">
        <w:t xml:space="preserve">, Wu, Chuan-Yu, England, David, Byard, Stephen, </w:t>
      </w:r>
      <w:proofErr w:type="spellStart"/>
      <w:r w:rsidRPr="00F47D72">
        <w:t>Berchtold</w:t>
      </w:r>
      <w:proofErr w:type="spellEnd"/>
      <w:r w:rsidRPr="00F47D72">
        <w:t xml:space="preserve">, Harald, Adams, Michael (2015). DEM-CFD </w:t>
      </w:r>
      <w:proofErr w:type="spellStart"/>
      <w:r w:rsidRPr="00F47D72">
        <w:t>modeling</w:t>
      </w:r>
      <w:proofErr w:type="spellEnd"/>
      <w:r w:rsidRPr="00F47D72">
        <w:t xml:space="preserve"> of particle systems with long-range electrostatic interactions. AIChE Journal, 61(6), 1792--1803.</w:t>
      </w:r>
    </w:p>
    <w:p w14:paraId="4E529B50" w14:textId="77777777" w:rsidR="00D263B4" w:rsidRPr="00F47D72" w:rsidRDefault="00D263B4" w:rsidP="00D263B4">
      <w:proofErr w:type="spellStart"/>
      <w:r w:rsidRPr="00F47D72">
        <w:t>Pingali</w:t>
      </w:r>
      <w:proofErr w:type="spellEnd"/>
      <w:r w:rsidRPr="00F47D72">
        <w:t xml:space="preserve">, </w:t>
      </w:r>
      <w:proofErr w:type="spellStart"/>
      <w:r w:rsidRPr="00F47D72">
        <w:t>Kalyana</w:t>
      </w:r>
      <w:proofErr w:type="spellEnd"/>
      <w:r w:rsidRPr="00F47D72">
        <w:t xml:space="preserve"> C, Hammond, Stephen V, </w:t>
      </w:r>
      <w:proofErr w:type="spellStart"/>
      <w:r w:rsidRPr="00F47D72">
        <w:t>Muzzio</w:t>
      </w:r>
      <w:proofErr w:type="spellEnd"/>
      <w:r w:rsidRPr="00F47D72">
        <w:t xml:space="preserve">, Fernando J, </w:t>
      </w:r>
      <w:proofErr w:type="spellStart"/>
      <w:r w:rsidRPr="00F47D72">
        <w:t>Shinbrot</w:t>
      </w:r>
      <w:proofErr w:type="spellEnd"/>
      <w:r w:rsidRPr="00F47D72">
        <w:t>, Troy (2009). Use of a static eliminator to improve powder flow. International journal of pharmaceutics, 369(1-2), 2--4.</w:t>
      </w:r>
    </w:p>
    <w:p w14:paraId="0AE26829" w14:textId="77777777" w:rsidR="00D263B4" w:rsidRPr="00F47D72" w:rsidRDefault="00D263B4" w:rsidP="00D263B4"/>
    <w:p w14:paraId="521D2740" w14:textId="3B6E2085" w:rsidR="00D263B4" w:rsidRPr="00F47D72" w:rsidRDefault="00D263B4" w:rsidP="00D263B4">
      <w:r w:rsidRPr="00F47D72">
        <w:t xml:space="preserve">Quinn, Jacqueline W, Captain, Jim G, Weis, Kyle, Santiago-Maldonado, Edgardo, </w:t>
      </w:r>
      <w:proofErr w:type="spellStart"/>
      <w:r w:rsidRPr="00F47D72">
        <w:t>Trigwell</w:t>
      </w:r>
      <w:proofErr w:type="spellEnd"/>
      <w:r w:rsidRPr="00F47D72">
        <w:t xml:space="preserve">, Steve (2012). Evaluation of </w:t>
      </w:r>
      <w:proofErr w:type="spellStart"/>
      <w:r w:rsidRPr="00F47D72">
        <w:t>tribocharged</w:t>
      </w:r>
      <w:proofErr w:type="spellEnd"/>
      <w:r w:rsidRPr="00F47D72">
        <w:t xml:space="preserve"> electrostatic beneficiation of lunar simulant in lunar gravity. Journal of Aerospace Engineering, 26(1), 37--42.</w:t>
      </w:r>
    </w:p>
    <w:p w14:paraId="0655DC49" w14:textId="77777777" w:rsidR="00D263B4" w:rsidRPr="00F47D72" w:rsidRDefault="00D263B4" w:rsidP="00D263B4"/>
    <w:p w14:paraId="4377B544" w14:textId="2AC29834" w:rsidR="00D263B4" w:rsidRPr="00F47D72" w:rsidRDefault="00D263B4" w:rsidP="00D263B4">
      <w:r w:rsidRPr="00F47D72">
        <w:t xml:space="preserve">Rasera, J.N., Cilliers, J. J., </w:t>
      </w:r>
      <w:proofErr w:type="spellStart"/>
      <w:r w:rsidRPr="00F47D72">
        <w:t>Lamamy</w:t>
      </w:r>
      <w:proofErr w:type="spellEnd"/>
      <w:r w:rsidRPr="00F47D72">
        <w:t xml:space="preserve">, J.-A., </w:t>
      </w:r>
      <w:proofErr w:type="spellStart"/>
      <w:r w:rsidRPr="00F47D72">
        <w:t>Hadler</w:t>
      </w:r>
      <w:proofErr w:type="spellEnd"/>
      <w:r w:rsidRPr="00F47D72">
        <w:t>, K. (2020). The beneficiation of lunar regolith for space resource utilisation: A review. Planetary, Space Science, 186, 104879.</w:t>
      </w:r>
    </w:p>
    <w:p w14:paraId="43AA5D72" w14:textId="77777777" w:rsidR="00D263B4" w:rsidRPr="00F47D72" w:rsidRDefault="00D263B4" w:rsidP="00D263B4"/>
    <w:p w14:paraId="216A658A" w14:textId="6F0BEE1E" w:rsidR="00D263B4" w:rsidRPr="00F47D72" w:rsidRDefault="00D263B4" w:rsidP="00D263B4">
      <w:r w:rsidRPr="00F47D72">
        <w:t xml:space="preserve">Rasera, J.N., Cruise, R.D., Cilliers, J. J., </w:t>
      </w:r>
      <w:proofErr w:type="spellStart"/>
      <w:r w:rsidRPr="00F47D72">
        <w:t>Lamamy</w:t>
      </w:r>
      <w:proofErr w:type="spellEnd"/>
      <w:r w:rsidRPr="00F47D72">
        <w:t xml:space="preserve">, J.-A., </w:t>
      </w:r>
      <w:proofErr w:type="spellStart"/>
      <w:r w:rsidRPr="00F47D72">
        <w:t>Hadler</w:t>
      </w:r>
      <w:proofErr w:type="spellEnd"/>
      <w:r w:rsidRPr="00F47D72">
        <w:t>, K. (2022). Modelling the tribocharging process in 2D</w:t>
      </w:r>
      <w:r w:rsidR="00F227CE" w:rsidRPr="00F47D72">
        <w:t xml:space="preserve"> and </w:t>
      </w:r>
      <w:r w:rsidRPr="00F47D72">
        <w:t>3D. Powder Technology</w:t>
      </w:r>
      <w:proofErr w:type="gramStart"/>
      <w:r w:rsidRPr="00F47D72">
        <w:t>, ,</w:t>
      </w:r>
      <w:proofErr w:type="gramEnd"/>
      <w:r w:rsidRPr="00F47D72">
        <w:t xml:space="preserve"> 117607.</w:t>
      </w:r>
    </w:p>
    <w:p w14:paraId="5D40FE58" w14:textId="77777777" w:rsidR="00D263B4" w:rsidRPr="00F47D72" w:rsidRDefault="00D263B4" w:rsidP="00D263B4"/>
    <w:p w14:paraId="5C380594" w14:textId="431F9BB8" w:rsidR="00D263B4" w:rsidRPr="00F47D72" w:rsidRDefault="00D263B4" w:rsidP="00D263B4">
      <w:r w:rsidRPr="00F47D72">
        <w:t xml:space="preserve">Rasera, J.N., Cilliers, J.J., </w:t>
      </w:r>
      <w:proofErr w:type="spellStart"/>
      <w:r w:rsidRPr="00F47D72">
        <w:t>Lamamy</w:t>
      </w:r>
      <w:proofErr w:type="spellEnd"/>
      <w:r w:rsidRPr="00F47D72">
        <w:t xml:space="preserve">, J.-A., </w:t>
      </w:r>
      <w:proofErr w:type="spellStart"/>
      <w:r w:rsidRPr="00F47D72">
        <w:t>Hadler</w:t>
      </w:r>
      <w:proofErr w:type="spellEnd"/>
      <w:r w:rsidRPr="00F47D72">
        <w:t>, K. (2023). A methodology for tribocharger design optimisation using the Discrete Element</w:t>
      </w:r>
      <w:r w:rsidR="00F227CE" w:rsidRPr="00F47D72">
        <w:t xml:space="preserve"> </w:t>
      </w:r>
      <w:r w:rsidRPr="00F47D72">
        <w:t>Method (DEM). Powder Technology, 413, 118035.</w:t>
      </w:r>
    </w:p>
    <w:p w14:paraId="292362F8" w14:textId="77777777" w:rsidR="00F227CE" w:rsidRPr="00F47D72" w:rsidRDefault="00F227CE" w:rsidP="00D263B4"/>
    <w:p w14:paraId="2893842E" w14:textId="18A710B1" w:rsidR="00D263B4" w:rsidRPr="00F47D72" w:rsidRDefault="00D263B4" w:rsidP="00D263B4">
      <w:r w:rsidRPr="00F47D72">
        <w:lastRenderedPageBreak/>
        <w:t xml:space="preserve">Rasera, JN, Cilliers, JJ, </w:t>
      </w:r>
      <w:proofErr w:type="spellStart"/>
      <w:r w:rsidRPr="00F47D72">
        <w:t>Lamamy</w:t>
      </w:r>
      <w:proofErr w:type="spellEnd"/>
      <w:r w:rsidRPr="00F47D72">
        <w:t xml:space="preserve">, J-A, </w:t>
      </w:r>
      <w:proofErr w:type="spellStart"/>
      <w:r w:rsidRPr="00F47D72">
        <w:t>Hadler</w:t>
      </w:r>
      <w:proofErr w:type="spellEnd"/>
      <w:r w:rsidRPr="00F47D72">
        <w:t>, K (2023). Experimental investigation of an optimised tribocharger design for space resource utilisation. Planetary, Space Science, 228, 105651.</w:t>
      </w:r>
    </w:p>
    <w:p w14:paraId="663F93CF" w14:textId="77777777" w:rsidR="00F227CE" w:rsidRPr="00F47D72" w:rsidRDefault="00F227CE" w:rsidP="00D263B4"/>
    <w:p w14:paraId="1E922ADD" w14:textId="77777777" w:rsidR="00D263B4" w:rsidRPr="00F47D72" w:rsidRDefault="00D263B4" w:rsidP="00D263B4">
      <w:r w:rsidRPr="00F47D72">
        <w:t xml:space="preserve">Rodrigues, BM, </w:t>
      </w:r>
      <w:proofErr w:type="spellStart"/>
      <w:r w:rsidRPr="00F47D72">
        <w:t>Saron</w:t>
      </w:r>
      <w:proofErr w:type="spellEnd"/>
      <w:r w:rsidRPr="00F47D72">
        <w:t>, C (2022). Electrostatic separation of polymer waste by tribocharging system based on friction with PVC. International Journal of Environmental Science, Technology, 19(3), 1293--1300.</w:t>
      </w:r>
    </w:p>
    <w:p w14:paraId="646C7E11" w14:textId="77777777" w:rsidR="00F227CE" w:rsidRPr="00F47D72" w:rsidRDefault="00F227CE" w:rsidP="00D263B4"/>
    <w:p w14:paraId="68832A63" w14:textId="3016594C" w:rsidR="00D263B4" w:rsidRPr="00F47D72" w:rsidRDefault="00D263B4" w:rsidP="00D263B4">
      <w:proofErr w:type="spellStart"/>
      <w:r w:rsidRPr="00F47D72">
        <w:t>Sayfidinov</w:t>
      </w:r>
      <w:proofErr w:type="spellEnd"/>
      <w:r w:rsidRPr="00F47D72">
        <w:t xml:space="preserve">, </w:t>
      </w:r>
      <w:proofErr w:type="spellStart"/>
      <w:r w:rsidRPr="00F47D72">
        <w:t>Khaydarali</w:t>
      </w:r>
      <w:proofErr w:type="spellEnd"/>
      <w:r w:rsidRPr="00F47D72">
        <w:t xml:space="preserve">, </w:t>
      </w:r>
      <w:proofErr w:type="spellStart"/>
      <w:r w:rsidRPr="00F47D72">
        <w:t>Cezan</w:t>
      </w:r>
      <w:proofErr w:type="spellEnd"/>
      <w:r w:rsidRPr="00F47D72">
        <w:t xml:space="preserve">, S </w:t>
      </w:r>
      <w:proofErr w:type="spellStart"/>
      <w:r w:rsidRPr="00F47D72">
        <w:t>Doruk</w:t>
      </w:r>
      <w:proofErr w:type="spellEnd"/>
      <w:r w:rsidRPr="00F47D72">
        <w:t xml:space="preserve">, </w:t>
      </w:r>
      <w:proofErr w:type="spellStart"/>
      <w:r w:rsidRPr="00F47D72">
        <w:t>Baytekin</w:t>
      </w:r>
      <w:proofErr w:type="spellEnd"/>
      <w:r w:rsidRPr="00F47D72">
        <w:t xml:space="preserve">, Bilge, </w:t>
      </w:r>
      <w:proofErr w:type="spellStart"/>
      <w:r w:rsidRPr="00F47D72">
        <w:t>Baytekin</w:t>
      </w:r>
      <w:proofErr w:type="spellEnd"/>
      <w:r w:rsidRPr="00F47D72">
        <w:t xml:space="preserve">, H Tarik (2018). Minimizing friction, </w:t>
      </w:r>
      <w:proofErr w:type="gramStart"/>
      <w:r w:rsidRPr="00F47D72">
        <w:t>wear,,</w:t>
      </w:r>
      <w:proofErr w:type="gramEnd"/>
      <w:r w:rsidRPr="00F47D72">
        <w:t xml:space="preserve"> energy losses by eliminating contact charging. Science advances, 4(11), eaau3808.</w:t>
      </w:r>
    </w:p>
    <w:p w14:paraId="2F2EEDE8" w14:textId="77777777" w:rsidR="00F227CE" w:rsidRPr="00F47D72" w:rsidRDefault="00F227CE" w:rsidP="00D263B4"/>
    <w:p w14:paraId="0AFE0A75" w14:textId="312D3AA1" w:rsidR="00D263B4" w:rsidRPr="00F47D72" w:rsidRDefault="00D263B4" w:rsidP="00D263B4">
      <w:r w:rsidRPr="00F47D72">
        <w:t xml:space="preserve">Schein, LB, </w:t>
      </w:r>
      <w:proofErr w:type="spellStart"/>
      <w:r w:rsidRPr="00F47D72">
        <w:t>LaHa</w:t>
      </w:r>
      <w:proofErr w:type="spellEnd"/>
      <w:r w:rsidRPr="00F47D72">
        <w:t>, M, Novotny, D (1992). Theory of insulator charging. Physics Letters A, 167(1), 79--83.</w:t>
      </w:r>
    </w:p>
    <w:p w14:paraId="10DF4F39" w14:textId="77777777" w:rsidR="00F227CE" w:rsidRPr="00F47D72" w:rsidRDefault="00F227CE" w:rsidP="00D263B4"/>
    <w:p w14:paraId="19EC93A6" w14:textId="1EEAD335" w:rsidR="00D263B4" w:rsidRPr="00F47D72" w:rsidRDefault="00D263B4" w:rsidP="00D263B4">
      <w:proofErr w:type="spellStart"/>
      <w:r w:rsidRPr="00F47D72">
        <w:t>Shinbrot</w:t>
      </w:r>
      <w:proofErr w:type="spellEnd"/>
      <w:r w:rsidRPr="00F47D72">
        <w:t xml:space="preserve">, Troy, Komatsu, </w:t>
      </w:r>
      <w:proofErr w:type="spellStart"/>
      <w:r w:rsidRPr="00F47D72">
        <w:t>Teruhisa</w:t>
      </w:r>
      <w:proofErr w:type="spellEnd"/>
      <w:r w:rsidRPr="00F47D72">
        <w:t xml:space="preserve"> S, Zhao, Q (2008). Spontaneous tribocharging of similar materials. EPL (</w:t>
      </w:r>
      <w:proofErr w:type="spellStart"/>
      <w:r w:rsidRPr="00F47D72">
        <w:t>Europhysics</w:t>
      </w:r>
      <w:proofErr w:type="spellEnd"/>
      <w:r w:rsidRPr="00F47D72">
        <w:t xml:space="preserve"> Letters), 83(2), 24004.</w:t>
      </w:r>
    </w:p>
    <w:p w14:paraId="15603D00" w14:textId="77777777" w:rsidR="00F227CE" w:rsidRPr="00F47D72" w:rsidRDefault="00F227CE" w:rsidP="00D263B4"/>
    <w:p w14:paraId="23E8F756" w14:textId="507C7DFC" w:rsidR="00D263B4" w:rsidRPr="00F47D72" w:rsidRDefault="00D263B4" w:rsidP="00D263B4">
      <w:r w:rsidRPr="00F47D72">
        <w:t xml:space="preserve">Silveira, AVM, </w:t>
      </w:r>
      <w:proofErr w:type="spellStart"/>
      <w:r w:rsidRPr="00F47D72">
        <w:t>Cella</w:t>
      </w:r>
      <w:proofErr w:type="spellEnd"/>
      <w:r w:rsidRPr="00F47D72">
        <w:t xml:space="preserve">, M, Tanabe, EH, </w:t>
      </w:r>
      <w:proofErr w:type="spellStart"/>
      <w:r w:rsidRPr="00F47D72">
        <w:t>Bertuol</w:t>
      </w:r>
      <w:proofErr w:type="spellEnd"/>
      <w:r w:rsidRPr="00F47D72">
        <w:t>, DA (2018). Application of tribo-electrostatic separation in the</w:t>
      </w:r>
      <w:r w:rsidR="00F227CE" w:rsidRPr="00F47D72">
        <w:t xml:space="preserve"> </w:t>
      </w:r>
      <w:r w:rsidRPr="00F47D72">
        <w:t>recycling of plastic wastes. Process Safety, Environmental Protection, 114, 219--228.</w:t>
      </w:r>
    </w:p>
    <w:p w14:paraId="5F6EB7A2" w14:textId="77777777" w:rsidR="00F227CE" w:rsidRPr="00F47D72" w:rsidRDefault="00F227CE" w:rsidP="00D263B4"/>
    <w:p w14:paraId="3B656247" w14:textId="33E7891D" w:rsidR="00D263B4" w:rsidRPr="00F47D72" w:rsidRDefault="00D263B4" w:rsidP="00D263B4">
      <w:proofErr w:type="spellStart"/>
      <w:r w:rsidRPr="00F47D72">
        <w:t>Sippola</w:t>
      </w:r>
      <w:proofErr w:type="spellEnd"/>
      <w:r w:rsidRPr="00F47D72">
        <w:t xml:space="preserve">, Petteri, </w:t>
      </w:r>
      <w:proofErr w:type="spellStart"/>
      <w:r w:rsidRPr="00F47D72">
        <w:t>Kolehmainen</w:t>
      </w:r>
      <w:proofErr w:type="spellEnd"/>
      <w:r w:rsidRPr="00F47D72">
        <w:t xml:space="preserve">, </w:t>
      </w:r>
      <w:proofErr w:type="spellStart"/>
      <w:r w:rsidRPr="00F47D72">
        <w:t>Jari</w:t>
      </w:r>
      <w:proofErr w:type="spellEnd"/>
      <w:r w:rsidRPr="00F47D72">
        <w:t xml:space="preserve">, Ozel, Ali, Liu, </w:t>
      </w:r>
      <w:proofErr w:type="spellStart"/>
      <w:r w:rsidRPr="00F47D72">
        <w:t>Xiaoyu</w:t>
      </w:r>
      <w:proofErr w:type="spellEnd"/>
      <w:r w:rsidRPr="00F47D72">
        <w:t xml:space="preserve">, </w:t>
      </w:r>
      <w:proofErr w:type="spellStart"/>
      <w:r w:rsidRPr="00F47D72">
        <w:t>Saarenrinne</w:t>
      </w:r>
      <w:proofErr w:type="spellEnd"/>
      <w:r w:rsidRPr="00F47D72">
        <w:t xml:space="preserve">, </w:t>
      </w:r>
      <w:proofErr w:type="spellStart"/>
      <w:r w:rsidRPr="00F47D72">
        <w:t>Pentti</w:t>
      </w:r>
      <w:proofErr w:type="spellEnd"/>
      <w:r w:rsidRPr="00F47D72">
        <w:t xml:space="preserve">, Sundaresan, Sankaran (2018). Experimental, numerical study of wall layer development in a </w:t>
      </w:r>
      <w:proofErr w:type="spellStart"/>
      <w:r w:rsidRPr="00F47D72">
        <w:t>tribocharged</w:t>
      </w:r>
      <w:proofErr w:type="spellEnd"/>
      <w:r w:rsidRPr="00F47D72">
        <w:t xml:space="preserve"> fluid</w:t>
      </w:r>
      <w:r w:rsidR="00514D39" w:rsidRPr="00F47D72">
        <w:t>ised</w:t>
      </w:r>
      <w:r w:rsidRPr="00F47D72">
        <w:t xml:space="preserve"> bed. Journal of Fluid Mechanics, 849, 860--884.</w:t>
      </w:r>
    </w:p>
    <w:p w14:paraId="2ECE6294" w14:textId="77777777" w:rsidR="00F227CE" w:rsidRPr="00F47D72" w:rsidRDefault="00F227CE" w:rsidP="00D263B4"/>
    <w:p w14:paraId="3B7814EF" w14:textId="35879E3D" w:rsidR="00D263B4" w:rsidRPr="00F47D72" w:rsidRDefault="00D263B4" w:rsidP="00D263B4">
      <w:r w:rsidRPr="00F47D72">
        <w:t>Takagi, Koji, Castle, GSP, Takeuchi, Manabu (2003). Tribocharging mechanism of mono-component irregular, spherical toners in an electrophotographic development system. Powder technology, 135, 35--42.</w:t>
      </w:r>
    </w:p>
    <w:p w14:paraId="5B27E315" w14:textId="77777777" w:rsidR="00930C4B" w:rsidRPr="00F47D72" w:rsidRDefault="00930C4B" w:rsidP="00F227CE"/>
    <w:p w14:paraId="213F528E" w14:textId="4DDE1065" w:rsidR="00F227CE" w:rsidRPr="00F47D72" w:rsidRDefault="00F227CE" w:rsidP="00F227CE">
      <w:proofErr w:type="spellStart"/>
      <w:r w:rsidRPr="00F47D72">
        <w:t>Trigwell</w:t>
      </w:r>
      <w:proofErr w:type="spellEnd"/>
      <w:r w:rsidRPr="00F47D72">
        <w:t xml:space="preserve">, Steve, Grable, Nick, </w:t>
      </w:r>
      <w:proofErr w:type="spellStart"/>
      <w:r w:rsidRPr="00F47D72">
        <w:t>Yurteri</w:t>
      </w:r>
      <w:proofErr w:type="spellEnd"/>
      <w:r w:rsidRPr="00F47D72">
        <w:t>, Caner U, Sharma, Rajesh, Mazumder, Malay K (2003). Effects of surface properties on the tribocharging characteristics of polymer powder as applied to industrial processes. IEEE Transactions on Industry Applications, 39(1), 79--86.</w:t>
      </w:r>
    </w:p>
    <w:p w14:paraId="631FF6AF" w14:textId="77777777" w:rsidR="00F227CE" w:rsidRPr="00F47D72" w:rsidRDefault="00F227CE" w:rsidP="00D263B4"/>
    <w:p w14:paraId="7A88D101" w14:textId="2BAB3BC0" w:rsidR="00D263B4" w:rsidRPr="00F47D72" w:rsidRDefault="00D263B4" w:rsidP="00D263B4">
      <w:proofErr w:type="spellStart"/>
      <w:r w:rsidRPr="00F47D72">
        <w:t>Trigwell</w:t>
      </w:r>
      <w:proofErr w:type="spellEnd"/>
      <w:r w:rsidRPr="00F47D72">
        <w:t xml:space="preserve">, Steve, Captain, James G, </w:t>
      </w:r>
      <w:proofErr w:type="spellStart"/>
      <w:r w:rsidRPr="00F47D72">
        <w:t>Arens</w:t>
      </w:r>
      <w:proofErr w:type="spellEnd"/>
      <w:r w:rsidRPr="00F47D72">
        <w:t>, Ellen E, Quinn, Jacqueline W, Calle, Carlos I (2009). The use of tribocharging in the electrostatic beneficiation of lunar simulant. IEEE Transactions on Industry Applications, 45(3), 1060--1067.</w:t>
      </w:r>
    </w:p>
    <w:p w14:paraId="40B08950" w14:textId="77777777" w:rsidR="00F227CE" w:rsidRPr="00F47D72" w:rsidRDefault="00F227CE" w:rsidP="00D263B4"/>
    <w:p w14:paraId="6DC6FA76" w14:textId="4E436FA9" w:rsidR="00D263B4" w:rsidRPr="00F47D72" w:rsidRDefault="00D263B4" w:rsidP="00D263B4">
      <w:proofErr w:type="spellStart"/>
      <w:r w:rsidRPr="00F47D72">
        <w:t>Trigwell</w:t>
      </w:r>
      <w:proofErr w:type="spellEnd"/>
      <w:r w:rsidRPr="00F47D72">
        <w:t>, Steve, Captain, James, Weis, Kyle, Quinn, Jacqueline (2012). Electrostatic Beneficiation of Lunar Regolith: Applications in In Situ Resource Util</w:t>
      </w:r>
      <w:r w:rsidR="00514D39" w:rsidRPr="00F47D72">
        <w:t>isa</w:t>
      </w:r>
      <w:r w:rsidRPr="00F47D72">
        <w:t>tion. Journal of Aerospace Engineering, 26(1), 30--36.</w:t>
      </w:r>
    </w:p>
    <w:p w14:paraId="6F66B3CB" w14:textId="77777777" w:rsidR="00F227CE" w:rsidRPr="00F47D72" w:rsidRDefault="00F227CE" w:rsidP="00D263B4"/>
    <w:p w14:paraId="209F656D" w14:textId="36F4FBA5" w:rsidR="00D263B4" w:rsidRPr="00F47D72" w:rsidRDefault="00D263B4" w:rsidP="00D263B4">
      <w:proofErr w:type="spellStart"/>
      <w:r w:rsidRPr="00F47D72">
        <w:t>Waitukaitis</w:t>
      </w:r>
      <w:proofErr w:type="spellEnd"/>
      <w:r w:rsidRPr="00F47D72">
        <w:t>, Scott R, Lee, Victor, Pierson, James M, Forman, Steven L, Jaeger, Heinrich M (2014). Size-dependent same-material tribocharging in insulating grains. Physical Review Letters, 112(21), 218001.</w:t>
      </w:r>
    </w:p>
    <w:p w14:paraId="6F3A3BCB" w14:textId="77777777" w:rsidR="00930C4B" w:rsidRPr="00F47D72" w:rsidRDefault="00930C4B" w:rsidP="00D263B4"/>
    <w:p w14:paraId="1E02D161" w14:textId="0A90C74B" w:rsidR="00D263B4" w:rsidRPr="00F47D72" w:rsidRDefault="00D263B4" w:rsidP="00D263B4">
      <w:r w:rsidRPr="00F47D72">
        <w:t>Wills, Barry A, Finch, James (2015). Wills' mineral processing technology: an introduction to the practical aspects of ore treatment, mineral recovery. Butterworth-Heinemann.</w:t>
      </w:r>
    </w:p>
    <w:p w14:paraId="42F27018" w14:textId="77777777" w:rsidR="00930C4B" w:rsidRPr="00F47D72" w:rsidRDefault="00930C4B" w:rsidP="00D263B4"/>
    <w:p w14:paraId="6D27345A" w14:textId="2814D9C0" w:rsidR="00D263B4" w:rsidRPr="00F47D72" w:rsidRDefault="00D263B4" w:rsidP="00D263B4">
      <w:r w:rsidRPr="00F47D72">
        <w:t>Xie, L, Bao, N, Jiang, Y, Zhou, J (2016). Effect of humidity on contact electrification due to collision between spherical particles. AIP Advances, 6(3), 035117.</w:t>
      </w:r>
    </w:p>
    <w:p w14:paraId="7D6DC0FD" w14:textId="77777777" w:rsidR="00930C4B" w:rsidRPr="00F47D72" w:rsidRDefault="00930C4B" w:rsidP="00D263B4"/>
    <w:p w14:paraId="141050CB" w14:textId="69C31E49" w:rsidR="00D263B4" w:rsidRPr="00F47D72" w:rsidRDefault="00D263B4" w:rsidP="00D263B4">
      <w:r w:rsidRPr="00F47D72">
        <w:t>Xie, L, Li, G, Bao, N, Zhou, Jun (2013). Contact electrification by collision of homogenous particles. Journal of Applied Physics, 113(18), 184908.</w:t>
      </w:r>
    </w:p>
    <w:p w14:paraId="44543253" w14:textId="77777777" w:rsidR="00A21E6E" w:rsidRDefault="00A21E6E" w:rsidP="00D263B4"/>
    <w:p w14:paraId="5AB180F7" w14:textId="14455ED8" w:rsidR="00D263B4" w:rsidRPr="00F47D72" w:rsidRDefault="00D263B4" w:rsidP="00D263B4">
      <w:r w:rsidRPr="00F47D72">
        <w:t xml:space="preserve">Yu, </w:t>
      </w:r>
      <w:proofErr w:type="spellStart"/>
      <w:r w:rsidRPr="00F47D72">
        <w:t>Hongxiang</w:t>
      </w:r>
      <w:proofErr w:type="spellEnd"/>
      <w:r w:rsidRPr="00F47D72">
        <w:t>, Xie, Li, others (2017). Numerical simulation of particle size effects on contact electrification in granular systems. Journal of Electrostatics, 90, 113--122.</w:t>
      </w:r>
    </w:p>
    <w:p w14:paraId="39EB0ABA" w14:textId="77777777" w:rsidR="00930C4B" w:rsidRPr="00F47D72" w:rsidRDefault="00930C4B" w:rsidP="00D263B4"/>
    <w:p w14:paraId="66AD747F" w14:textId="759CA189" w:rsidR="00D263B4" w:rsidRPr="00F47D72" w:rsidRDefault="00D263B4" w:rsidP="00D263B4">
      <w:r w:rsidRPr="00F47D72">
        <w:t xml:space="preserve">Yu, Yue, Cilliers, Jan, </w:t>
      </w:r>
      <w:proofErr w:type="spellStart"/>
      <w:r w:rsidRPr="00F47D72">
        <w:t>Hadler</w:t>
      </w:r>
      <w:proofErr w:type="spellEnd"/>
      <w:r w:rsidRPr="00F47D72">
        <w:t xml:space="preserve">, Kathryn, Starr, Stanley, Wang, </w:t>
      </w:r>
      <w:proofErr w:type="spellStart"/>
      <w:r w:rsidRPr="00F47D72">
        <w:t>Yanghua</w:t>
      </w:r>
      <w:proofErr w:type="spellEnd"/>
      <w:r w:rsidRPr="00F47D72">
        <w:t xml:space="preserve"> (2024). Dry particle size separation using electrostatic traveling wave methods. Separation, Purification Technology,</w:t>
      </w:r>
      <w:r w:rsidR="00930C4B" w:rsidRPr="00F47D72">
        <w:t xml:space="preserve"> </w:t>
      </w:r>
      <w:r w:rsidRPr="00F47D72">
        <w:t>126275.</w:t>
      </w:r>
    </w:p>
    <w:p w14:paraId="7839B49C" w14:textId="77777777" w:rsidR="00930C4B" w:rsidRPr="00F47D72" w:rsidRDefault="00930C4B" w:rsidP="00D263B4"/>
    <w:p w14:paraId="275B1424" w14:textId="09074DA0" w:rsidR="00D263B4" w:rsidRPr="00F47D72" w:rsidRDefault="00D263B4" w:rsidP="00D263B4">
      <w:proofErr w:type="spellStart"/>
      <w:r w:rsidRPr="00F47D72">
        <w:t>Zelmat</w:t>
      </w:r>
      <w:proofErr w:type="spellEnd"/>
      <w:r w:rsidRPr="00F47D72">
        <w:t>, Mohamed El-</w:t>
      </w:r>
      <w:proofErr w:type="spellStart"/>
      <w:r w:rsidRPr="00F47D72">
        <w:t>Mouloud</w:t>
      </w:r>
      <w:proofErr w:type="spellEnd"/>
      <w:r w:rsidRPr="00F47D72">
        <w:t xml:space="preserve">, </w:t>
      </w:r>
      <w:proofErr w:type="spellStart"/>
      <w:r w:rsidRPr="00F47D72">
        <w:t>Rizouga</w:t>
      </w:r>
      <w:proofErr w:type="spellEnd"/>
      <w:r w:rsidRPr="00F47D72">
        <w:t xml:space="preserve">, Mohamed, </w:t>
      </w:r>
      <w:proofErr w:type="spellStart"/>
      <w:r w:rsidRPr="00F47D72">
        <w:t>Tilmatine</w:t>
      </w:r>
      <w:proofErr w:type="spellEnd"/>
      <w:r w:rsidRPr="00F47D72">
        <w:t xml:space="preserve">, Amar, </w:t>
      </w:r>
      <w:proofErr w:type="spellStart"/>
      <w:r w:rsidRPr="00F47D72">
        <w:t>Medles</w:t>
      </w:r>
      <w:proofErr w:type="spellEnd"/>
      <w:r w:rsidRPr="00F47D72">
        <w:t xml:space="preserve">, Karim, </w:t>
      </w:r>
      <w:proofErr w:type="spellStart"/>
      <w:r w:rsidRPr="00F47D72">
        <w:t>Miloudi</w:t>
      </w:r>
      <w:proofErr w:type="spellEnd"/>
      <w:r w:rsidRPr="00F47D72">
        <w:t xml:space="preserve">, Mohamed, </w:t>
      </w:r>
      <w:proofErr w:type="spellStart"/>
      <w:r w:rsidRPr="00F47D72">
        <w:t>Dascalescu</w:t>
      </w:r>
      <w:proofErr w:type="spellEnd"/>
      <w:r w:rsidRPr="00F47D72">
        <w:t>, Lucien (2013). Experimental comparative study of different tribocharging devices for triboelectric separation of insulating particles. IEEE Transactions on Industry Applications, 49(3), 1113--1118.</w:t>
      </w:r>
    </w:p>
    <w:p w14:paraId="276D676B" w14:textId="77777777" w:rsidR="00930C4B" w:rsidRPr="00F47D72" w:rsidRDefault="00930C4B" w:rsidP="00D263B4"/>
    <w:p w14:paraId="6C20610C" w14:textId="632C4CC6" w:rsidR="00D263B4" w:rsidRPr="00F47D72" w:rsidRDefault="00D263B4" w:rsidP="00D263B4">
      <w:r w:rsidRPr="00F47D72">
        <w:t xml:space="preserve">Zhao, Huiliang, Castle, GS Peter, </w:t>
      </w:r>
      <w:proofErr w:type="spellStart"/>
      <w:r w:rsidRPr="00F47D72">
        <w:t>Inculet</w:t>
      </w:r>
      <w:proofErr w:type="spellEnd"/>
      <w:r w:rsidRPr="00F47D72">
        <w:t>, Ion I, Bailey, Adrian G (2003). Bipolar charging of poly-disperse polymer powders in fluid</w:t>
      </w:r>
      <w:r w:rsidR="00514D39" w:rsidRPr="00F47D72">
        <w:t>ised</w:t>
      </w:r>
      <w:r w:rsidRPr="00F47D72">
        <w:t xml:space="preserve"> beds. IEEE Transactions on Industry Applications, 39(3), 612--618.</w:t>
      </w:r>
    </w:p>
    <w:p w14:paraId="5BE38C2D" w14:textId="77777777" w:rsidR="009A1532" w:rsidRPr="00F47D72" w:rsidRDefault="009A1532" w:rsidP="009A1532"/>
    <w:sectPr w:rsidR="009A1532" w:rsidRPr="00F47D72" w:rsidSect="000D3F1A">
      <w:footerReference w:type="even" r:id="rId21"/>
      <w:footerReference w:type="default" r:id="rId22"/>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E8A48" w14:textId="77777777" w:rsidR="004B3945" w:rsidRDefault="004B3945">
      <w:r>
        <w:separator/>
      </w:r>
    </w:p>
  </w:endnote>
  <w:endnote w:type="continuationSeparator" w:id="0">
    <w:p w14:paraId="094B0A5E" w14:textId="77777777" w:rsidR="004B3945" w:rsidRDefault="004B3945">
      <w:r>
        <w:continuationSeparator/>
      </w:r>
    </w:p>
  </w:endnote>
  <w:endnote w:type="continuationNotice" w:id="1">
    <w:p w14:paraId="15FA0B30" w14:textId="77777777" w:rsidR="004B3945" w:rsidRDefault="004B39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11E90" w14:textId="77777777" w:rsidR="00D06D96" w:rsidRDefault="00D06D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66EE57E5" w14:textId="77777777" w:rsidR="00D06D96" w:rsidRDefault="00D06D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F1908" w14:textId="1998BFEB" w:rsidR="00D06D96" w:rsidRDefault="00D06D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48AC">
      <w:rPr>
        <w:rStyle w:val="PageNumber"/>
        <w:noProof/>
      </w:rPr>
      <w:t>1</w:t>
    </w:r>
    <w:r>
      <w:rPr>
        <w:rStyle w:val="PageNumber"/>
      </w:rPr>
      <w:fldChar w:fldCharType="end"/>
    </w:r>
  </w:p>
  <w:p w14:paraId="5FA00280" w14:textId="77777777" w:rsidR="00D06D96" w:rsidRDefault="00D06D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4FA3F" w14:textId="77777777" w:rsidR="004B3945" w:rsidRDefault="004B3945">
      <w:r>
        <w:separator/>
      </w:r>
    </w:p>
  </w:footnote>
  <w:footnote w:type="continuationSeparator" w:id="0">
    <w:p w14:paraId="52C4196B" w14:textId="77777777" w:rsidR="004B3945" w:rsidRDefault="004B3945">
      <w:r>
        <w:continuationSeparator/>
      </w:r>
    </w:p>
  </w:footnote>
  <w:footnote w:type="continuationNotice" w:id="1">
    <w:p w14:paraId="28F4E367" w14:textId="77777777" w:rsidR="004B3945" w:rsidRDefault="004B3945"/>
  </w:footnote>
  <w:footnote w:id="2">
    <w:p w14:paraId="529948EC" w14:textId="7ADCD314" w:rsidR="004A16A7" w:rsidRPr="004A16A7" w:rsidRDefault="004A16A7">
      <w:pPr>
        <w:pStyle w:val="FootnoteText"/>
      </w:pPr>
      <w:r>
        <w:rPr>
          <w:rStyle w:val="FootnoteReference"/>
        </w:rPr>
        <w:footnoteRef/>
      </w:r>
      <w:r>
        <w:t xml:space="preserve"> Corresponding author: </w:t>
      </w:r>
      <w:hyperlink r:id="rId1" w:history="1">
        <w:r w:rsidRPr="00670343">
          <w:rPr>
            <w:rStyle w:val="Hyperlink"/>
          </w:rPr>
          <w:t>j.rasera@imperial.ac.uk</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AF4A8E"/>
    <w:multiLevelType w:val="hybridMultilevel"/>
    <w:tmpl w:val="845C5F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93A17"/>
    <w:multiLevelType w:val="hybridMultilevel"/>
    <w:tmpl w:val="C62AB4F8"/>
    <w:lvl w:ilvl="0" w:tplc="087E4962">
      <w:start w:val="1"/>
      <w:numFmt w:val="bullet"/>
      <w:pStyle w:val="Bulletsublist"/>
      <w:lvlText w:val="–"/>
      <w:lvlJc w:val="left"/>
      <w:pPr>
        <w:ind w:left="1368" w:hanging="360"/>
      </w:pPr>
      <w:rPr>
        <w:rFonts w:ascii="Times New Roman" w:hAnsi="Times New Roman" w:cs="Times New Roman"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2" w15:restartNumberingAfterBreak="0">
    <w:nsid w:val="28BE2E9D"/>
    <w:multiLevelType w:val="multilevel"/>
    <w:tmpl w:val="2D2E8FBA"/>
    <w:styleLink w:val="CurrentList1"/>
    <w:lvl w:ilvl="0">
      <w:start w:val="1"/>
      <w:numFmt w:val="bullet"/>
      <w:lvlText w:val=""/>
      <w:lvlJc w:val="left"/>
      <w:pPr>
        <w:ind w:left="1080" w:hanging="432"/>
      </w:pPr>
      <w:rPr>
        <w:rFonts w:ascii="Symbol" w:hAnsi="Symbol" w:hint="default"/>
        <w:color w:val="auto"/>
      </w:rPr>
    </w:lvl>
    <w:lvl w:ilvl="1">
      <w:start w:val="1"/>
      <w:numFmt w:val="none"/>
      <w:lvlText w:val="–"/>
      <w:lvlJc w:val="left"/>
      <w:pPr>
        <w:ind w:left="1440" w:hanging="360"/>
      </w:pPr>
      <w:rPr>
        <w:rFonts w:hint="default"/>
      </w:rPr>
    </w:lvl>
    <w:lvl w:ilvl="2">
      <w:start w:val="1"/>
      <w:numFmt w:val="none"/>
      <w:lvlText w:val="-"/>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398A2B7B"/>
    <w:multiLevelType w:val="hybridMultilevel"/>
    <w:tmpl w:val="DD92A6DA"/>
    <w:lvl w:ilvl="0" w:tplc="75D8824A">
      <w:start w:val="1"/>
      <w:numFmt w:val="decimal"/>
      <w:pStyle w:val="NumberList"/>
      <w:lvlText w:val="%1."/>
      <w:lvlJc w:val="left"/>
      <w:pPr>
        <w:ind w:left="720" w:hanging="360"/>
      </w:pPr>
      <w:rPr>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532DA2"/>
    <w:multiLevelType w:val="multilevel"/>
    <w:tmpl w:val="30EE61CA"/>
    <w:lvl w:ilvl="0">
      <w:start w:val="1"/>
      <w:numFmt w:val="bullet"/>
      <w:pStyle w:val="Bullet"/>
      <w:lvlText w:val=""/>
      <w:lvlJc w:val="left"/>
      <w:pPr>
        <w:ind w:left="1080" w:hanging="432"/>
      </w:pPr>
      <w:rPr>
        <w:rFonts w:ascii="Symbol" w:hAnsi="Symbol" w:hint="default"/>
        <w:color w:val="auto"/>
      </w:rPr>
    </w:lvl>
    <w:lvl w:ilvl="1">
      <w:start w:val="1"/>
      <w:numFmt w:val="none"/>
      <w:lvlText w:val="–"/>
      <w:lvlJc w:val="left"/>
      <w:pPr>
        <w:ind w:left="1440" w:hanging="360"/>
      </w:pPr>
      <w:rPr>
        <w:rFonts w:hint="default"/>
      </w:rPr>
    </w:lvl>
    <w:lvl w:ilvl="2">
      <w:start w:val="1"/>
      <w:numFmt w:val="none"/>
      <w:lvlText w:val="-"/>
      <w:lvlJc w:val="left"/>
      <w:pPr>
        <w:ind w:left="1800" w:hanging="36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3F3774F1"/>
    <w:multiLevelType w:val="hybridMultilevel"/>
    <w:tmpl w:val="860A9260"/>
    <w:lvl w:ilvl="0" w:tplc="F67A2C64">
      <w:start w:val="1"/>
      <w:numFmt w:val="bullet"/>
      <w:pStyle w:val="Bulletsubsublis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74350D"/>
    <w:multiLevelType w:val="hybridMultilevel"/>
    <w:tmpl w:val="F15E4DF8"/>
    <w:lvl w:ilvl="0" w:tplc="0A4A11D8">
      <w:start w:val="1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3022F8"/>
    <w:multiLevelType w:val="hybridMultilevel"/>
    <w:tmpl w:val="BA9A3D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5642E"/>
    <w:multiLevelType w:val="hybridMultilevel"/>
    <w:tmpl w:val="0562F0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0E1CD2"/>
    <w:multiLevelType w:val="hybridMultilevel"/>
    <w:tmpl w:val="B3C63A18"/>
    <w:lvl w:ilvl="0" w:tplc="3A1240D6">
      <w:start w:val="1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743469"/>
    <w:multiLevelType w:val="hybridMultilevel"/>
    <w:tmpl w:val="2E5023F0"/>
    <w:lvl w:ilvl="0" w:tplc="0809000B">
      <w:start w:val="3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263EB6"/>
    <w:multiLevelType w:val="hybridMultilevel"/>
    <w:tmpl w:val="09A2CF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51934">
    <w:abstractNumId w:val="3"/>
    <w:lvlOverride w:ilvl="0">
      <w:startOverride w:val="1"/>
    </w:lvlOverride>
  </w:num>
  <w:num w:numId="2" w16cid:durableId="1713994455">
    <w:abstractNumId w:val="3"/>
    <w:lvlOverride w:ilvl="0">
      <w:startOverride w:val="1"/>
    </w:lvlOverride>
  </w:num>
  <w:num w:numId="3" w16cid:durableId="376586039">
    <w:abstractNumId w:val="4"/>
  </w:num>
  <w:num w:numId="4" w16cid:durableId="1997805188">
    <w:abstractNumId w:val="2"/>
  </w:num>
  <w:num w:numId="5" w16cid:durableId="552890023">
    <w:abstractNumId w:val="5"/>
  </w:num>
  <w:num w:numId="6" w16cid:durableId="1365016398">
    <w:abstractNumId w:val="1"/>
  </w:num>
  <w:num w:numId="7" w16cid:durableId="1630666865">
    <w:abstractNumId w:val="10"/>
  </w:num>
  <w:num w:numId="8" w16cid:durableId="1118379716">
    <w:abstractNumId w:val="8"/>
  </w:num>
  <w:num w:numId="9" w16cid:durableId="1411804987">
    <w:abstractNumId w:val="11"/>
  </w:num>
  <w:num w:numId="10" w16cid:durableId="665673145">
    <w:abstractNumId w:val="7"/>
  </w:num>
  <w:num w:numId="11" w16cid:durableId="789518575">
    <w:abstractNumId w:val="0"/>
  </w:num>
  <w:num w:numId="12" w16cid:durableId="1296058279">
    <w:abstractNumId w:val="9"/>
  </w:num>
  <w:num w:numId="13" w16cid:durableId="1936786955">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proofState w:spelling="clean" w:grammar="clean"/>
  <w:stylePaneFormatFilter w:val="1201" w:allStyles="1" w:customStyles="0" w:latentStyles="0" w:stylesInUse="0" w:headingStyles="0" w:numberingStyles="0" w:tableStyles="0" w:directFormattingOnRuns="0" w:directFormattingOnParagraphs="1" w:directFormattingOnNumbering="0" w:directFormattingOnTables="0" w:clearFormatting="1" w:top3HeadingStyles="0" w:visibleStyles="0" w:alternateStyleNames="0"/>
  <w:documentProtection w:edit="trackedChanges" w:enforcement="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745"/>
    <w:rsid w:val="00002ED2"/>
    <w:rsid w:val="00006CBF"/>
    <w:rsid w:val="00007F26"/>
    <w:rsid w:val="00010490"/>
    <w:rsid w:val="000223B3"/>
    <w:rsid w:val="00023714"/>
    <w:rsid w:val="00023753"/>
    <w:rsid w:val="0002411D"/>
    <w:rsid w:val="000259DE"/>
    <w:rsid w:val="00031B10"/>
    <w:rsid w:val="00034CD8"/>
    <w:rsid w:val="00044674"/>
    <w:rsid w:val="00073785"/>
    <w:rsid w:val="00075DE6"/>
    <w:rsid w:val="00080D7B"/>
    <w:rsid w:val="00081130"/>
    <w:rsid w:val="00081E88"/>
    <w:rsid w:val="00092095"/>
    <w:rsid w:val="00096BC8"/>
    <w:rsid w:val="000A4E2E"/>
    <w:rsid w:val="000A5D24"/>
    <w:rsid w:val="000B277D"/>
    <w:rsid w:val="000B2FCF"/>
    <w:rsid w:val="000B4A3E"/>
    <w:rsid w:val="000B5C4A"/>
    <w:rsid w:val="000D0A2F"/>
    <w:rsid w:val="000D3F1A"/>
    <w:rsid w:val="000D4AF8"/>
    <w:rsid w:val="000D6E8E"/>
    <w:rsid w:val="000E12AF"/>
    <w:rsid w:val="000E202B"/>
    <w:rsid w:val="000E7D60"/>
    <w:rsid w:val="000F036D"/>
    <w:rsid w:val="000F3A58"/>
    <w:rsid w:val="000F5BD2"/>
    <w:rsid w:val="00112945"/>
    <w:rsid w:val="00114988"/>
    <w:rsid w:val="00114CF6"/>
    <w:rsid w:val="00114F89"/>
    <w:rsid w:val="00121646"/>
    <w:rsid w:val="0013229A"/>
    <w:rsid w:val="00136704"/>
    <w:rsid w:val="00136B27"/>
    <w:rsid w:val="00140ECF"/>
    <w:rsid w:val="00146123"/>
    <w:rsid w:val="00150449"/>
    <w:rsid w:val="00152670"/>
    <w:rsid w:val="0015472C"/>
    <w:rsid w:val="0016180F"/>
    <w:rsid w:val="0016767B"/>
    <w:rsid w:val="00167EAE"/>
    <w:rsid w:val="001726C0"/>
    <w:rsid w:val="00174EE3"/>
    <w:rsid w:val="00177F31"/>
    <w:rsid w:val="00184DE1"/>
    <w:rsid w:val="00190F40"/>
    <w:rsid w:val="0019125E"/>
    <w:rsid w:val="001921EB"/>
    <w:rsid w:val="00192A7D"/>
    <w:rsid w:val="001A3997"/>
    <w:rsid w:val="001A42E4"/>
    <w:rsid w:val="001A5B09"/>
    <w:rsid w:val="001B0A1B"/>
    <w:rsid w:val="001B32C7"/>
    <w:rsid w:val="001B4A83"/>
    <w:rsid w:val="001B7D66"/>
    <w:rsid w:val="001C6ADC"/>
    <w:rsid w:val="001D64F6"/>
    <w:rsid w:val="001E0352"/>
    <w:rsid w:val="001E0F39"/>
    <w:rsid w:val="001E22FD"/>
    <w:rsid w:val="001E54B1"/>
    <w:rsid w:val="001F0BD6"/>
    <w:rsid w:val="001F3BCD"/>
    <w:rsid w:val="001F5DA1"/>
    <w:rsid w:val="001F77BB"/>
    <w:rsid w:val="00200D81"/>
    <w:rsid w:val="00207EA8"/>
    <w:rsid w:val="00214268"/>
    <w:rsid w:val="00222065"/>
    <w:rsid w:val="00222C72"/>
    <w:rsid w:val="00222EEB"/>
    <w:rsid w:val="00231394"/>
    <w:rsid w:val="00234B64"/>
    <w:rsid w:val="00236518"/>
    <w:rsid w:val="0023738B"/>
    <w:rsid w:val="002379B7"/>
    <w:rsid w:val="00241883"/>
    <w:rsid w:val="00243E70"/>
    <w:rsid w:val="00257A5D"/>
    <w:rsid w:val="00277286"/>
    <w:rsid w:val="00280526"/>
    <w:rsid w:val="00284F4C"/>
    <w:rsid w:val="0028571E"/>
    <w:rsid w:val="00287843"/>
    <w:rsid w:val="00291C5D"/>
    <w:rsid w:val="00293994"/>
    <w:rsid w:val="00294429"/>
    <w:rsid w:val="002962A5"/>
    <w:rsid w:val="002970E6"/>
    <w:rsid w:val="002A21B7"/>
    <w:rsid w:val="002A2DB3"/>
    <w:rsid w:val="002B0421"/>
    <w:rsid w:val="002C2B7C"/>
    <w:rsid w:val="002C4E0C"/>
    <w:rsid w:val="002C6D2E"/>
    <w:rsid w:val="002D2AD0"/>
    <w:rsid w:val="002D3527"/>
    <w:rsid w:val="002D450F"/>
    <w:rsid w:val="002D48AC"/>
    <w:rsid w:val="002D52CC"/>
    <w:rsid w:val="002D7CA7"/>
    <w:rsid w:val="002E2AEC"/>
    <w:rsid w:val="002F2B2A"/>
    <w:rsid w:val="002F40EB"/>
    <w:rsid w:val="002F56D1"/>
    <w:rsid w:val="00303346"/>
    <w:rsid w:val="003072ED"/>
    <w:rsid w:val="0031042B"/>
    <w:rsid w:val="00316651"/>
    <w:rsid w:val="00317657"/>
    <w:rsid w:val="00320870"/>
    <w:rsid w:val="0032396B"/>
    <w:rsid w:val="00327D7A"/>
    <w:rsid w:val="003312BC"/>
    <w:rsid w:val="00333C3C"/>
    <w:rsid w:val="00333D28"/>
    <w:rsid w:val="00335494"/>
    <w:rsid w:val="00336854"/>
    <w:rsid w:val="0034266F"/>
    <w:rsid w:val="00353C08"/>
    <w:rsid w:val="00354755"/>
    <w:rsid w:val="003568EB"/>
    <w:rsid w:val="0036099E"/>
    <w:rsid w:val="003645F1"/>
    <w:rsid w:val="003649D7"/>
    <w:rsid w:val="0037225D"/>
    <w:rsid w:val="00377472"/>
    <w:rsid w:val="003916E9"/>
    <w:rsid w:val="0039513E"/>
    <w:rsid w:val="00396C07"/>
    <w:rsid w:val="003A30E4"/>
    <w:rsid w:val="003A3A03"/>
    <w:rsid w:val="003A42A4"/>
    <w:rsid w:val="003A4DA8"/>
    <w:rsid w:val="003B5D62"/>
    <w:rsid w:val="003C03A7"/>
    <w:rsid w:val="003C13F1"/>
    <w:rsid w:val="003C20DA"/>
    <w:rsid w:val="003C429C"/>
    <w:rsid w:val="003C7A25"/>
    <w:rsid w:val="003C7AC6"/>
    <w:rsid w:val="003D08D0"/>
    <w:rsid w:val="003D6FDA"/>
    <w:rsid w:val="003E3306"/>
    <w:rsid w:val="003E72B3"/>
    <w:rsid w:val="003F39B5"/>
    <w:rsid w:val="003F55C6"/>
    <w:rsid w:val="003F7928"/>
    <w:rsid w:val="004023B9"/>
    <w:rsid w:val="00402F07"/>
    <w:rsid w:val="00407FB2"/>
    <w:rsid w:val="0041183F"/>
    <w:rsid w:val="00427F93"/>
    <w:rsid w:val="00432D9F"/>
    <w:rsid w:val="00444344"/>
    <w:rsid w:val="00444607"/>
    <w:rsid w:val="0044549E"/>
    <w:rsid w:val="00450FDB"/>
    <w:rsid w:val="00466210"/>
    <w:rsid w:val="00471360"/>
    <w:rsid w:val="004775C3"/>
    <w:rsid w:val="00480523"/>
    <w:rsid w:val="00480AEB"/>
    <w:rsid w:val="00483119"/>
    <w:rsid w:val="00487DE6"/>
    <w:rsid w:val="00493E66"/>
    <w:rsid w:val="00497094"/>
    <w:rsid w:val="004A108F"/>
    <w:rsid w:val="004A16A7"/>
    <w:rsid w:val="004A1A9C"/>
    <w:rsid w:val="004A3F0B"/>
    <w:rsid w:val="004A47A1"/>
    <w:rsid w:val="004B0EA4"/>
    <w:rsid w:val="004B3945"/>
    <w:rsid w:val="004B3CFA"/>
    <w:rsid w:val="004B7BCF"/>
    <w:rsid w:val="004C03C8"/>
    <w:rsid w:val="004C2217"/>
    <w:rsid w:val="004C4AB0"/>
    <w:rsid w:val="004C4B37"/>
    <w:rsid w:val="004C714D"/>
    <w:rsid w:val="004D3FC2"/>
    <w:rsid w:val="004D4362"/>
    <w:rsid w:val="004F0745"/>
    <w:rsid w:val="004F5126"/>
    <w:rsid w:val="004F56EF"/>
    <w:rsid w:val="005114CB"/>
    <w:rsid w:val="00514D39"/>
    <w:rsid w:val="00516A60"/>
    <w:rsid w:val="00517EE6"/>
    <w:rsid w:val="00521928"/>
    <w:rsid w:val="00542363"/>
    <w:rsid w:val="00547FF9"/>
    <w:rsid w:val="00552152"/>
    <w:rsid w:val="005576C5"/>
    <w:rsid w:val="005605FD"/>
    <w:rsid w:val="005637F7"/>
    <w:rsid w:val="00564C27"/>
    <w:rsid w:val="00566B27"/>
    <w:rsid w:val="00567087"/>
    <w:rsid w:val="00572A2A"/>
    <w:rsid w:val="00573F3C"/>
    <w:rsid w:val="00574731"/>
    <w:rsid w:val="00576671"/>
    <w:rsid w:val="00580BD7"/>
    <w:rsid w:val="00581285"/>
    <w:rsid w:val="00581FAD"/>
    <w:rsid w:val="0058291B"/>
    <w:rsid w:val="00592274"/>
    <w:rsid w:val="005937BE"/>
    <w:rsid w:val="00594E86"/>
    <w:rsid w:val="00596D71"/>
    <w:rsid w:val="0059708B"/>
    <w:rsid w:val="005A5312"/>
    <w:rsid w:val="005A6DF5"/>
    <w:rsid w:val="005B42B3"/>
    <w:rsid w:val="005C5ADB"/>
    <w:rsid w:val="005C6E1B"/>
    <w:rsid w:val="005D67B9"/>
    <w:rsid w:val="005E03F7"/>
    <w:rsid w:val="005E1909"/>
    <w:rsid w:val="005E590B"/>
    <w:rsid w:val="005F3FE1"/>
    <w:rsid w:val="00600CB6"/>
    <w:rsid w:val="00601962"/>
    <w:rsid w:val="00605CF8"/>
    <w:rsid w:val="00611024"/>
    <w:rsid w:val="00615514"/>
    <w:rsid w:val="00617B1D"/>
    <w:rsid w:val="006213FB"/>
    <w:rsid w:val="006237D1"/>
    <w:rsid w:val="00630C9A"/>
    <w:rsid w:val="0063375E"/>
    <w:rsid w:val="006363D9"/>
    <w:rsid w:val="006365F3"/>
    <w:rsid w:val="00636F39"/>
    <w:rsid w:val="006379CF"/>
    <w:rsid w:val="006447B1"/>
    <w:rsid w:val="00650715"/>
    <w:rsid w:val="006535B5"/>
    <w:rsid w:val="00664F47"/>
    <w:rsid w:val="00685F0F"/>
    <w:rsid w:val="00693350"/>
    <w:rsid w:val="00695D43"/>
    <w:rsid w:val="006A22D0"/>
    <w:rsid w:val="006A22E2"/>
    <w:rsid w:val="006A7401"/>
    <w:rsid w:val="006B6431"/>
    <w:rsid w:val="006C54CB"/>
    <w:rsid w:val="006D2EED"/>
    <w:rsid w:val="006D6C6E"/>
    <w:rsid w:val="006E12A2"/>
    <w:rsid w:val="006E584F"/>
    <w:rsid w:val="006E61CD"/>
    <w:rsid w:val="006E6243"/>
    <w:rsid w:val="006F7334"/>
    <w:rsid w:val="006F76F0"/>
    <w:rsid w:val="00705516"/>
    <w:rsid w:val="00705F0E"/>
    <w:rsid w:val="0071564E"/>
    <w:rsid w:val="0071642F"/>
    <w:rsid w:val="00720E97"/>
    <w:rsid w:val="00721715"/>
    <w:rsid w:val="0073421B"/>
    <w:rsid w:val="007356B1"/>
    <w:rsid w:val="007358C4"/>
    <w:rsid w:val="0073625C"/>
    <w:rsid w:val="00750695"/>
    <w:rsid w:val="007530B6"/>
    <w:rsid w:val="00753B6E"/>
    <w:rsid w:val="00777896"/>
    <w:rsid w:val="00777EF5"/>
    <w:rsid w:val="0078214B"/>
    <w:rsid w:val="0078375E"/>
    <w:rsid w:val="00786968"/>
    <w:rsid w:val="007878B7"/>
    <w:rsid w:val="007958CE"/>
    <w:rsid w:val="007A0AEC"/>
    <w:rsid w:val="007A1143"/>
    <w:rsid w:val="007A62EB"/>
    <w:rsid w:val="007B5FD3"/>
    <w:rsid w:val="007C0E8F"/>
    <w:rsid w:val="007C6E2E"/>
    <w:rsid w:val="007D121C"/>
    <w:rsid w:val="007D532C"/>
    <w:rsid w:val="007D55DF"/>
    <w:rsid w:val="007E3C49"/>
    <w:rsid w:val="007E455D"/>
    <w:rsid w:val="007E713E"/>
    <w:rsid w:val="007F3A51"/>
    <w:rsid w:val="007F57C2"/>
    <w:rsid w:val="00801AA8"/>
    <w:rsid w:val="008054EF"/>
    <w:rsid w:val="00805C7A"/>
    <w:rsid w:val="00806499"/>
    <w:rsid w:val="0081049E"/>
    <w:rsid w:val="008136D2"/>
    <w:rsid w:val="00817738"/>
    <w:rsid w:val="00822124"/>
    <w:rsid w:val="00823DBC"/>
    <w:rsid w:val="0083062F"/>
    <w:rsid w:val="008306BC"/>
    <w:rsid w:val="00832C74"/>
    <w:rsid w:val="008333D2"/>
    <w:rsid w:val="00836F03"/>
    <w:rsid w:val="00837944"/>
    <w:rsid w:val="0084096C"/>
    <w:rsid w:val="00840D36"/>
    <w:rsid w:val="00843EAE"/>
    <w:rsid w:val="008453BB"/>
    <w:rsid w:val="00853084"/>
    <w:rsid w:val="008567F2"/>
    <w:rsid w:val="00861E03"/>
    <w:rsid w:val="00862796"/>
    <w:rsid w:val="0087022E"/>
    <w:rsid w:val="00870DD7"/>
    <w:rsid w:val="00872699"/>
    <w:rsid w:val="00875435"/>
    <w:rsid w:val="00880A42"/>
    <w:rsid w:val="00882C49"/>
    <w:rsid w:val="00886BA5"/>
    <w:rsid w:val="00891D46"/>
    <w:rsid w:val="00893867"/>
    <w:rsid w:val="008940C8"/>
    <w:rsid w:val="0089680C"/>
    <w:rsid w:val="008A01C6"/>
    <w:rsid w:val="008A243C"/>
    <w:rsid w:val="008A247A"/>
    <w:rsid w:val="008A5C62"/>
    <w:rsid w:val="008B0884"/>
    <w:rsid w:val="008B2A0F"/>
    <w:rsid w:val="008B42BA"/>
    <w:rsid w:val="008B63EB"/>
    <w:rsid w:val="008B7A30"/>
    <w:rsid w:val="008C1C55"/>
    <w:rsid w:val="008C4AA8"/>
    <w:rsid w:val="008D7F8B"/>
    <w:rsid w:val="008E3BA8"/>
    <w:rsid w:val="008F5289"/>
    <w:rsid w:val="00900027"/>
    <w:rsid w:val="00900C5F"/>
    <w:rsid w:val="00900D4B"/>
    <w:rsid w:val="009043B6"/>
    <w:rsid w:val="009053B3"/>
    <w:rsid w:val="00905785"/>
    <w:rsid w:val="00905FAF"/>
    <w:rsid w:val="00920DD2"/>
    <w:rsid w:val="00924E20"/>
    <w:rsid w:val="00930C4B"/>
    <w:rsid w:val="00930DCC"/>
    <w:rsid w:val="00937E55"/>
    <w:rsid w:val="00937F28"/>
    <w:rsid w:val="00941AB7"/>
    <w:rsid w:val="00946E20"/>
    <w:rsid w:val="009538BB"/>
    <w:rsid w:val="009559BD"/>
    <w:rsid w:val="00961F86"/>
    <w:rsid w:val="00975D17"/>
    <w:rsid w:val="00975F1D"/>
    <w:rsid w:val="00977F45"/>
    <w:rsid w:val="009812B3"/>
    <w:rsid w:val="00987A0A"/>
    <w:rsid w:val="0099063C"/>
    <w:rsid w:val="009935B5"/>
    <w:rsid w:val="0099779E"/>
    <w:rsid w:val="009A03E9"/>
    <w:rsid w:val="009A1532"/>
    <w:rsid w:val="009B3B12"/>
    <w:rsid w:val="009B4BB5"/>
    <w:rsid w:val="009C6C81"/>
    <w:rsid w:val="009D0767"/>
    <w:rsid w:val="009D0A6E"/>
    <w:rsid w:val="009D340A"/>
    <w:rsid w:val="009D634E"/>
    <w:rsid w:val="009D7EA2"/>
    <w:rsid w:val="009E1440"/>
    <w:rsid w:val="009E3353"/>
    <w:rsid w:val="009E5BD9"/>
    <w:rsid w:val="009F1805"/>
    <w:rsid w:val="00A011E8"/>
    <w:rsid w:val="00A075C0"/>
    <w:rsid w:val="00A07F7B"/>
    <w:rsid w:val="00A11237"/>
    <w:rsid w:val="00A15575"/>
    <w:rsid w:val="00A21E6E"/>
    <w:rsid w:val="00A277CB"/>
    <w:rsid w:val="00A30E64"/>
    <w:rsid w:val="00A35CEA"/>
    <w:rsid w:val="00A47904"/>
    <w:rsid w:val="00A518CF"/>
    <w:rsid w:val="00A52812"/>
    <w:rsid w:val="00A52A3A"/>
    <w:rsid w:val="00A52D74"/>
    <w:rsid w:val="00A54EBE"/>
    <w:rsid w:val="00A56AC4"/>
    <w:rsid w:val="00A56B48"/>
    <w:rsid w:val="00A56DF1"/>
    <w:rsid w:val="00A60487"/>
    <w:rsid w:val="00A63786"/>
    <w:rsid w:val="00A6533F"/>
    <w:rsid w:val="00A705D9"/>
    <w:rsid w:val="00A7116A"/>
    <w:rsid w:val="00A71F69"/>
    <w:rsid w:val="00A857DF"/>
    <w:rsid w:val="00A90A3F"/>
    <w:rsid w:val="00A91366"/>
    <w:rsid w:val="00A93A61"/>
    <w:rsid w:val="00A95376"/>
    <w:rsid w:val="00AA1971"/>
    <w:rsid w:val="00AA2A31"/>
    <w:rsid w:val="00AA3E2D"/>
    <w:rsid w:val="00AB1B4C"/>
    <w:rsid w:val="00AB4F66"/>
    <w:rsid w:val="00AB52E6"/>
    <w:rsid w:val="00AC301C"/>
    <w:rsid w:val="00AC7B13"/>
    <w:rsid w:val="00AD37F3"/>
    <w:rsid w:val="00AD7225"/>
    <w:rsid w:val="00AD749F"/>
    <w:rsid w:val="00AE071D"/>
    <w:rsid w:val="00AE2717"/>
    <w:rsid w:val="00AE3392"/>
    <w:rsid w:val="00AF78E9"/>
    <w:rsid w:val="00B01C52"/>
    <w:rsid w:val="00B0404A"/>
    <w:rsid w:val="00B0512A"/>
    <w:rsid w:val="00B06AEC"/>
    <w:rsid w:val="00B1050B"/>
    <w:rsid w:val="00B1288A"/>
    <w:rsid w:val="00B128C7"/>
    <w:rsid w:val="00B16708"/>
    <w:rsid w:val="00B16BC5"/>
    <w:rsid w:val="00B4381B"/>
    <w:rsid w:val="00B504ED"/>
    <w:rsid w:val="00B52FCF"/>
    <w:rsid w:val="00B559C9"/>
    <w:rsid w:val="00B61ADB"/>
    <w:rsid w:val="00B628E8"/>
    <w:rsid w:val="00B63377"/>
    <w:rsid w:val="00B654E7"/>
    <w:rsid w:val="00B70B66"/>
    <w:rsid w:val="00B71B91"/>
    <w:rsid w:val="00B767B9"/>
    <w:rsid w:val="00B900C1"/>
    <w:rsid w:val="00B91009"/>
    <w:rsid w:val="00B91645"/>
    <w:rsid w:val="00B96511"/>
    <w:rsid w:val="00BA0B82"/>
    <w:rsid w:val="00BB1D7F"/>
    <w:rsid w:val="00BB2895"/>
    <w:rsid w:val="00BB2C36"/>
    <w:rsid w:val="00BB2ED6"/>
    <w:rsid w:val="00BB493D"/>
    <w:rsid w:val="00BB7E0B"/>
    <w:rsid w:val="00BC0A25"/>
    <w:rsid w:val="00BC1331"/>
    <w:rsid w:val="00BC1EAA"/>
    <w:rsid w:val="00BD1774"/>
    <w:rsid w:val="00BD4141"/>
    <w:rsid w:val="00BD462C"/>
    <w:rsid w:val="00BD4F5F"/>
    <w:rsid w:val="00BD5124"/>
    <w:rsid w:val="00BE186E"/>
    <w:rsid w:val="00BE3E81"/>
    <w:rsid w:val="00BE7364"/>
    <w:rsid w:val="00BF1973"/>
    <w:rsid w:val="00BF34C3"/>
    <w:rsid w:val="00C01FBE"/>
    <w:rsid w:val="00C054E5"/>
    <w:rsid w:val="00C061D8"/>
    <w:rsid w:val="00C10144"/>
    <w:rsid w:val="00C14391"/>
    <w:rsid w:val="00C215FA"/>
    <w:rsid w:val="00C254C9"/>
    <w:rsid w:val="00C26EC0"/>
    <w:rsid w:val="00C27CBA"/>
    <w:rsid w:val="00C300F5"/>
    <w:rsid w:val="00C31D21"/>
    <w:rsid w:val="00C406C3"/>
    <w:rsid w:val="00C407AD"/>
    <w:rsid w:val="00C62758"/>
    <w:rsid w:val="00C659AD"/>
    <w:rsid w:val="00C72B86"/>
    <w:rsid w:val="00C755F4"/>
    <w:rsid w:val="00C75639"/>
    <w:rsid w:val="00C85915"/>
    <w:rsid w:val="00C87199"/>
    <w:rsid w:val="00C96133"/>
    <w:rsid w:val="00C96594"/>
    <w:rsid w:val="00C96F5F"/>
    <w:rsid w:val="00CA5EA8"/>
    <w:rsid w:val="00CB28A6"/>
    <w:rsid w:val="00CB4DD0"/>
    <w:rsid w:val="00CB62CF"/>
    <w:rsid w:val="00CB720D"/>
    <w:rsid w:val="00CD008B"/>
    <w:rsid w:val="00CD65DA"/>
    <w:rsid w:val="00CD6ABD"/>
    <w:rsid w:val="00CD6FD9"/>
    <w:rsid w:val="00CD725E"/>
    <w:rsid w:val="00CE1809"/>
    <w:rsid w:val="00CE395B"/>
    <w:rsid w:val="00CF3222"/>
    <w:rsid w:val="00CF4479"/>
    <w:rsid w:val="00CF7422"/>
    <w:rsid w:val="00D06D96"/>
    <w:rsid w:val="00D07DEE"/>
    <w:rsid w:val="00D10DE4"/>
    <w:rsid w:val="00D263B4"/>
    <w:rsid w:val="00D3201A"/>
    <w:rsid w:val="00D321D2"/>
    <w:rsid w:val="00D33DA6"/>
    <w:rsid w:val="00D616E6"/>
    <w:rsid w:val="00D7738E"/>
    <w:rsid w:val="00D80F5B"/>
    <w:rsid w:val="00D81F83"/>
    <w:rsid w:val="00D82802"/>
    <w:rsid w:val="00D82E56"/>
    <w:rsid w:val="00D833A8"/>
    <w:rsid w:val="00D8705D"/>
    <w:rsid w:val="00D87FC8"/>
    <w:rsid w:val="00D9250E"/>
    <w:rsid w:val="00D93317"/>
    <w:rsid w:val="00D97ADC"/>
    <w:rsid w:val="00DA18A6"/>
    <w:rsid w:val="00DA1D7D"/>
    <w:rsid w:val="00DA3C9E"/>
    <w:rsid w:val="00DB2F53"/>
    <w:rsid w:val="00DB31DF"/>
    <w:rsid w:val="00DB3F65"/>
    <w:rsid w:val="00DC1755"/>
    <w:rsid w:val="00DC55FC"/>
    <w:rsid w:val="00DC6E05"/>
    <w:rsid w:val="00DE6CFF"/>
    <w:rsid w:val="00DF003A"/>
    <w:rsid w:val="00DF410D"/>
    <w:rsid w:val="00E008D7"/>
    <w:rsid w:val="00E022D3"/>
    <w:rsid w:val="00E07938"/>
    <w:rsid w:val="00E11FBB"/>
    <w:rsid w:val="00E321BB"/>
    <w:rsid w:val="00E33274"/>
    <w:rsid w:val="00E332A7"/>
    <w:rsid w:val="00E37601"/>
    <w:rsid w:val="00E37E3A"/>
    <w:rsid w:val="00E455F8"/>
    <w:rsid w:val="00E468C8"/>
    <w:rsid w:val="00E4774B"/>
    <w:rsid w:val="00E47A33"/>
    <w:rsid w:val="00E5130D"/>
    <w:rsid w:val="00E54255"/>
    <w:rsid w:val="00E5721E"/>
    <w:rsid w:val="00E65DD5"/>
    <w:rsid w:val="00E672D8"/>
    <w:rsid w:val="00E72442"/>
    <w:rsid w:val="00E74293"/>
    <w:rsid w:val="00E74CAB"/>
    <w:rsid w:val="00E7537C"/>
    <w:rsid w:val="00E8583C"/>
    <w:rsid w:val="00E8774F"/>
    <w:rsid w:val="00E913A3"/>
    <w:rsid w:val="00E91620"/>
    <w:rsid w:val="00E94B09"/>
    <w:rsid w:val="00EA021F"/>
    <w:rsid w:val="00EA1FC6"/>
    <w:rsid w:val="00EA3BCA"/>
    <w:rsid w:val="00EA3F7E"/>
    <w:rsid w:val="00EA58F8"/>
    <w:rsid w:val="00EA6A1E"/>
    <w:rsid w:val="00EB1908"/>
    <w:rsid w:val="00EC0B6D"/>
    <w:rsid w:val="00EC238C"/>
    <w:rsid w:val="00EC2815"/>
    <w:rsid w:val="00ED01AD"/>
    <w:rsid w:val="00ED2A7E"/>
    <w:rsid w:val="00EE2C17"/>
    <w:rsid w:val="00EE34BF"/>
    <w:rsid w:val="00EE3654"/>
    <w:rsid w:val="00EE752F"/>
    <w:rsid w:val="00EF56E5"/>
    <w:rsid w:val="00EF6F61"/>
    <w:rsid w:val="00EF73F7"/>
    <w:rsid w:val="00EF7CAC"/>
    <w:rsid w:val="00F020E7"/>
    <w:rsid w:val="00F045C9"/>
    <w:rsid w:val="00F13118"/>
    <w:rsid w:val="00F158CF"/>
    <w:rsid w:val="00F1696E"/>
    <w:rsid w:val="00F210A3"/>
    <w:rsid w:val="00F227CE"/>
    <w:rsid w:val="00F22C9F"/>
    <w:rsid w:val="00F25608"/>
    <w:rsid w:val="00F25C35"/>
    <w:rsid w:val="00F27C22"/>
    <w:rsid w:val="00F37EC2"/>
    <w:rsid w:val="00F44B3C"/>
    <w:rsid w:val="00F47D72"/>
    <w:rsid w:val="00F50673"/>
    <w:rsid w:val="00F54737"/>
    <w:rsid w:val="00F60329"/>
    <w:rsid w:val="00F65D5C"/>
    <w:rsid w:val="00F65FCA"/>
    <w:rsid w:val="00F70262"/>
    <w:rsid w:val="00F7140D"/>
    <w:rsid w:val="00F71AA3"/>
    <w:rsid w:val="00F75647"/>
    <w:rsid w:val="00F76E88"/>
    <w:rsid w:val="00F770CA"/>
    <w:rsid w:val="00F80577"/>
    <w:rsid w:val="00F84671"/>
    <w:rsid w:val="00F92D82"/>
    <w:rsid w:val="00F93FE3"/>
    <w:rsid w:val="00FA0E99"/>
    <w:rsid w:val="00FA4C45"/>
    <w:rsid w:val="00FA5AFD"/>
    <w:rsid w:val="00FB1FBA"/>
    <w:rsid w:val="00FC2AC8"/>
    <w:rsid w:val="00FC37F2"/>
    <w:rsid w:val="00FC548E"/>
    <w:rsid w:val="00FC70DB"/>
    <w:rsid w:val="00FC7909"/>
    <w:rsid w:val="00FD0482"/>
    <w:rsid w:val="00FD13CA"/>
    <w:rsid w:val="00FD293B"/>
    <w:rsid w:val="00FD58E1"/>
    <w:rsid w:val="00FD5C10"/>
    <w:rsid w:val="00FD60A3"/>
    <w:rsid w:val="00FE43DF"/>
    <w:rsid w:val="00FE7EB1"/>
    <w:rsid w:val="00FF1423"/>
    <w:rsid w:val="00FF58AB"/>
    <w:rsid w:val="00FF76C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4E3D6"/>
  <w14:defaultImageDpi w14:val="330"/>
  <w15:chartTrackingRefBased/>
  <w15:docId w15:val="{5D4799D3-DDB0-BD4B-A618-97EB3E758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5"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6AEC"/>
    <w:rPr>
      <w:lang w:val="en-GB"/>
    </w:rPr>
  </w:style>
  <w:style w:type="paragraph" w:styleId="Heading1">
    <w:name w:val="heading 1"/>
    <w:basedOn w:val="Normal"/>
    <w:next w:val="Normal"/>
    <w:link w:val="Heading1Char"/>
    <w:uiPriority w:val="9"/>
    <w:qFormat/>
    <w:rsid w:val="00D3201A"/>
    <w:pPr>
      <w:keepNext/>
      <w:spacing w:before="240" w:after="120"/>
      <w:outlineLvl w:val="0"/>
    </w:pPr>
    <w:rPr>
      <w:b/>
      <w:caps/>
      <w:sz w:val="22"/>
    </w:rPr>
  </w:style>
  <w:style w:type="paragraph" w:styleId="Heading2">
    <w:name w:val="heading 2"/>
    <w:basedOn w:val="Normal"/>
    <w:next w:val="Normal"/>
    <w:qFormat/>
    <w:rsid w:val="00987A0A"/>
    <w:pPr>
      <w:keepNext/>
      <w:spacing w:before="240" w:after="120"/>
      <w:outlineLvl w:val="1"/>
    </w:pPr>
    <w:rPr>
      <w:b/>
      <w:sz w:val="22"/>
    </w:rPr>
  </w:style>
  <w:style w:type="paragraph" w:styleId="Heading3">
    <w:name w:val="heading 3"/>
    <w:basedOn w:val="Normal"/>
    <w:next w:val="Normal"/>
    <w:qFormat/>
    <w:rsid w:val="00D3201A"/>
    <w:pPr>
      <w:keepNext/>
      <w:spacing w:before="240" w:after="120"/>
      <w:outlineLvl w:val="2"/>
    </w:pPr>
    <w:rPr>
      <w:b/>
      <w:i/>
      <w:sz w:val="22"/>
    </w:rPr>
  </w:style>
  <w:style w:type="paragraph" w:styleId="Heading4">
    <w:name w:val="heading 4"/>
    <w:basedOn w:val="Normal"/>
    <w:next w:val="Normal"/>
    <w:pPr>
      <w:keepNext/>
      <w:ind w:left="720"/>
      <w:outlineLvl w:val="3"/>
    </w:pPr>
    <w:rPr>
      <w:b/>
      <w:sz w:val="22"/>
    </w:rPr>
  </w:style>
  <w:style w:type="paragraph" w:styleId="Heading5">
    <w:name w:val="heading 5"/>
    <w:basedOn w:val="Normal"/>
    <w:next w:val="Normal"/>
    <w:qFormat/>
    <w:rsid w:val="00DF410D"/>
    <w:pPr>
      <w:keepNext/>
      <w:ind w:left="2160" w:firstLine="720"/>
      <w:outlineLvl w:val="4"/>
    </w:pPr>
    <w:rPr>
      <w:b/>
    </w:rPr>
  </w:style>
  <w:style w:type="paragraph" w:styleId="Heading6">
    <w:name w:val="heading 6"/>
    <w:basedOn w:val="Normal"/>
    <w:next w:val="Normal"/>
    <w:rsid w:val="00DF410D"/>
    <w:pPr>
      <w:keepNext/>
      <w:outlineLvl w:val="5"/>
    </w:pPr>
    <w:rPr>
      <w:b/>
    </w:rPr>
  </w:style>
  <w:style w:type="paragraph" w:styleId="Heading7">
    <w:name w:val="heading 7"/>
    <w:basedOn w:val="Normal"/>
    <w:next w:val="Normal"/>
    <w:rsid w:val="00DF410D"/>
    <w:pPr>
      <w:keepNext/>
      <w:ind w:firstLine="720"/>
      <w:outlineLvl w:val="6"/>
    </w:pPr>
    <w:rPr>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87A0A"/>
    <w:pPr>
      <w:widowControl w:val="0"/>
    </w:pPr>
    <w:rPr>
      <w:sz w:val="22"/>
      <w:lang w:val="x-none" w:eastAsia="x-none"/>
    </w:rPr>
  </w:style>
  <w:style w:type="paragraph" w:styleId="BodyTextIndent">
    <w:name w:val="Body Text Indent"/>
    <w:basedOn w:val="Normal"/>
    <w:link w:val="BodyTextIndentChar"/>
    <w:rsid w:val="00EE3654"/>
    <w:pPr>
      <w:ind w:firstLine="720"/>
    </w:pPr>
    <w:rPr>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Bullet">
    <w:name w:val="Bullet"/>
    <w:basedOn w:val="BodyText"/>
    <w:next w:val="BodyText"/>
    <w:rsid w:val="009559BD"/>
    <w:pPr>
      <w:numPr>
        <w:numId w:val="3"/>
      </w:numPr>
      <w:spacing w:before="120"/>
      <w:ind w:left="990" w:hanging="270"/>
      <w:contextualSpacing/>
      <w:jc w:val="both"/>
    </w:pPr>
  </w:style>
  <w:style w:type="paragraph" w:styleId="Header">
    <w:name w:val="header"/>
    <w:basedOn w:val="Normal"/>
    <w:pPr>
      <w:tabs>
        <w:tab w:val="center" w:pos="4320"/>
        <w:tab w:val="right" w:pos="8640"/>
      </w:tabs>
    </w:pPr>
    <w:rPr>
      <w:sz w:val="22"/>
    </w:rPr>
  </w:style>
  <w:style w:type="paragraph" w:styleId="Title">
    <w:name w:val="Title"/>
    <w:basedOn w:val="Heading1"/>
    <w:qFormat/>
    <w:rsid w:val="008C1C55"/>
    <w:pPr>
      <w:spacing w:after="360"/>
      <w:jc w:val="center"/>
    </w:pPr>
    <w:rPr>
      <w:sz w:val="24"/>
      <w:szCs w:val="24"/>
    </w:rPr>
  </w:style>
  <w:style w:type="character" w:styleId="Hyperlink">
    <w:name w:val="Hyperlink"/>
    <w:rsid w:val="004F0745"/>
    <w:rPr>
      <w:color w:val="0000FF"/>
      <w:u w:val="single"/>
    </w:rPr>
  </w:style>
  <w:style w:type="paragraph" w:styleId="BalloonText">
    <w:name w:val="Balloon Text"/>
    <w:basedOn w:val="Normal"/>
    <w:semiHidden/>
    <w:rsid w:val="004B3EFE"/>
    <w:rPr>
      <w:rFonts w:ascii="Tahoma" w:hAnsi="Tahoma" w:cs="Tahoma"/>
      <w:sz w:val="16"/>
      <w:szCs w:val="16"/>
    </w:rPr>
  </w:style>
  <w:style w:type="paragraph" w:customStyle="1" w:styleId="LightGrid-Accent31">
    <w:name w:val="Light Grid - Accent 31"/>
    <w:basedOn w:val="Normal"/>
    <w:qFormat/>
    <w:rsid w:val="00297235"/>
    <w:pPr>
      <w:spacing w:after="200"/>
      <w:ind w:left="720"/>
      <w:contextualSpacing/>
    </w:pPr>
    <w:rPr>
      <w:rFonts w:ascii="Cambria" w:eastAsia="Cambria" w:hAnsi="Cambria"/>
      <w:sz w:val="24"/>
      <w:szCs w:val="24"/>
    </w:rPr>
  </w:style>
  <w:style w:type="character" w:styleId="FollowedHyperlink">
    <w:name w:val="FollowedHyperlink"/>
    <w:rsid w:val="004039E5"/>
    <w:rPr>
      <w:color w:val="800080"/>
      <w:u w:val="single"/>
    </w:rPr>
  </w:style>
  <w:style w:type="character" w:customStyle="1" w:styleId="BodyTextChar">
    <w:name w:val="Body Text Char"/>
    <w:link w:val="BodyText"/>
    <w:rsid w:val="00987A0A"/>
    <w:rPr>
      <w:sz w:val="22"/>
      <w:lang w:val="x-none" w:eastAsia="x-none"/>
    </w:rPr>
  </w:style>
  <w:style w:type="character" w:styleId="CommentReference">
    <w:name w:val="annotation reference"/>
    <w:rsid w:val="00DF003A"/>
    <w:rPr>
      <w:sz w:val="16"/>
      <w:szCs w:val="16"/>
    </w:rPr>
  </w:style>
  <w:style w:type="paragraph" w:styleId="CommentText">
    <w:name w:val="annotation text"/>
    <w:basedOn w:val="Normal"/>
    <w:link w:val="CommentTextChar"/>
    <w:rsid w:val="00DF003A"/>
  </w:style>
  <w:style w:type="character" w:customStyle="1" w:styleId="CommentTextChar">
    <w:name w:val="Comment Text Char"/>
    <w:basedOn w:val="DefaultParagraphFont"/>
    <w:link w:val="CommentText"/>
    <w:rsid w:val="00DF003A"/>
  </w:style>
  <w:style w:type="paragraph" w:styleId="CommentSubject">
    <w:name w:val="annotation subject"/>
    <w:basedOn w:val="CommentText"/>
    <w:next w:val="CommentText"/>
    <w:link w:val="CommentSubjectChar"/>
    <w:rsid w:val="00DF003A"/>
    <w:rPr>
      <w:b/>
      <w:bCs/>
      <w:lang w:val="x-none" w:eastAsia="x-none"/>
    </w:rPr>
  </w:style>
  <w:style w:type="character" w:customStyle="1" w:styleId="CommentSubjectChar">
    <w:name w:val="Comment Subject Char"/>
    <w:link w:val="CommentSubject"/>
    <w:rsid w:val="00DF003A"/>
    <w:rPr>
      <w:b/>
      <w:bCs/>
    </w:rPr>
  </w:style>
  <w:style w:type="paragraph" w:customStyle="1" w:styleId="MediumList2-Accent21">
    <w:name w:val="Medium List 2 - Accent 21"/>
    <w:hidden/>
    <w:uiPriority w:val="71"/>
    <w:rsid w:val="00594E86"/>
  </w:style>
  <w:style w:type="paragraph" w:customStyle="1" w:styleId="Reference">
    <w:name w:val="Reference"/>
    <w:basedOn w:val="Normal"/>
    <w:qFormat/>
    <w:rsid w:val="00D3201A"/>
    <w:pPr>
      <w:ind w:left="360" w:hanging="360"/>
    </w:pPr>
    <w:rPr>
      <w:sz w:val="22"/>
    </w:rPr>
  </w:style>
  <w:style w:type="paragraph" w:customStyle="1" w:styleId="SourceLine">
    <w:name w:val="Source Line"/>
    <w:basedOn w:val="Heading3"/>
    <w:qFormat/>
    <w:rsid w:val="00900D4B"/>
    <w:pPr>
      <w:keepNext w:val="0"/>
      <w:widowControl w:val="0"/>
      <w:spacing w:before="60"/>
      <w:outlineLvl w:val="9"/>
    </w:pPr>
    <w:rPr>
      <w:b w:val="0"/>
      <w:sz w:val="16"/>
      <w:szCs w:val="16"/>
    </w:rPr>
  </w:style>
  <w:style w:type="paragraph" w:customStyle="1" w:styleId="Footnote">
    <w:name w:val="Footnote"/>
    <w:basedOn w:val="BodyText"/>
    <w:qFormat/>
    <w:rsid w:val="0087022E"/>
    <w:rPr>
      <w:sz w:val="16"/>
      <w:szCs w:val="16"/>
    </w:rPr>
  </w:style>
  <w:style w:type="paragraph" w:customStyle="1" w:styleId="NumberList">
    <w:name w:val="Number List"/>
    <w:basedOn w:val="BodyText"/>
    <w:qFormat/>
    <w:rsid w:val="00C96F5F"/>
    <w:pPr>
      <w:numPr>
        <w:numId w:val="1"/>
      </w:numPr>
      <w:spacing w:before="120" w:after="120"/>
      <w:contextualSpacing/>
    </w:pPr>
  </w:style>
  <w:style w:type="paragraph" w:customStyle="1" w:styleId="FigureCaption">
    <w:name w:val="Figure Caption"/>
    <w:basedOn w:val="Normal"/>
    <w:qFormat/>
    <w:rsid w:val="00DF410D"/>
    <w:pPr>
      <w:spacing w:after="200"/>
    </w:pPr>
    <w:rPr>
      <w:b/>
      <w:bCs/>
      <w:sz w:val="18"/>
      <w:szCs w:val="18"/>
    </w:rPr>
  </w:style>
  <w:style w:type="paragraph" w:customStyle="1" w:styleId="TableTitle">
    <w:name w:val="Table Title"/>
    <w:basedOn w:val="Normal"/>
    <w:qFormat/>
    <w:rsid w:val="007358C4"/>
    <w:pPr>
      <w:keepNext/>
    </w:pPr>
    <w:rPr>
      <w:b/>
      <w:bCs/>
    </w:rPr>
  </w:style>
  <w:style w:type="paragraph" w:customStyle="1" w:styleId="TableColumnHeadCentered">
    <w:name w:val="Table Column Head Centered"/>
    <w:basedOn w:val="Heading3"/>
    <w:qFormat/>
    <w:rsid w:val="00C96F5F"/>
    <w:pPr>
      <w:keepNext w:val="0"/>
      <w:widowControl w:val="0"/>
      <w:jc w:val="center"/>
    </w:pPr>
    <w:rPr>
      <w:i w:val="0"/>
    </w:rPr>
  </w:style>
  <w:style w:type="paragraph" w:customStyle="1" w:styleId="TableCellText">
    <w:name w:val="Table Cell Text"/>
    <w:basedOn w:val="Normal"/>
    <w:qFormat/>
    <w:rsid w:val="00C96F5F"/>
    <w:pPr>
      <w:spacing w:before="60" w:after="60"/>
    </w:pPr>
  </w:style>
  <w:style w:type="paragraph" w:styleId="Revision">
    <w:name w:val="Revision"/>
    <w:hidden/>
    <w:uiPriority w:val="99"/>
    <w:semiHidden/>
    <w:rsid w:val="00F210A3"/>
  </w:style>
  <w:style w:type="numbering" w:customStyle="1" w:styleId="CurrentList1">
    <w:name w:val="Current List1"/>
    <w:uiPriority w:val="99"/>
    <w:rsid w:val="00987A0A"/>
    <w:pPr>
      <w:numPr>
        <w:numId w:val="4"/>
      </w:numPr>
    </w:pPr>
  </w:style>
  <w:style w:type="character" w:customStyle="1" w:styleId="BodyTextIndentChar">
    <w:name w:val="Body Text Indent Char"/>
    <w:basedOn w:val="DefaultParagraphFont"/>
    <w:link w:val="BodyTextIndent"/>
    <w:rsid w:val="00EE3654"/>
    <w:rPr>
      <w:sz w:val="22"/>
    </w:rPr>
  </w:style>
  <w:style w:type="paragraph" w:customStyle="1" w:styleId="Bulletsublist">
    <w:name w:val="Bullet sublist"/>
    <w:basedOn w:val="Bullet"/>
    <w:qFormat/>
    <w:rsid w:val="009559BD"/>
    <w:pPr>
      <w:numPr>
        <w:numId w:val="6"/>
      </w:numPr>
      <w:spacing w:before="0"/>
      <w:ind w:hanging="288"/>
    </w:pPr>
  </w:style>
  <w:style w:type="paragraph" w:customStyle="1" w:styleId="Bulletsubsublist">
    <w:name w:val="Bullet subsublist"/>
    <w:basedOn w:val="Bulletsublist"/>
    <w:qFormat/>
    <w:rsid w:val="009559BD"/>
    <w:pPr>
      <w:numPr>
        <w:numId w:val="5"/>
      </w:numPr>
      <w:ind w:left="1710" w:hanging="270"/>
    </w:pPr>
  </w:style>
  <w:style w:type="character" w:styleId="Strong">
    <w:name w:val="Strong"/>
    <w:basedOn w:val="DefaultParagraphFont"/>
    <w:qFormat/>
    <w:rsid w:val="00EE3654"/>
    <w:rPr>
      <w:b/>
      <w:bCs/>
    </w:rPr>
  </w:style>
  <w:style w:type="paragraph" w:customStyle="1" w:styleId="anchorcentered">
    <w:name w:val="anchor centered"/>
    <w:basedOn w:val="BodyText"/>
    <w:qFormat/>
    <w:rsid w:val="00C96F5F"/>
    <w:pPr>
      <w:jc w:val="center"/>
    </w:pPr>
  </w:style>
  <w:style w:type="paragraph" w:customStyle="1" w:styleId="TableColumnHeadLeft">
    <w:name w:val="Table Column Head Left"/>
    <w:basedOn w:val="TableColumnHeadCentered"/>
    <w:rsid w:val="00C96F5F"/>
    <w:pPr>
      <w:spacing w:before="120" w:after="60"/>
      <w:jc w:val="left"/>
    </w:pPr>
    <w:rPr>
      <w:bCs/>
    </w:rPr>
  </w:style>
  <w:style w:type="paragraph" w:customStyle="1" w:styleId="TableCellTextCentered">
    <w:name w:val="Table Cell Text Centered"/>
    <w:basedOn w:val="TableCellText"/>
    <w:qFormat/>
    <w:rsid w:val="00C96F5F"/>
    <w:pPr>
      <w:jc w:val="center"/>
    </w:pPr>
  </w:style>
  <w:style w:type="character" w:customStyle="1" w:styleId="Heading1Char">
    <w:name w:val="Heading 1 Char"/>
    <w:basedOn w:val="DefaultParagraphFont"/>
    <w:link w:val="Heading1"/>
    <w:uiPriority w:val="9"/>
    <w:rsid w:val="00291C5D"/>
    <w:rPr>
      <w:b/>
      <w:caps/>
      <w:sz w:val="22"/>
    </w:rPr>
  </w:style>
  <w:style w:type="paragraph" w:styleId="NormalWeb">
    <w:name w:val="Normal (Web)"/>
    <w:basedOn w:val="Normal"/>
    <w:uiPriority w:val="99"/>
    <w:unhideWhenUsed/>
    <w:rsid w:val="004A16A7"/>
    <w:pPr>
      <w:spacing w:before="100" w:beforeAutospacing="1" w:after="100" w:afterAutospacing="1"/>
    </w:pPr>
    <w:rPr>
      <w:sz w:val="24"/>
      <w:szCs w:val="24"/>
      <w:lang w:eastAsia="en-GB"/>
    </w:rPr>
  </w:style>
  <w:style w:type="character" w:customStyle="1" w:styleId="apple-converted-space">
    <w:name w:val="apple-converted-space"/>
    <w:basedOn w:val="DefaultParagraphFont"/>
    <w:rsid w:val="004A16A7"/>
  </w:style>
  <w:style w:type="paragraph" w:styleId="FootnoteText">
    <w:name w:val="footnote text"/>
    <w:basedOn w:val="Normal"/>
    <w:link w:val="FootnoteTextChar"/>
    <w:rsid w:val="004A16A7"/>
  </w:style>
  <w:style w:type="character" w:customStyle="1" w:styleId="FootnoteTextChar">
    <w:name w:val="Footnote Text Char"/>
    <w:basedOn w:val="DefaultParagraphFont"/>
    <w:link w:val="FootnoteText"/>
    <w:rsid w:val="004A16A7"/>
  </w:style>
  <w:style w:type="character" w:styleId="FootnoteReference">
    <w:name w:val="footnote reference"/>
    <w:basedOn w:val="DefaultParagraphFont"/>
    <w:rsid w:val="004A16A7"/>
    <w:rPr>
      <w:vertAlign w:val="superscript"/>
    </w:rPr>
  </w:style>
  <w:style w:type="character" w:styleId="UnresolvedMention">
    <w:name w:val="Unresolved Mention"/>
    <w:basedOn w:val="DefaultParagraphFont"/>
    <w:uiPriority w:val="99"/>
    <w:semiHidden/>
    <w:unhideWhenUsed/>
    <w:rsid w:val="004A16A7"/>
    <w:rPr>
      <w:color w:val="605E5C"/>
      <w:shd w:val="clear" w:color="auto" w:fill="E1DFDD"/>
    </w:rPr>
  </w:style>
  <w:style w:type="character" w:styleId="PlaceholderText">
    <w:name w:val="Placeholder Text"/>
    <w:basedOn w:val="DefaultParagraphFont"/>
    <w:uiPriority w:val="99"/>
    <w:semiHidden/>
    <w:rsid w:val="00BC0A25"/>
    <w:rPr>
      <w:color w:val="666666"/>
    </w:rPr>
  </w:style>
  <w:style w:type="paragraph" w:styleId="Caption">
    <w:name w:val="caption"/>
    <w:basedOn w:val="Normal"/>
    <w:next w:val="Normal"/>
    <w:qFormat/>
    <w:rsid w:val="003072ED"/>
    <w:pPr>
      <w:spacing w:after="200"/>
    </w:pPr>
    <w:rPr>
      <w:i/>
      <w:iCs/>
      <w:color w:val="44546A" w:themeColor="text2"/>
      <w:sz w:val="18"/>
      <w:szCs w:val="18"/>
    </w:rPr>
  </w:style>
  <w:style w:type="paragraph" w:styleId="ListParagraph">
    <w:name w:val="List Paragraph"/>
    <w:basedOn w:val="Normal"/>
    <w:uiPriority w:val="34"/>
    <w:qFormat/>
    <w:rsid w:val="00EC0B6D"/>
    <w:pPr>
      <w:ind w:left="720"/>
      <w:contextualSpacing/>
    </w:pPr>
  </w:style>
  <w:style w:type="table" w:styleId="TableGrid">
    <w:name w:val="Table Grid"/>
    <w:basedOn w:val="TableNormal"/>
    <w:rsid w:val="00114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37"/>
    <w:rsid w:val="0037747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33"/>
    <w:qFormat/>
    <w:rsid w:val="0009209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0920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127049">
      <w:bodyDiv w:val="1"/>
      <w:marLeft w:val="0"/>
      <w:marRight w:val="0"/>
      <w:marTop w:val="0"/>
      <w:marBottom w:val="0"/>
      <w:divBdr>
        <w:top w:val="none" w:sz="0" w:space="0" w:color="auto"/>
        <w:left w:val="none" w:sz="0" w:space="0" w:color="auto"/>
        <w:bottom w:val="none" w:sz="0" w:space="0" w:color="auto"/>
        <w:right w:val="none" w:sz="0" w:space="0" w:color="auto"/>
      </w:divBdr>
    </w:div>
    <w:div w:id="416362931">
      <w:bodyDiv w:val="1"/>
      <w:marLeft w:val="0"/>
      <w:marRight w:val="0"/>
      <w:marTop w:val="0"/>
      <w:marBottom w:val="0"/>
      <w:divBdr>
        <w:top w:val="none" w:sz="0" w:space="0" w:color="auto"/>
        <w:left w:val="none" w:sz="0" w:space="0" w:color="auto"/>
        <w:bottom w:val="none" w:sz="0" w:space="0" w:color="auto"/>
        <w:right w:val="none" w:sz="0" w:space="0" w:color="auto"/>
      </w:divBdr>
    </w:div>
    <w:div w:id="581766758">
      <w:bodyDiv w:val="1"/>
      <w:marLeft w:val="0"/>
      <w:marRight w:val="0"/>
      <w:marTop w:val="0"/>
      <w:marBottom w:val="0"/>
      <w:divBdr>
        <w:top w:val="none" w:sz="0" w:space="0" w:color="auto"/>
        <w:left w:val="none" w:sz="0" w:space="0" w:color="auto"/>
        <w:bottom w:val="none" w:sz="0" w:space="0" w:color="auto"/>
        <w:right w:val="none" w:sz="0" w:space="0" w:color="auto"/>
      </w:divBdr>
    </w:div>
    <w:div w:id="799690884">
      <w:bodyDiv w:val="1"/>
      <w:marLeft w:val="0"/>
      <w:marRight w:val="0"/>
      <w:marTop w:val="0"/>
      <w:marBottom w:val="0"/>
      <w:divBdr>
        <w:top w:val="none" w:sz="0" w:space="0" w:color="auto"/>
        <w:left w:val="none" w:sz="0" w:space="0" w:color="auto"/>
        <w:bottom w:val="none" w:sz="0" w:space="0" w:color="auto"/>
        <w:right w:val="none" w:sz="0" w:space="0" w:color="auto"/>
      </w:divBdr>
    </w:div>
    <w:div w:id="876696642">
      <w:bodyDiv w:val="1"/>
      <w:marLeft w:val="0"/>
      <w:marRight w:val="0"/>
      <w:marTop w:val="0"/>
      <w:marBottom w:val="0"/>
      <w:divBdr>
        <w:top w:val="none" w:sz="0" w:space="0" w:color="auto"/>
        <w:left w:val="none" w:sz="0" w:space="0" w:color="auto"/>
        <w:bottom w:val="none" w:sz="0" w:space="0" w:color="auto"/>
        <w:right w:val="none" w:sz="0" w:space="0" w:color="auto"/>
      </w:divBdr>
    </w:div>
    <w:div w:id="1069616428">
      <w:bodyDiv w:val="1"/>
      <w:marLeft w:val="0"/>
      <w:marRight w:val="0"/>
      <w:marTop w:val="0"/>
      <w:marBottom w:val="0"/>
      <w:divBdr>
        <w:top w:val="none" w:sz="0" w:space="0" w:color="auto"/>
        <w:left w:val="none" w:sz="0" w:space="0" w:color="auto"/>
        <w:bottom w:val="none" w:sz="0" w:space="0" w:color="auto"/>
        <w:right w:val="none" w:sz="0" w:space="0" w:color="auto"/>
      </w:divBdr>
    </w:div>
    <w:div w:id="1211116332">
      <w:bodyDiv w:val="1"/>
      <w:marLeft w:val="0"/>
      <w:marRight w:val="0"/>
      <w:marTop w:val="0"/>
      <w:marBottom w:val="0"/>
      <w:divBdr>
        <w:top w:val="none" w:sz="0" w:space="0" w:color="auto"/>
        <w:left w:val="none" w:sz="0" w:space="0" w:color="auto"/>
        <w:bottom w:val="none" w:sz="0" w:space="0" w:color="auto"/>
        <w:right w:val="none" w:sz="0" w:space="0" w:color="auto"/>
      </w:divBdr>
      <w:divsChild>
        <w:div w:id="1882397930">
          <w:marLeft w:val="0"/>
          <w:marRight w:val="0"/>
          <w:marTop w:val="0"/>
          <w:marBottom w:val="0"/>
          <w:divBdr>
            <w:top w:val="none" w:sz="0" w:space="0" w:color="auto"/>
            <w:left w:val="none" w:sz="0" w:space="0" w:color="auto"/>
            <w:bottom w:val="none" w:sz="0" w:space="0" w:color="auto"/>
            <w:right w:val="none" w:sz="0" w:space="0" w:color="auto"/>
          </w:divBdr>
        </w:div>
      </w:divsChild>
    </w:div>
    <w:div w:id="1288076470">
      <w:bodyDiv w:val="1"/>
      <w:marLeft w:val="0"/>
      <w:marRight w:val="0"/>
      <w:marTop w:val="0"/>
      <w:marBottom w:val="0"/>
      <w:divBdr>
        <w:top w:val="none" w:sz="0" w:space="0" w:color="auto"/>
        <w:left w:val="none" w:sz="0" w:space="0" w:color="auto"/>
        <w:bottom w:val="none" w:sz="0" w:space="0" w:color="auto"/>
        <w:right w:val="none" w:sz="0" w:space="0" w:color="auto"/>
      </w:divBdr>
    </w:div>
    <w:div w:id="1608390730">
      <w:bodyDiv w:val="1"/>
      <w:marLeft w:val="0"/>
      <w:marRight w:val="0"/>
      <w:marTop w:val="0"/>
      <w:marBottom w:val="0"/>
      <w:divBdr>
        <w:top w:val="none" w:sz="0" w:space="0" w:color="auto"/>
        <w:left w:val="none" w:sz="0" w:space="0" w:color="auto"/>
        <w:bottom w:val="none" w:sz="0" w:space="0" w:color="auto"/>
        <w:right w:val="none" w:sz="0" w:space="0" w:color="auto"/>
      </w:divBdr>
    </w:div>
    <w:div w:id="1714693040">
      <w:bodyDiv w:val="1"/>
      <w:marLeft w:val="0"/>
      <w:marRight w:val="0"/>
      <w:marTop w:val="0"/>
      <w:marBottom w:val="0"/>
      <w:divBdr>
        <w:top w:val="none" w:sz="0" w:space="0" w:color="auto"/>
        <w:left w:val="none" w:sz="0" w:space="0" w:color="auto"/>
        <w:bottom w:val="none" w:sz="0" w:space="0" w:color="auto"/>
        <w:right w:val="none" w:sz="0" w:space="0" w:color="auto"/>
      </w:divBdr>
      <w:divsChild>
        <w:div w:id="431098390">
          <w:marLeft w:val="0"/>
          <w:marRight w:val="0"/>
          <w:marTop w:val="0"/>
          <w:marBottom w:val="0"/>
          <w:divBdr>
            <w:top w:val="none" w:sz="0" w:space="0" w:color="auto"/>
            <w:left w:val="none" w:sz="0" w:space="0" w:color="auto"/>
            <w:bottom w:val="none" w:sz="0" w:space="0" w:color="auto"/>
            <w:right w:val="none" w:sz="0" w:space="0" w:color="auto"/>
          </w:divBdr>
        </w:div>
        <w:div w:id="1149056378">
          <w:marLeft w:val="0"/>
          <w:marRight w:val="0"/>
          <w:marTop w:val="0"/>
          <w:marBottom w:val="0"/>
          <w:divBdr>
            <w:top w:val="none" w:sz="0" w:space="0" w:color="auto"/>
            <w:left w:val="none" w:sz="0" w:space="0" w:color="auto"/>
            <w:bottom w:val="none" w:sz="0" w:space="0" w:color="auto"/>
            <w:right w:val="none" w:sz="0" w:space="0" w:color="auto"/>
          </w:divBdr>
        </w:div>
        <w:div w:id="1718432193">
          <w:marLeft w:val="0"/>
          <w:marRight w:val="0"/>
          <w:marTop w:val="0"/>
          <w:marBottom w:val="0"/>
          <w:divBdr>
            <w:top w:val="none" w:sz="0" w:space="0" w:color="auto"/>
            <w:left w:val="none" w:sz="0" w:space="0" w:color="auto"/>
            <w:bottom w:val="none" w:sz="0" w:space="0" w:color="auto"/>
            <w:right w:val="none" w:sz="0" w:space="0" w:color="auto"/>
          </w:divBdr>
          <w:divsChild>
            <w:div w:id="2274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7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mailto:j.rasera@imperial.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C9561-52D8-4E4E-AF3B-5A48099F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Pages>
  <Words>5585</Words>
  <Characters>31840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SME Author Guidelines</vt:lpstr>
    </vt:vector>
  </TitlesOfParts>
  <Company>Compaq</Company>
  <LinksUpToDate>false</LinksUpToDate>
  <CharactersWithSpaces>37351</CharactersWithSpaces>
  <SharedDoc>false</SharedDoc>
  <HLinks>
    <vt:vector size="6" baseType="variant">
      <vt:variant>
        <vt:i4>6225924</vt:i4>
      </vt:variant>
      <vt:variant>
        <vt:i4>0</vt:i4>
      </vt:variant>
      <vt:variant>
        <vt:i4>0</vt:i4>
      </vt:variant>
      <vt:variant>
        <vt:i4>5</vt:i4>
      </vt:variant>
      <vt:variant>
        <vt:lpwstr>http://www.cyberspaceag.com/breadhistory.html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 Author Guidelines</dc:title>
  <dc:subject/>
  <dc:creator>Compaq</dc:creator>
  <cp:keywords/>
  <cp:lastModifiedBy>Joshua Rasera</cp:lastModifiedBy>
  <cp:revision>25</cp:revision>
  <cp:lastPrinted>2017-04-19T11:52:00Z</cp:lastPrinted>
  <dcterms:created xsi:type="dcterms:W3CDTF">2024-05-23T11:14:00Z</dcterms:created>
  <dcterms:modified xsi:type="dcterms:W3CDTF">2024-09-13T15:13:00Z</dcterms:modified>
</cp:coreProperties>
</file>