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BBC9D" w14:textId="17C798F9" w:rsidR="006A21EF" w:rsidRPr="00BD5B60" w:rsidRDefault="0042392F" w:rsidP="00BD5B60">
      <w:pPr>
        <w:spacing w:line="480" w:lineRule="auto"/>
        <w:rPr>
          <w:sz w:val="22"/>
          <w:szCs w:val="22"/>
        </w:rPr>
      </w:pPr>
      <w:r w:rsidRPr="0042392F">
        <w:rPr>
          <w:b/>
          <w:bCs/>
          <w:sz w:val="22"/>
          <w:szCs w:val="22"/>
        </w:rPr>
        <w:t>Title</w:t>
      </w:r>
      <w:r>
        <w:rPr>
          <w:sz w:val="22"/>
          <w:szCs w:val="22"/>
        </w:rPr>
        <w:t xml:space="preserve">: </w:t>
      </w:r>
      <w:proofErr w:type="spellStart"/>
      <w:r w:rsidR="006A21EF">
        <w:rPr>
          <w:sz w:val="22"/>
          <w:szCs w:val="22"/>
        </w:rPr>
        <w:t>Makorin</w:t>
      </w:r>
      <w:proofErr w:type="spellEnd"/>
      <w:r w:rsidR="006A21EF">
        <w:rPr>
          <w:sz w:val="22"/>
          <w:szCs w:val="22"/>
        </w:rPr>
        <w:t xml:space="preserve"> rings the kisspeptin bell to </w:t>
      </w:r>
      <w:r w:rsidR="001E13DE">
        <w:rPr>
          <w:sz w:val="22"/>
          <w:szCs w:val="22"/>
        </w:rPr>
        <w:t xml:space="preserve">signal </w:t>
      </w:r>
      <w:r w:rsidR="006A21EF">
        <w:rPr>
          <w:sz w:val="22"/>
          <w:szCs w:val="22"/>
        </w:rPr>
        <w:t>puber</w:t>
      </w:r>
      <w:r w:rsidR="00671CCC">
        <w:rPr>
          <w:sz w:val="22"/>
          <w:szCs w:val="22"/>
        </w:rPr>
        <w:t>t</w:t>
      </w:r>
      <w:r w:rsidR="001E13DE">
        <w:rPr>
          <w:sz w:val="22"/>
          <w:szCs w:val="22"/>
        </w:rPr>
        <w:t>al initiation</w:t>
      </w:r>
    </w:p>
    <w:p w14:paraId="771E12CF" w14:textId="758F5BC7" w:rsidR="0006194A" w:rsidRDefault="0006194A" w:rsidP="00BD5B60">
      <w:pPr>
        <w:spacing w:line="480" w:lineRule="auto"/>
        <w:rPr>
          <w:sz w:val="22"/>
          <w:szCs w:val="22"/>
        </w:rPr>
      </w:pPr>
    </w:p>
    <w:p w14:paraId="276B5A72" w14:textId="02C3DD73" w:rsidR="0006194A" w:rsidRPr="00BD5B60" w:rsidRDefault="00BD5B60" w:rsidP="00BD5B60">
      <w:pPr>
        <w:spacing w:line="480" w:lineRule="auto"/>
        <w:rPr>
          <w:sz w:val="22"/>
          <w:szCs w:val="22"/>
        </w:rPr>
      </w:pPr>
      <w:r w:rsidRPr="003B29F1">
        <w:rPr>
          <w:b/>
          <w:bCs/>
          <w:sz w:val="22"/>
          <w:szCs w:val="22"/>
        </w:rPr>
        <w:t>Authors</w:t>
      </w:r>
      <w:r>
        <w:rPr>
          <w:sz w:val="22"/>
          <w:szCs w:val="22"/>
        </w:rPr>
        <w:t xml:space="preserve">: </w:t>
      </w:r>
      <w:r w:rsidRPr="00BD5B60">
        <w:rPr>
          <w:sz w:val="22"/>
          <w:szCs w:val="22"/>
        </w:rPr>
        <w:t>Ali Abbara</w:t>
      </w:r>
      <w:r w:rsidRPr="00BD5B60">
        <w:rPr>
          <w:sz w:val="22"/>
          <w:szCs w:val="22"/>
          <w:vertAlign w:val="superscript"/>
        </w:rPr>
        <w:t>1</w:t>
      </w:r>
      <w:r w:rsidRPr="00BD5B60">
        <w:rPr>
          <w:sz w:val="22"/>
          <w:szCs w:val="22"/>
        </w:rPr>
        <w:t xml:space="preserve">, </w:t>
      </w:r>
      <w:proofErr w:type="spellStart"/>
      <w:r w:rsidRPr="00BD5B60">
        <w:rPr>
          <w:sz w:val="22"/>
          <w:szCs w:val="22"/>
        </w:rPr>
        <w:t>Waljit</w:t>
      </w:r>
      <w:proofErr w:type="spellEnd"/>
      <w:r w:rsidRPr="00BD5B60">
        <w:rPr>
          <w:sz w:val="22"/>
          <w:szCs w:val="22"/>
        </w:rPr>
        <w:t xml:space="preserve"> S</w:t>
      </w:r>
      <w:r>
        <w:rPr>
          <w:sz w:val="22"/>
          <w:szCs w:val="22"/>
        </w:rPr>
        <w:t>.</w:t>
      </w:r>
      <w:r w:rsidRPr="00BD5B60">
        <w:rPr>
          <w:sz w:val="22"/>
          <w:szCs w:val="22"/>
        </w:rPr>
        <w:t xml:space="preserve"> Dhillo</w:t>
      </w:r>
      <w:r w:rsidRPr="00BD5B60">
        <w:rPr>
          <w:sz w:val="22"/>
          <w:szCs w:val="22"/>
          <w:vertAlign w:val="superscript"/>
        </w:rPr>
        <w:t>1</w:t>
      </w:r>
    </w:p>
    <w:p w14:paraId="754F1144" w14:textId="1E379520" w:rsidR="00945B8B" w:rsidRPr="00BD5B60" w:rsidRDefault="00106196" w:rsidP="00BD5B60">
      <w:pPr>
        <w:pStyle w:val="ListParagraph"/>
        <w:numPr>
          <w:ilvl w:val="0"/>
          <w:numId w:val="2"/>
        </w:numPr>
        <w:spacing w:line="480" w:lineRule="auto"/>
        <w:rPr>
          <w:sz w:val="22"/>
          <w:szCs w:val="22"/>
        </w:rPr>
      </w:pPr>
      <w:r>
        <w:rPr>
          <w:sz w:val="22"/>
          <w:szCs w:val="22"/>
        </w:rPr>
        <w:t xml:space="preserve">Section of Endocrinology and Investigative Medicine, </w:t>
      </w:r>
      <w:r w:rsidR="00BD5B60" w:rsidRPr="00BD5B60">
        <w:rPr>
          <w:sz w:val="22"/>
          <w:szCs w:val="22"/>
        </w:rPr>
        <w:t>Department of Metabolism, Digestion and Reproduction, Imperial College London, Hammersmith Hospital, London, W12 0NN, UK.</w:t>
      </w:r>
    </w:p>
    <w:p w14:paraId="73BBB873" w14:textId="77777777" w:rsidR="003B29F1" w:rsidRDefault="003B29F1" w:rsidP="00BD5B60">
      <w:pPr>
        <w:autoSpaceDE w:val="0"/>
        <w:autoSpaceDN w:val="0"/>
        <w:adjustRightInd w:val="0"/>
        <w:spacing w:line="480" w:lineRule="auto"/>
        <w:rPr>
          <w:b/>
          <w:sz w:val="22"/>
          <w:szCs w:val="22"/>
        </w:rPr>
      </w:pPr>
    </w:p>
    <w:p w14:paraId="06F18C77" w14:textId="06548695" w:rsidR="00BD5B60" w:rsidRPr="00BD5B60" w:rsidRDefault="00BD5B60" w:rsidP="00BD5B60">
      <w:pPr>
        <w:autoSpaceDE w:val="0"/>
        <w:autoSpaceDN w:val="0"/>
        <w:adjustRightInd w:val="0"/>
        <w:spacing w:line="480" w:lineRule="auto"/>
        <w:rPr>
          <w:b/>
          <w:sz w:val="22"/>
          <w:szCs w:val="22"/>
        </w:rPr>
      </w:pPr>
      <w:r w:rsidRPr="00BD5B60">
        <w:rPr>
          <w:b/>
          <w:sz w:val="22"/>
          <w:szCs w:val="22"/>
        </w:rPr>
        <w:t>Corresponding author for proof and reprints:</w:t>
      </w:r>
    </w:p>
    <w:p w14:paraId="7BA666BA" w14:textId="09B06202" w:rsidR="00BD5B60" w:rsidRPr="00BD5B60" w:rsidRDefault="00BD5B60" w:rsidP="00BD5B60">
      <w:pPr>
        <w:autoSpaceDE w:val="0"/>
        <w:autoSpaceDN w:val="0"/>
        <w:adjustRightInd w:val="0"/>
        <w:spacing w:line="480" w:lineRule="auto"/>
        <w:rPr>
          <w:sz w:val="22"/>
          <w:szCs w:val="22"/>
        </w:rPr>
      </w:pPr>
      <w:proofErr w:type="spellStart"/>
      <w:r w:rsidRPr="00BD5B60">
        <w:rPr>
          <w:sz w:val="22"/>
          <w:szCs w:val="22"/>
        </w:rPr>
        <w:t>Waljit</w:t>
      </w:r>
      <w:proofErr w:type="spellEnd"/>
      <w:r w:rsidRPr="00BD5B60">
        <w:rPr>
          <w:sz w:val="22"/>
          <w:szCs w:val="22"/>
        </w:rPr>
        <w:t xml:space="preserve"> S. </w:t>
      </w:r>
      <w:proofErr w:type="spellStart"/>
      <w:r w:rsidRPr="00BD5B60">
        <w:rPr>
          <w:sz w:val="22"/>
          <w:szCs w:val="22"/>
        </w:rPr>
        <w:t>Dhillo</w:t>
      </w:r>
      <w:proofErr w:type="spellEnd"/>
      <w:r w:rsidRPr="00BD5B60">
        <w:rPr>
          <w:sz w:val="22"/>
          <w:szCs w:val="22"/>
        </w:rPr>
        <w:t>,</w:t>
      </w:r>
    </w:p>
    <w:p w14:paraId="39BFE1EF" w14:textId="77777777" w:rsidR="00BD5B60" w:rsidRPr="00BD5B60" w:rsidRDefault="00BD5B60" w:rsidP="00BD5B60">
      <w:pPr>
        <w:autoSpaceDE w:val="0"/>
        <w:autoSpaceDN w:val="0"/>
        <w:adjustRightInd w:val="0"/>
        <w:spacing w:line="480" w:lineRule="auto"/>
        <w:rPr>
          <w:sz w:val="22"/>
          <w:szCs w:val="22"/>
        </w:rPr>
      </w:pPr>
      <w:r w:rsidRPr="00BD5B60">
        <w:rPr>
          <w:sz w:val="22"/>
          <w:szCs w:val="22"/>
        </w:rPr>
        <w:t xml:space="preserve">Department of Investigative Medicine, </w:t>
      </w:r>
    </w:p>
    <w:p w14:paraId="114B6B1D" w14:textId="77777777" w:rsidR="00BD5B60" w:rsidRPr="00BD5B60" w:rsidRDefault="00BD5B60" w:rsidP="00BD5B60">
      <w:pPr>
        <w:autoSpaceDE w:val="0"/>
        <w:autoSpaceDN w:val="0"/>
        <w:adjustRightInd w:val="0"/>
        <w:spacing w:line="480" w:lineRule="auto"/>
        <w:rPr>
          <w:sz w:val="22"/>
          <w:szCs w:val="22"/>
        </w:rPr>
      </w:pPr>
      <w:r w:rsidRPr="00BD5B60">
        <w:rPr>
          <w:sz w:val="22"/>
          <w:szCs w:val="22"/>
        </w:rPr>
        <w:t>Imperial College London, 6th Floor, Commonwealth Building,</w:t>
      </w:r>
    </w:p>
    <w:p w14:paraId="1558F07C" w14:textId="77777777" w:rsidR="00BD5B60" w:rsidRPr="00BD5B60" w:rsidRDefault="00BD5B60" w:rsidP="00BD5B60">
      <w:pPr>
        <w:autoSpaceDE w:val="0"/>
        <w:autoSpaceDN w:val="0"/>
        <w:adjustRightInd w:val="0"/>
        <w:spacing w:line="480" w:lineRule="auto"/>
        <w:rPr>
          <w:sz w:val="22"/>
          <w:szCs w:val="22"/>
        </w:rPr>
      </w:pPr>
      <w:r w:rsidRPr="00BD5B60">
        <w:rPr>
          <w:sz w:val="22"/>
          <w:szCs w:val="22"/>
        </w:rPr>
        <w:t xml:space="preserve">Hammersmith Hospital, Du Cane Road, </w:t>
      </w:r>
    </w:p>
    <w:p w14:paraId="100E7A53" w14:textId="77777777" w:rsidR="00BD5B60" w:rsidRPr="00BD5B60" w:rsidRDefault="00BD5B60" w:rsidP="00BD5B60">
      <w:pPr>
        <w:autoSpaceDE w:val="0"/>
        <w:autoSpaceDN w:val="0"/>
        <w:adjustRightInd w:val="0"/>
        <w:spacing w:line="480" w:lineRule="auto"/>
        <w:rPr>
          <w:sz w:val="22"/>
          <w:szCs w:val="22"/>
        </w:rPr>
      </w:pPr>
      <w:r w:rsidRPr="00BD5B60">
        <w:rPr>
          <w:sz w:val="22"/>
          <w:szCs w:val="22"/>
        </w:rPr>
        <w:t>London, W12 ONN, UK.</w:t>
      </w:r>
    </w:p>
    <w:p w14:paraId="16777B40" w14:textId="77777777" w:rsidR="00BD5B60" w:rsidRPr="00BD5B60" w:rsidRDefault="00BD5B60" w:rsidP="00BD5B60">
      <w:pPr>
        <w:autoSpaceDE w:val="0"/>
        <w:autoSpaceDN w:val="0"/>
        <w:adjustRightInd w:val="0"/>
        <w:spacing w:line="480" w:lineRule="auto"/>
        <w:rPr>
          <w:sz w:val="22"/>
          <w:szCs w:val="22"/>
        </w:rPr>
      </w:pPr>
      <w:r w:rsidRPr="00BD5B60">
        <w:rPr>
          <w:sz w:val="22"/>
          <w:szCs w:val="22"/>
        </w:rPr>
        <w:t xml:space="preserve">Tel: +44 208 383 3242    </w:t>
      </w:r>
    </w:p>
    <w:p w14:paraId="7B6023DE" w14:textId="2F64715A" w:rsidR="004D7C5F" w:rsidRDefault="00B76F7E" w:rsidP="00BD5B60">
      <w:pPr>
        <w:autoSpaceDE w:val="0"/>
        <w:autoSpaceDN w:val="0"/>
        <w:adjustRightInd w:val="0"/>
        <w:spacing w:line="480" w:lineRule="auto"/>
        <w:rPr>
          <w:rStyle w:val="Hyperlink"/>
          <w:sz w:val="22"/>
          <w:szCs w:val="22"/>
        </w:rPr>
      </w:pPr>
      <w:hyperlink r:id="rId8" w:history="1">
        <w:r w:rsidR="00BD5B60" w:rsidRPr="00BD5B60">
          <w:rPr>
            <w:rStyle w:val="Hyperlink"/>
            <w:sz w:val="22"/>
            <w:szCs w:val="22"/>
          </w:rPr>
          <w:t>w.dhillo@imperial.ac.uk</w:t>
        </w:r>
      </w:hyperlink>
    </w:p>
    <w:p w14:paraId="261A9D6B" w14:textId="77777777" w:rsidR="006A21EF" w:rsidRDefault="006A21EF" w:rsidP="00BD5B60">
      <w:pPr>
        <w:autoSpaceDE w:val="0"/>
        <w:autoSpaceDN w:val="0"/>
        <w:adjustRightInd w:val="0"/>
        <w:spacing w:line="480" w:lineRule="auto"/>
        <w:rPr>
          <w:rStyle w:val="Hyperlink"/>
          <w:sz w:val="22"/>
          <w:szCs w:val="22"/>
        </w:rPr>
      </w:pPr>
    </w:p>
    <w:p w14:paraId="5B699700" w14:textId="15304374" w:rsidR="00671CCC" w:rsidRDefault="004D7C5F" w:rsidP="00671CCC">
      <w:pPr>
        <w:autoSpaceDE w:val="0"/>
        <w:autoSpaceDN w:val="0"/>
        <w:adjustRightInd w:val="0"/>
        <w:spacing w:line="480" w:lineRule="auto"/>
        <w:rPr>
          <w:b/>
          <w:sz w:val="22"/>
          <w:szCs w:val="22"/>
          <w:lang w:val="en-US"/>
        </w:rPr>
      </w:pPr>
      <w:r w:rsidRPr="004D7C5F">
        <w:rPr>
          <w:b/>
          <w:sz w:val="22"/>
          <w:szCs w:val="22"/>
          <w:lang w:val="en-US"/>
        </w:rPr>
        <w:t xml:space="preserve">COI Statement: </w:t>
      </w:r>
    </w:p>
    <w:p w14:paraId="780F5031" w14:textId="4991F811" w:rsidR="00156E35" w:rsidRDefault="00671CCC" w:rsidP="003D0C5A">
      <w:pPr>
        <w:autoSpaceDE w:val="0"/>
        <w:autoSpaceDN w:val="0"/>
        <w:adjustRightInd w:val="0"/>
        <w:spacing w:line="480" w:lineRule="auto"/>
        <w:rPr>
          <w:b/>
          <w:bCs/>
          <w:sz w:val="22"/>
          <w:szCs w:val="22"/>
        </w:rPr>
      </w:pPr>
      <w:r w:rsidRPr="002832F7">
        <w:rPr>
          <w:bCs/>
          <w:sz w:val="22"/>
          <w:szCs w:val="22"/>
          <w:lang w:val="en-US"/>
        </w:rPr>
        <w:t xml:space="preserve">AA and WSD have undertaken consultancy work for </w:t>
      </w:r>
      <w:proofErr w:type="spellStart"/>
      <w:r w:rsidRPr="002832F7">
        <w:rPr>
          <w:bCs/>
          <w:sz w:val="22"/>
          <w:szCs w:val="22"/>
          <w:lang w:val="en-US"/>
        </w:rPr>
        <w:t>Myovant</w:t>
      </w:r>
      <w:proofErr w:type="spellEnd"/>
      <w:r w:rsidRPr="002832F7">
        <w:rPr>
          <w:bCs/>
          <w:sz w:val="22"/>
          <w:szCs w:val="22"/>
          <w:lang w:val="en-US"/>
        </w:rPr>
        <w:t xml:space="preserve"> Sciences Ltd.</w:t>
      </w:r>
      <w:r w:rsidR="00156E35">
        <w:rPr>
          <w:b/>
          <w:bCs/>
          <w:sz w:val="22"/>
          <w:szCs w:val="22"/>
        </w:rPr>
        <w:br w:type="page"/>
      </w:r>
    </w:p>
    <w:p w14:paraId="53CC9CB9" w14:textId="350E4452" w:rsidR="00B21E9D" w:rsidRDefault="004D7C5F" w:rsidP="001151C3">
      <w:pPr>
        <w:autoSpaceDE w:val="0"/>
        <w:autoSpaceDN w:val="0"/>
        <w:adjustRightInd w:val="0"/>
        <w:spacing w:line="480" w:lineRule="auto"/>
        <w:jc w:val="both"/>
        <w:rPr>
          <w:sz w:val="22"/>
          <w:szCs w:val="22"/>
        </w:rPr>
      </w:pPr>
      <w:r>
        <w:rPr>
          <w:b/>
          <w:bCs/>
          <w:sz w:val="22"/>
          <w:szCs w:val="22"/>
        </w:rPr>
        <w:lastRenderedPageBreak/>
        <w:t>Abstract:</w:t>
      </w:r>
    </w:p>
    <w:p w14:paraId="3BC16CA6" w14:textId="373EBF0C" w:rsidR="005A7905" w:rsidRDefault="008F652B" w:rsidP="00093F6E">
      <w:pPr>
        <w:autoSpaceDE w:val="0"/>
        <w:autoSpaceDN w:val="0"/>
        <w:adjustRightInd w:val="0"/>
        <w:spacing w:line="480" w:lineRule="auto"/>
        <w:jc w:val="both"/>
        <w:rPr>
          <w:sz w:val="22"/>
          <w:szCs w:val="22"/>
        </w:rPr>
      </w:pPr>
      <w:r>
        <w:rPr>
          <w:sz w:val="22"/>
          <w:szCs w:val="22"/>
        </w:rPr>
        <w:t>The</w:t>
      </w:r>
      <w:r w:rsidR="00B21E9D" w:rsidRPr="00B21E9D">
        <w:rPr>
          <w:sz w:val="22"/>
          <w:szCs w:val="22"/>
        </w:rPr>
        <w:t xml:space="preserve"> </w:t>
      </w:r>
      <w:r w:rsidR="00B21E9D">
        <w:rPr>
          <w:sz w:val="22"/>
          <w:szCs w:val="22"/>
        </w:rPr>
        <w:t>signals maintain</w:t>
      </w:r>
      <w:r w:rsidR="00003A3F">
        <w:rPr>
          <w:sz w:val="22"/>
          <w:szCs w:val="22"/>
        </w:rPr>
        <w:t>ing</w:t>
      </w:r>
      <w:r w:rsidR="00B21E9D">
        <w:rPr>
          <w:sz w:val="22"/>
          <w:szCs w:val="22"/>
        </w:rPr>
        <w:t xml:space="preserve"> quiescence of the</w:t>
      </w:r>
      <w:r>
        <w:rPr>
          <w:sz w:val="22"/>
          <w:szCs w:val="22"/>
        </w:rPr>
        <w:t xml:space="preserve"> </w:t>
      </w:r>
      <w:r w:rsidR="006F72E3">
        <w:rPr>
          <w:sz w:val="22"/>
          <w:szCs w:val="22"/>
        </w:rPr>
        <w:t>reproductive endocrine</w:t>
      </w:r>
      <w:r w:rsidR="00257177">
        <w:rPr>
          <w:sz w:val="22"/>
          <w:szCs w:val="22"/>
        </w:rPr>
        <w:t xml:space="preserve"> </w:t>
      </w:r>
      <w:r>
        <w:rPr>
          <w:sz w:val="22"/>
          <w:szCs w:val="22"/>
        </w:rPr>
        <w:t xml:space="preserve">axis </w:t>
      </w:r>
      <w:r w:rsidR="00B21E9D">
        <w:rPr>
          <w:sz w:val="22"/>
          <w:szCs w:val="22"/>
        </w:rPr>
        <w:t xml:space="preserve">during childhood </w:t>
      </w:r>
      <w:r w:rsidR="00952DA4">
        <w:rPr>
          <w:sz w:val="22"/>
          <w:szCs w:val="22"/>
        </w:rPr>
        <w:t>prior to</w:t>
      </w:r>
      <w:r w:rsidR="00B21E9D">
        <w:rPr>
          <w:sz w:val="22"/>
          <w:szCs w:val="22"/>
        </w:rPr>
        <w:t xml:space="preserve"> </w:t>
      </w:r>
      <w:r w:rsidR="006126D7">
        <w:rPr>
          <w:sz w:val="22"/>
          <w:szCs w:val="22"/>
        </w:rPr>
        <w:t xml:space="preserve">its </w:t>
      </w:r>
      <w:r w:rsidR="00B21E9D">
        <w:rPr>
          <w:sz w:val="22"/>
          <w:szCs w:val="22"/>
        </w:rPr>
        <w:t xml:space="preserve">reawakening at puberty had </w:t>
      </w:r>
      <w:r w:rsidR="00003A3F">
        <w:rPr>
          <w:sz w:val="22"/>
          <w:szCs w:val="22"/>
        </w:rPr>
        <w:t>been enigma</w:t>
      </w:r>
      <w:r w:rsidR="006F72E3">
        <w:rPr>
          <w:sz w:val="22"/>
          <w:szCs w:val="22"/>
        </w:rPr>
        <w:t>tic</w:t>
      </w:r>
      <w:r>
        <w:rPr>
          <w:sz w:val="22"/>
          <w:szCs w:val="22"/>
        </w:rPr>
        <w:t xml:space="preserve">. </w:t>
      </w:r>
      <w:r w:rsidR="00366C80">
        <w:rPr>
          <w:sz w:val="22"/>
          <w:szCs w:val="22"/>
        </w:rPr>
        <w:t>S</w:t>
      </w:r>
      <w:r w:rsidR="006F72E3">
        <w:rPr>
          <w:sz w:val="22"/>
          <w:szCs w:val="22"/>
        </w:rPr>
        <w:t>tudies</w:t>
      </w:r>
      <w:r w:rsidR="00B21E9D">
        <w:rPr>
          <w:sz w:val="22"/>
          <w:szCs w:val="22"/>
        </w:rPr>
        <w:t xml:space="preserve"> </w:t>
      </w:r>
      <w:r w:rsidR="006F72E3">
        <w:rPr>
          <w:sz w:val="22"/>
          <w:szCs w:val="22"/>
        </w:rPr>
        <w:t>in patients with abnormal pubert</w:t>
      </w:r>
      <w:r w:rsidR="00366C80">
        <w:rPr>
          <w:sz w:val="22"/>
          <w:szCs w:val="22"/>
        </w:rPr>
        <w:t>y</w:t>
      </w:r>
      <w:r w:rsidR="006F72E3">
        <w:rPr>
          <w:sz w:val="22"/>
          <w:szCs w:val="22"/>
        </w:rPr>
        <w:t xml:space="preserve"> </w:t>
      </w:r>
      <w:r w:rsidR="00B23670">
        <w:rPr>
          <w:sz w:val="22"/>
          <w:szCs w:val="22"/>
        </w:rPr>
        <w:t>ha</w:t>
      </w:r>
      <w:r w:rsidR="00366C80">
        <w:rPr>
          <w:sz w:val="22"/>
          <w:szCs w:val="22"/>
        </w:rPr>
        <w:t>ve</w:t>
      </w:r>
      <w:r w:rsidR="00B21E9D">
        <w:rPr>
          <w:sz w:val="22"/>
          <w:szCs w:val="22"/>
        </w:rPr>
        <w:t xml:space="preserve"> illuminated </w:t>
      </w:r>
      <w:r w:rsidR="00A8170F">
        <w:rPr>
          <w:sz w:val="22"/>
          <w:szCs w:val="22"/>
        </w:rPr>
        <w:t>their</w:t>
      </w:r>
      <w:r w:rsidR="006F72E3">
        <w:rPr>
          <w:sz w:val="22"/>
          <w:szCs w:val="22"/>
        </w:rPr>
        <w:t xml:space="preserve"> identit</w:t>
      </w:r>
      <w:r w:rsidR="00B00FE2">
        <w:rPr>
          <w:sz w:val="22"/>
          <w:szCs w:val="22"/>
        </w:rPr>
        <w:t>ies</w:t>
      </w:r>
      <w:r w:rsidR="00DF4446">
        <w:rPr>
          <w:sz w:val="22"/>
          <w:szCs w:val="22"/>
        </w:rPr>
        <w:t>;</w:t>
      </w:r>
      <w:r w:rsidR="00257177">
        <w:rPr>
          <w:sz w:val="22"/>
          <w:szCs w:val="22"/>
        </w:rPr>
        <w:t xml:space="preserve"> </w:t>
      </w:r>
      <w:r w:rsidR="00DF4446">
        <w:rPr>
          <w:sz w:val="22"/>
          <w:szCs w:val="22"/>
        </w:rPr>
        <w:t>k</w:t>
      </w:r>
      <w:r w:rsidR="00003A3F">
        <w:rPr>
          <w:sz w:val="22"/>
          <w:szCs w:val="22"/>
        </w:rPr>
        <w:t xml:space="preserve">isspeptin </w:t>
      </w:r>
      <w:r w:rsidR="00600E85">
        <w:rPr>
          <w:sz w:val="22"/>
          <w:szCs w:val="22"/>
        </w:rPr>
        <w:t>has emerged as</w:t>
      </w:r>
      <w:r w:rsidR="006F72E3">
        <w:rPr>
          <w:sz w:val="22"/>
          <w:szCs w:val="22"/>
        </w:rPr>
        <w:t xml:space="preserve"> a major stimulator of </w:t>
      </w:r>
      <w:r w:rsidR="00257177">
        <w:rPr>
          <w:sz w:val="22"/>
          <w:szCs w:val="22"/>
        </w:rPr>
        <w:t>puberty</w:t>
      </w:r>
      <w:r w:rsidR="00DF4446">
        <w:rPr>
          <w:sz w:val="22"/>
          <w:szCs w:val="22"/>
        </w:rPr>
        <w:t>,</w:t>
      </w:r>
      <w:r w:rsidR="00257177">
        <w:rPr>
          <w:sz w:val="22"/>
          <w:szCs w:val="22"/>
        </w:rPr>
        <w:t xml:space="preserve"> </w:t>
      </w:r>
      <w:r w:rsidR="00DF4446">
        <w:rPr>
          <w:sz w:val="22"/>
          <w:szCs w:val="22"/>
        </w:rPr>
        <w:t>and</w:t>
      </w:r>
      <w:r w:rsidR="00257177">
        <w:rPr>
          <w:sz w:val="22"/>
          <w:szCs w:val="22"/>
        </w:rPr>
        <w:t xml:space="preserve"> </w:t>
      </w:r>
      <w:proofErr w:type="spellStart"/>
      <w:r w:rsidR="00257177" w:rsidRPr="003B5973">
        <w:rPr>
          <w:sz w:val="22"/>
          <w:szCs w:val="22"/>
        </w:rPr>
        <w:t>makorin</w:t>
      </w:r>
      <w:proofErr w:type="spellEnd"/>
      <w:r w:rsidR="00257177" w:rsidRPr="003B5973">
        <w:rPr>
          <w:sz w:val="22"/>
          <w:szCs w:val="22"/>
        </w:rPr>
        <w:t xml:space="preserve"> </w:t>
      </w:r>
      <w:r w:rsidR="00257177">
        <w:rPr>
          <w:sz w:val="22"/>
          <w:szCs w:val="22"/>
        </w:rPr>
        <w:t>RING</w:t>
      </w:r>
      <w:r w:rsidR="00257177" w:rsidRPr="003B5973">
        <w:rPr>
          <w:sz w:val="22"/>
          <w:szCs w:val="22"/>
        </w:rPr>
        <w:t xml:space="preserve"> finger</w:t>
      </w:r>
      <w:r w:rsidR="00257177">
        <w:rPr>
          <w:sz w:val="22"/>
          <w:szCs w:val="22"/>
        </w:rPr>
        <w:t xml:space="preserve"> </w:t>
      </w:r>
      <w:r w:rsidR="00257177" w:rsidRPr="003B5973">
        <w:rPr>
          <w:sz w:val="22"/>
          <w:szCs w:val="22"/>
        </w:rPr>
        <w:t xml:space="preserve">protein </w:t>
      </w:r>
      <w:r w:rsidR="00257177">
        <w:rPr>
          <w:sz w:val="22"/>
          <w:szCs w:val="22"/>
        </w:rPr>
        <w:t>3 (MKRN</w:t>
      </w:r>
      <w:r w:rsidR="00257177" w:rsidRPr="003B5973">
        <w:rPr>
          <w:sz w:val="22"/>
          <w:szCs w:val="22"/>
        </w:rPr>
        <w:t>3</w:t>
      </w:r>
      <w:r w:rsidR="00257177">
        <w:rPr>
          <w:sz w:val="22"/>
          <w:szCs w:val="22"/>
        </w:rPr>
        <w:t xml:space="preserve">) </w:t>
      </w:r>
      <w:r w:rsidR="00600E85">
        <w:rPr>
          <w:sz w:val="22"/>
          <w:szCs w:val="22"/>
        </w:rPr>
        <w:t>a</w:t>
      </w:r>
      <w:r w:rsidR="00DF4446">
        <w:rPr>
          <w:sz w:val="22"/>
          <w:szCs w:val="22"/>
        </w:rPr>
        <w:t>s</w:t>
      </w:r>
      <w:r w:rsidR="006F72E3">
        <w:rPr>
          <w:sz w:val="22"/>
          <w:szCs w:val="22"/>
        </w:rPr>
        <w:t xml:space="preserve"> an inhibitory signal </w:t>
      </w:r>
      <w:r w:rsidR="00DF4446">
        <w:rPr>
          <w:sz w:val="22"/>
          <w:szCs w:val="22"/>
        </w:rPr>
        <w:t>that</w:t>
      </w:r>
      <w:r w:rsidR="006F72E3">
        <w:rPr>
          <w:sz w:val="22"/>
          <w:szCs w:val="22"/>
        </w:rPr>
        <w:t xml:space="preserve"> prevent</w:t>
      </w:r>
      <w:r w:rsidR="00DF4446">
        <w:rPr>
          <w:sz w:val="22"/>
          <w:szCs w:val="22"/>
        </w:rPr>
        <w:t>s</w:t>
      </w:r>
      <w:r w:rsidR="006F72E3">
        <w:rPr>
          <w:sz w:val="22"/>
          <w:szCs w:val="22"/>
        </w:rPr>
        <w:t xml:space="preserve"> </w:t>
      </w:r>
      <w:r w:rsidR="00DF4446">
        <w:rPr>
          <w:sz w:val="22"/>
          <w:szCs w:val="22"/>
        </w:rPr>
        <w:t>premature</w:t>
      </w:r>
      <w:r w:rsidR="006F72E3">
        <w:rPr>
          <w:sz w:val="22"/>
          <w:szCs w:val="22"/>
        </w:rPr>
        <w:t xml:space="preserve"> initiation of puberty</w:t>
      </w:r>
      <w:r w:rsidR="00257177">
        <w:rPr>
          <w:sz w:val="22"/>
          <w:szCs w:val="22"/>
        </w:rPr>
        <w:t xml:space="preserve">. </w:t>
      </w:r>
      <w:r w:rsidR="007B214E">
        <w:rPr>
          <w:sz w:val="22"/>
          <w:szCs w:val="22"/>
        </w:rPr>
        <w:t xml:space="preserve">In this issue of the </w:t>
      </w:r>
      <w:r w:rsidR="007B214E" w:rsidRPr="006E27ED">
        <w:rPr>
          <w:i/>
          <w:sz w:val="22"/>
          <w:szCs w:val="22"/>
        </w:rPr>
        <w:t>JCI</w:t>
      </w:r>
      <w:r w:rsidR="007B214E">
        <w:rPr>
          <w:sz w:val="22"/>
          <w:szCs w:val="22"/>
        </w:rPr>
        <w:t>, Abreu et al.</w:t>
      </w:r>
      <w:r w:rsidR="009D7DDE">
        <w:rPr>
          <w:sz w:val="22"/>
          <w:szCs w:val="22"/>
        </w:rPr>
        <w:t xml:space="preserve"> investigated the </w:t>
      </w:r>
      <w:r w:rsidR="00E65FE3">
        <w:rPr>
          <w:sz w:val="22"/>
          <w:szCs w:val="22"/>
        </w:rPr>
        <w:t>mechanism by which</w:t>
      </w:r>
      <w:r w:rsidR="009D7DDE">
        <w:rPr>
          <w:sz w:val="22"/>
          <w:szCs w:val="22"/>
        </w:rPr>
        <w:t xml:space="preserve"> MKRN3</w:t>
      </w:r>
      <w:r w:rsidR="00E65FE3">
        <w:rPr>
          <w:sz w:val="22"/>
          <w:szCs w:val="22"/>
        </w:rPr>
        <w:t xml:space="preserve"> regulate</w:t>
      </w:r>
      <w:r w:rsidR="005A7905">
        <w:rPr>
          <w:sz w:val="22"/>
          <w:szCs w:val="22"/>
        </w:rPr>
        <w:t>s</w:t>
      </w:r>
      <w:r w:rsidR="00E65FE3">
        <w:rPr>
          <w:sz w:val="22"/>
          <w:szCs w:val="22"/>
        </w:rPr>
        <w:t xml:space="preserve"> </w:t>
      </w:r>
      <w:r w:rsidR="00600E85">
        <w:rPr>
          <w:sz w:val="22"/>
          <w:szCs w:val="22"/>
        </w:rPr>
        <w:t>pubertal</w:t>
      </w:r>
      <w:r w:rsidR="00E65FE3">
        <w:rPr>
          <w:sz w:val="22"/>
          <w:szCs w:val="22"/>
        </w:rPr>
        <w:t xml:space="preserve"> </w:t>
      </w:r>
      <w:r w:rsidR="009D7DDE">
        <w:rPr>
          <w:sz w:val="22"/>
          <w:szCs w:val="22"/>
        </w:rPr>
        <w:t>onset.</w:t>
      </w:r>
      <w:r w:rsidR="007B214E">
        <w:rPr>
          <w:sz w:val="22"/>
          <w:szCs w:val="22"/>
        </w:rPr>
        <w:t xml:space="preserve"> </w:t>
      </w:r>
      <w:r w:rsidR="00093F6E">
        <w:rPr>
          <w:sz w:val="22"/>
          <w:szCs w:val="22"/>
        </w:rPr>
        <w:t>The</w:t>
      </w:r>
      <w:r w:rsidR="00B00FE2">
        <w:rPr>
          <w:sz w:val="22"/>
          <w:szCs w:val="22"/>
        </w:rPr>
        <w:t xml:space="preserve"> authors</w:t>
      </w:r>
      <w:r w:rsidR="00093F6E">
        <w:rPr>
          <w:sz w:val="22"/>
          <w:szCs w:val="22"/>
        </w:rPr>
        <w:t xml:space="preserve"> f</w:t>
      </w:r>
      <w:r w:rsidR="00952DA4">
        <w:rPr>
          <w:sz w:val="22"/>
          <w:szCs w:val="22"/>
        </w:rPr>
        <w:t>ou</w:t>
      </w:r>
      <w:r w:rsidR="00093F6E">
        <w:rPr>
          <w:sz w:val="22"/>
          <w:szCs w:val="22"/>
        </w:rPr>
        <w:t xml:space="preserve">nd </w:t>
      </w:r>
      <w:r w:rsidR="009D7DDE" w:rsidRPr="009D7DDE">
        <w:rPr>
          <w:sz w:val="22"/>
          <w:szCs w:val="22"/>
        </w:rPr>
        <w:t xml:space="preserve">that </w:t>
      </w:r>
      <w:r w:rsidR="0057783F">
        <w:rPr>
          <w:sz w:val="22"/>
          <w:szCs w:val="22"/>
        </w:rPr>
        <w:t xml:space="preserve">a </w:t>
      </w:r>
      <w:r w:rsidR="009D7DDE">
        <w:rPr>
          <w:sz w:val="22"/>
          <w:szCs w:val="22"/>
        </w:rPr>
        <w:t>reduc</w:t>
      </w:r>
      <w:r w:rsidR="0057783F">
        <w:rPr>
          <w:sz w:val="22"/>
          <w:szCs w:val="22"/>
        </w:rPr>
        <w:t>tion in</w:t>
      </w:r>
      <w:r w:rsidR="009D7DDE" w:rsidRPr="009D7DDE">
        <w:rPr>
          <w:sz w:val="22"/>
          <w:szCs w:val="22"/>
        </w:rPr>
        <w:t xml:space="preserve"> MKRN3 alleviate</w:t>
      </w:r>
      <w:r w:rsidR="008E053B">
        <w:rPr>
          <w:sz w:val="22"/>
          <w:szCs w:val="22"/>
        </w:rPr>
        <w:t>d</w:t>
      </w:r>
      <w:r w:rsidR="009D7DDE" w:rsidRPr="009D7DDE">
        <w:rPr>
          <w:sz w:val="22"/>
          <w:szCs w:val="22"/>
        </w:rPr>
        <w:t xml:space="preserve"> the constraint </w:t>
      </w:r>
      <w:r w:rsidR="00E65FE3">
        <w:rPr>
          <w:sz w:val="22"/>
          <w:szCs w:val="22"/>
        </w:rPr>
        <w:t>on kisspeptin</w:t>
      </w:r>
      <w:r w:rsidR="00093F6E">
        <w:rPr>
          <w:sz w:val="22"/>
          <w:szCs w:val="22"/>
        </w:rPr>
        <w:t>-</w:t>
      </w:r>
      <w:r w:rsidR="00E65FE3">
        <w:rPr>
          <w:sz w:val="22"/>
          <w:szCs w:val="22"/>
        </w:rPr>
        <w:t xml:space="preserve">expressing neurons to </w:t>
      </w:r>
      <w:r w:rsidR="00D10B93">
        <w:rPr>
          <w:sz w:val="22"/>
          <w:szCs w:val="22"/>
        </w:rPr>
        <w:t>allow</w:t>
      </w:r>
      <w:r w:rsidR="009D7DDE" w:rsidRPr="009D7DDE">
        <w:rPr>
          <w:sz w:val="22"/>
          <w:szCs w:val="22"/>
        </w:rPr>
        <w:t xml:space="preserve"> pubert</w:t>
      </w:r>
      <w:r w:rsidR="0057783F">
        <w:rPr>
          <w:sz w:val="22"/>
          <w:szCs w:val="22"/>
        </w:rPr>
        <w:t xml:space="preserve">al </w:t>
      </w:r>
      <w:r w:rsidR="009D7DDE">
        <w:rPr>
          <w:sz w:val="22"/>
          <w:szCs w:val="22"/>
        </w:rPr>
        <w:t>initiat</w:t>
      </w:r>
      <w:r w:rsidR="0057783F">
        <w:rPr>
          <w:sz w:val="22"/>
          <w:szCs w:val="22"/>
        </w:rPr>
        <w:t>ion</w:t>
      </w:r>
      <w:r w:rsidR="00600E85">
        <w:rPr>
          <w:sz w:val="22"/>
          <w:szCs w:val="22"/>
        </w:rPr>
        <w:t xml:space="preserve">; a </w:t>
      </w:r>
      <w:r w:rsidR="005A7905">
        <w:rPr>
          <w:sz w:val="22"/>
          <w:szCs w:val="22"/>
        </w:rPr>
        <w:t xml:space="preserve">phenomenon observed </w:t>
      </w:r>
      <w:r w:rsidR="00093F6E">
        <w:rPr>
          <w:sz w:val="22"/>
          <w:szCs w:val="22"/>
        </w:rPr>
        <w:t>a</w:t>
      </w:r>
      <w:r w:rsidR="005A7905">
        <w:rPr>
          <w:sz w:val="22"/>
          <w:szCs w:val="22"/>
        </w:rPr>
        <w:t>cross</w:t>
      </w:r>
      <w:r w:rsidR="00093F6E">
        <w:rPr>
          <w:sz w:val="22"/>
          <w:szCs w:val="22"/>
        </w:rPr>
        <w:t xml:space="preserve"> </w:t>
      </w:r>
      <w:r w:rsidR="005A7905">
        <w:rPr>
          <w:sz w:val="22"/>
          <w:szCs w:val="22"/>
        </w:rPr>
        <w:t>species</w:t>
      </w:r>
      <w:r w:rsidR="00B00FE2">
        <w:rPr>
          <w:sz w:val="22"/>
          <w:szCs w:val="22"/>
        </w:rPr>
        <w:t>,</w:t>
      </w:r>
      <w:r w:rsidR="005A7905">
        <w:rPr>
          <w:sz w:val="22"/>
          <w:szCs w:val="22"/>
        </w:rPr>
        <w:t xml:space="preserve"> including non-human primates</w:t>
      </w:r>
      <w:r w:rsidR="009D7DDE" w:rsidRPr="009D7DDE">
        <w:rPr>
          <w:sz w:val="22"/>
          <w:szCs w:val="22"/>
        </w:rPr>
        <w:t>.</w:t>
      </w:r>
      <w:r w:rsidR="00B770FC">
        <w:rPr>
          <w:sz w:val="22"/>
          <w:szCs w:val="22"/>
        </w:rPr>
        <w:t xml:space="preserve"> </w:t>
      </w:r>
      <w:r w:rsidR="00093F6E">
        <w:rPr>
          <w:sz w:val="22"/>
          <w:szCs w:val="22"/>
        </w:rPr>
        <w:t>Further,</w:t>
      </w:r>
      <w:r w:rsidR="005A7905">
        <w:rPr>
          <w:sz w:val="22"/>
          <w:szCs w:val="22"/>
        </w:rPr>
        <w:t xml:space="preserve"> </w:t>
      </w:r>
      <w:r w:rsidR="00EA7DA1">
        <w:rPr>
          <w:sz w:val="22"/>
          <w:szCs w:val="22"/>
        </w:rPr>
        <w:t xml:space="preserve">the </w:t>
      </w:r>
      <w:r w:rsidR="00B60B92">
        <w:rPr>
          <w:sz w:val="22"/>
          <w:szCs w:val="22"/>
        </w:rPr>
        <w:t>ubiquitinase activity</w:t>
      </w:r>
      <w:r w:rsidR="00EA7DA1">
        <w:rPr>
          <w:sz w:val="22"/>
          <w:szCs w:val="22"/>
        </w:rPr>
        <w:t xml:space="preserve"> of MKRN3</w:t>
      </w:r>
      <w:r w:rsidR="00A2226C" w:rsidRPr="00A2226C">
        <w:rPr>
          <w:sz w:val="22"/>
          <w:szCs w:val="22"/>
        </w:rPr>
        <w:t xml:space="preserve"> </w:t>
      </w:r>
      <w:r w:rsidR="00A2226C">
        <w:rPr>
          <w:sz w:val="22"/>
          <w:szCs w:val="22"/>
        </w:rPr>
        <w:t>required its RING finger domain</w:t>
      </w:r>
      <w:r w:rsidR="00B60B92">
        <w:rPr>
          <w:sz w:val="22"/>
          <w:szCs w:val="22"/>
        </w:rPr>
        <w:t xml:space="preserve">, </w:t>
      </w:r>
      <w:r w:rsidR="00A2226C">
        <w:rPr>
          <w:sz w:val="22"/>
          <w:szCs w:val="22"/>
        </w:rPr>
        <w:t>in order to</w:t>
      </w:r>
      <w:r w:rsidR="00B60B92">
        <w:rPr>
          <w:sz w:val="22"/>
          <w:szCs w:val="22"/>
        </w:rPr>
        <w:t xml:space="preserve"> repress the</w:t>
      </w:r>
      <w:r w:rsidR="00B60B92" w:rsidRPr="009D7DDE">
        <w:rPr>
          <w:sz w:val="22"/>
          <w:szCs w:val="22"/>
        </w:rPr>
        <w:t xml:space="preserve"> promot</w:t>
      </w:r>
      <w:r w:rsidR="00873B47">
        <w:rPr>
          <w:sz w:val="22"/>
          <w:szCs w:val="22"/>
        </w:rPr>
        <w:t>e</w:t>
      </w:r>
      <w:r w:rsidR="00B60B92" w:rsidRPr="009D7DDE">
        <w:rPr>
          <w:sz w:val="22"/>
          <w:szCs w:val="22"/>
        </w:rPr>
        <w:t>r activity of genes encoding for kisspeptin and neurokinin B</w:t>
      </w:r>
      <w:r w:rsidR="00093F6E">
        <w:rPr>
          <w:sz w:val="22"/>
          <w:szCs w:val="22"/>
        </w:rPr>
        <w:t>.</w:t>
      </w:r>
      <w:r w:rsidR="005A7905">
        <w:rPr>
          <w:sz w:val="22"/>
          <w:szCs w:val="22"/>
        </w:rPr>
        <w:t xml:space="preserve"> </w:t>
      </w:r>
      <w:r w:rsidR="00093F6E">
        <w:rPr>
          <w:sz w:val="22"/>
          <w:szCs w:val="22"/>
        </w:rPr>
        <w:t>T</w:t>
      </w:r>
      <w:r w:rsidR="005A7905">
        <w:rPr>
          <w:sz w:val="22"/>
          <w:szCs w:val="22"/>
        </w:rPr>
        <w:t>h</w:t>
      </w:r>
      <w:r w:rsidR="00093F6E">
        <w:rPr>
          <w:sz w:val="22"/>
          <w:szCs w:val="22"/>
        </w:rPr>
        <w:t>ese data</w:t>
      </w:r>
      <w:r w:rsidR="005A7905">
        <w:rPr>
          <w:sz w:val="22"/>
          <w:szCs w:val="22"/>
        </w:rPr>
        <w:t xml:space="preserve"> </w:t>
      </w:r>
      <w:r w:rsidR="00952DA4">
        <w:rPr>
          <w:sz w:val="22"/>
          <w:szCs w:val="22"/>
        </w:rPr>
        <w:t>advance</w:t>
      </w:r>
      <w:r w:rsidR="005A7905">
        <w:rPr>
          <w:sz w:val="22"/>
          <w:szCs w:val="22"/>
        </w:rPr>
        <w:t xml:space="preserve"> our understanding of the </w:t>
      </w:r>
      <w:r w:rsidR="00093F6E">
        <w:rPr>
          <w:sz w:val="22"/>
          <w:szCs w:val="22"/>
        </w:rPr>
        <w:t xml:space="preserve">regulation of kisspeptin-expressing neurons by MKRN3 </w:t>
      </w:r>
      <w:r w:rsidR="00952DA4">
        <w:rPr>
          <w:sz w:val="22"/>
          <w:szCs w:val="22"/>
        </w:rPr>
        <w:t>to</w:t>
      </w:r>
      <w:r w:rsidR="005A7905">
        <w:rPr>
          <w:sz w:val="22"/>
          <w:szCs w:val="22"/>
        </w:rPr>
        <w:t xml:space="preserve"> initiat</w:t>
      </w:r>
      <w:r w:rsidR="00952DA4">
        <w:rPr>
          <w:sz w:val="22"/>
          <w:szCs w:val="22"/>
        </w:rPr>
        <w:t xml:space="preserve">e </w:t>
      </w:r>
      <w:r w:rsidR="005A7905">
        <w:rPr>
          <w:sz w:val="22"/>
          <w:szCs w:val="22"/>
        </w:rPr>
        <w:t>puberty.</w:t>
      </w:r>
    </w:p>
    <w:p w14:paraId="60998321" w14:textId="77777777" w:rsidR="005A7905" w:rsidRDefault="005A7905" w:rsidP="00E65FE3">
      <w:pPr>
        <w:autoSpaceDE w:val="0"/>
        <w:autoSpaceDN w:val="0"/>
        <w:adjustRightInd w:val="0"/>
        <w:spacing w:line="480" w:lineRule="auto"/>
        <w:jc w:val="both"/>
        <w:rPr>
          <w:sz w:val="22"/>
          <w:szCs w:val="22"/>
        </w:rPr>
      </w:pPr>
    </w:p>
    <w:p w14:paraId="78A9D84F" w14:textId="0402CCE3" w:rsidR="00B77256" w:rsidRPr="006E27ED" w:rsidRDefault="002832F7" w:rsidP="007B773A">
      <w:pPr>
        <w:autoSpaceDE w:val="0"/>
        <w:autoSpaceDN w:val="0"/>
        <w:adjustRightInd w:val="0"/>
        <w:spacing w:line="480" w:lineRule="auto"/>
        <w:rPr>
          <w:b/>
          <w:sz w:val="22"/>
          <w:szCs w:val="22"/>
        </w:rPr>
      </w:pPr>
      <w:r>
        <w:rPr>
          <w:b/>
          <w:sz w:val="22"/>
          <w:szCs w:val="22"/>
        </w:rPr>
        <w:t>What initiates puberty?</w:t>
      </w:r>
    </w:p>
    <w:p w14:paraId="2A61BD3C" w14:textId="74310C99" w:rsidR="008C3BB1" w:rsidRDefault="00283091" w:rsidP="00714088">
      <w:pPr>
        <w:autoSpaceDE w:val="0"/>
        <w:autoSpaceDN w:val="0"/>
        <w:adjustRightInd w:val="0"/>
        <w:spacing w:line="480" w:lineRule="auto"/>
        <w:jc w:val="both"/>
        <w:rPr>
          <w:sz w:val="22"/>
          <w:szCs w:val="22"/>
        </w:rPr>
      </w:pPr>
      <w:r>
        <w:rPr>
          <w:sz w:val="22"/>
          <w:szCs w:val="22"/>
        </w:rPr>
        <w:t>A</w:t>
      </w:r>
      <w:r w:rsidR="00F8143E">
        <w:rPr>
          <w:sz w:val="22"/>
          <w:szCs w:val="22"/>
        </w:rPr>
        <w:t>ctivation of the hypothalam</w:t>
      </w:r>
      <w:r w:rsidR="00165E21">
        <w:rPr>
          <w:sz w:val="22"/>
          <w:szCs w:val="22"/>
        </w:rPr>
        <w:t>ic</w:t>
      </w:r>
      <w:r w:rsidR="00F8143E">
        <w:rPr>
          <w:sz w:val="22"/>
          <w:szCs w:val="22"/>
        </w:rPr>
        <w:t xml:space="preserve">-pituitary-gonadal (HPG) axis to </w:t>
      </w:r>
      <w:r>
        <w:rPr>
          <w:sz w:val="22"/>
          <w:szCs w:val="22"/>
        </w:rPr>
        <w:t>initiate</w:t>
      </w:r>
      <w:r w:rsidR="00F8143E">
        <w:rPr>
          <w:sz w:val="22"/>
          <w:szCs w:val="22"/>
        </w:rPr>
        <w:t xml:space="preserve"> pubert</w:t>
      </w:r>
      <w:r>
        <w:rPr>
          <w:sz w:val="22"/>
          <w:szCs w:val="22"/>
        </w:rPr>
        <w:t>y</w:t>
      </w:r>
      <w:r w:rsidR="00F8143E">
        <w:rPr>
          <w:sz w:val="22"/>
          <w:szCs w:val="22"/>
        </w:rPr>
        <w:t xml:space="preserve"> </w:t>
      </w:r>
      <w:r w:rsidR="009D7900">
        <w:rPr>
          <w:sz w:val="22"/>
          <w:szCs w:val="22"/>
        </w:rPr>
        <w:t>and</w:t>
      </w:r>
      <w:r w:rsidR="00F8143E">
        <w:rPr>
          <w:sz w:val="22"/>
          <w:szCs w:val="22"/>
        </w:rPr>
        <w:t xml:space="preserve"> acquire competence for adult reproductive health is a </w:t>
      </w:r>
      <w:r w:rsidR="00117D4F">
        <w:rPr>
          <w:sz w:val="22"/>
          <w:szCs w:val="22"/>
        </w:rPr>
        <w:t>fundamental</w:t>
      </w:r>
      <w:r w:rsidR="00F8143E">
        <w:rPr>
          <w:sz w:val="22"/>
          <w:szCs w:val="22"/>
        </w:rPr>
        <w:t xml:space="preserve"> </w:t>
      </w:r>
      <w:r w:rsidR="009D7900">
        <w:rPr>
          <w:sz w:val="22"/>
          <w:szCs w:val="22"/>
        </w:rPr>
        <w:t xml:space="preserve">physiological process. </w:t>
      </w:r>
      <w:r w:rsidR="00117D4F">
        <w:rPr>
          <w:sz w:val="22"/>
          <w:szCs w:val="22"/>
        </w:rPr>
        <w:t>Conspicuously</w:t>
      </w:r>
      <w:r w:rsidR="009D7900">
        <w:rPr>
          <w:sz w:val="22"/>
          <w:szCs w:val="22"/>
        </w:rPr>
        <w:t xml:space="preserve">, </w:t>
      </w:r>
      <w:r w:rsidR="00747A1A">
        <w:rPr>
          <w:sz w:val="22"/>
          <w:szCs w:val="22"/>
        </w:rPr>
        <w:t xml:space="preserve">the </w:t>
      </w:r>
      <w:r w:rsidR="009D7900">
        <w:rPr>
          <w:sz w:val="22"/>
          <w:szCs w:val="22"/>
        </w:rPr>
        <w:t xml:space="preserve">timing of </w:t>
      </w:r>
      <w:r>
        <w:rPr>
          <w:sz w:val="22"/>
          <w:szCs w:val="22"/>
        </w:rPr>
        <w:t xml:space="preserve">the </w:t>
      </w:r>
      <w:r w:rsidR="00117D4F">
        <w:rPr>
          <w:sz w:val="22"/>
          <w:szCs w:val="22"/>
        </w:rPr>
        <w:t>pubertal</w:t>
      </w:r>
      <w:r w:rsidR="00CE03BC">
        <w:rPr>
          <w:sz w:val="22"/>
          <w:szCs w:val="22"/>
        </w:rPr>
        <w:t xml:space="preserve"> </w:t>
      </w:r>
      <w:r>
        <w:rPr>
          <w:sz w:val="22"/>
          <w:szCs w:val="22"/>
        </w:rPr>
        <w:t>transition</w:t>
      </w:r>
      <w:r w:rsidR="00CE03BC">
        <w:rPr>
          <w:sz w:val="22"/>
          <w:szCs w:val="22"/>
        </w:rPr>
        <w:t xml:space="preserve"> var</w:t>
      </w:r>
      <w:r w:rsidR="00C9773C">
        <w:rPr>
          <w:sz w:val="22"/>
          <w:szCs w:val="22"/>
        </w:rPr>
        <w:t>ies</w:t>
      </w:r>
      <w:r w:rsidR="00CE03BC">
        <w:rPr>
          <w:sz w:val="22"/>
          <w:szCs w:val="22"/>
        </w:rPr>
        <w:t xml:space="preserve"> </w:t>
      </w:r>
      <w:r w:rsidR="00FB6EC0">
        <w:rPr>
          <w:sz w:val="22"/>
          <w:szCs w:val="22"/>
        </w:rPr>
        <w:t>across</w:t>
      </w:r>
      <w:r w:rsidR="00571657">
        <w:rPr>
          <w:sz w:val="22"/>
          <w:szCs w:val="22"/>
        </w:rPr>
        <w:t xml:space="preserve"> </w:t>
      </w:r>
      <w:r w:rsidR="00117D4F">
        <w:rPr>
          <w:sz w:val="22"/>
          <w:szCs w:val="22"/>
        </w:rPr>
        <w:t>the</w:t>
      </w:r>
      <w:r w:rsidR="00C9773C">
        <w:rPr>
          <w:sz w:val="22"/>
          <w:szCs w:val="22"/>
        </w:rPr>
        <w:t xml:space="preserve"> population</w:t>
      </w:r>
      <w:r w:rsidR="00571657">
        <w:rPr>
          <w:sz w:val="22"/>
          <w:szCs w:val="22"/>
        </w:rPr>
        <w:t xml:space="preserve"> and</w:t>
      </w:r>
      <w:r w:rsidR="00117D4F">
        <w:rPr>
          <w:sz w:val="22"/>
          <w:szCs w:val="22"/>
        </w:rPr>
        <w:t xml:space="preserve"> is contingent on </w:t>
      </w:r>
      <w:r w:rsidR="00C9773C">
        <w:rPr>
          <w:sz w:val="22"/>
          <w:szCs w:val="22"/>
        </w:rPr>
        <w:t>a complex interplay between genetic, environmental and metabolic factors</w:t>
      </w:r>
      <w:r w:rsidR="005A4447">
        <w:rPr>
          <w:sz w:val="22"/>
          <w:szCs w:val="22"/>
        </w:rPr>
        <w:t xml:space="preserve"> </w:t>
      </w:r>
      <w:r w:rsidR="005A4447">
        <w:rPr>
          <w:sz w:val="22"/>
          <w:szCs w:val="22"/>
        </w:rPr>
        <w:fldChar w:fldCharType="begin" w:fldLock="1"/>
      </w:r>
      <w:r w:rsidR="005A4447">
        <w:rPr>
          <w:sz w:val="22"/>
          <w:szCs w:val="22"/>
        </w:rPr>
        <w:instrText>ADDIN CSL_CITATION {"citationItems":[{"id":"ITEM-1","itemData":{"DOI":"10.1038/nature13545","ISSN":"14764687","PMID":"25231870","abstract":"Age at menarche is a marker of timing of puberty in females. It varies widely between individuals, is a heritable trait and is associated with risks for obesity, type 2 diabetes, cardiovascular disease, breast cancer and all-cause mortality. Studies of rare human disorders of puberty and animal models point to a complex hypothalamic-pituitary-hormonal regulation, but the mechanisms that determine pubertal timing and underlie its links to disease risk remain unclear. Here, using genome-wide and custom-genotyping arrays in up to 182,416 women of European descent from 57 studies, we found robust evidence (P &lt; 5 × 10&lt;sup&gt;-8&lt;/sup&gt;) for 123 signals at 106 genomic loci associated with age at menarche. Many loci were associated with other pubertal traits in both sexes, and there was substantial overlap with genes implicated in body mass index and various diseases, including rare disorders of puberty. Menarche signals were enriched in imprinted regions, with three loci (DLK1-WDR25, MKRN3-MAGEL2 and KCNK9) demonstrating parent-of-origin-specific associations concordant with known parental expression patterns. Pathway analyses implicated nuclear hormone receptors, particularly retinoic acid and γ-aminobutyric acid-B2 receptor signalling, among novel mechanisms that regulate pubertal timing in humans. Our findings suggest a genetic architecture involving at least hundreds of common variants in the coordinated timing of the pubertal transition.","author":[{"dropping-particle":"","family":"Perry","given":"John R.B.","non-dropping-particle":"","parse-names":false,"suffix":""},{"dropping-particle":"","family":"Day","given":"Felix","non-dropping-particle":"","parse-names":false,"suffix":""},{"dropping-particle":"","family":"Elks","given":"Cathy E.","non-dropping-particle":"","parse-names":false,"suffix":""},{"dropping-particle":"","family":"Sulem","given":"Patrick","non-dropping-particle":"","parse-names":false,"suffix":""},{"dropping-particle":"","family":"Thompson","given":"Deborah J.","non-dropping-particle":"","parse-names":false,"suffix":""},{"dropping-particle":"","family":"Ferreira","given":"Teresa","non-dropping-particle":"","parse-names":false,"suffix":""},{"dropping-particle":"","family":"He","given":"Chunyan","non-dropping-particle":"","parse-names":false,"suffix":""},{"dropping-particle":"","family":"Chasman","given":"Daniel I.","non-dropping-particle":"","parse-names":false,"suffix":""},{"dropping-particle":"","family":"Esko","given":"Tõnu","non-dropping-particle":"","parse-names":false,"suffix":""},{"dropping-particle":"","family":"Thorleifsson","given":"Gudmar","non-dropping-particle":"","parse-names":false,"suffix":""},{"dropping-particle":"","family":"Albrecht","given":"Eva","non-dropping-particle":"","parse-names":false,"suffix":""},{"dropping-particle":"","family":"Ang","given":"Wei Q.","non-dropping-particle":"","parse-names":false,"suffix":""},{"dropping-particle":"","family":"Corre","given":"Tanguy","non-dropping-particle":"","parse-names":false,"suffix":""},{"dropping-particle":"","family":"Cousminer","given":"Diana L.","non-dropping-particle":"","parse-names":false,"suffix":""},{"dropping-particle":"","family":"Feenstra","given":"Bjarke","non-dropping-particle":"","parse-names":false,"suffix":""},{"dropping-particle":"","family":"Franceschini","given":"Nora","non-dropping-particle":"","parse-names":false,"suffix":""},{"dropping-particle":"","family":"Ganna","given":"Andrea","non-dropping-particle":"","parse-names":false,"suffix":""},{"dropping-particle":"","family":"Johnson","given":"Andrew D.","non-dropping-particle":"","parse-names":false,"suffix":""},{"dropping-particle":"","family":"Kjellqvist","given":"Sanela","non-dropping-particle":"","parse-names":false,"suffix":""},{"dropping-particle":"","family":"Lunetta","given":"Kathryn L.","non-dropping-particle":"","parse-names":false,"suffix":""},{"dropping-particle":"","family":"McMahon","given":"George","non-dropping-particle":"","parse-names":false,"suffix":""},{"dropping-particle":"","family":"Nolte","given":"Ilja M.","non-dropping-particle":"","parse-names":false,"suffix":""},{"dropping-particle":"","family":"Paternoster","given":"Lavinia","non-dropping-particle":"","parse-names":false,"suffix":""},{"dropping-particle":"","family":"Porcu","given":"Eleonora","non-dropping-particle":"","parse-names":false,"suffix":""},{"dropping-particle":"V.","family":"Smith","given":"Albert","non-dropping-particle":"","parse-names":false,"suffix":""},{"dropping-particle":"","family":"Stolk","given":"Lisette","non-dropping-particle":"","parse-names":false,"suffix":""},{"dropping-particle":"","family":"Teumer","given":"Alexander","non-dropping-particle":"","parse-names":false,"suffix":""},{"dropping-particle":"","family":"Tšernikova","given":"Natalia","non-dropping-particle":"","parse-names":false,"suffix":""},{"dropping-particle":"","family":"Tikkanen","given":"Emmi","non-dropping-particle":"","parse-names":false,"suffix":""},{"dropping-particle":"","family":"Ulivi","given":"Sheila","non-dropping-particle":"","parse-names":false,"suffix":""},{"dropping-particle":"","family":"Wagner","given":"Erin K.","non-dropping-particle":"","parse-names":false,"suffix":""},{"dropping-particle":"","family":"Amin","given":"Najaf","non-dropping-particle":"","parse-names":false,"suffix":""},{"dropping-particle":"","family":"Bierut","given":"Laura J.","non-dropping-particle":"","parse-names":false,"suffix":""},{"dropping-particle":"","family":"Byrne","given":"Enda M.","non-dropping-particle":"","parse-names":false,"suffix":""},{"dropping-particle":"","family":"Hottenga","given":"Jouke Jan","non-dropping-particle":"","parse-names":false,"suffix":""},{"dropping-particle":"","family":"Koller","given":"Daniel L.","non-dropping-particle":"","parse-names":false,"suffix":""},{"dropping-particle":"","family":"Mangino","given":"Massimo","non-dropping-particle":"","parse-names":false,"suffix":""},{"dropping-particle":"","family":"Pers","given":"Tune H.","non-dropping-particle":"","parse-names":false,"suffix":""},{"dropping-particle":"","family":"Yerges-Armstrong","given":"Laura M.","non-dropping-particle":"","parse-names":false,"suffix":""},{"dropping-particle":"","family":"Zhao","given":"Jing Hua","non-dropping-particle":"","parse-names":false,"suffix":""},{"dropping-particle":"","family":"Andrulis","given":"Irene L.","non-dropping-particle":"","parse-names":false,"suffix":""},{"dropping-particle":"","family":"Anton-Culver","given":"Hoda","non-dropping-particle":"","parse-names":false,"suffix":""},{"dropping-particle":"","family":"Atsma","given":"Femke","non-dropping-particle":"","parse-names":false,"suffix":""},{"dropping-particle":"","family":"Bandinelli","given":"Stefania","non-dropping-particle":"","parse-names":false,"suffix":""},{"dropping-particle":"","family":"Beckmann","given":"Matthias W.","non-dropping-particle":"","parse-names":false,"suffix":""},{"dropping-particle":"","family":"Benitez","given":"Javier","non-dropping-particle":"","parse-names":false,"suffix":""},{"dropping-particle":"","family":"Blomqvist","given":"Carl","non-dropping-particle":"","parse-names":false,"suffix":""},{"dropping-particle":"","family":"Bojesen","given":"Stig E.","non-dropping-particle":"","parse-names":false,"suffix":""},{"dropping-particle":"","family":"Bolla","given":"Manjeet K.","non-dropping-particle":"","parse-names":false,"suffix":""},{"dropping-particle":"","family":"Bonanni","given":"Bernardo","non-dropping-particle":"","parse-names":false,"suffix":""},{"dropping-particle":"","family":"Brauch","given":"Hiltrud","non-dropping-particle":"","parse-names":false,"suffix":""},{"dropping-particle":"","family":"Brenner","given":"Hermann","non-dropping-particle":"","parse-names":false,"suffix":""},{"dropping-particle":"","family":"Buring","given":"Julie E.","non-dropping-particle":"","parse-names":false,"suffix":""},{"dropping-particle":"","family":"Chang-Claude","given":"Jenny","non-dropping-particle":"","parse-names":false,"suffix":""},{"dropping-particle":"","family":"Chanock","given":"Stephen","non-dropping-particle":"","parse-names":false,"suffix":""},{"dropping-particle":"","family":"Chen","given":"Jinhui","non-dropping-particle":"","parse-names":false,"suffix":""},{"dropping-particle":"","family":"Chenevix-Trench","given":"Georgia","non-dropping-particle":"","parse-names":false,"suffix":""},{"dropping-particle":"","family":"Collée","given":"J. Margriet","non-dropping-particle":"","parse-names":false,"suffix":""},{"dropping-particle":"","family":"Couch","given":"Fergus J.","non-dropping-particle":"","parse-names":false,"suffix":""},{"dropping-particle":"","family":"Couper","given":"David","non-dropping-particle":"","parse-names":false,"suffix":""},{"dropping-particle":"","family":"Coviello","given":"Andrea D.","non-dropping-particle":"","parse-names":false,"suffix":""},{"dropping-particle":"","family":"Cox","given":"Angela","non-dropping-particle":"","parse-names":false,"suffix":""},{"dropping-particle":"","family":"Czene","given":"Kamila","non-dropping-particle":"","parse-names":false,"suffix":""},{"dropping-particle":"","family":"D'adamo","given":"Adamo Pio","non-dropping-particle":"","parse-names":false,"suffix":""},{"dropping-particle":"","family":"Smith","given":"George Davey","non-dropping-particle":"","parse-names":false,"suffix":""},{"dropping-particle":"","family":"Vivo","given":"Immaculata","non-dropping-particle":"De","parse-names":false,"suffix":""},{"dropping-particle":"","family":"Demerath","given":"Ellen W.","non-dropping-particle":"","parse-names":false,"suffix":""},{"dropping-particle":"","family":"Dennis","given":"Joe","non-dropping-particle":"","parse-names":false,"suffix":""},{"dropping-particle":"","family":"Devilee","given":"Peter","non-dropping-particle":"","parse-names":false,"suffix":""},{"dropping-particle":"","family":"Dieffenbach","given":"Aida K.","non-dropping-particle":"","parse-names":false,"suffix":""},{"dropping-particle":"","family":"Dunning","given":"Alison M.","non-dropping-particle":"","parse-names":false,"suffix":""},{"dropping-particle":"","family":"Eiriksdottir","given":"Gudny","non-dropping-particle":"","parse-names":false,"suffix":""},{"dropping-particle":"","family":"Eriksson","given":"Johan G.","non-dropping-particle":"","parse-names":false,"suffix":""},{"dropping-particle":"","family":"Fasching","given":"Peter A.","non-dropping-particle":"","parse-names":false,"suffix":""},{"dropping-particle":"","family":"Ferrucci","given":"Luigi","non-dropping-particle":"","parse-names":false,"suffix":""},{"dropping-particle":"","family":"Flesch-Janys","given":"Dieter","non-dropping-particle":"","parse-names":false,"suffix":""},{"dropping-particle":"","family":"Flyger","given":"Henrik","non-dropping-particle":"","parse-names":false,"suffix":""},{"dropping-particle":"","family":"Foroud","given":"Tatiana","non-dropping-particle":"","parse-names":false,"suffix":""},{"dropping-particle":"","family":"Franke","given":"Lude","non-dropping-particle":"","parse-names":false,"suffix":""},{"dropping-particle":"","family":"Garcia","given":"Melissa E.","non-dropping-particle":"","parse-names":false,"suffix":""},{"dropping-particle":"","family":"García-Closas","given":"Montserrat","non-dropping-particle":"","parse-names":false,"suffix":""},{"dropping-particle":"","family":"Geller","given":"Frank","non-dropping-particle":"","parse-names":false,"suffix":""},{"dropping-particle":"","family":"Geus","given":"Eco E.J.","non-dropping-particle":"De","parse-names":false,"suffix":""},{"dropping-particle":"","family":"Giles","given":"Graham G.","non-dropping-particle":"","parse-names":false,"suffix":""},{"dropping-particle":"","family":"Gudbjartsson","given":"Daniel F.","non-dropping-particle":"","parse-names":false,"suffix":""},{"dropping-particle":"","family":"Gudnason","given":"Vilmundur","non-dropping-particle":"","parse-names":false,"suffix":""},{"dropping-particle":"","family":"Guénel","given":"Pascal","non-dropping-particle":"","parse-names":false,"suffix":""},{"dropping-particle":"","family":"Guo","given":"Suiqun","non-dropping-particle":"","parse-names":false,"suffix":""},{"dropping-particle":"","family":"Hall","given":"Per","non-dropping-particle":"","parse-names":false,"suffix":""},{"dropping-particle":"","family":"Hamann","given":"Ute","non-dropping-particle":"","parse-names":false,"suffix":""},{"dropping-particle":"","family":"Haring","given":"Robin","non-dropping-particle":"","parse-names":false,"suffix":""},{"dropping-particle":"","family":"Hartman","given":"Catharina A.","non-dropping-particle":"","parse-names":false,"suffix":""},{"dropping-particle":"","family":"Heath","given":"Andrew C.","non-dropping-particle":"","parse-names":false,"suffix":""},{"dropping-particle":"","family":"Hofman","given":"Albert","non-dropping-particle":"","parse-names":false,"suffix":""},{"dropping-particle":"","family":"Hooning","given":"Maartje J.","non-dropping-particle":"","parse-names":false,"suffix":""},{"dropping-particle":"","family":"Hopper","given":"John L.","non-dropping-particle":"","parse-names":false,"suffix":""},{"dropping-particle":"","family":"Hu","given":"Frank B.","non-dropping-particle":"","parse-names":false,"suffix":""},{"dropping-particle":"","family":"Hunter","given":"David J.","non-dropping-particle":"","parse-names":false,"suffix":""},{"dropping-particle":"","family":"Karasik","given":"David","non-dropping-particle":"","parse-names":false,"suffix":""},{"dropping-particle":"","family":"Kiel","given":"Douglas P.","non-dropping-particle":"","parse-names":false,"suffix":""},{"dropping-particle":"","family":"Knight","given":"Julia A.","non-dropping-particle":"","parse-names":false,"suffix":""},{"dropping-particle":"","family":"Kosma","given":"Veli Matti","non-dropping-particle":"","parse-names":false,"suffix":""},{"dropping-particle":"","family":"Kutalik","given":"Zoltan","non-dropping-particle":"","parse-names":false,"suffix":""},{"dropping-particle":"","family":"Lai","given":"Sandra","non-dropping-particle":"","parse-names":false,"suffix":""},{"dropping-particle":"","family":"Lambrechts","given":"Diether","non-dropping-particle":"","parse-names":false,"suffix":""},{"dropping-particle":"","family":"Lindblom","given":"Annika","non-dropping-particle":"","parse-names":false,"suffix":""},{"dropping-particle":"","family":"Mägi","given":"Reedik","non-dropping-particle":"","parse-names":false,"suffix":""},{"dropping-particle":"","family":"Magnusson","given":"Patrik K.","non-dropping-particle":"","parse-names":false,"suffix":""},{"dropping-particle":"","family":"Mannermaa","given":"Arto","non-dropping-particle":"","parse-names":false,"suffix":""},{"dropping-particle":"","family":"Martin","given":"Nicholas G.","non-dropping-particle":"","parse-names":false,"suffix":""},{"dropping-particle":"","family":"Masson","given":"Gisli","non-dropping-particle":"","parse-names":false,"suffix":""},{"dropping-particle":"","family":"McArdle","given":"Patrick F.","non-dropping-particle":"","parse-names":false,"suffix":""},{"dropping-particle":"","family":"McArdle","given":"Wendy L.","non-dropping-particle":"","parse-names":false,"suffix":""},{"dropping-particle":"","family":"Melbye","given":"Mads","non-dropping-particle":"","parse-names":false,"suffix":""},{"dropping-particle":"","family":"Michailidou","given":"Kyriaki","non-dropping-particle":"","parse-names":false,"suffix":""},{"dropping-particle":"","family":"Mihailov","given":"Evelin","non-dropping-particle":"","parse-names":false,"suffix":""},{"dropping-particle":"","family":"Milani","given":"Lili","non-dropping-particle":"","parse-names":false,"suffix":""},{"dropping-particle":"","family":"Milne","given":"Roger L.","non-dropping-particle":"","parse-names":false,"suffix":""},{"dropping-particle":"","family":"Nevanlinna","given":"Heli","non-dropping-particle":"","parse-names":false,"suffix":""},{"dropping-particle":"","family":"Neven","given":"Patrick","non-dropping-particle":"","parse-names":false,"suffix":""},{"dropping-particle":"","family":"Nohr","given":"Ellen A.","non-dropping-particle":"","parse-names":false,"suffix":""},{"dropping-particle":"","family":"Oldehinkel","given":"Albertine J.","non-dropping-particle":"","parse-names":false,"suffix":""},{"dropping-particle":"","family":"Oostra","given":"Ben A.","non-dropping-particle":"","parse-names":false,"suffix":""},{"dropping-particle":"","family":"Palotie","given":"Aarno","non-dropping-particle":"","parse-names":false,"suffix":""},{"dropping-particle":"","family":"Peacock","given":"Munro","non-dropping-particle":"","parse-names":false,"suffix":""},{"dropping-particle":"","family":"Pedersen","given":"Nancy L.","non-dropping-particle":"","parse-names":false,"suffix":""},{"dropping-particle":"","family":"Peterlongo","given":"Paolo","non-dropping-particle":"","parse-names":false,"suffix":""},{"dropping-particle":"","family":"Peto","given":"Julian","non-dropping-particle":"","parse-names":false,"suffix":""},{"dropping-particle":"","family":"Pharoah","given":"Paul D.P.","non-dropping-particle":"","parse-names":false,"suffix":""},{"dropping-particle":"","family":"Postma","given":"Dirkje S.","non-dropping-particle":"","parse-names":false,"suffix":""},{"dropping-particle":"","family":"Pouta","given":"Anneli","non-dropping-particle":"","parse-names":false,"suffix":""},{"dropping-particle":"","family":"Pylkäs","given":"Katri","non-dropping-particle":"","parse-names":false,"suffix":""},{"dropping-particle":"","family":"Radice","given":"Paolo","non-dropping-particle":"","parse-names":false,"suffix":""},{"dropping-particle":"","family":"Ring","given":"Susan","non-dropping-particle":"","parse-names":false,"suffix":""},{"dropping-particle":"","family":"Rivadeneira","given":"Fernando","non-dropping-particle":"","parse-names":false,"suffix":""},{"dropping-particle":"","family":"Robino","given":"Antonietta","non-dropping-particle":"","parse-names":false,"suffix":""},{"dropping-particle":"","family":"Rose","given":"Lynda M.","non-dropping-particle":"","parse-names":false,"suffix":""},{"dropping-particle":"","family":"Rudolph","given":"Anja","non-dropping-particle":"","parse-names":false,"suffix":""},{"dropping-particle":"","family":"Salomaa","given":"Veikko","non-dropping-particle":"","parse-names":false,"suffix":""},{"dropping-particle":"","family":"Sanna","given":"Serena","non-dropping-particle":"","parse-names":false,"suffix":""},{"dropping-particle":"","family":"Schlessinger","given":"David","non-dropping-particle":"","parse-names":false,"suffix":""},{"dropping-particle":"","family":"Schmidt","given":"Marjanka K.","non-dropping-particle":"","parse-names":false,"suffix":""},{"dropping-particle":"","family":"Southey","given":"Mellissa C.","non-dropping-particle":"","parse-names":false,"suffix":""},{"dropping-particle":"","family":"Sovio","given":"Ulla","non-dropping-particle":"","parse-names":false,"suffix":""},{"dropping-particle":"","family":"Stampfer","given":"Meir J.","non-dropping-particle":"","parse-names":false,"suffix":""},{"dropping-particle":"","family":"Stöckl","given":"Doris","non-dropping-particle":"","parse-names":false,"suffix":""},{"dropping-particle":"","family":"Storniolo","given":"Anna M.","non-dropping-particle":"","parse-names":false,"suffix":""},{"dropping-particle":"","family":"Timpson","given":"Nicholas J.","non-dropping-particle":"","parse-names":false,"suffix":""},{"dropping-particle":"","family":"Tyrer","given":"Jonathan","non-dropping-particle":"","parse-names":false,"suffix":""},{"dropping-particle":"","family":"Visser","given":"Jenny A.","non-dropping-particle":"","parse-names":false,"suffix":""},{"dropping-particle":"","family":"Vollenweider","given":"Peter","non-dropping-particle":"","parse-names":false,"suffix":""},{"dropping-particle":"","family":"Völzke","given":"Henry","non-dropping-particle":"","parse-names":false,"suffix":""},{"dropping-particle":"","family":"Waeber","given":"Gerard","non-dropping-particle":"","parse-names":false,"suffix":""},{"dropping-particle":"","family":"Waldenberger","given":"Melanie","non-dropping-particle":"","parse-names":false,"suffix":""},{"dropping-particle":"","family":"Wallaschofski","given":"Henri","non-dropping-particle":"","parse-names":false,"suffix":""},{"dropping-particle":"","family":"Wang","given":"Qin","non-dropping-particle":"","parse-names":false,"suffix":""},{"dropping-particle":"","family":"Willemsen","given":"Gonneke","non-dropping-particle":"","parse-names":false,"suffix":""},{"dropping-particle":"","family":"Winqvist","given":"Robert","non-dropping-particle":"","parse-names":false,"suffix":""},{"dropping-particle":"","family":"Wolffenbuttel","given":"Bruce H.R.","non-dropping-particle":"","parse-names":false,"suffix":""},{"dropping-particle":"","family":"Wright","given":"Margaret J.","non-dropping-particle":"","parse-names":false,"suffix":""},{"dropping-particle":"","family":"Boomsma","given":"Dorret I.","non-dropping-particle":"","parse-names":false,"suffix":""},{"dropping-particle":"","family":"Econs","given":"Michael J.","non-dropping-particle":"","parse-names":false,"suffix":""},{"dropping-particle":"","family":"Khaw","given":"Kay Tee","non-dropping-particle":"","parse-names":false,"suffix":""},{"dropping-particle":"","family":"Loos","given":"Ruth J.F.","non-dropping-particle":"","parse-names":false,"suffix":""},{"dropping-particle":"","family":"McCarthy","given":"Mark I.","non-dropping-particle":"","parse-names":false,"suffix":""},{"dropping-particle":"","family":"Montgomery","given":"Grant W.","non-dropping-particle":"","parse-names":false,"suffix":""},{"dropping-particle":"","family":"Rice","given":"John P.","non-dropping-particle":"","parse-names":false,"suffix":""},{"dropping-particle":"","family":"Streeten","given":"Elizabeth A.","non-dropping-particle":"","parse-names":false,"suffix":""},{"dropping-particle":"","family":"Thorsteinsdottir","given":"Unnur","non-dropping-particle":"","parse-names":false,"suffix":""},{"dropping-particle":"","family":"Duijn","given":"Cornelia M.","non-dropping-particle":"Van","parse-names":false,"suffix":""},{"dropping-particle":"","family":"Alizadeh","given":"Behrooz Z.","non-dropping-particle":"","parse-names":false,"suffix":""},{"dropping-particle":"","family":"Bergmann","given":"Sven","non-dropping-particle":"","parse-names":false,"suffix":""},{"dropping-particle":"","family":"Boerwinkle","given":"Eric","non-dropping-particle":"","parse-names":false,"suffix":""},{"dropping-particle":"","family":"Boyd","given":"Heather A.","non-dropping-particle":"","parse-names":false,"suffix":""},{"dropping-particle":"","family":"Crisponi","given":"Laura","non-dropping-particle":"","parse-names":false,"suffix":""},{"dropping-particle":"","family":"Gasparini","given":"Paolo","non-dropping-particle":"","parse-names":false,"suffix":""},{"dropping-particle":"","family":"Gieger","given":"Christian","non-dropping-particle":"","parse-names":false,"suffix":""},{"dropping-particle":"","family":"Harris","given":"Tamara B.","non-dropping-particle":"","parse-names":false,"suffix":""},{"dropping-particle":"","family":"Ingelsson","given":"Erik","non-dropping-particle":"","parse-names":false,"suffix":""},{"dropping-particle":"","family":"Järvelin","given":"Marjo Riitta","non-dropping-particle":"","parse-names":false,"suffix":""},{"dropping-particle":"","family":"Kraft","given":"Peter","non-dropping-particle":"","parse-names":false,"suffix":""},{"dropping-particle":"","family":"Lawlor","given":"Debbie","non-dropping-particle":"","parse-names":false,"suffix":""},{"dropping-particle":"","family":"Metspalu","given":"Andres","non-dropping-particle":"","parse-names":false,"suffix":""},{"dropping-particle":"","family":"Pennell","given":"Craig E.","non-dropping-particle":"","parse-names":false,"suffix":""},{"dropping-particle":"","family":"Ridker","given":"Paul M.","non-dropping-particle":"","parse-names":false,"suffix":""},{"dropping-particle":"","family":"Snieder","given":"Harold","non-dropping-particle":"","parse-names":false,"suffix":""},{"dropping-particle":"","family":"Sørensen","given":"Thorkild I.A.","non-dropping-particle":"","parse-names":false,"suffix":""},{"dropping-particle":"","family":"Spector","given":"Tim D.","non-dropping-particle":"","parse-names":false,"suffix":""},{"dropping-particle":"","family":"Strachan","given":"David P.","non-dropping-particle":"","parse-names":false,"suffix":""},{"dropping-particle":"","family":"Uitterlinden","given":"André G.","non-dropping-particle":"","parse-names":false,"suffix":""},{"dropping-particle":"","family":"Wareham","given":"Nicholas J.","non-dropping-particle":"","parse-names":false,"suffix":""},{"dropping-particle":"","family":"Widen","given":"Elisabeth","non-dropping-particle":"","parse-names":false,"suffix":""},{"dropping-particle":"","family":"Zygmunt","given":"Marek","non-dropping-particle":"","parse-names":false,"suffix":""},{"dropping-particle":"","family":"Murray","given":"Anna","non-dropping-particle":"","parse-names":false,"suffix":""},{"dropping-particle":"","family":"Easton","given":"Douglas F.","non-dropping-particle":"","parse-names":false,"suffix":""},{"dropping-particle":"","family":"Stefansson","given":"Kari","non-dropping-particle":"","parse-names":false,"suffix":""},{"dropping-particle":"","family":"Murabito","given":"Joanne M.","non-dropping-particle":"","parse-names":false,"suffix":""},{"dropping-particle":"","family":"Ong","given":"Ken K.","non-dropping-particle":"","parse-names":false,"suffix":""}],"container-title":"Nature","id":"ITEM-1","issued":{"date-parts":[["2014"]]},"title":"Parent-of-origin-specific allelic associations among 106 genomic loci for age at menarche","type":"article-journal"},"uris":["http://www.mendeley.com/documents/?uuid=7770caa0-2ad7-4b80-b7c1-36520f6aa00f"]}],"mendeley":{"formattedCitation":"(1)","plainTextFormattedCitation":"(1)","previouslyFormattedCitation":"(1)"},"properties":{"noteIndex":0},"schema":"https://github.com/citation-style-language/schema/raw/master/csl-citation.json"}</w:instrText>
      </w:r>
      <w:r w:rsidR="005A4447">
        <w:rPr>
          <w:sz w:val="22"/>
          <w:szCs w:val="22"/>
        </w:rPr>
        <w:fldChar w:fldCharType="separate"/>
      </w:r>
      <w:r w:rsidR="005A4447" w:rsidRPr="005A4447">
        <w:rPr>
          <w:noProof/>
          <w:sz w:val="22"/>
          <w:szCs w:val="22"/>
        </w:rPr>
        <w:t>(1)</w:t>
      </w:r>
      <w:r w:rsidR="005A4447">
        <w:rPr>
          <w:sz w:val="22"/>
          <w:szCs w:val="22"/>
        </w:rPr>
        <w:fldChar w:fldCharType="end"/>
      </w:r>
      <w:r w:rsidR="005A4447">
        <w:rPr>
          <w:sz w:val="22"/>
          <w:szCs w:val="22"/>
        </w:rPr>
        <w:t xml:space="preserve">. </w:t>
      </w:r>
      <w:r w:rsidR="00571657">
        <w:rPr>
          <w:sz w:val="22"/>
          <w:szCs w:val="22"/>
        </w:rPr>
        <w:t xml:space="preserve">This </w:t>
      </w:r>
      <w:r w:rsidR="00B373F6">
        <w:rPr>
          <w:sz w:val="22"/>
          <w:szCs w:val="22"/>
        </w:rPr>
        <w:t xml:space="preserve">genetic/environmental interplay is </w:t>
      </w:r>
      <w:r w:rsidR="00571657">
        <w:rPr>
          <w:sz w:val="22"/>
          <w:szCs w:val="22"/>
        </w:rPr>
        <w:t xml:space="preserve">highlighted by a reduction in the age of pubertal </w:t>
      </w:r>
      <w:r w:rsidR="004744FC">
        <w:rPr>
          <w:sz w:val="22"/>
          <w:szCs w:val="22"/>
        </w:rPr>
        <w:t>onset</w:t>
      </w:r>
      <w:r w:rsidR="00571657">
        <w:rPr>
          <w:sz w:val="22"/>
          <w:szCs w:val="22"/>
        </w:rPr>
        <w:t xml:space="preserve"> over the last century</w:t>
      </w:r>
      <w:r w:rsidR="00FB6EC0">
        <w:rPr>
          <w:sz w:val="22"/>
          <w:szCs w:val="22"/>
        </w:rPr>
        <w:t>,</w:t>
      </w:r>
      <w:r w:rsidR="00571657">
        <w:rPr>
          <w:sz w:val="22"/>
          <w:szCs w:val="22"/>
        </w:rPr>
        <w:t xml:space="preserve"> which has been attributed </w:t>
      </w:r>
      <w:r w:rsidR="009E5393">
        <w:rPr>
          <w:sz w:val="22"/>
          <w:szCs w:val="22"/>
        </w:rPr>
        <w:t xml:space="preserve">partly </w:t>
      </w:r>
      <w:r w:rsidR="00571657">
        <w:rPr>
          <w:sz w:val="22"/>
          <w:szCs w:val="22"/>
        </w:rPr>
        <w:t xml:space="preserve">to </w:t>
      </w:r>
      <w:r>
        <w:rPr>
          <w:sz w:val="22"/>
          <w:szCs w:val="22"/>
        </w:rPr>
        <w:t xml:space="preserve">metabolic factors such as </w:t>
      </w:r>
      <w:r w:rsidR="00747A1A">
        <w:rPr>
          <w:sz w:val="22"/>
          <w:szCs w:val="22"/>
        </w:rPr>
        <w:t>obesity</w:t>
      </w:r>
      <w:r w:rsidR="005A4447">
        <w:rPr>
          <w:sz w:val="22"/>
          <w:szCs w:val="22"/>
        </w:rPr>
        <w:t xml:space="preserve">, as well as </w:t>
      </w:r>
      <w:r>
        <w:rPr>
          <w:sz w:val="22"/>
          <w:szCs w:val="22"/>
        </w:rPr>
        <w:t xml:space="preserve">environmental factors such as </w:t>
      </w:r>
      <w:r w:rsidR="005A4447">
        <w:rPr>
          <w:sz w:val="22"/>
          <w:szCs w:val="22"/>
        </w:rPr>
        <w:t>endocrine disruptors</w:t>
      </w:r>
      <w:r w:rsidR="00571657">
        <w:rPr>
          <w:sz w:val="22"/>
          <w:szCs w:val="22"/>
        </w:rPr>
        <w:t xml:space="preserve"> </w:t>
      </w:r>
      <w:r w:rsidR="005A4447">
        <w:rPr>
          <w:sz w:val="22"/>
          <w:szCs w:val="22"/>
        </w:rPr>
        <w:fldChar w:fldCharType="begin" w:fldLock="1"/>
      </w:r>
      <w:r w:rsidR="007D2ECC">
        <w:rPr>
          <w:sz w:val="22"/>
          <w:szCs w:val="22"/>
        </w:rPr>
        <w:instrText>ADDIN CSL_CITATION {"citationItems":[{"id":"ITEM-1","itemData":{"DOI":"10.1016/S2213-8587(15)00418-0","ISSN":"22138595","abstract":"Puberty marks the end of childhood and is a period when individuals undergo physiological and psychological changes to achieve sexual maturation and fertility. The hypothalamic-pituitary-gonadal axis controls puberty and reproduction and is tightly regulated by a complex network of excitatory and inhibitory factors. This axis is active in the embryonic and early postnatal stages of life and is subsequently restrained during childhood, and its reactivation culminates in puberty initiation. The mechanisms underlying this reactivation are not completely known. The age of puberty onset varies between individuals and the timing of puberty initiation is associated with several health outcomes in adult life. In this Series paper, we discuss pubertal markers, epidemiological trends of puberty initiation over time, and the mechanisms whereby genetic, metabolic, and other factors control secretion of gonadotropin-releasing hormone to determine initiation of puberty.","author":[{"dropping-particle":"","family":"Abreu","given":"Ana Paula","non-dropping-particle":"","parse-names":false,"suffix":""},{"dropping-particle":"","family":"Kaiser","given":"Ursula B.","non-dropping-particle":"","parse-names":false,"suffix":""}],"container-title":"The Lancet Diabetes and Endocrinology","id":"ITEM-1","issued":{"date-parts":[["2016"]]},"title":"Pubertal development and regulation","type":"article"},"uris":["http://www.mendeley.com/documents/?uuid=54ce62f4-beb3-47b5-8841-d400f4050ebb"]},{"id":"ITEM-2","itemData":{"DOI":"10.1210/er.2018-00116","ISSN":"0163-769X","PMID":"30698671","abstract":"The initiation and maintenance of reproductive capacity in humans is dependent upon pulsatile secretion of the hypothalamic hormone gonadtropin-releasing hormone, GnRH. Congenital hypogonadotropic hypogonadism (CHH) is a rare disorder that results from the failure of the normal episodic GnRH secretion, leading to delayed puberty and infertility. CHH can be associated with an absent sense of smell, also termed Kallmann syndrome, or with other anomalies. CHH is characterized by rich genetic heterogeneity, with mutations in more than 30 genes identified to date acting either alone or in combination. CHH can be challenging to diagnose, particularly in early adolescence where the clinical picture mirrors that of constitutional delay of growth and puberty. Timely diagnosis and treatment will induce puberty, leading to improved sexual, bone, metabolic and psychological health. In most cases, patients require lifelong treatment yet a significant portion of male patients (around 10-20%) exhibit a spontaneous recovery of their reproductive function. Finally, fertility can be induced with pulsatile GnRH treatment or gonadotropin regimens in a majority of patients. In summary, this review is a comprehensive synthesis of the current literature available regarding the diagnosis, patient management and genetic foundations of congenital hypogonadotropic hypogonadism relative to normal reproductive development.","author":[{"dropping-particle":"","family":"Young","given":"Jacques","non-dropping-particle":"","parse-names":false,"suffix":""},{"dropping-particle":"","family":"Xu","given":"Cheng","non-dropping-particle":"","parse-names":false,"suffix":""},{"dropping-particle":"","family":"Papadakis","given":"Georgios E","non-dropping-particle":"","parse-names":false,"suffix":""},{"dropping-particle":"","family":"Acierno","given":"James S","non-dropping-particle":"","parse-names":false,"suffix":""},{"dropping-particle":"","family":"Maione","given":"Luigi","non-dropping-particle":"","parse-names":false,"suffix":""},{"dropping-particle":"","family":"Hietamäki","given":"Johanna","non-dropping-particle":"","parse-names":false,"suffix":""},{"dropping-particle":"","family":"Raivio","given":"Taneli","non-dropping-particle":"","parse-names":false,"suffix":""},{"dropping-particle":"","family":"Pitteloud","given":"Nelly","non-dropping-particle":"","parse-names":false,"suffix":""}],"container-title":"Endocrine Reviews","id":"ITEM-2","issued":{"date-parts":[["2019"]]},"title":"Clinical Management of Congenital Hypogonadotropic Hypogonadism","type":"article-journal"},"uris":["http://www.mendeley.com/documents/?uuid=b8abff27-40bf-4484-8561-2f5f6fc17da0"]},{"id":"ITEM-3","itemData":{"DOI":"10.1210/jc.2009-1478","ISSN":"0021972X","PMID":"19926714","abstract":"Context: In the 1990s, the American population-based study NHANES III renewed the focus on possible secular trends in male puberty. However, no conclusions could be made on pubertal onset due to the lack of compatible data. Objective: The aim of the study was to evaluate secular trends in pubertal onset during the recent 15 yr and their relation to body mass index (BMI) in boys. Design and Setting: We conducted a cross-sectional study in 1991-1993 and a combined cross-sectional and longitudinal study in 2006-2008 (The Copenhagen Puberty Study) at a tertiary center for pediatric endocrinology. Participants: A total of 1528 boys aged 5.8 to 19.9 yr participated (n = 824 in 1991-1993, and n = 704 in 2006-2008). Genital and pubic hair stages as well as testicular volume by orchidometry were evaluated. Blood samples were analyzed for LH, FSH, testosterone, and SHBG. Main Outcome Measures: We measured age at onset of pubertal markers. Results: Onset of puberty, defined as age at attainment of testicular volume above 3 ml, occurred significantly earlier in 2006-2008 [11.66 yr (11.49-11.82); mean (95% confidence interval)] than in 1991-1993 [11.92 yr (11.76 -12.08); P = 0.025]. Significantly higher LH, but not testosterone, levels were found in the 11- to 16-yr-old boys from 2006-2008 compared to 1991-1993 (P =0.020). BMI Z-score increased significantly from 1991-1993 [0.044 (-0.016 to 0.104)] to 2006-2008 [0.290 (0.219-0.361); P &lt; 0.001]. Interestingly, pubertal onset and LH levels were no longer significantly different between study periods after adjustment for BMI. Conclusions: Estimated mean age at onset of puberty has declined significantly during the recent 15 yr. This decline was associated with the coincident increase in BMI. Copyright © 2010 by The Endocrine Society.","author":[{"dropping-particle":"","family":"Sørensen","given":"Kaspar","non-dropping-particle":"","parse-names":false,"suffix":""},{"dropping-particle":"","family":"Aksglaede","given":"Lise","non-dropping-particle":"","parse-names":false,"suffix":""},{"dropping-particle":"","family":"Petersen","given":"Jørgen Holm","non-dropping-particle":"","parse-names":false,"suffix":""},{"dropping-particle":"","family":"Juul","given":"Anders","non-dropping-particle":"","parse-names":false,"suffix":""}],"container-title":"Journal of Clinical Endocrinology and Metabolism","id":"ITEM-3","issued":{"date-parts":[["2010"]]},"title":"Recent changes in pubertal timing in healthy Danish boys: Associations with body mass index","type":"article-journal"},"uris":["http://www.mendeley.com/documents/?uuid=b53bd90b-5ac7-429b-8e91-69c44ceb3e85"]}],"mendeley":{"formattedCitation":"(2–4)","plainTextFormattedCitation":"(2–4)","previouslyFormattedCitation":"(2–4)"},"properties":{"noteIndex":0},"schema":"https://github.com/citation-style-language/schema/raw/master/csl-citation.json"}</w:instrText>
      </w:r>
      <w:r w:rsidR="005A4447">
        <w:rPr>
          <w:sz w:val="22"/>
          <w:szCs w:val="22"/>
        </w:rPr>
        <w:fldChar w:fldCharType="separate"/>
      </w:r>
      <w:r w:rsidR="002F278E" w:rsidRPr="002F278E">
        <w:rPr>
          <w:noProof/>
          <w:sz w:val="22"/>
          <w:szCs w:val="22"/>
        </w:rPr>
        <w:t>(2–4)</w:t>
      </w:r>
      <w:r w:rsidR="005A4447">
        <w:rPr>
          <w:sz w:val="22"/>
          <w:szCs w:val="22"/>
        </w:rPr>
        <w:fldChar w:fldCharType="end"/>
      </w:r>
      <w:r w:rsidR="005A4447">
        <w:rPr>
          <w:sz w:val="22"/>
          <w:szCs w:val="22"/>
        </w:rPr>
        <w:t>.</w:t>
      </w:r>
    </w:p>
    <w:p w14:paraId="479C5F9B" w14:textId="2B7ADEF3" w:rsidR="00092298" w:rsidRDefault="003373D1" w:rsidP="00EA7DA1">
      <w:pPr>
        <w:autoSpaceDE w:val="0"/>
        <w:autoSpaceDN w:val="0"/>
        <w:adjustRightInd w:val="0"/>
        <w:spacing w:line="480" w:lineRule="auto"/>
        <w:ind w:firstLine="720"/>
        <w:jc w:val="both"/>
        <w:rPr>
          <w:sz w:val="22"/>
          <w:szCs w:val="22"/>
        </w:rPr>
      </w:pPr>
      <w:r>
        <w:rPr>
          <w:sz w:val="22"/>
          <w:szCs w:val="22"/>
        </w:rPr>
        <w:t>However, puberty is not the first activation of the</w:t>
      </w:r>
      <w:r w:rsidR="00AC7547">
        <w:rPr>
          <w:sz w:val="22"/>
          <w:szCs w:val="22"/>
        </w:rPr>
        <w:t xml:space="preserve"> HPG axis</w:t>
      </w:r>
      <w:r>
        <w:rPr>
          <w:sz w:val="22"/>
          <w:szCs w:val="22"/>
        </w:rPr>
        <w:t xml:space="preserve"> during the lifespan; </w:t>
      </w:r>
      <w:r w:rsidR="0033328B">
        <w:rPr>
          <w:sz w:val="22"/>
          <w:szCs w:val="22"/>
        </w:rPr>
        <w:t>indeed,</w:t>
      </w:r>
      <w:r w:rsidR="00001B5B">
        <w:rPr>
          <w:sz w:val="22"/>
          <w:szCs w:val="22"/>
        </w:rPr>
        <w:t xml:space="preserve"> </w:t>
      </w:r>
      <w:r>
        <w:rPr>
          <w:sz w:val="22"/>
          <w:szCs w:val="22"/>
        </w:rPr>
        <w:t>it</w:t>
      </w:r>
      <w:r w:rsidR="00AC7547">
        <w:rPr>
          <w:sz w:val="22"/>
          <w:szCs w:val="22"/>
        </w:rPr>
        <w:t xml:space="preserve"> is active in fetal and early neonatal life</w:t>
      </w:r>
      <w:r>
        <w:rPr>
          <w:sz w:val="22"/>
          <w:szCs w:val="22"/>
        </w:rPr>
        <w:t xml:space="preserve">, </w:t>
      </w:r>
      <w:r w:rsidR="00AC7547">
        <w:rPr>
          <w:sz w:val="22"/>
          <w:szCs w:val="22"/>
        </w:rPr>
        <w:t>termed</w:t>
      </w:r>
      <w:r w:rsidR="00001B5B">
        <w:rPr>
          <w:sz w:val="22"/>
          <w:szCs w:val="22"/>
        </w:rPr>
        <w:t xml:space="preserve"> </w:t>
      </w:r>
      <w:r w:rsidR="003710FA">
        <w:rPr>
          <w:sz w:val="22"/>
          <w:szCs w:val="22"/>
        </w:rPr>
        <w:t>‘</w:t>
      </w:r>
      <w:r w:rsidR="00AC7547">
        <w:rPr>
          <w:sz w:val="22"/>
          <w:szCs w:val="22"/>
        </w:rPr>
        <w:t>mini-puberty’</w:t>
      </w:r>
      <w:r>
        <w:rPr>
          <w:sz w:val="22"/>
          <w:szCs w:val="22"/>
        </w:rPr>
        <w:t>.</w:t>
      </w:r>
      <w:r w:rsidR="00AC7547">
        <w:rPr>
          <w:sz w:val="22"/>
          <w:szCs w:val="22"/>
        </w:rPr>
        <w:t xml:space="preserve"> </w:t>
      </w:r>
      <w:r>
        <w:rPr>
          <w:sz w:val="22"/>
          <w:szCs w:val="22"/>
        </w:rPr>
        <w:t>T</w:t>
      </w:r>
      <w:r w:rsidR="00CF4FE9">
        <w:rPr>
          <w:sz w:val="22"/>
          <w:szCs w:val="22"/>
        </w:rPr>
        <w:t xml:space="preserve">his </w:t>
      </w:r>
      <w:r>
        <w:rPr>
          <w:sz w:val="22"/>
          <w:szCs w:val="22"/>
        </w:rPr>
        <w:t xml:space="preserve">early </w:t>
      </w:r>
      <w:r w:rsidR="00CF4FE9">
        <w:rPr>
          <w:sz w:val="22"/>
          <w:szCs w:val="22"/>
        </w:rPr>
        <w:t>activation</w:t>
      </w:r>
      <w:r w:rsidR="00D3189E">
        <w:rPr>
          <w:sz w:val="22"/>
          <w:szCs w:val="22"/>
        </w:rPr>
        <w:t xml:space="preserve"> of the endocrine axis</w:t>
      </w:r>
      <w:r w:rsidR="00AC7547">
        <w:rPr>
          <w:sz w:val="22"/>
          <w:szCs w:val="22"/>
        </w:rPr>
        <w:t xml:space="preserve"> is believed to be important for priming reproductive organs to</w:t>
      </w:r>
      <w:r w:rsidR="00E81461">
        <w:rPr>
          <w:sz w:val="22"/>
          <w:szCs w:val="22"/>
        </w:rPr>
        <w:t xml:space="preserve"> fully</w:t>
      </w:r>
      <w:r w:rsidR="00AC7547">
        <w:rPr>
          <w:sz w:val="22"/>
          <w:szCs w:val="22"/>
        </w:rPr>
        <w:t xml:space="preserve"> respond to gonadotropins during puberty</w:t>
      </w:r>
      <w:r w:rsidR="00FB5A65">
        <w:rPr>
          <w:sz w:val="22"/>
          <w:szCs w:val="22"/>
        </w:rPr>
        <w:t>.</w:t>
      </w:r>
      <w:r w:rsidR="00AC7547">
        <w:rPr>
          <w:sz w:val="22"/>
          <w:szCs w:val="22"/>
        </w:rPr>
        <w:t xml:space="preserve"> </w:t>
      </w:r>
      <w:r w:rsidR="00FB5A65">
        <w:rPr>
          <w:sz w:val="22"/>
          <w:szCs w:val="22"/>
        </w:rPr>
        <w:t>Mini</w:t>
      </w:r>
      <w:r w:rsidR="0043137A">
        <w:rPr>
          <w:sz w:val="22"/>
          <w:szCs w:val="22"/>
        </w:rPr>
        <w:t>-</w:t>
      </w:r>
      <w:r w:rsidR="00FB5A65">
        <w:rPr>
          <w:sz w:val="22"/>
          <w:szCs w:val="22"/>
        </w:rPr>
        <w:t xml:space="preserve">puberty is </w:t>
      </w:r>
      <w:r w:rsidR="00AC7547">
        <w:rPr>
          <w:sz w:val="22"/>
          <w:szCs w:val="22"/>
        </w:rPr>
        <w:t xml:space="preserve">especially </w:t>
      </w:r>
      <w:r w:rsidR="00EA7DA1">
        <w:rPr>
          <w:sz w:val="22"/>
          <w:szCs w:val="22"/>
        </w:rPr>
        <w:t>important</w:t>
      </w:r>
      <w:r w:rsidR="00FB5A65">
        <w:rPr>
          <w:sz w:val="22"/>
          <w:szCs w:val="22"/>
        </w:rPr>
        <w:t xml:space="preserve"> </w:t>
      </w:r>
      <w:r w:rsidR="00AC7547">
        <w:rPr>
          <w:sz w:val="22"/>
          <w:szCs w:val="22"/>
        </w:rPr>
        <w:t>in boys</w:t>
      </w:r>
      <w:r w:rsidR="00AE049A">
        <w:rPr>
          <w:sz w:val="22"/>
          <w:szCs w:val="22"/>
        </w:rPr>
        <w:t>,</w:t>
      </w:r>
      <w:r w:rsidR="00B21DEA">
        <w:rPr>
          <w:sz w:val="22"/>
          <w:szCs w:val="22"/>
        </w:rPr>
        <w:t xml:space="preserve"> </w:t>
      </w:r>
      <w:r w:rsidR="00FB5A65">
        <w:rPr>
          <w:sz w:val="22"/>
          <w:szCs w:val="22"/>
        </w:rPr>
        <w:t>where</w:t>
      </w:r>
      <w:r w:rsidR="00EA7DA1">
        <w:rPr>
          <w:sz w:val="22"/>
          <w:szCs w:val="22"/>
        </w:rPr>
        <w:t>by</w:t>
      </w:r>
      <w:r>
        <w:rPr>
          <w:sz w:val="22"/>
          <w:szCs w:val="22"/>
        </w:rPr>
        <w:t xml:space="preserve"> </w:t>
      </w:r>
      <w:r w:rsidR="005A4447">
        <w:rPr>
          <w:sz w:val="22"/>
          <w:szCs w:val="22"/>
        </w:rPr>
        <w:t xml:space="preserve">the proliferation of immature </w:t>
      </w:r>
      <w:r w:rsidR="00F738D6">
        <w:rPr>
          <w:sz w:val="22"/>
          <w:szCs w:val="22"/>
        </w:rPr>
        <w:t>Sertoli</w:t>
      </w:r>
      <w:r w:rsidR="005A4447">
        <w:rPr>
          <w:sz w:val="22"/>
          <w:szCs w:val="22"/>
        </w:rPr>
        <w:t xml:space="preserve"> cells</w:t>
      </w:r>
      <w:r w:rsidR="00001B5B">
        <w:rPr>
          <w:sz w:val="22"/>
          <w:szCs w:val="22"/>
        </w:rPr>
        <w:t xml:space="preserve"> </w:t>
      </w:r>
      <w:r w:rsidR="00FB5A65">
        <w:rPr>
          <w:sz w:val="22"/>
          <w:szCs w:val="22"/>
        </w:rPr>
        <w:t xml:space="preserve">impacts </w:t>
      </w:r>
      <w:r w:rsidR="00AE049A">
        <w:rPr>
          <w:sz w:val="22"/>
          <w:szCs w:val="22"/>
        </w:rPr>
        <w:t xml:space="preserve">the success of </w:t>
      </w:r>
      <w:r w:rsidR="00001B5B">
        <w:rPr>
          <w:sz w:val="22"/>
          <w:szCs w:val="22"/>
        </w:rPr>
        <w:t>future spermatogenesis</w:t>
      </w:r>
      <w:r w:rsidR="005A4447">
        <w:rPr>
          <w:sz w:val="22"/>
          <w:szCs w:val="22"/>
        </w:rPr>
        <w:t xml:space="preserve"> </w:t>
      </w:r>
      <w:r w:rsidR="005A4447">
        <w:rPr>
          <w:sz w:val="22"/>
          <w:szCs w:val="22"/>
        </w:rPr>
        <w:fldChar w:fldCharType="begin" w:fldLock="1"/>
      </w:r>
      <w:r w:rsidR="005A4447">
        <w:rPr>
          <w:sz w:val="22"/>
          <w:szCs w:val="22"/>
        </w:rPr>
        <w:instrText>ADDIN CSL_CITATION {"citationItems":[{"id":"ITEM-1","itemData":{"DOI":"10.1210/er.2018-00116","ISSN":"0163-769X","PMID":"30698671","abstract":"The initiation and maintenance of reproductive capacity in humans is dependent upon pulsatile secretion of the hypothalamic hormone gonadtropin-releasing hormone, GnRH. Congenital hypogonadotropic hypogonadism (CHH) is a rare disorder that results from the failure of the normal episodic GnRH secretion, leading to delayed puberty and infertility. CHH can be associated with an absent sense of smell, also termed Kallmann syndrome, or with other anomalies. CHH is characterized by rich genetic heterogeneity, with mutations in more than 30 genes identified to date acting either alone or in combination. CHH can be challenging to diagnose, particularly in early adolescence where the clinical picture mirrors that of constitutional delay of growth and puberty. Timely diagnosis and treatment will induce puberty, leading to improved sexual, bone, metabolic and psychological health. In most cases, patients require lifelong treatment yet a significant portion of male patients (around 10-20%) exhibit a spontaneous recovery of their reproductive function. Finally, fertility can be induced with pulsatile GnRH treatment or gonadotropin regimens in a majority of patients. In summary, this review is a comprehensive synthesis of the current literature available regarding the diagnosis, patient management and genetic foundations of congenital hypogonadotropic hypogonadism relative to normal reproductive development.","author":[{"dropping-particle":"","family":"Young","given":"Jacques","non-dropping-particle":"","parse-names":false,"suffix":""},{"dropping-particle":"","family":"Xu","given":"Cheng","non-dropping-particle":"","parse-names":false,"suffix":""},{"dropping-particle":"","family":"Papadakis","given":"Georgios E","non-dropping-particle":"","parse-names":false,"suffix":""},{"dropping-particle":"","family":"Acierno","given":"James S","non-dropping-particle":"","parse-names":false,"suffix":""},{"dropping-particle":"","family":"Maione","given":"Luigi","non-dropping-particle":"","parse-names":false,"suffix":""},{"dropping-particle":"","family":"Hietamäki","given":"Johanna","non-dropping-particle":"","parse-names":false,"suffix":""},{"dropping-particle":"","family":"Raivio","given":"Taneli","non-dropping-particle":"","parse-names":false,"suffix":""},{"dropping-particle":"","family":"Pitteloud","given":"Nelly","non-dropping-particle":"","parse-names":false,"suffix":""}],"container-title":"Endocrine Reviews","id":"ITEM-1","issued":{"date-parts":[["2019"]]},"title":"Clinical Management of Congenital Hypogonadotropic Hypogonadism","type":"article-journal"},"uris":["http://www.mendeley.com/documents/?uuid=b8abff27-40bf-4484-8561-2f5f6fc17da0"]}],"mendeley":{"formattedCitation":"(3)","plainTextFormattedCitation":"(3)","previouslyFormattedCitation":"(3)"},"properties":{"noteIndex":0},"schema":"https://github.com/citation-style-language/schema/raw/master/csl-citation.json"}</w:instrText>
      </w:r>
      <w:r w:rsidR="005A4447">
        <w:rPr>
          <w:sz w:val="22"/>
          <w:szCs w:val="22"/>
        </w:rPr>
        <w:fldChar w:fldCharType="separate"/>
      </w:r>
      <w:r w:rsidR="005A4447" w:rsidRPr="005A4447">
        <w:rPr>
          <w:noProof/>
          <w:sz w:val="22"/>
          <w:szCs w:val="22"/>
        </w:rPr>
        <w:t>(3)</w:t>
      </w:r>
      <w:r w:rsidR="005A4447">
        <w:rPr>
          <w:sz w:val="22"/>
          <w:szCs w:val="22"/>
        </w:rPr>
        <w:fldChar w:fldCharType="end"/>
      </w:r>
      <w:r w:rsidR="005A4447">
        <w:rPr>
          <w:sz w:val="22"/>
          <w:szCs w:val="22"/>
        </w:rPr>
        <w:t xml:space="preserve">. </w:t>
      </w:r>
      <w:r w:rsidR="002105FB">
        <w:rPr>
          <w:sz w:val="22"/>
          <w:szCs w:val="22"/>
        </w:rPr>
        <w:t>Nevertheless</w:t>
      </w:r>
      <w:r w:rsidR="00AC7547">
        <w:rPr>
          <w:sz w:val="22"/>
          <w:szCs w:val="22"/>
        </w:rPr>
        <w:t>, from the age of 6 months in boys and 3-4 years in girls</w:t>
      </w:r>
      <w:r w:rsidR="00B21DEA">
        <w:rPr>
          <w:sz w:val="22"/>
          <w:szCs w:val="22"/>
        </w:rPr>
        <w:t>,</w:t>
      </w:r>
      <w:r w:rsidR="00AC7547">
        <w:rPr>
          <w:sz w:val="22"/>
          <w:szCs w:val="22"/>
        </w:rPr>
        <w:t xml:space="preserve"> the HPG</w:t>
      </w:r>
      <w:r w:rsidR="003710FA">
        <w:rPr>
          <w:sz w:val="22"/>
          <w:szCs w:val="22"/>
        </w:rPr>
        <w:t xml:space="preserve"> </w:t>
      </w:r>
      <w:r w:rsidR="00AC7547">
        <w:rPr>
          <w:sz w:val="22"/>
          <w:szCs w:val="22"/>
        </w:rPr>
        <w:t xml:space="preserve">axis is inhibited and remains quiescent until </w:t>
      </w:r>
      <w:r w:rsidR="002105FB">
        <w:rPr>
          <w:sz w:val="22"/>
          <w:szCs w:val="22"/>
        </w:rPr>
        <w:t xml:space="preserve">its </w:t>
      </w:r>
      <w:r w:rsidR="00AC7547">
        <w:rPr>
          <w:sz w:val="22"/>
          <w:szCs w:val="22"/>
        </w:rPr>
        <w:t xml:space="preserve">reactivation </w:t>
      </w:r>
      <w:r w:rsidR="002105FB">
        <w:rPr>
          <w:sz w:val="22"/>
          <w:szCs w:val="22"/>
        </w:rPr>
        <w:t>to initiate</w:t>
      </w:r>
      <w:r w:rsidR="00AC7547">
        <w:rPr>
          <w:sz w:val="22"/>
          <w:szCs w:val="22"/>
        </w:rPr>
        <w:t xml:space="preserve"> </w:t>
      </w:r>
      <w:r w:rsidR="00AC7547" w:rsidRPr="005A4447">
        <w:rPr>
          <w:sz w:val="22"/>
          <w:szCs w:val="22"/>
        </w:rPr>
        <w:t>pubert</w:t>
      </w:r>
      <w:r w:rsidR="002105FB">
        <w:rPr>
          <w:sz w:val="22"/>
          <w:szCs w:val="22"/>
        </w:rPr>
        <w:t xml:space="preserve">y </w:t>
      </w:r>
      <w:r w:rsidR="005A4447" w:rsidRPr="005A4447">
        <w:rPr>
          <w:sz w:val="22"/>
          <w:szCs w:val="22"/>
        </w:rPr>
        <w:fldChar w:fldCharType="begin" w:fldLock="1"/>
      </w:r>
      <w:r w:rsidR="005A4447" w:rsidRPr="005A4447">
        <w:rPr>
          <w:sz w:val="22"/>
          <w:szCs w:val="22"/>
        </w:rPr>
        <w:instrText>ADDIN CSL_CITATION {"citationItems":[{"id":"ITEM-1","itemData":{"DOI":"10.1016/S2213-8587(15)00418-0","ISSN":"22138595","abstract":"Puberty marks the end of childhood and is a period when individuals undergo physiological and psychological changes to achieve sexual maturation and fertility. The hypothalamic-pituitary-gonadal axis controls puberty and reproduction and is tightly regulated by a complex network of excitatory and inhibitory factors. This axis is active in the embryonic and early postnatal stages of life and is subsequently restrained during childhood, and its reactivation culminates in puberty initiation. The mechanisms underlying this reactivation are not completely known. The age of puberty onset varies between individuals and the timing of puberty initiation is associated with several health outcomes in adult life. In this Series paper, we discuss pubertal markers, epidemiological trends of puberty initiation over time, and the mechanisms whereby genetic, metabolic, and other factors control secretion of gonadotropin-releasing hormone to determine initiation of puberty.","author":[{"dropping-particle":"","family":"Abreu","given":"Ana Paula","non-dropping-particle":"","parse-names":false,"suffix":""},{"dropping-particle":"","family":"Kaiser","given":"Ursula B.","non-dropping-particle":"","parse-names":false,"suffix":""}],"container-title":"The Lancet Diabetes and Endocrinology","id":"ITEM-1","issued":{"date-parts":[["2016"]]},"title":"Pubertal development and regulation","type":"article"},"uris":["http://www.mendeley.com/documents/?uuid=54ce62f4-beb3-47b5-8841-d400f4050ebb"]},{"id":"ITEM-2","itemData":{"DOI":"10.1210/er.2018-00116","ISSN":"0163-769X","PMID":"30698671","abstract":"The initiation and maintenance of reproductive capacity in humans is dependent upon pulsatile secretion of the hypothalamic hormone gonadtropin-releasing hormone, GnRH. Congenital hypogonadotropic hypogonadism (CHH) is a rare disorder that results from the failure of the normal episodic GnRH secretion, leading to delayed puberty and infertility. CHH can be associated with an absent sense of smell, also termed Kallmann syndrome, or with other anomalies. CHH is characterized by rich genetic heterogeneity, with mutations in more than 30 genes identified to date acting either alone or in combination. CHH can be challenging to diagnose, particularly in early adolescence where the clinical picture mirrors that of constitutional delay of growth and puberty. Timely diagnosis and treatment will induce puberty, leading to improved sexual, bone, metabolic and psychological health. In most cases, patients require lifelong treatment yet a significant portion of male patients (around 10-20%) exhibit a spontaneous recovery of their reproductive function. Finally, fertility can be induced with pulsatile GnRH treatment or gonadotropin regimens in a majority of patients. In summary, this review is a comprehensive synthesis of the current literature available regarding the diagnosis, patient management and genetic foundations of congenital hypogonadotropic hypogonadism relative to normal reproductive development.","author":[{"dropping-particle":"","family":"Young","given":"Jacques","non-dropping-particle":"","parse-names":false,"suffix":""},{"dropping-particle":"","family":"Xu","given":"Cheng","non-dropping-particle":"","parse-names":false,"suffix":""},{"dropping-particle":"","family":"Papadakis","given":"Georgios E","non-dropping-particle":"","parse-names":false,"suffix":""},{"dropping-particle":"","family":"Acierno","given":"James S","non-dropping-particle":"","parse-names":false,"suffix":""},{"dropping-particle":"","family":"Maione","given":"Luigi","non-dropping-particle":"","parse-names":false,"suffix":""},{"dropping-particle":"","family":"Hietamäki","given":"Johanna","non-dropping-particle":"","parse-names":false,"suffix":""},{"dropping-particle":"","family":"Raivio","given":"Taneli","non-dropping-particle":"","parse-names":false,"suffix":""},{"dropping-particle":"","family":"Pitteloud","given":"Nelly","non-dropping-particle":"","parse-names":false,"suffix":""}],"container-title":"Endocrine Reviews","id":"ITEM-2","issued":{"date-parts":[["2019"]]},"title":"Clinical Management of Congenital Hypogonadotropic Hypogonadism","type":"article-journal"},"uris":["http://www.mendeley.com/documents/?uuid=b8abff27-40bf-4484-8561-2f5f6fc17da0"]}],"mendeley":{"formattedCitation":"(2,3)","plainTextFormattedCitation":"(2,3)","previouslyFormattedCitation":"(2,3)"},"properties":{"noteIndex":0},"schema":"https://github.com/citation-style-language/schema/raw/master/csl-citation.json"}</w:instrText>
      </w:r>
      <w:r w:rsidR="005A4447" w:rsidRPr="005A4447">
        <w:rPr>
          <w:sz w:val="22"/>
          <w:szCs w:val="22"/>
        </w:rPr>
        <w:fldChar w:fldCharType="separate"/>
      </w:r>
      <w:r w:rsidR="005A4447" w:rsidRPr="005A4447">
        <w:rPr>
          <w:noProof/>
          <w:sz w:val="22"/>
          <w:szCs w:val="22"/>
        </w:rPr>
        <w:t>(2,3)</w:t>
      </w:r>
      <w:r w:rsidR="005A4447" w:rsidRPr="005A4447">
        <w:rPr>
          <w:sz w:val="22"/>
          <w:szCs w:val="22"/>
        </w:rPr>
        <w:fldChar w:fldCharType="end"/>
      </w:r>
      <w:r w:rsidR="005A4447" w:rsidRPr="005A4447">
        <w:rPr>
          <w:sz w:val="22"/>
          <w:szCs w:val="22"/>
        </w:rPr>
        <w:t>.</w:t>
      </w:r>
      <w:r w:rsidR="00AE049A">
        <w:rPr>
          <w:sz w:val="22"/>
          <w:szCs w:val="22"/>
        </w:rPr>
        <w:t xml:space="preserve"> However, w</w:t>
      </w:r>
      <w:r w:rsidR="00AC7547" w:rsidRPr="005A4447">
        <w:rPr>
          <w:sz w:val="22"/>
          <w:szCs w:val="22"/>
        </w:rPr>
        <w:t>hat</w:t>
      </w:r>
      <w:r w:rsidR="00AC7547">
        <w:rPr>
          <w:sz w:val="22"/>
          <w:szCs w:val="22"/>
        </w:rPr>
        <w:t xml:space="preserve"> instigates this reactivation of the HPG axis has remained an intriguing mystery</w:t>
      </w:r>
      <w:r w:rsidR="00A16E9B">
        <w:rPr>
          <w:sz w:val="22"/>
          <w:szCs w:val="22"/>
        </w:rPr>
        <w:t xml:space="preserve"> for many years</w:t>
      </w:r>
      <w:r w:rsidR="00FB5A65">
        <w:rPr>
          <w:sz w:val="22"/>
          <w:szCs w:val="22"/>
        </w:rPr>
        <w:t>;</w:t>
      </w:r>
      <w:r w:rsidR="00B21DEA">
        <w:rPr>
          <w:sz w:val="22"/>
          <w:szCs w:val="22"/>
        </w:rPr>
        <w:t xml:space="preserve"> and i</w:t>
      </w:r>
      <w:r w:rsidR="00AC7547">
        <w:rPr>
          <w:sz w:val="22"/>
          <w:szCs w:val="22"/>
        </w:rPr>
        <w:t xml:space="preserve">ndeed ‘What triggers puberty?’ was one of the top unanswered questions </w:t>
      </w:r>
      <w:r w:rsidR="002832F7">
        <w:rPr>
          <w:sz w:val="22"/>
          <w:szCs w:val="22"/>
        </w:rPr>
        <w:lastRenderedPageBreak/>
        <w:t xml:space="preserve">in the scientific field </w:t>
      </w:r>
      <w:r w:rsidR="00AC7547">
        <w:rPr>
          <w:sz w:val="22"/>
          <w:szCs w:val="22"/>
        </w:rPr>
        <w:t xml:space="preserve">published in 2005 </w:t>
      </w:r>
      <w:r w:rsidR="00AC7547">
        <w:rPr>
          <w:sz w:val="22"/>
          <w:szCs w:val="22"/>
        </w:rPr>
        <w:fldChar w:fldCharType="begin" w:fldLock="1"/>
      </w:r>
      <w:r w:rsidR="007D2ECC">
        <w:rPr>
          <w:sz w:val="22"/>
          <w:szCs w:val="22"/>
        </w:rPr>
        <w:instrText>ADDIN CSL_CITATION {"citationItems":[{"id":"ITEM-1","itemData":{"DOI":"10.1126/science.309.5731.78b","ISSN":"0036-8075","PMID":"15994524","container-title":"Science","id":"ITEM-1","issue":"5731","issued":{"date-parts":[["2005","7","1"]]},"page":"78b-102b","title":"So Much More to Know","type":"article-journal","volume":"309"},"uris":["http://www.mendeley.com/documents/?uuid=afe01e05-bb4f-3024-83be-1dec7d37c8e7"]}],"mendeley":{"formattedCitation":"(5)","plainTextFormattedCitation":"(5)","previouslyFormattedCitation":"(5)"},"properties":{"noteIndex":0},"schema":"https://github.com/citation-style-language/schema/raw/master/csl-citation.json"}</w:instrText>
      </w:r>
      <w:r w:rsidR="00AC7547">
        <w:rPr>
          <w:sz w:val="22"/>
          <w:szCs w:val="22"/>
        </w:rPr>
        <w:fldChar w:fldCharType="separate"/>
      </w:r>
      <w:r w:rsidR="002F278E" w:rsidRPr="002F278E">
        <w:rPr>
          <w:noProof/>
          <w:sz w:val="22"/>
          <w:szCs w:val="22"/>
        </w:rPr>
        <w:t>(5)</w:t>
      </w:r>
      <w:r w:rsidR="00AC7547">
        <w:rPr>
          <w:sz w:val="22"/>
          <w:szCs w:val="22"/>
        </w:rPr>
        <w:fldChar w:fldCharType="end"/>
      </w:r>
      <w:r w:rsidR="00AC7547">
        <w:rPr>
          <w:sz w:val="22"/>
          <w:szCs w:val="22"/>
        </w:rPr>
        <w:t xml:space="preserve">. </w:t>
      </w:r>
      <w:r w:rsidR="00B21DEA">
        <w:rPr>
          <w:sz w:val="22"/>
          <w:szCs w:val="22"/>
        </w:rPr>
        <w:t xml:space="preserve">Since then, our knowledge of the key signals that initiate puberty has advanced </w:t>
      </w:r>
      <w:r w:rsidR="00B77256">
        <w:rPr>
          <w:sz w:val="22"/>
          <w:szCs w:val="22"/>
        </w:rPr>
        <w:t xml:space="preserve">substantially </w:t>
      </w:r>
      <w:r w:rsidR="00A551CB">
        <w:rPr>
          <w:sz w:val="22"/>
          <w:szCs w:val="22"/>
        </w:rPr>
        <w:t>with some notable discoveries</w:t>
      </w:r>
      <w:r w:rsidR="004744FC">
        <w:rPr>
          <w:sz w:val="22"/>
          <w:szCs w:val="22"/>
        </w:rPr>
        <w:t>, of which</w:t>
      </w:r>
      <w:r w:rsidR="00A551CB">
        <w:rPr>
          <w:sz w:val="22"/>
          <w:szCs w:val="22"/>
        </w:rPr>
        <w:t xml:space="preserve"> </w:t>
      </w:r>
      <w:r w:rsidR="00AC7547" w:rsidRPr="00764B7E">
        <w:rPr>
          <w:i/>
          <w:iCs/>
          <w:sz w:val="22"/>
          <w:szCs w:val="22"/>
        </w:rPr>
        <w:t>MKRN3</w:t>
      </w:r>
      <w:r w:rsidR="00AC7547">
        <w:rPr>
          <w:sz w:val="22"/>
          <w:szCs w:val="22"/>
        </w:rPr>
        <w:t xml:space="preserve"> is a </w:t>
      </w:r>
      <w:r w:rsidR="00A551CB">
        <w:rPr>
          <w:sz w:val="22"/>
          <w:szCs w:val="22"/>
        </w:rPr>
        <w:t xml:space="preserve">further </w:t>
      </w:r>
      <w:r w:rsidR="00AC7547">
        <w:rPr>
          <w:sz w:val="22"/>
          <w:szCs w:val="22"/>
        </w:rPr>
        <w:t xml:space="preserve">major </w:t>
      </w:r>
      <w:r w:rsidR="004744FC">
        <w:rPr>
          <w:sz w:val="22"/>
          <w:szCs w:val="22"/>
        </w:rPr>
        <w:t>breakthrough</w:t>
      </w:r>
      <w:r w:rsidR="00AC7547">
        <w:rPr>
          <w:sz w:val="22"/>
          <w:szCs w:val="22"/>
        </w:rPr>
        <w:t xml:space="preserve"> </w:t>
      </w:r>
      <w:r w:rsidR="00E938B9">
        <w:rPr>
          <w:sz w:val="22"/>
          <w:szCs w:val="22"/>
        </w:rPr>
        <w:t>that</w:t>
      </w:r>
      <w:r w:rsidR="008C3BB1">
        <w:rPr>
          <w:sz w:val="22"/>
          <w:szCs w:val="22"/>
        </w:rPr>
        <w:t xml:space="preserve"> </w:t>
      </w:r>
      <w:r w:rsidR="00E938B9">
        <w:rPr>
          <w:sz w:val="22"/>
          <w:szCs w:val="22"/>
        </w:rPr>
        <w:t>sheds light on</w:t>
      </w:r>
      <w:r w:rsidR="00B21DEA">
        <w:rPr>
          <w:sz w:val="22"/>
          <w:szCs w:val="22"/>
        </w:rPr>
        <w:t xml:space="preserve"> this mystery</w:t>
      </w:r>
      <w:r w:rsidR="008C3BB1">
        <w:rPr>
          <w:sz w:val="22"/>
          <w:szCs w:val="22"/>
        </w:rPr>
        <w:t>.</w:t>
      </w:r>
    </w:p>
    <w:p w14:paraId="7679C1D3" w14:textId="2A6EDE2D" w:rsidR="009817AB" w:rsidRDefault="009817AB" w:rsidP="009D47FB">
      <w:pPr>
        <w:autoSpaceDE w:val="0"/>
        <w:autoSpaceDN w:val="0"/>
        <w:adjustRightInd w:val="0"/>
        <w:spacing w:line="480" w:lineRule="auto"/>
        <w:jc w:val="both"/>
        <w:rPr>
          <w:sz w:val="22"/>
          <w:szCs w:val="22"/>
        </w:rPr>
      </w:pPr>
    </w:p>
    <w:p w14:paraId="4D8D1D8E" w14:textId="218CD8F6" w:rsidR="00B77256" w:rsidRPr="006E27ED" w:rsidRDefault="00754852" w:rsidP="009D47FB">
      <w:pPr>
        <w:autoSpaceDE w:val="0"/>
        <w:autoSpaceDN w:val="0"/>
        <w:adjustRightInd w:val="0"/>
        <w:spacing w:line="480" w:lineRule="auto"/>
        <w:jc w:val="both"/>
        <w:rPr>
          <w:b/>
          <w:sz w:val="22"/>
          <w:szCs w:val="22"/>
        </w:rPr>
      </w:pPr>
      <w:r>
        <w:rPr>
          <w:b/>
          <w:sz w:val="22"/>
          <w:szCs w:val="22"/>
        </w:rPr>
        <w:t xml:space="preserve">Key </w:t>
      </w:r>
      <w:r w:rsidR="00092298">
        <w:rPr>
          <w:b/>
          <w:sz w:val="22"/>
          <w:szCs w:val="22"/>
        </w:rPr>
        <w:t>players in the</w:t>
      </w:r>
      <w:r>
        <w:rPr>
          <w:b/>
          <w:sz w:val="22"/>
          <w:szCs w:val="22"/>
        </w:rPr>
        <w:t xml:space="preserve"> </w:t>
      </w:r>
      <w:r w:rsidR="00835882">
        <w:rPr>
          <w:b/>
          <w:sz w:val="22"/>
          <w:szCs w:val="22"/>
        </w:rPr>
        <w:t xml:space="preserve">neuroendocrine </w:t>
      </w:r>
      <w:r>
        <w:rPr>
          <w:b/>
          <w:sz w:val="22"/>
          <w:szCs w:val="22"/>
        </w:rPr>
        <w:t xml:space="preserve">control </w:t>
      </w:r>
      <w:r w:rsidR="00092298">
        <w:rPr>
          <w:b/>
          <w:sz w:val="22"/>
          <w:szCs w:val="22"/>
        </w:rPr>
        <w:t xml:space="preserve">of </w:t>
      </w:r>
      <w:r w:rsidR="00C07A74" w:rsidRPr="00C07A74">
        <w:rPr>
          <w:b/>
          <w:sz w:val="22"/>
          <w:szCs w:val="22"/>
        </w:rPr>
        <w:t>puberty</w:t>
      </w:r>
    </w:p>
    <w:p w14:paraId="63BB854D" w14:textId="23C7E540" w:rsidR="00092298" w:rsidRDefault="00092298" w:rsidP="009D47FB">
      <w:pPr>
        <w:autoSpaceDE w:val="0"/>
        <w:autoSpaceDN w:val="0"/>
        <w:adjustRightInd w:val="0"/>
        <w:spacing w:line="480" w:lineRule="auto"/>
        <w:jc w:val="both"/>
        <w:rPr>
          <w:sz w:val="22"/>
          <w:szCs w:val="22"/>
        </w:rPr>
      </w:pPr>
      <w:r>
        <w:rPr>
          <w:sz w:val="22"/>
          <w:szCs w:val="22"/>
        </w:rPr>
        <w:t>Revelation of the central actors responsible for pubertal initiation has predominantly emanated from studies in patients with disordered puberty i.e. precocious (early) or delayed (late) puberty. Many of these discoveries have not only transformed our understanding of the signals regulating puberty, but also more widely of the physiological regulation of the endocrine HPG axis.</w:t>
      </w:r>
    </w:p>
    <w:p w14:paraId="53826857" w14:textId="29029930" w:rsidR="005F3895" w:rsidRDefault="00EC677E" w:rsidP="00EA7DA1">
      <w:pPr>
        <w:autoSpaceDE w:val="0"/>
        <w:autoSpaceDN w:val="0"/>
        <w:adjustRightInd w:val="0"/>
        <w:spacing w:line="480" w:lineRule="auto"/>
        <w:ind w:firstLine="720"/>
        <w:jc w:val="both"/>
        <w:rPr>
          <w:sz w:val="22"/>
          <w:szCs w:val="22"/>
        </w:rPr>
      </w:pPr>
      <w:r>
        <w:rPr>
          <w:sz w:val="22"/>
          <w:szCs w:val="22"/>
        </w:rPr>
        <w:t xml:space="preserve">In 2003, </w:t>
      </w:r>
      <w:r w:rsidR="005C121B">
        <w:rPr>
          <w:sz w:val="22"/>
          <w:szCs w:val="22"/>
        </w:rPr>
        <w:t xml:space="preserve">loss of function </w:t>
      </w:r>
      <w:r w:rsidR="0078478A">
        <w:rPr>
          <w:sz w:val="22"/>
          <w:szCs w:val="22"/>
        </w:rPr>
        <w:t>variants</w:t>
      </w:r>
      <w:r w:rsidR="005C121B">
        <w:rPr>
          <w:sz w:val="22"/>
          <w:szCs w:val="22"/>
        </w:rPr>
        <w:t xml:space="preserve"> in </w:t>
      </w:r>
      <w:r w:rsidR="00D150E1">
        <w:rPr>
          <w:sz w:val="22"/>
          <w:szCs w:val="22"/>
        </w:rPr>
        <w:t xml:space="preserve">the </w:t>
      </w:r>
      <w:r w:rsidR="005C121B">
        <w:rPr>
          <w:sz w:val="22"/>
          <w:szCs w:val="22"/>
        </w:rPr>
        <w:t xml:space="preserve">gene encoding </w:t>
      </w:r>
      <w:r w:rsidR="00500ED6">
        <w:rPr>
          <w:sz w:val="22"/>
          <w:szCs w:val="22"/>
        </w:rPr>
        <w:t xml:space="preserve">the </w:t>
      </w:r>
      <w:r w:rsidR="005C121B">
        <w:rPr>
          <w:sz w:val="22"/>
          <w:szCs w:val="22"/>
        </w:rPr>
        <w:t xml:space="preserve">kisspeptin </w:t>
      </w:r>
      <w:r w:rsidR="00CC6665">
        <w:rPr>
          <w:sz w:val="22"/>
          <w:szCs w:val="22"/>
        </w:rPr>
        <w:t xml:space="preserve">receptor </w:t>
      </w:r>
      <w:r>
        <w:rPr>
          <w:sz w:val="22"/>
          <w:szCs w:val="22"/>
        </w:rPr>
        <w:t xml:space="preserve">were </w:t>
      </w:r>
      <w:r w:rsidR="00633D55">
        <w:rPr>
          <w:sz w:val="22"/>
          <w:szCs w:val="22"/>
        </w:rPr>
        <w:t>reported</w:t>
      </w:r>
      <w:r>
        <w:rPr>
          <w:sz w:val="22"/>
          <w:szCs w:val="22"/>
        </w:rPr>
        <w:t xml:space="preserve"> to </w:t>
      </w:r>
      <w:r w:rsidR="005C121B">
        <w:rPr>
          <w:sz w:val="22"/>
          <w:szCs w:val="22"/>
        </w:rPr>
        <w:t xml:space="preserve">result in a failure of pubertal maturation </w:t>
      </w:r>
      <w:r w:rsidR="005C121B">
        <w:rPr>
          <w:sz w:val="22"/>
          <w:szCs w:val="22"/>
        </w:rPr>
        <w:fldChar w:fldCharType="begin" w:fldLock="1"/>
      </w:r>
      <w:r w:rsidR="007D2ECC">
        <w:rPr>
          <w:sz w:val="22"/>
          <w:szCs w:val="22"/>
        </w:rPr>
        <w:instrText>ADDIN CSL_CITATION {"citationItems":[{"id":"ITEM-1","itemData":{"DOI":"10.1073/pnas.1834399100","ISSN":"0027-8424","PMID":"12944565","abstract":"Hypogonadotropic hypogonadism is defined as a deficiency of the pituitary secretion of follicle-stimulating hormone and luteinizing hormone, which results in the impairment of pubertal maturation and of reproductive function. In the absence of pituitary or hypothalamic anatomical lesions and of anosmia (Kallmann syndrome), hypogonadotropic hypogonadism is referred to as isolated hypogonadotropic hypogonadism (IHH). A limited number of IHH cases are due to loss-of-function mutations of the gonadotropin-releasing hormone receptor. To identify additional gene defects leading to IHH, a large consanguineous family with five affected siblings and with a normal gonadotropin-releasing hormone receptor coding sequence was studied. Homozygosity whole-genome mapping allowed the localization of a new locus within the short arm of chromosome 19 (19p13). Sequencing of several genes localized within this region showed that all affected siblings of the family carried a homozygous deletion of 155 nucleotides in the GPR54 gene. This deletion encompassed the splicing acceptor site of intron 4-exon 5 junction and part of exon 5. The deletion was absent or present on only one allele in unaffected family members. GPR54 has been initially identified as an orphan G protein-coupled receptor with 40% homology to galanin receptors. Recently, a 54-aa peptide derived from the KiSS1 protein was identified as a ligand of GPR54. The present study shows that loss of function of GPR54 is a cause of IHH, and it identifies GPR54 and possibly KiSS1 protein-derived peptide as playing a major and previously unsuspected role in the physiology of the gonadotropic axis.","author":[{"dropping-particle":"","family":"Roux","given":"Nicolas","non-dropping-particle":"de","parse-names":false,"suffix":""},{"dropping-particle":"","family":"Genin","given":"Emmanuelle","non-dropping-particle":"","parse-names":false,"suffix":""},{"dropping-particle":"","family":"Carel","given":"Jean-Claude","non-dropping-particle":"","parse-names":false,"suffix":""},{"dropping-particle":"","family":"Matsuda","given":"Fumihiko","non-dropping-particle":"","parse-names":false,"suffix":""},{"dropping-particle":"","family":"Chaussain","given":"Jean-Louis","non-dropping-particle":"","parse-names":false,"suffix":""},{"dropping-particle":"","family":"Milgrom","given":"Edwin","non-dropping-particle":"","parse-names":false,"suffix":""}],"container-title":"Proceedings of the National Academy of Sciences of the United States of America","id":"ITEM-1","issue":"19","issued":{"date-parts":[["2003","9","16"]]},"page":"10972-6","publisher":"National Academy of Sciences","title":"Hypogonadotropic hypogonadism due to loss of function of the KiSS1-derived peptide receptor GPR54.","type":"article-journal","volume":"100"},"uris":["http://www.mendeley.com/documents/?uuid=b233c2bb-2cae-3548-ae4d-da992f3adbd6"]},{"id":"ITEM-2","itemData":{"DOI":"10.1097/00006254-200405000-00020","ISBN":"1533-4406 (Electronic)","ISSN":"0029-7828","PMID":"14573733","abstract":"Background Puberty, a complex biologic process involving sexual development, accelerated linear growth, and adrenal maturation, is initiated when gonadotropin-releasing hormone begins to be secreted by the hypothalamus. We conducted studies in humans and mice to identify the genetic factors that determine the onset of puberty. Methods We used complementary genetic approaches in humans and in mice. A consanguineous family with members who lacked pubertal development (idiopathic hypogonadotropic hypogonadism) was examined for mutations in a candidate gene, GPR54, which encodes a G protein–coupled receptor. Functional differences between wild-type and mutant GPR54 were examined in vitro. In parallel, a Gpr54-deficient mouse model was created and phenotyped. Responsiveness to exogenous gonadotropin-releasing hormone was assessed in both the humans and the mice. Results Affected patients in the index pedigree were homozygous for an L148S mutation in GPR54, and an unrelated proband with idiopathic hypogonadotro...","author":[{"dropping-particle":"","family":"Seminara","given":"Stephanie B.","non-dropping-particle":"","parse-names":false,"suffix":""},{"dropping-particle":"","family":"Messager","given":"Sophie","non-dropping-particle":"","parse-names":false,"suffix":""},{"dropping-particle":"","family":"Chatzidaki","given":"Emmanouella E.","non-dropping-particle":"","parse-names":false,"suffix":""},{"dropping-particle":"","family":"Thresher","given":"Rosemary R.","non-dropping-particle":"","parse-names":false,"suffix":""},{"dropping-particle":"","family":"Acierno","given":"James S.","non-dropping-particle":"","parse-names":false,"suffix":""},{"dropping-particle":"","family":"Shagoury","given":"Jenna K.","non-dropping-particle":"","parse-names":false,"suffix":""},{"dropping-particle":"","family":"Bo-Abbas","given":"Youserf","non-dropping-particle":"","parse-names":false,"suffix":""},{"dropping-particle":"","family":"Kuohung","given":"Wendy","non-dropping-particle":"","parse-names":false,"suffix":""},{"dropping-particle":"","family":"Schwinof","given":"Kristine M.","non-dropping-particle":"","parse-names":false,"suffix":""},{"dropping-particle":"","family":"Hendrick","given":"Alan G.","non-dropping-particle":"","parse-names":false,"suffix":""},{"dropping-particle":"","family":"Zahn","given":"Dirk","non-dropping-particle":"","parse-names":false,"suffix":""},{"dropping-particle":"","family":"Dixon","given":"John","non-dropping-particle":"","parse-names":false,"suffix":""},{"dropping-particle":"","family":"Kaiser","given":"Ursula B.","non-dropping-particle":"","parse-names":false,"suffix":""},{"dropping-particle":"","family":"Slaugenhaupt","given":"Susan A.","non-dropping-particle":"","parse-names":false,"suffix":""},{"dropping-particle":"","family":"Gusella","given":"James F.","non-dropping-particle":"","parse-names":false,"suffix":""},{"dropping-particle":"","family":"O’Rahilly","given":"Stephen","non-dropping-particle":"","parse-names":false,"suffix":""},{"dropping-particle":"","family":"Carlton","given":"Mark B. L.","non-dropping-particle":"","parse-names":false,"suffix":""},{"dropping-particle":"","family":"Crowley","given":"William F.","non-dropping-particle":"","parse-names":false,"suffix":""},{"dropping-particle":"","family":"Aparicio","given":"Samuel A. J. R.","non-dropping-particle":"","parse-names":false,"suffix":""},{"dropping-particle":"","family":"Colledge","given":"William H.","non-dropping-particle":"","parse-names":false,"suffix":""}],"container-title":"New England Journal of Medicine","id":"ITEM-2","issued":{"date-parts":[["2003"]]},"page":"1614-27","title":"The GPR54 Gene as a Regulator of Puberty","type":"article-journal","volume":"349"},"uris":["http://www.mendeley.com/documents/?uuid=e9722b67-a227-4a97-89e6-c434cbbd91ae"]}],"mendeley":{"formattedCitation":"(6,7)","plainTextFormattedCitation":"(6,7)","previouslyFormattedCitation":"(6,7)"},"properties":{"noteIndex":0},"schema":"https://github.com/citation-style-language/schema/raw/master/csl-citation.json"}</w:instrText>
      </w:r>
      <w:r w:rsidR="005C121B">
        <w:rPr>
          <w:sz w:val="22"/>
          <w:szCs w:val="22"/>
        </w:rPr>
        <w:fldChar w:fldCharType="separate"/>
      </w:r>
      <w:r w:rsidR="002F278E" w:rsidRPr="002F278E">
        <w:rPr>
          <w:noProof/>
          <w:sz w:val="22"/>
          <w:szCs w:val="22"/>
        </w:rPr>
        <w:t>(6,7)</w:t>
      </w:r>
      <w:r w:rsidR="005C121B">
        <w:rPr>
          <w:sz w:val="22"/>
          <w:szCs w:val="22"/>
        </w:rPr>
        <w:fldChar w:fldCharType="end"/>
      </w:r>
      <w:r w:rsidR="005C121B">
        <w:rPr>
          <w:sz w:val="22"/>
          <w:szCs w:val="22"/>
        </w:rPr>
        <w:t xml:space="preserve">. </w:t>
      </w:r>
      <w:r w:rsidR="00CC6665">
        <w:rPr>
          <w:sz w:val="22"/>
          <w:szCs w:val="22"/>
        </w:rPr>
        <w:t xml:space="preserve">Conversely, activating </w:t>
      </w:r>
      <w:r w:rsidR="0078478A">
        <w:rPr>
          <w:sz w:val="22"/>
          <w:szCs w:val="22"/>
        </w:rPr>
        <w:t>variants</w:t>
      </w:r>
      <w:r w:rsidR="00CC6665">
        <w:rPr>
          <w:sz w:val="22"/>
          <w:szCs w:val="22"/>
        </w:rPr>
        <w:t xml:space="preserve"> </w:t>
      </w:r>
      <w:r>
        <w:rPr>
          <w:sz w:val="22"/>
          <w:szCs w:val="22"/>
        </w:rPr>
        <w:t>of</w:t>
      </w:r>
      <w:r w:rsidR="00CC6665">
        <w:rPr>
          <w:sz w:val="22"/>
          <w:szCs w:val="22"/>
        </w:rPr>
        <w:t xml:space="preserve"> the kisspeptin receptor </w:t>
      </w:r>
      <w:r w:rsidR="00D150E1">
        <w:rPr>
          <w:sz w:val="22"/>
          <w:szCs w:val="22"/>
        </w:rPr>
        <w:t>were found to</w:t>
      </w:r>
      <w:r w:rsidR="00CC6665">
        <w:rPr>
          <w:sz w:val="22"/>
          <w:szCs w:val="22"/>
        </w:rPr>
        <w:t xml:space="preserve"> </w:t>
      </w:r>
      <w:r w:rsidR="00810DBE">
        <w:rPr>
          <w:sz w:val="22"/>
          <w:szCs w:val="22"/>
        </w:rPr>
        <w:t xml:space="preserve">cause </w:t>
      </w:r>
      <w:r w:rsidR="00CC6665">
        <w:rPr>
          <w:sz w:val="22"/>
          <w:szCs w:val="22"/>
        </w:rPr>
        <w:t xml:space="preserve">central precocious puberty (CPP) </w:t>
      </w:r>
      <w:r w:rsidR="003D132E">
        <w:rPr>
          <w:sz w:val="22"/>
          <w:szCs w:val="22"/>
        </w:rPr>
        <w:fldChar w:fldCharType="begin" w:fldLock="1"/>
      </w:r>
      <w:r w:rsidR="007D2ECC">
        <w:rPr>
          <w:sz w:val="22"/>
          <w:szCs w:val="22"/>
        </w:rPr>
        <w:instrText>ADDIN CSL_CITATION {"citationItems":[{"id":"ITEM-1","itemData":{"DOI":"10.1056/NEJMoa073443","ISSN":"0028-4793","author":[{"dropping-particle":"","family":"Teles","given":"Milena Gurgel","non-dropping-particle":"","parse-names":false,"suffix":""},{"dropping-particle":"","family":"Bianco","given":"Suzy D.C.","non-dropping-particle":"","parse-names":false,"suffix":""},{"dropping-particle":"","family":"Brito","given":"Vinicius Nahime","non-dropping-particle":"","parse-names":false,"suffix":""},{"dropping-particle":"","family":"Trarbach","given":"Ericka B.","non-dropping-particle":"","parse-names":false,"suffix":""},{"dropping-particle":"","family":"Kuohung","given":"Wendy","non-dropping-particle":"","parse-names":false,"suffix":""},{"dropping-particle":"","family":"Xu","given":"Shuyun","non-dropping-particle":"","parse-names":false,"suffix":""},{"dropping-particle":"","family":"Seminara","given":"Stephanie B.","non-dropping-particle":"","parse-names":false,"suffix":""},{"dropping-particle":"","family":"Mendonca","given":"Berenice B.","non-dropping-particle":"","parse-names":false,"suffix":""},{"dropping-particle":"","family":"Kaiser","given":"Ursula B.","non-dropping-particle":"","parse-names":false,"suffix":""},{"dropping-particle":"","family":"Latronico","given":"Ana Claudia","non-dropping-particle":"","parse-names":false,"suffix":""}],"container-title":"New England Journal of Medicine","id":"ITEM-1","issue":"7","issued":{"date-parts":[["2008","2","14"]]},"page":"709-715","title":"A &lt;i&gt;GPR54&lt;/i&gt; -Activating Mutation in a Patient with Central Precocious Puberty","type":"article-journal","volume":"358"},"uris":["http://www.mendeley.com/documents/?uuid=766d6111-11c2-3490-a8a9-e28f573fb59f"]},{"id":"ITEM-2","itemData":{"DOI":"10.1210/jc.2009-2421","ISBN":"1945-7197 (Electronic)\\r0021-972X (Linking)","ISSN":"0021972X","PMID":"20237166","abstract":"Kisspeptin, encoded by the KISS1 gene, is a key stimulatory factor of GnRH secretion and puberty onset. Inactivating mutations of its receptor (KISS1R) cause isolated hypogonadotropic hypogonadism (IHH). A unique KISS1R-activating mutation was described in central precocious puberty (CPP).","author":[{"dropping-particle":"","family":"Silveira","given":"Leticia G.","non-dropping-particle":"","parse-names":false,"suffix":""},{"dropping-particle":"","family":"Noel","given":"S. D.","non-dropping-particle":"","parse-names":false,"suffix":""},{"dropping-particle":"","family":"Silveira-Neto","given":"A. P.","non-dropping-particle":"","parse-names":false,"suffix":""},{"dropping-particle":"","family":"Abreu","given":"A. P.","non-dropping-particle":"","parse-names":false,"suffix":""},{"dropping-particle":"","family":"Brito","given":"V. N.","non-dropping-particle":"","parse-names":false,"suffix":""},{"dropping-particle":"","family":"Santos","given":"M. G.","non-dropping-particle":"","parse-names":false,"suffix":""},{"dropping-particle":"","family":"Bianco","given":"S. D C","non-dropping-particle":"","parse-names":false,"suffix":""},{"dropping-particle":"","family":"Kuohung","given":"W.","non-dropping-particle":"","parse-names":false,"suffix":""},{"dropping-particle":"","family":"Xu","given":"S.","non-dropping-particle":"","parse-names":false,"suffix":""},{"dropping-particle":"","family":"Gryngarten","given":"M.","non-dropping-particle":"","parse-names":false,"suffix":""},{"dropping-particle":"","family":"Escobar","given":"M. E.","non-dropping-particle":"","parse-names":false,"suffix":""},{"dropping-particle":"","family":"Arnhold","given":"I. J P","non-dropping-particle":"","parse-names":false,"suffix":""},{"dropping-particle":"","family":"Mendonca","given":"B. B.","non-dropping-particle":"","parse-names":false,"suffix":""},{"dropping-particle":"","family":"Kaiser","given":"U. B.","non-dropping-particle":"","parse-names":false,"suffix":""},{"dropping-particle":"","family":"Latronico","given":"Ana C.","non-dropping-particle":"","parse-names":false,"suffix":""}],"container-title":"Journal of Clinical Endocrinology and Metabolism","id":"ITEM-2","issue":"5","issued":{"date-parts":[["2010"]]},"title":"Mutations of the KISS1 gene in disorders of puberty","type":"article-journal","volume":"95"},"uris":["http://www.mendeley.com/documents/?uuid=21b2d263-f320-39c0-9449-9e8c3079fcae"]}],"mendeley":{"formattedCitation":"(8,9)","plainTextFormattedCitation":"(8,9)","previouslyFormattedCitation":"(8,9)"},"properties":{"noteIndex":0},"schema":"https://github.com/citation-style-language/schema/raw/master/csl-citation.json"}</w:instrText>
      </w:r>
      <w:r w:rsidR="003D132E">
        <w:rPr>
          <w:sz w:val="22"/>
          <w:szCs w:val="22"/>
        </w:rPr>
        <w:fldChar w:fldCharType="separate"/>
      </w:r>
      <w:r w:rsidR="002F278E" w:rsidRPr="002F278E">
        <w:rPr>
          <w:noProof/>
          <w:sz w:val="22"/>
          <w:szCs w:val="22"/>
        </w:rPr>
        <w:t>(8,9)</w:t>
      </w:r>
      <w:r w:rsidR="003D132E">
        <w:rPr>
          <w:sz w:val="22"/>
          <w:szCs w:val="22"/>
        </w:rPr>
        <w:fldChar w:fldCharType="end"/>
      </w:r>
      <w:r w:rsidR="00EC1CE1">
        <w:rPr>
          <w:sz w:val="22"/>
          <w:szCs w:val="22"/>
        </w:rPr>
        <w:t>.</w:t>
      </w:r>
      <w:r w:rsidR="003D132E">
        <w:rPr>
          <w:sz w:val="22"/>
          <w:szCs w:val="22"/>
        </w:rPr>
        <w:t xml:space="preserve"> </w:t>
      </w:r>
      <w:r w:rsidR="00161068">
        <w:rPr>
          <w:sz w:val="22"/>
          <w:szCs w:val="22"/>
        </w:rPr>
        <w:t>Accordingly</w:t>
      </w:r>
      <w:r w:rsidR="00A551CB">
        <w:rPr>
          <w:sz w:val="22"/>
          <w:szCs w:val="22"/>
        </w:rPr>
        <w:t xml:space="preserve">, </w:t>
      </w:r>
      <w:r w:rsidR="00D150E1">
        <w:rPr>
          <w:sz w:val="22"/>
          <w:szCs w:val="22"/>
        </w:rPr>
        <w:t xml:space="preserve">hypothalamic kisspeptin expression </w:t>
      </w:r>
      <w:r w:rsidR="00161068">
        <w:rPr>
          <w:sz w:val="22"/>
          <w:szCs w:val="22"/>
        </w:rPr>
        <w:t xml:space="preserve">is </w:t>
      </w:r>
      <w:r w:rsidR="00D150E1">
        <w:rPr>
          <w:sz w:val="22"/>
          <w:szCs w:val="22"/>
        </w:rPr>
        <w:t>increase</w:t>
      </w:r>
      <w:r w:rsidR="00161068">
        <w:rPr>
          <w:sz w:val="22"/>
          <w:szCs w:val="22"/>
        </w:rPr>
        <w:t>d</w:t>
      </w:r>
      <w:r w:rsidR="00D150E1">
        <w:rPr>
          <w:sz w:val="22"/>
          <w:szCs w:val="22"/>
        </w:rPr>
        <w:t xml:space="preserve"> at the time of puberty, as </w:t>
      </w:r>
      <w:r w:rsidR="0078478A">
        <w:rPr>
          <w:sz w:val="22"/>
          <w:szCs w:val="22"/>
        </w:rPr>
        <w:t>is</w:t>
      </w:r>
      <w:r w:rsidR="00D150E1">
        <w:rPr>
          <w:sz w:val="22"/>
          <w:szCs w:val="22"/>
        </w:rPr>
        <w:t xml:space="preserve"> </w:t>
      </w:r>
      <w:r w:rsidR="001C7F93">
        <w:rPr>
          <w:sz w:val="22"/>
          <w:szCs w:val="22"/>
        </w:rPr>
        <w:t xml:space="preserve">the number of kisspeptin responsive </w:t>
      </w:r>
      <w:r w:rsidR="005472B0">
        <w:rPr>
          <w:sz w:val="22"/>
          <w:szCs w:val="22"/>
        </w:rPr>
        <w:t>gonadotropin releasing hormone (</w:t>
      </w:r>
      <w:r w:rsidR="001C7F93">
        <w:rPr>
          <w:sz w:val="22"/>
          <w:szCs w:val="22"/>
        </w:rPr>
        <w:t>GnRH</w:t>
      </w:r>
      <w:r w:rsidR="005472B0">
        <w:rPr>
          <w:sz w:val="22"/>
          <w:szCs w:val="22"/>
        </w:rPr>
        <w:t>)</w:t>
      </w:r>
      <w:r w:rsidR="001C7F93">
        <w:rPr>
          <w:sz w:val="22"/>
          <w:szCs w:val="22"/>
        </w:rPr>
        <w:t xml:space="preserve"> neurons </w:t>
      </w:r>
      <w:r w:rsidR="001C7F93">
        <w:rPr>
          <w:sz w:val="22"/>
          <w:szCs w:val="22"/>
        </w:rPr>
        <w:fldChar w:fldCharType="begin" w:fldLock="1"/>
      </w:r>
      <w:r w:rsidR="001B0DB4">
        <w:rPr>
          <w:sz w:val="22"/>
          <w:szCs w:val="22"/>
        </w:rPr>
        <w:instrText>ADDIN CSL_CITATION {"citationItems":[{"id":"ITEM-1","itemData":{"DOI":"10.1038/nrendo.2016.70","ISSN":"17595037","abstract":"The gonadotropin-releasing hormone (GnRH) neuronal network generates pulse and surge modes of gonadotropin secretion critical for puberty and fertility. The arcuate nucleus kisspeptin neurons that innervate the projections of GnRH neurons in and around their neurosecretory zone are key components of the pulse generator in all mammals. By contrast, kisspeptin neurons located in the preoptic area project to GnRH neuron cell bodies and proximal dendrites and are involved in surge generation in female rodents (and possibly other species). The hypothalamic-pituitary-gonadal axis develops embryonically but, apart from short periods of activation immediately after birth, remains suppressed through a combination of gonadal and non-gonadal mechanisms. At puberty onset, the pulse generator reactivates, probably owing to progressive stimulatory influences on GnRH neurons from glial and neurotransmitter signalling, and the re-emergence of stimulatory arcuate kisspeptin input. In females, the development of pulsatile gonadotropin secretion enables final maturation of the surge generator that ultimately triggers the first ovulation. Representation of the GnRH neuronal network as a series of interlocking functional modules could help conceptualization of its functioning in different species. Insights into pulse and surge generation are expected to aid development of therapeutic strategies ameliorating pubertal disorders and infertility in the clinic.","author":[{"dropping-particle":"","family":"Herbison","given":"Allan E.","non-dropping-particle":"","parse-names":false,"suffix":""}],"container-title":"Nature Reviews Endocrinology","id":"ITEM-1","issue":"8","issued":{"date-parts":[["2016","8","1"]]},"page":"452-466","publisher":"Nature Publishing Group","title":"Control of puberty onset and fertility by gonadotropin-releasing hormone neurons","type":"article","volume":"12"},"uris":["http://www.mendeley.com/documents/?uuid=eb9efd0f-8042-34d4-bb47-22c90f22ab49"]}],"mendeley":{"formattedCitation":"(10)","plainTextFormattedCitation":"(10)","previouslyFormattedCitation":"(10)"},"properties":{"noteIndex":0},"schema":"https://github.com/citation-style-language/schema/raw/master/csl-citation.json"}</w:instrText>
      </w:r>
      <w:r w:rsidR="001C7F93">
        <w:rPr>
          <w:sz w:val="22"/>
          <w:szCs w:val="22"/>
        </w:rPr>
        <w:fldChar w:fldCharType="separate"/>
      </w:r>
      <w:r w:rsidR="003B283A" w:rsidRPr="003B283A">
        <w:rPr>
          <w:noProof/>
          <w:sz w:val="22"/>
          <w:szCs w:val="22"/>
        </w:rPr>
        <w:t>(10)</w:t>
      </w:r>
      <w:r w:rsidR="001C7F93">
        <w:rPr>
          <w:sz w:val="22"/>
          <w:szCs w:val="22"/>
        </w:rPr>
        <w:fldChar w:fldCharType="end"/>
      </w:r>
      <w:r w:rsidR="001C7F93">
        <w:rPr>
          <w:sz w:val="22"/>
          <w:szCs w:val="22"/>
        </w:rPr>
        <w:t>.</w:t>
      </w:r>
      <w:r w:rsidR="00F47E67">
        <w:rPr>
          <w:sz w:val="22"/>
          <w:szCs w:val="22"/>
        </w:rPr>
        <w:t xml:space="preserve"> </w:t>
      </w:r>
      <w:r w:rsidR="00A16E9B">
        <w:rPr>
          <w:sz w:val="22"/>
          <w:szCs w:val="22"/>
        </w:rPr>
        <w:t xml:space="preserve">These data first indicated the crucial role of kisspeptin </w:t>
      </w:r>
      <w:r w:rsidR="003B283A">
        <w:rPr>
          <w:sz w:val="22"/>
          <w:szCs w:val="22"/>
        </w:rPr>
        <w:t xml:space="preserve">neurons </w:t>
      </w:r>
      <w:r w:rsidR="00A16E9B">
        <w:rPr>
          <w:sz w:val="22"/>
          <w:szCs w:val="22"/>
        </w:rPr>
        <w:t xml:space="preserve">as </w:t>
      </w:r>
      <w:r w:rsidR="003B283A">
        <w:rPr>
          <w:sz w:val="22"/>
          <w:szCs w:val="22"/>
        </w:rPr>
        <w:t>putative gatekeeper</w:t>
      </w:r>
      <w:r w:rsidR="00477554">
        <w:rPr>
          <w:sz w:val="22"/>
          <w:szCs w:val="22"/>
        </w:rPr>
        <w:t>s</w:t>
      </w:r>
      <w:r w:rsidR="00A16E9B">
        <w:rPr>
          <w:sz w:val="22"/>
          <w:szCs w:val="22"/>
        </w:rPr>
        <w:t xml:space="preserve"> of pubertal maturation. </w:t>
      </w:r>
      <w:r w:rsidR="002E283A">
        <w:rPr>
          <w:sz w:val="22"/>
          <w:szCs w:val="22"/>
        </w:rPr>
        <w:t xml:space="preserve">Moreover, the </w:t>
      </w:r>
      <w:r w:rsidR="00DF7801">
        <w:rPr>
          <w:sz w:val="22"/>
          <w:szCs w:val="22"/>
        </w:rPr>
        <w:t>fun</w:t>
      </w:r>
      <w:r w:rsidR="002E283A">
        <w:rPr>
          <w:sz w:val="22"/>
          <w:szCs w:val="22"/>
        </w:rPr>
        <w:t>ction of kisspeptin extend</w:t>
      </w:r>
      <w:r w:rsidR="00A551CB">
        <w:rPr>
          <w:sz w:val="22"/>
          <w:szCs w:val="22"/>
        </w:rPr>
        <w:t>s</w:t>
      </w:r>
      <w:r w:rsidR="002E283A">
        <w:rPr>
          <w:sz w:val="22"/>
          <w:szCs w:val="22"/>
        </w:rPr>
        <w:t xml:space="preserve"> far beyond its critical role in pubertal initiation to the regulation of hypothalamic </w:t>
      </w:r>
      <w:r w:rsidR="00477554">
        <w:rPr>
          <w:sz w:val="22"/>
          <w:szCs w:val="22"/>
        </w:rPr>
        <w:t xml:space="preserve">GnRH </w:t>
      </w:r>
      <w:r w:rsidR="002E283A">
        <w:rPr>
          <w:sz w:val="22"/>
          <w:szCs w:val="22"/>
        </w:rPr>
        <w:t xml:space="preserve">function in both health and disease. </w:t>
      </w:r>
      <w:r w:rsidR="00747A1A">
        <w:rPr>
          <w:sz w:val="22"/>
          <w:szCs w:val="22"/>
        </w:rPr>
        <w:t>K</w:t>
      </w:r>
      <w:r w:rsidR="00EA5A48">
        <w:rPr>
          <w:sz w:val="22"/>
          <w:szCs w:val="22"/>
        </w:rPr>
        <w:t xml:space="preserve">isspeptin </w:t>
      </w:r>
      <w:r w:rsidR="002E283A">
        <w:rPr>
          <w:sz w:val="22"/>
          <w:szCs w:val="22"/>
        </w:rPr>
        <w:t>neurons</w:t>
      </w:r>
      <w:r w:rsidR="00EA5A48">
        <w:rPr>
          <w:sz w:val="22"/>
          <w:szCs w:val="22"/>
        </w:rPr>
        <w:t xml:space="preserve"> </w:t>
      </w:r>
      <w:r w:rsidR="007149D1">
        <w:rPr>
          <w:sz w:val="22"/>
          <w:szCs w:val="22"/>
        </w:rPr>
        <w:t>integrat</w:t>
      </w:r>
      <w:r w:rsidR="00FA5EF4">
        <w:rPr>
          <w:sz w:val="22"/>
          <w:szCs w:val="22"/>
        </w:rPr>
        <w:t>e</w:t>
      </w:r>
      <w:r w:rsidR="007149D1">
        <w:rPr>
          <w:sz w:val="22"/>
          <w:szCs w:val="22"/>
        </w:rPr>
        <w:t xml:space="preserve"> </w:t>
      </w:r>
      <w:r w:rsidR="00FA5EF4">
        <w:rPr>
          <w:sz w:val="22"/>
          <w:szCs w:val="22"/>
        </w:rPr>
        <w:t>feedback from</w:t>
      </w:r>
      <w:r w:rsidR="007149D1">
        <w:rPr>
          <w:sz w:val="22"/>
          <w:szCs w:val="22"/>
        </w:rPr>
        <w:t xml:space="preserve"> sex-steroids, metabolic </w:t>
      </w:r>
      <w:r w:rsidR="00FA5EF4">
        <w:rPr>
          <w:sz w:val="22"/>
          <w:szCs w:val="22"/>
        </w:rPr>
        <w:t xml:space="preserve">and nutritional signals to regulate GnRH neuronal </w:t>
      </w:r>
      <w:r w:rsidR="00A551CB">
        <w:rPr>
          <w:sz w:val="22"/>
          <w:szCs w:val="22"/>
        </w:rPr>
        <w:t>secretion</w:t>
      </w:r>
      <w:r w:rsidR="003D132E">
        <w:rPr>
          <w:sz w:val="22"/>
          <w:szCs w:val="22"/>
        </w:rPr>
        <w:t>.</w:t>
      </w:r>
    </w:p>
    <w:p w14:paraId="2DC9A257" w14:textId="7325F86E" w:rsidR="008729DD" w:rsidRDefault="005F3895" w:rsidP="00EA7DA1">
      <w:pPr>
        <w:autoSpaceDE w:val="0"/>
        <w:autoSpaceDN w:val="0"/>
        <w:adjustRightInd w:val="0"/>
        <w:spacing w:line="480" w:lineRule="auto"/>
        <w:ind w:firstLine="720"/>
        <w:jc w:val="both"/>
        <w:rPr>
          <w:sz w:val="22"/>
          <w:szCs w:val="22"/>
        </w:rPr>
      </w:pPr>
      <w:r>
        <w:rPr>
          <w:sz w:val="22"/>
          <w:szCs w:val="22"/>
        </w:rPr>
        <w:t>A</w:t>
      </w:r>
      <w:r w:rsidR="007A3688">
        <w:rPr>
          <w:sz w:val="22"/>
          <w:szCs w:val="22"/>
        </w:rPr>
        <w:t xml:space="preserve"> second</w:t>
      </w:r>
      <w:r w:rsidR="008729DD">
        <w:rPr>
          <w:sz w:val="22"/>
          <w:szCs w:val="22"/>
        </w:rPr>
        <w:t xml:space="preserve"> neuropeptide </w:t>
      </w:r>
      <w:r w:rsidR="0077732B">
        <w:rPr>
          <w:sz w:val="22"/>
          <w:szCs w:val="22"/>
        </w:rPr>
        <w:t>discovered</w:t>
      </w:r>
      <w:r w:rsidR="006B37E1">
        <w:rPr>
          <w:sz w:val="22"/>
          <w:szCs w:val="22"/>
        </w:rPr>
        <w:t xml:space="preserve"> </w:t>
      </w:r>
      <w:r>
        <w:rPr>
          <w:sz w:val="22"/>
          <w:szCs w:val="22"/>
        </w:rPr>
        <w:t xml:space="preserve">in 2009 </w:t>
      </w:r>
      <w:r w:rsidR="006B37E1">
        <w:rPr>
          <w:sz w:val="22"/>
          <w:szCs w:val="22"/>
        </w:rPr>
        <w:t xml:space="preserve">to </w:t>
      </w:r>
      <w:r w:rsidR="00EA1B51">
        <w:rPr>
          <w:sz w:val="22"/>
          <w:szCs w:val="22"/>
        </w:rPr>
        <w:t>play a</w:t>
      </w:r>
      <w:r w:rsidR="00702D2F">
        <w:rPr>
          <w:sz w:val="22"/>
          <w:szCs w:val="22"/>
        </w:rPr>
        <w:t>n</w:t>
      </w:r>
      <w:r w:rsidR="006B37E1">
        <w:rPr>
          <w:sz w:val="22"/>
          <w:szCs w:val="22"/>
        </w:rPr>
        <w:t xml:space="preserve"> </w:t>
      </w:r>
      <w:r w:rsidR="00702D2F">
        <w:rPr>
          <w:sz w:val="22"/>
          <w:szCs w:val="22"/>
        </w:rPr>
        <w:t>important</w:t>
      </w:r>
      <w:r w:rsidR="006B37E1">
        <w:rPr>
          <w:sz w:val="22"/>
          <w:szCs w:val="22"/>
        </w:rPr>
        <w:t xml:space="preserve"> </w:t>
      </w:r>
      <w:r w:rsidR="00EA1B51">
        <w:rPr>
          <w:sz w:val="22"/>
          <w:szCs w:val="22"/>
        </w:rPr>
        <w:t xml:space="preserve">role in </w:t>
      </w:r>
      <w:r w:rsidR="00702D2F">
        <w:rPr>
          <w:sz w:val="22"/>
          <w:szCs w:val="22"/>
        </w:rPr>
        <w:t xml:space="preserve">the </w:t>
      </w:r>
      <w:r w:rsidR="006B37E1">
        <w:rPr>
          <w:sz w:val="22"/>
          <w:szCs w:val="22"/>
        </w:rPr>
        <w:t>pubert</w:t>
      </w:r>
      <w:r w:rsidR="00702D2F">
        <w:rPr>
          <w:sz w:val="22"/>
          <w:szCs w:val="22"/>
        </w:rPr>
        <w:t xml:space="preserve">al transition </w:t>
      </w:r>
      <w:r w:rsidR="006B37E1">
        <w:rPr>
          <w:sz w:val="22"/>
          <w:szCs w:val="22"/>
        </w:rPr>
        <w:t xml:space="preserve">is neurokinin B, encoded for by the </w:t>
      </w:r>
      <w:r w:rsidR="006B37E1" w:rsidRPr="006B37E1">
        <w:rPr>
          <w:i/>
          <w:iCs/>
          <w:sz w:val="22"/>
          <w:szCs w:val="22"/>
        </w:rPr>
        <w:t>TAC3</w:t>
      </w:r>
      <w:r w:rsidR="006B37E1">
        <w:rPr>
          <w:sz w:val="22"/>
          <w:szCs w:val="22"/>
        </w:rPr>
        <w:t xml:space="preserve"> gene</w:t>
      </w:r>
      <w:r w:rsidR="00D150E1">
        <w:rPr>
          <w:sz w:val="22"/>
          <w:szCs w:val="22"/>
        </w:rPr>
        <w:t xml:space="preserve"> in humans</w:t>
      </w:r>
      <w:r w:rsidR="005A4447">
        <w:rPr>
          <w:sz w:val="22"/>
          <w:szCs w:val="22"/>
        </w:rPr>
        <w:t xml:space="preserve"> </w:t>
      </w:r>
      <w:r w:rsidR="005A4447">
        <w:rPr>
          <w:sz w:val="22"/>
          <w:szCs w:val="22"/>
        </w:rPr>
        <w:fldChar w:fldCharType="begin" w:fldLock="1"/>
      </w:r>
      <w:r w:rsidR="007D2ECC">
        <w:rPr>
          <w:sz w:val="22"/>
          <w:szCs w:val="22"/>
        </w:rPr>
        <w:instrText>ADDIN CSL_CITATION {"citationItems":[{"id":"ITEM-1","itemData":{"DOI":"10.1038/ng.306","ISSN":"1546-1718","PMID":"19079066","abstract":"The timely secretion of gonadal sex steroids is essential for the initiation of puberty, the postpubertal maintenance of secondary sexual characteristics and the normal perinatal development of male external genitalia. Normal gonadal steroid production requires the actions of the pituitary-derived gonadotropins, luteinizing hormone and follicle-stimulating hormone. We report four human pedigrees with severe congenital gonadotropin deficiency and pubertal failure in which all affected individuals are homozygous for loss-of-function mutations in TAC3 (encoding Neurokinin B) or its receptor TACR3 (encoding NK3R). Neurokinin B, a member of the substance P-related tachykinin family, is known to be highly expressed in hypothalamic neurons that also express kisspeptin, a recently identified regulator of gonadotropin-releasing hormone secretion. These findings implicate Neurokinin B as a critical central regulator of human gonadal function and suggest new approaches to the pharmacological control of human reproduction and sex hormone-related diseases.","author":[{"dropping-particle":"","family":"Topaloglu","given":"A Kemal","non-dropping-particle":"","parse-names":false,"suffix":""},{"dropping-particle":"","family":"Reimann","given":"Frank","non-dropping-particle":"","parse-names":false,"suffix":""},{"dropping-particle":"","family":"Guclu","given":"Metin","non-dropping-particle":"","parse-names":false,"suffix":""},{"dropping-particle":"","family":"Yalin","given":"Ayse Serap","non-dropping-particle":"","parse-names":false,"suffix":""},{"dropping-particle":"","family":"Kotan","given":"L Damla","non-dropping-particle":"","parse-names":false,"suffix":""},{"dropping-particle":"","family":"Porter","given":"Keith M","non-dropping-particle":"","parse-names":false,"suffix":""},{"dropping-particle":"","family":"Serin","given":"Ayse","non-dropping-particle":"","parse-names":false,"suffix":""},{"dropping-particle":"","family":"Mungan","given":"Neslihan O","non-dropping-particle":"","parse-names":false,"suffix":""},{"dropping-particle":"","family":"Cook","given":"Joshua R","non-dropping-particle":"","parse-names":false,"suffix":""},{"dropping-particle":"","family":"Ozbek","given":"Mehmet N","non-dropping-particle":"","parse-names":false,"suffix":""},{"dropping-particle":"","family":"Imamoglu","given":"Sazi","non-dropping-particle":"","parse-names":false,"suffix":""},{"dropping-particle":"","family":"Akalin","given":"N Sema","non-dropping-particle":"","parse-names":false,"suffix":""},{"dropping-particle":"","family":"Yuksel","given":"Bilgin","non-dropping-particle":"","parse-names":false,"suffix":""},{"dropping-particle":"","family":"O'Rahilly","given":"Stephen","non-dropping-particle":"","parse-names":false,"suffix":""},{"dropping-particle":"","family":"Semple","given":"Robert K","non-dropping-particle":"","parse-names":false,"suffix":""}],"container-title":"Nature genetics","id":"ITEM-1","issue":"3","issued":{"date-parts":[["2009","3"]]},"page":"354-8","publisher":"Europe PMC Funders","title":"TAC3 and TACR3 mutations in familial hypogonadotropic hypogonadism reveal a key role for Neurokinin B in the central control of reproduction.","type":"article-journal","volume":"41"},"uris":["http://www.mendeley.com/documents/?uuid=feefef2e-f219-3370-93c7-fe1c9b541069"]}],"mendeley":{"formattedCitation":"(11)","plainTextFormattedCitation":"(11)","previouslyFormattedCitation":"(11)"},"properties":{"noteIndex":0},"schema":"https://github.com/citation-style-language/schema/raw/master/csl-citation.json"}</w:instrText>
      </w:r>
      <w:r w:rsidR="005A4447">
        <w:rPr>
          <w:sz w:val="22"/>
          <w:szCs w:val="22"/>
        </w:rPr>
        <w:fldChar w:fldCharType="separate"/>
      </w:r>
      <w:r w:rsidR="002F278E" w:rsidRPr="002F278E">
        <w:rPr>
          <w:noProof/>
          <w:sz w:val="22"/>
          <w:szCs w:val="22"/>
        </w:rPr>
        <w:t>(11)</w:t>
      </w:r>
      <w:r w:rsidR="005A4447">
        <w:rPr>
          <w:sz w:val="22"/>
          <w:szCs w:val="22"/>
        </w:rPr>
        <w:fldChar w:fldCharType="end"/>
      </w:r>
      <w:r w:rsidR="006B37E1">
        <w:rPr>
          <w:sz w:val="22"/>
          <w:szCs w:val="22"/>
        </w:rPr>
        <w:t xml:space="preserve">. </w:t>
      </w:r>
      <w:r w:rsidR="00733692">
        <w:rPr>
          <w:sz w:val="22"/>
          <w:szCs w:val="22"/>
        </w:rPr>
        <w:t>Studies in animal models have revealed that</w:t>
      </w:r>
      <w:r w:rsidR="00EA7DA1">
        <w:rPr>
          <w:sz w:val="22"/>
          <w:szCs w:val="22"/>
        </w:rPr>
        <w:t xml:space="preserve"> n</w:t>
      </w:r>
      <w:r w:rsidR="006B37E1">
        <w:rPr>
          <w:sz w:val="22"/>
          <w:szCs w:val="22"/>
        </w:rPr>
        <w:t>eu</w:t>
      </w:r>
      <w:r w:rsidR="00802390">
        <w:rPr>
          <w:sz w:val="22"/>
          <w:szCs w:val="22"/>
        </w:rPr>
        <w:t>r</w:t>
      </w:r>
      <w:r w:rsidR="006B37E1">
        <w:rPr>
          <w:sz w:val="22"/>
          <w:szCs w:val="22"/>
        </w:rPr>
        <w:t xml:space="preserve">okinin B </w:t>
      </w:r>
      <w:r w:rsidR="003B7C69">
        <w:rPr>
          <w:sz w:val="22"/>
          <w:szCs w:val="22"/>
        </w:rPr>
        <w:t>is co-expressed</w:t>
      </w:r>
      <w:r w:rsidR="006B37E1">
        <w:rPr>
          <w:sz w:val="22"/>
          <w:szCs w:val="22"/>
        </w:rPr>
        <w:t xml:space="preserve"> with kisspeptin </w:t>
      </w:r>
      <w:r w:rsidR="00CC6FB2">
        <w:rPr>
          <w:sz w:val="22"/>
          <w:szCs w:val="22"/>
        </w:rPr>
        <w:t>and</w:t>
      </w:r>
      <w:r w:rsidR="00802390">
        <w:rPr>
          <w:sz w:val="22"/>
          <w:szCs w:val="22"/>
        </w:rPr>
        <w:t xml:space="preserve"> dynorphin</w:t>
      </w:r>
      <w:r w:rsidR="00A243EE">
        <w:rPr>
          <w:sz w:val="22"/>
          <w:szCs w:val="22"/>
        </w:rPr>
        <w:t xml:space="preserve"> in</w:t>
      </w:r>
      <w:r w:rsidR="00BC411B">
        <w:rPr>
          <w:sz w:val="22"/>
          <w:szCs w:val="22"/>
        </w:rPr>
        <w:t xml:space="preserve"> kisspeptin</w:t>
      </w:r>
      <w:r w:rsidR="00A243EE">
        <w:rPr>
          <w:sz w:val="22"/>
          <w:szCs w:val="22"/>
        </w:rPr>
        <w:t>/</w:t>
      </w:r>
      <w:r w:rsidR="00BC411B">
        <w:rPr>
          <w:sz w:val="22"/>
          <w:szCs w:val="22"/>
        </w:rPr>
        <w:t>neurokinin B</w:t>
      </w:r>
      <w:r w:rsidR="00A243EE">
        <w:rPr>
          <w:sz w:val="22"/>
          <w:szCs w:val="22"/>
        </w:rPr>
        <w:t>/</w:t>
      </w:r>
      <w:r w:rsidR="00BC411B">
        <w:rPr>
          <w:sz w:val="22"/>
          <w:szCs w:val="22"/>
        </w:rPr>
        <w:t xml:space="preserve">dynorphin </w:t>
      </w:r>
      <w:r w:rsidR="00747A1A">
        <w:rPr>
          <w:sz w:val="22"/>
          <w:szCs w:val="22"/>
        </w:rPr>
        <w:t>(</w:t>
      </w:r>
      <w:proofErr w:type="spellStart"/>
      <w:r w:rsidR="00802390">
        <w:rPr>
          <w:sz w:val="22"/>
          <w:szCs w:val="22"/>
        </w:rPr>
        <w:t>KNDy</w:t>
      </w:r>
      <w:proofErr w:type="spellEnd"/>
      <w:r w:rsidR="00747A1A">
        <w:rPr>
          <w:sz w:val="22"/>
          <w:szCs w:val="22"/>
        </w:rPr>
        <w:t>)</w:t>
      </w:r>
      <w:r w:rsidR="00802390">
        <w:rPr>
          <w:sz w:val="22"/>
          <w:szCs w:val="22"/>
        </w:rPr>
        <w:t xml:space="preserve"> neurons</w:t>
      </w:r>
      <w:r w:rsidR="00A243EE">
        <w:rPr>
          <w:sz w:val="22"/>
          <w:szCs w:val="22"/>
        </w:rPr>
        <w:t xml:space="preserve"> in the arcuate nucleus</w:t>
      </w:r>
      <w:r w:rsidR="00EA7DA1">
        <w:rPr>
          <w:sz w:val="22"/>
          <w:szCs w:val="22"/>
        </w:rPr>
        <w:t xml:space="preserve"> </w:t>
      </w:r>
      <w:r w:rsidR="00353B9F">
        <w:rPr>
          <w:sz w:val="22"/>
          <w:szCs w:val="22"/>
        </w:rPr>
        <w:fldChar w:fldCharType="begin" w:fldLock="1"/>
      </w:r>
      <w:r w:rsidR="00E527D9">
        <w:rPr>
          <w:sz w:val="22"/>
          <w:szCs w:val="22"/>
        </w:rPr>
        <w:instrText>ADDIN CSL_CITATION {"citationItems":[{"id":"ITEM-1","itemData":{"DOI":"10.1038/s41598-019-51201-0","ISSN":"20452322","PMID":"31611573","abstract":"Neurons in the hypothalamic arcuate nucleus (ARC) that co-express kisspeptin, neurokinin B and dynorphin (KNDy cells) are essential for mammalian reproduction as key regulators of gonadotropin-releasing hormone (GnRH) secretion. Although multiple endogenous and exogenous signals act indirectly via KNDy neurons to regulate GnRH, the identity of upstream neurons that provide synaptic input to this subpopulation is unclear. We used rabies-mediated tract-tracing in transgenic Kiss1-Cre mice combined with whole-brain optical clearing and multiple-label immunofluorescence to create a comprehensive and quantitative brain-wide map of neurons providing monosynaptic input to KNDy cells, as well as identify the estrogen receptor content and peptidergic phenotype of afferents. Over 90% of monosynaptic input to KNDy neurons originated from hypothalamic nuclei in both male and female mice. The greatest input arose from non-KNDy ARC neurons, including proopiomelanocortin-expressing cells. Significant female-dominant sex differences in afferent input were detected from estrogen-sensitive hypothalamic nuclei critical for reproductive endocrine function and sexual behavior in mice, indicating KNDy cells may provide a unique site for the coordination of sex-specific behavior and gonadotropin release. These data provide key insight into the structural framework underlying the ability of KNDy neurons to integrate endogenous and environmental signals important for the regulation of reproductive function.","author":[{"dropping-particle":"","family":"Moore","given":"Aleisha M.","non-dropping-particle":"","parse-names":false,"suffix":""},{"dropping-particle":"","family":"Coolen","given":"Lique M.","non-dropping-particle":"","parse-names":false,"suffix":""},{"dropping-particle":"","family":"Lehman","given":"Michael N.","non-dropping-particle":"","parse-names":false,"suffix":""}],"container-title":"Scientific Reports","id":"ITEM-1","issue":"1","issued":{"date-parts":[["2019","12","1"]]},"page":"1-15","publisher":"Nature Publishing Group","title":"Kisspeptin/Neurokinin B/Dynorphin (KNDy) cells as integrators of diverse internal and external cues: evidence from viral-based monosynaptic tract-tracing in mice","type":"article-journal","volume":"9"},"uris":["http://www.mendeley.com/documents/?uuid=9faa36cf-883a-32f0-99bb-e48758e19618"]},{"id":"ITEM-2","itemData":{"DOI":"10.1210/en.2018-00389","ISSN":"19457170","abstract":"In the past decade since kisspeptin/neurokinin B/dynorphin (KNDy) cells were first identified in the mammalian hypothalamus, a plethora of new research has emerged adding insights into the role of this neuronal population in reproductive neuroendocrine function, including the basis for GnRH pulse generation and the mechanisms underlying the steroid feedback control of GnRH secretion. In this mini-review, we provide an update of evidence regarding the roles of KNDy peptides and their postsynaptic receptors in producing episodic GnRH release and assess the relative contribution of KNDy neurons to the “GnRH pulse generator.” In addition, we examine recent work investigating the role of KNDy neurons as mediators of steroid hormone negative feedback and review evidence for their involvement in the preovulatory GnRH/LH surge, taking into account species differences that exist among rodents, ruminants, and primates. Finally, we summarize emerging roles of KNDy neurons in other aspects of reproductive function and in nonreproductive functions and discuss critical unresolved questions in our understanding of KNDy neurobiology.","author":[{"dropping-particle":"","family":"Moore","given":"Aleisha M.","non-dropping-particle":"","parse-names":false,"suffix":""},{"dropping-particle":"","family":"Coolen","given":"Lique M.","non-dropping-particle":"","parse-names":false,"suffix":""},{"dropping-particle":"","family":"Porter","given":"Danielle T.","non-dropping-particle":"","parse-names":false,"suffix":""},{"dropping-particle":"","family":"Goodman","given":"Robert L.","non-dropping-particle":"","parse-names":false,"suffix":""},{"dropping-particle":"","family":"Lehman","given":"Michael N.","non-dropping-particle":"","parse-names":false,"suffix":""}],"container-title":"Endocrinology","id":"ITEM-2","issued":{"date-parts":[["2018"]]},"title":"KNDy cells revisited","type":"article"},"uris":["http://www.mendeley.com/documents/?uuid=dfe23791-c554-4dd3-8b8e-8f72da567e63"]},{"id":"ITEM-3","itemData":{"DOI":"10.1210/en.2016-1830","ISSN":"19457170","abstract":"Seasonal reproduction in sheep is primarily due to a dramatic increase in the ability of estradiol (E2) to inhibit the pulsatile secretion of gonadotropin-releasing hormone (GnRH) during the nonbreeding season [anestrus (ANS)]. Recent findings suggest that kisspeptin/neurokinin B/dynorphin (KNDy) neurons of the arcuate nucleus (ARC) play a key role in conveying this negative feedback influence, with dopaminergic projections from the retrochiasmatic area acting upon KNDy cells to decrease kisspeptin release and thus inhibit GnRH pulses. However, several questions remain unanswered: (1) Are the coexpressed KNDy peptides, neurokinin B (NKB) and dynorphin, under seasonal regulation similar to kisspeptin? (2) Are seasonal changes in these peptides and their colocalization of D2 dopamine receptors (D2Rs) steroid dependent? and (3) Do KNDy neurons receive direct input from dopaminergic terminals? We used dual- and triple-label immunofluorescence to analyze brain sections through the ARC of ovariectomized (OVX) and OVX plus E2 ewes perfused during either the breeding season or ANS. Results showed (1) steroid-dependent and steroid-independent seasonal changes in kisspeptin and NKB, but not dynorphin, immunoreactivity; (2) increased D2R coexpression during ANS that was dependent on the presence of E2; and (3) evidence that KNDy cells receive direct contact from dopaminergic terminals and that this input increases during ANS. These results support the hypothesis that dopamine acts to inhibit GnRH secretion inANSby directly suppressing the activity ofARCKNDy neurons, and implicateNKB aswell as kisspeptin in seasonal shifts in E2-negative feedback in the sheep.","author":[{"dropping-particle":"","family":"Weems","given":"Peyton","non-dropping-particle":"","parse-names":false,"suffix":""},{"dropping-particle":"","family":"Smith","given":"Jeremy","non-dropping-particle":"","parse-names":false,"suffix":""},{"dropping-particle":"","family":"Clarke","given":"Iain J.","non-dropping-particle":"","parse-names":false,"suffix":""},{"dropping-particle":"","family":"Coolen","given":"Lique M.","non-dropping-particle":"","parse-names":false,"suffix":""},{"dropping-particle":"","family":"Goodman","given":"Robert L.","non-dropping-particle":"","parse-names":false,"suffix":""},{"dropping-particle":"","family":"Lehman","given":"Michael N.","non-dropping-particle":"","parse-names":false,"suffix":""}],"container-title":"Endocrinology","id":"ITEM-3","issue":"4","issued":{"date-parts":[["2017","4","1"]]},"page":"831-841","publisher":"Endocrine Society","title":"Effects of season and estradiol on KNDy neuron peptides, colocalization with D2 dopamine receptors, and dopaminergic inputs in the ewe","type":"article-journal","volume":"158"},"uris":["http://www.mendeley.com/documents/?uuid=3ff861be-9588-3f3c-9f4d-74ab7c6f74f1"]},{"id":"ITEM-4","itemData":{"DOI":"10.1210/en.2015-1740","ISSN":"19457170","abstract":"In the human infundibular (arcuate) nucleus, a subpopulation of neurons coexpress kisspeptin and neurokinin B (NKB), 2 peptides required for normal reproductive function. A homologous group of neurons exists in the arcuate nucleus of rodents, termed KNDy neurons based on the coexpression of kisspeptin, NKB, and dynorphin. To study their function,werecently developed a method to selectively ablate KNDy neurons using NK3-SAP, a neurokinin 3 receptor agonist conjugated to saporin (SAP). Here, we ablated KNDy neurons in female rats to determine whether these neurons are required for estrous cyclicity and the steroid induced LH surge. NK3-SAP or Blank-SAP (control) was microinjected into the arcuate nucleus using stereotaxic surgery. After monitoring vaginal smears for 3-4 weeks, rats were ovariectomized and given 17-estradiol and progesterone in a regimen that induced an afternoon LH surge. Rats were killed at the time of peak LH levels, and brains were harvested for NKB and dual labeled GnRH/Fos immunohistochemistry. In ovary-intact rats, ablation of KNDy neurons resulted in hypogonadotropic hypogonadism, characterized by low levels of serum LH, constant diestrus, ovarian atrophy with increased follicular atresia, and uterine atrophy. Surprisingly, the 17-estradiol and progesterone-induced LH surge was 3 times higher in KNDy-ablated rats. Despite the marked increase in the magnitude of the LH surge, the number of GnRH or anterior ventral periventricular nucleus neurons expressing Fos was not significantly different between groups. Our studies show that KNDy neurons are essential for tonic levels of serum LH and estrous cyclicity and may play a role in limiting the magnitude of the LH surge.","author":[{"dropping-particle":"","family":"Mittelman-Smith","given":"Melinda A.","non-dropping-particle":"","parse-names":false,"suffix":""},{"dropping-particle":"","family":"Krajewski-Hall","given":"Sally J.","non-dropping-particle":"","parse-names":false,"suffix":""},{"dropping-particle":"","family":"McMullen","given":"Nathaniel T.","non-dropping-particle":"","parse-names":false,"suffix":""},{"dropping-particle":"","family":"Rance","given":"Naomi E.","non-dropping-particle":"","parse-names":false,"suffix":""}],"container-title":"Endocrinology","id":"ITEM-4","issue":"5","issued":{"date-parts":[["2016","5","1"]]},"page":"2015-2027","publisher":"Endocrine Society","title":"Ablation of KNDy neurons results in hypogonadotropic hypogonadism and amplifies the steroid-induced lh surge in female rats","type":"article-journal","volume":"157"},"uris":["http://www.mendeley.com/documents/?uuid=3f65cda6-4d3c-3b6f-9772-f4caa057e93e"]}],"mendeley":{"formattedCitation":"(12–15)","plainTextFormattedCitation":"(12–15)","previouslyFormattedCitation":"(12–15)"},"properties":{"noteIndex":0},"schema":"https://github.com/citation-style-language/schema/raw/master/csl-citation.json"}</w:instrText>
      </w:r>
      <w:r w:rsidR="00353B9F">
        <w:rPr>
          <w:sz w:val="22"/>
          <w:szCs w:val="22"/>
        </w:rPr>
        <w:fldChar w:fldCharType="separate"/>
      </w:r>
      <w:r w:rsidR="00353B9F" w:rsidRPr="00353B9F">
        <w:rPr>
          <w:noProof/>
          <w:sz w:val="22"/>
          <w:szCs w:val="22"/>
        </w:rPr>
        <w:t>(12–15)</w:t>
      </w:r>
      <w:r w:rsidR="00353B9F">
        <w:rPr>
          <w:sz w:val="22"/>
          <w:szCs w:val="22"/>
        </w:rPr>
        <w:fldChar w:fldCharType="end"/>
      </w:r>
      <w:r w:rsidR="00A243EE">
        <w:rPr>
          <w:sz w:val="22"/>
          <w:szCs w:val="22"/>
        </w:rPr>
        <w:t>.</w:t>
      </w:r>
      <w:r w:rsidR="00802390">
        <w:rPr>
          <w:sz w:val="22"/>
          <w:szCs w:val="22"/>
        </w:rPr>
        <w:t xml:space="preserve"> </w:t>
      </w:r>
      <w:r w:rsidR="00A243EE">
        <w:rPr>
          <w:sz w:val="22"/>
          <w:szCs w:val="22"/>
        </w:rPr>
        <w:t xml:space="preserve">These neuropeptides </w:t>
      </w:r>
      <w:r w:rsidR="00597D8F">
        <w:rPr>
          <w:sz w:val="22"/>
          <w:szCs w:val="22"/>
        </w:rPr>
        <w:t xml:space="preserve">are believed to </w:t>
      </w:r>
      <w:r w:rsidR="00802390">
        <w:rPr>
          <w:sz w:val="22"/>
          <w:szCs w:val="22"/>
        </w:rPr>
        <w:t xml:space="preserve">act in concert </w:t>
      </w:r>
      <w:r w:rsidR="00D150E1">
        <w:rPr>
          <w:sz w:val="22"/>
          <w:szCs w:val="22"/>
        </w:rPr>
        <w:t xml:space="preserve">and </w:t>
      </w:r>
      <w:r w:rsidR="00A243EE">
        <w:rPr>
          <w:sz w:val="22"/>
          <w:szCs w:val="22"/>
        </w:rPr>
        <w:t>in an autocrine manner</w:t>
      </w:r>
      <w:r w:rsidR="00597D8F">
        <w:rPr>
          <w:sz w:val="22"/>
          <w:szCs w:val="22"/>
        </w:rPr>
        <w:t xml:space="preserve"> to</w:t>
      </w:r>
      <w:r w:rsidR="00A243EE">
        <w:rPr>
          <w:sz w:val="22"/>
          <w:szCs w:val="22"/>
        </w:rPr>
        <w:t xml:space="preserve"> </w:t>
      </w:r>
      <w:r w:rsidR="00802390">
        <w:rPr>
          <w:sz w:val="22"/>
          <w:szCs w:val="22"/>
        </w:rPr>
        <w:t>regulate</w:t>
      </w:r>
      <w:r w:rsidR="00A243EE">
        <w:rPr>
          <w:sz w:val="22"/>
          <w:szCs w:val="22"/>
        </w:rPr>
        <w:t xml:space="preserve"> the release of kisspeptin </w:t>
      </w:r>
      <w:r w:rsidR="00597D8F">
        <w:rPr>
          <w:sz w:val="22"/>
          <w:szCs w:val="22"/>
        </w:rPr>
        <w:t>and</w:t>
      </w:r>
      <w:r w:rsidR="00A243EE">
        <w:rPr>
          <w:sz w:val="22"/>
          <w:szCs w:val="22"/>
        </w:rPr>
        <w:t xml:space="preserve"> thus</w:t>
      </w:r>
      <w:r w:rsidR="00802390">
        <w:rPr>
          <w:sz w:val="22"/>
          <w:szCs w:val="22"/>
        </w:rPr>
        <w:t xml:space="preserve"> </w:t>
      </w:r>
      <w:r w:rsidR="009F7F6F">
        <w:rPr>
          <w:sz w:val="22"/>
          <w:szCs w:val="22"/>
        </w:rPr>
        <w:t xml:space="preserve">determine </w:t>
      </w:r>
      <w:r w:rsidR="00802390">
        <w:rPr>
          <w:sz w:val="22"/>
          <w:szCs w:val="22"/>
        </w:rPr>
        <w:t>the pulsatile nature of GnRH secretion</w:t>
      </w:r>
      <w:r w:rsidR="009F7F6F">
        <w:rPr>
          <w:sz w:val="22"/>
          <w:szCs w:val="22"/>
        </w:rPr>
        <w:t xml:space="preserve">. </w:t>
      </w:r>
      <w:r w:rsidR="0082270A">
        <w:rPr>
          <w:sz w:val="22"/>
          <w:szCs w:val="22"/>
        </w:rPr>
        <w:t>Consequently</w:t>
      </w:r>
      <w:r w:rsidR="00CB3428">
        <w:rPr>
          <w:sz w:val="22"/>
          <w:szCs w:val="22"/>
        </w:rPr>
        <w:t xml:space="preserve">, </w:t>
      </w:r>
      <w:proofErr w:type="spellStart"/>
      <w:r w:rsidR="00DE4426">
        <w:rPr>
          <w:sz w:val="22"/>
          <w:szCs w:val="22"/>
        </w:rPr>
        <w:t>KNDy</w:t>
      </w:r>
      <w:proofErr w:type="spellEnd"/>
      <w:r w:rsidR="00DE4426">
        <w:rPr>
          <w:sz w:val="22"/>
          <w:szCs w:val="22"/>
        </w:rPr>
        <w:t xml:space="preserve"> </w:t>
      </w:r>
      <w:r w:rsidR="009F7F6F">
        <w:rPr>
          <w:sz w:val="22"/>
          <w:szCs w:val="22"/>
        </w:rPr>
        <w:t>neurons are regarded as vital components of the</w:t>
      </w:r>
      <w:r w:rsidR="00802390">
        <w:rPr>
          <w:sz w:val="22"/>
          <w:szCs w:val="22"/>
        </w:rPr>
        <w:t xml:space="preserve"> GnRH pulse generator. </w:t>
      </w:r>
      <w:r w:rsidR="00CB3428">
        <w:rPr>
          <w:sz w:val="22"/>
          <w:szCs w:val="22"/>
        </w:rPr>
        <w:t>Overall</w:t>
      </w:r>
      <w:r w:rsidR="00BC411B">
        <w:rPr>
          <w:sz w:val="22"/>
          <w:szCs w:val="22"/>
        </w:rPr>
        <w:t xml:space="preserve">, activation of these </w:t>
      </w:r>
      <w:proofErr w:type="spellStart"/>
      <w:r w:rsidR="00BC411B">
        <w:rPr>
          <w:sz w:val="22"/>
          <w:szCs w:val="22"/>
        </w:rPr>
        <w:t>KNDy</w:t>
      </w:r>
      <w:proofErr w:type="spellEnd"/>
      <w:r w:rsidR="00BC411B">
        <w:rPr>
          <w:sz w:val="22"/>
          <w:szCs w:val="22"/>
        </w:rPr>
        <w:t xml:space="preserve"> neurons plays a key role in initiati</w:t>
      </w:r>
      <w:r w:rsidR="00A25FA0">
        <w:rPr>
          <w:sz w:val="22"/>
          <w:szCs w:val="22"/>
        </w:rPr>
        <w:t>ng</w:t>
      </w:r>
      <w:r w:rsidR="00BC411B">
        <w:rPr>
          <w:sz w:val="22"/>
          <w:szCs w:val="22"/>
        </w:rPr>
        <w:t xml:space="preserve"> puberty, but what constrain</w:t>
      </w:r>
      <w:r w:rsidR="00FC5E7E">
        <w:rPr>
          <w:sz w:val="22"/>
          <w:szCs w:val="22"/>
        </w:rPr>
        <w:t>s</w:t>
      </w:r>
      <w:r w:rsidR="00BC411B">
        <w:rPr>
          <w:sz w:val="22"/>
          <w:szCs w:val="22"/>
        </w:rPr>
        <w:t xml:space="preserve"> </w:t>
      </w:r>
      <w:proofErr w:type="spellStart"/>
      <w:r w:rsidR="00A25FA0">
        <w:rPr>
          <w:sz w:val="22"/>
          <w:szCs w:val="22"/>
        </w:rPr>
        <w:t>KNDy</w:t>
      </w:r>
      <w:proofErr w:type="spellEnd"/>
      <w:r w:rsidR="00A25FA0">
        <w:rPr>
          <w:sz w:val="22"/>
          <w:szCs w:val="22"/>
        </w:rPr>
        <w:t xml:space="preserve"> neuronal</w:t>
      </w:r>
      <w:r w:rsidR="00BC411B">
        <w:rPr>
          <w:sz w:val="22"/>
          <w:szCs w:val="22"/>
        </w:rPr>
        <w:t xml:space="preserve"> activity following </w:t>
      </w:r>
      <w:proofErr w:type="gramStart"/>
      <w:r w:rsidR="00BC411B">
        <w:rPr>
          <w:sz w:val="22"/>
          <w:szCs w:val="22"/>
        </w:rPr>
        <w:t>mini-puberty</w:t>
      </w:r>
      <w:proofErr w:type="gramEnd"/>
      <w:r w:rsidR="00BC411B">
        <w:rPr>
          <w:sz w:val="22"/>
          <w:szCs w:val="22"/>
        </w:rPr>
        <w:t xml:space="preserve"> </w:t>
      </w:r>
      <w:r w:rsidR="00CB3428">
        <w:rPr>
          <w:sz w:val="22"/>
          <w:szCs w:val="22"/>
        </w:rPr>
        <w:t>throughout</w:t>
      </w:r>
      <w:r w:rsidR="00BC411B">
        <w:rPr>
          <w:sz w:val="22"/>
          <w:szCs w:val="22"/>
        </w:rPr>
        <w:t xml:space="preserve"> childhood had remained a</w:t>
      </w:r>
      <w:r w:rsidR="0082270A">
        <w:rPr>
          <w:sz w:val="22"/>
          <w:szCs w:val="22"/>
        </w:rPr>
        <w:t>n enigma</w:t>
      </w:r>
      <w:r w:rsidR="00BC411B">
        <w:rPr>
          <w:sz w:val="22"/>
          <w:szCs w:val="22"/>
        </w:rPr>
        <w:t>.</w:t>
      </w:r>
    </w:p>
    <w:p w14:paraId="7286F23C" w14:textId="273CFFDA" w:rsidR="004D0675" w:rsidRDefault="009F7F6F" w:rsidP="00873B47">
      <w:pPr>
        <w:autoSpaceDE w:val="0"/>
        <w:autoSpaceDN w:val="0"/>
        <w:adjustRightInd w:val="0"/>
        <w:spacing w:line="480" w:lineRule="auto"/>
        <w:jc w:val="both"/>
        <w:rPr>
          <w:sz w:val="22"/>
          <w:szCs w:val="22"/>
        </w:rPr>
      </w:pPr>
      <w:r>
        <w:rPr>
          <w:sz w:val="22"/>
          <w:szCs w:val="22"/>
        </w:rPr>
        <w:lastRenderedPageBreak/>
        <w:t>I</w:t>
      </w:r>
      <w:r w:rsidR="004D0675">
        <w:rPr>
          <w:sz w:val="22"/>
          <w:szCs w:val="22"/>
        </w:rPr>
        <w:t>n 2013</w:t>
      </w:r>
      <w:r w:rsidR="00B53F29">
        <w:rPr>
          <w:sz w:val="22"/>
          <w:szCs w:val="22"/>
        </w:rPr>
        <w:t>,</w:t>
      </w:r>
      <w:r w:rsidR="004D0675">
        <w:rPr>
          <w:sz w:val="22"/>
          <w:szCs w:val="22"/>
        </w:rPr>
        <w:t xml:space="preserve"> </w:t>
      </w:r>
      <w:r>
        <w:rPr>
          <w:sz w:val="22"/>
          <w:szCs w:val="22"/>
        </w:rPr>
        <w:t xml:space="preserve">a landmark study </w:t>
      </w:r>
      <w:r w:rsidR="004D0675">
        <w:rPr>
          <w:sz w:val="22"/>
          <w:szCs w:val="22"/>
        </w:rPr>
        <w:t>reported</w:t>
      </w:r>
      <w:r w:rsidR="00FA5EF4">
        <w:rPr>
          <w:sz w:val="22"/>
          <w:szCs w:val="22"/>
        </w:rPr>
        <w:t xml:space="preserve"> </w:t>
      </w:r>
      <w:r w:rsidR="004D0675">
        <w:rPr>
          <w:sz w:val="22"/>
          <w:szCs w:val="22"/>
        </w:rPr>
        <w:t xml:space="preserve">that </w:t>
      </w:r>
      <w:r w:rsidR="007477FE">
        <w:rPr>
          <w:sz w:val="22"/>
          <w:szCs w:val="22"/>
        </w:rPr>
        <w:t xml:space="preserve">loss of function </w:t>
      </w:r>
      <w:r w:rsidR="004D0675">
        <w:rPr>
          <w:sz w:val="22"/>
          <w:szCs w:val="22"/>
        </w:rPr>
        <w:t xml:space="preserve">variants in </w:t>
      </w:r>
      <w:r w:rsidR="003B5973">
        <w:rPr>
          <w:sz w:val="22"/>
          <w:szCs w:val="22"/>
        </w:rPr>
        <w:t xml:space="preserve">the </w:t>
      </w:r>
      <w:r w:rsidR="00FA5EF4" w:rsidRPr="003B5973">
        <w:rPr>
          <w:i/>
          <w:iCs/>
          <w:sz w:val="22"/>
          <w:szCs w:val="22"/>
        </w:rPr>
        <w:t>MKRN3</w:t>
      </w:r>
      <w:r w:rsidR="00FA5EF4">
        <w:rPr>
          <w:sz w:val="22"/>
          <w:szCs w:val="22"/>
        </w:rPr>
        <w:t xml:space="preserve"> </w:t>
      </w:r>
      <w:r w:rsidR="003B5973">
        <w:rPr>
          <w:sz w:val="22"/>
          <w:szCs w:val="22"/>
        </w:rPr>
        <w:t xml:space="preserve">gene </w:t>
      </w:r>
      <w:r w:rsidR="001C22E0">
        <w:rPr>
          <w:sz w:val="22"/>
          <w:szCs w:val="22"/>
        </w:rPr>
        <w:t>(</w:t>
      </w:r>
      <w:r w:rsidR="001C22E0" w:rsidRPr="00E74DA1">
        <w:rPr>
          <w:sz w:val="22"/>
          <w:szCs w:val="22"/>
        </w:rPr>
        <w:t xml:space="preserve">previously known as </w:t>
      </w:r>
      <w:r w:rsidR="001C22E0" w:rsidRPr="0082270A">
        <w:rPr>
          <w:i/>
          <w:iCs/>
          <w:sz w:val="22"/>
          <w:szCs w:val="22"/>
        </w:rPr>
        <w:t>ZNF127</w:t>
      </w:r>
      <w:r w:rsidR="001C22E0">
        <w:rPr>
          <w:sz w:val="22"/>
          <w:szCs w:val="22"/>
        </w:rPr>
        <w:t xml:space="preserve">), </w:t>
      </w:r>
      <w:r w:rsidR="003B5973">
        <w:rPr>
          <w:sz w:val="22"/>
          <w:szCs w:val="22"/>
        </w:rPr>
        <w:t xml:space="preserve">which encodes for </w:t>
      </w:r>
      <w:proofErr w:type="spellStart"/>
      <w:r w:rsidR="003B5973" w:rsidRPr="00353B9F">
        <w:rPr>
          <w:sz w:val="22"/>
          <w:u w:val="single"/>
        </w:rPr>
        <w:t>m</w:t>
      </w:r>
      <w:r w:rsidR="003B5973" w:rsidRPr="003B5973">
        <w:rPr>
          <w:sz w:val="22"/>
          <w:szCs w:val="22"/>
        </w:rPr>
        <w:t>akorin</w:t>
      </w:r>
      <w:proofErr w:type="spellEnd"/>
      <w:r w:rsidR="003B5973" w:rsidRPr="003B5973">
        <w:rPr>
          <w:sz w:val="22"/>
          <w:szCs w:val="22"/>
        </w:rPr>
        <w:t xml:space="preserve"> </w:t>
      </w:r>
      <w:r w:rsidR="0082270A" w:rsidRPr="00353B9F">
        <w:rPr>
          <w:sz w:val="22"/>
          <w:u w:val="single"/>
        </w:rPr>
        <w:t>R</w:t>
      </w:r>
      <w:r w:rsidR="0082270A">
        <w:rPr>
          <w:sz w:val="22"/>
          <w:szCs w:val="22"/>
        </w:rPr>
        <w:t>ING</w:t>
      </w:r>
      <w:r w:rsidR="003B5973" w:rsidRPr="003B5973">
        <w:rPr>
          <w:sz w:val="22"/>
          <w:szCs w:val="22"/>
        </w:rPr>
        <w:t xml:space="preserve"> </w:t>
      </w:r>
      <w:r w:rsidR="003B5973" w:rsidRPr="00353B9F">
        <w:rPr>
          <w:sz w:val="22"/>
          <w:u w:val="single"/>
        </w:rPr>
        <w:t>f</w:t>
      </w:r>
      <w:r w:rsidR="003B5973" w:rsidRPr="003B5973">
        <w:rPr>
          <w:sz w:val="22"/>
          <w:szCs w:val="22"/>
        </w:rPr>
        <w:t>inger</w:t>
      </w:r>
      <w:r w:rsidR="003B5973">
        <w:rPr>
          <w:sz w:val="22"/>
          <w:szCs w:val="22"/>
        </w:rPr>
        <w:t xml:space="preserve"> </w:t>
      </w:r>
      <w:r w:rsidR="003B5973" w:rsidRPr="00353B9F">
        <w:rPr>
          <w:sz w:val="22"/>
          <w:u w:val="single"/>
        </w:rPr>
        <w:t>p</w:t>
      </w:r>
      <w:r w:rsidR="003B5973" w:rsidRPr="003B5973">
        <w:rPr>
          <w:sz w:val="22"/>
          <w:szCs w:val="22"/>
        </w:rPr>
        <w:t>rotein 3</w:t>
      </w:r>
      <w:r w:rsidR="004D0675">
        <w:rPr>
          <w:sz w:val="22"/>
          <w:szCs w:val="22"/>
        </w:rPr>
        <w:t>, resulted in central precocious puberty</w:t>
      </w:r>
      <w:r w:rsidR="003B5973" w:rsidRPr="003B5973">
        <w:rPr>
          <w:sz w:val="22"/>
          <w:szCs w:val="22"/>
        </w:rPr>
        <w:t xml:space="preserve"> </w:t>
      </w:r>
      <w:r w:rsidR="004D0675">
        <w:rPr>
          <w:sz w:val="22"/>
          <w:szCs w:val="22"/>
        </w:rPr>
        <w:t xml:space="preserve">(CPP) </w:t>
      </w:r>
      <w:r w:rsidR="008533B2">
        <w:rPr>
          <w:sz w:val="22"/>
          <w:szCs w:val="22"/>
        </w:rPr>
        <w:fldChar w:fldCharType="begin" w:fldLock="1"/>
      </w:r>
      <w:r w:rsidR="00E527D9">
        <w:rPr>
          <w:sz w:val="22"/>
          <w:szCs w:val="22"/>
        </w:rPr>
        <w:instrText>ADDIN CSL_CITATION {"citationItems":[{"id":"ITEM-1","itemData":{"DOI":"10.1056/NEJMoa1302160","ISSN":"15334406","abstract":"Background: The onset of puberty is first detected as an increase in pulsatile secretion of gonado-tropin-releasing hormone (GnRH). Early activation of the hypothalamic-pituitary-gonadal axis results in central precocious puberty. The timing of pubertal development is driven in part by genetic factors, but only a few, rare molecular defects associated with central precocious puberty have been identified. Methods: We performed whole-exome sequencing in 40 members of 15 families with central precocious puberty. Candidate variants were confirmed with Sanger sequencing. We also performed quantitative real-time polymerase-chain-reaction assays to determine levels of messenger RNA (mRNA) in the hypothalami of mice at different ages. Results: We identified four novel heterozygous mutations in MKRN3, the gene encoding makorin RING-finger protein 3, in 5 of the 15 families; both sexes were affected. The mutations included three frameshift mutations, predicted to encode truncated proteins, and one missense mutation, predicted to disrupt protein function. MKRN3 is a paternally expressed, imprinted gene located in the Prader-Willi syndrome critical region (chromosome 15q11-q13). All affected persons inherited the mutations from their fathers, a finding that indicates perfect segregation with the mode of inheritance expected for an imprinted gene. Levels of Mkrn3 mRNA were high in the arcuate nucleus of prepubertal mice, decreased immediately before puberty, and remained low after puberty. Conclusions: Deficiency of MKRN3 causes central precocious puberty in humans. Copyright © 2013 Massachusetts Medical Society.","author":[{"dropping-particle":"","family":"Abreu","given":"Ana Paula","non-dropping-particle":"","parse-names":false,"suffix":""},{"dropping-particle":"","family":"Dauber","given":"Andrew","non-dropping-particle":"","parse-names":false,"suffix":""},{"dropping-particle":"","family":"Macedo","given":"Delanie B.","non-dropping-particle":"","parse-names":false,"suffix":""},{"dropping-particle":"","family":"Noel","given":"Sekoni D.","non-dropping-particle":"","parse-names":false,"suffix":""},{"dropping-particle":"","family":"Brito","given":"Vinicius N.","non-dropping-particle":"","parse-names":false,"suffix":""},{"dropping-particle":"","family":"Gill","given":"John C.","non-dropping-particle":"","parse-names":false,"suffix":""},{"dropping-particle":"","family":"Cukier","given":"Priscilla","non-dropping-particle":"","parse-names":false,"suffix":""},{"dropping-particle":"","family":"Thompson","given":"Iain R.","non-dropping-particle":"","parse-names":false,"suffix":""},{"dropping-particle":"","family":"Navarro","given":"Victor M.","non-dropping-particle":"","parse-names":false,"suffix":""},{"dropping-particle":"","family":"Gagliardi","given":"Priscila C.","non-dropping-particle":"","parse-names":false,"suffix":""},{"dropping-particle":"","family":"Rodrigues","given":"Tânia","non-dropping-particle":"","parse-names":false,"suffix":""},{"dropping-particle":"","family":"Kochi","given":"Cristiane","non-dropping-particle":"","parse-names":false,"suffix":""},{"dropping-particle":"","family":"Longui","given":"Carlos Alberto","non-dropping-particle":"","parse-names":false,"suffix":""},{"dropping-particle":"","family":"Beckers","given":"Dominique","non-dropping-particle":"","parse-names":false,"suffix":""},{"dropping-particle":"","family":"Zegher","given":"Francis","non-dropping-particle":"De","parse-names":false,"suffix":""},{"dropping-particle":"","family":"Montenegro","given":"Luciana R.","non-dropping-particle":"","parse-names":false,"suffix":""},{"dropping-particle":"","family":"Mendonca","given":"Berenice B.","non-dropping-particle":"","parse-names":false,"suffix":""},{"dropping-particle":"","family":"Carroll","given":"Rona S.","non-dropping-particle":"","parse-names":false,"suffix":""},{"dropping-particle":"","family":"Hirschhorn","given":"Joel N.","non-dropping-particle":"","parse-names":false,"suffix":""},{"dropping-particle":"","family":"Latronico","given":"Ana Claudia","non-dropping-particle":"","parse-names":false,"suffix":""},{"dropping-particle":"","family":"Kaiser","given":"Ursula B.","non-dropping-particle":"","parse-names":false,"suffix":""}],"container-title":"New England Journal of Medicine","id":"ITEM-1","issued":{"date-parts":[["2013"]]},"title":"Central precocious puberty caused by mutations in the imprinted gene MKRN3","type":"article-journal"},"uris":["http://www.mendeley.com/documents/?uuid=f5516c5d-82ae-43fe-8ec7-5b653bc5c2bb"]}],"mendeley":{"formattedCitation":"(16)","plainTextFormattedCitation":"(16)","previouslyFormattedCitation":"(16)"},"properties":{"noteIndex":0},"schema":"https://github.com/citation-style-language/schema/raw/master/csl-citation.json"}</w:instrText>
      </w:r>
      <w:r w:rsidR="008533B2">
        <w:rPr>
          <w:sz w:val="22"/>
          <w:szCs w:val="22"/>
        </w:rPr>
        <w:fldChar w:fldCharType="separate"/>
      </w:r>
      <w:r w:rsidR="00E527D9" w:rsidRPr="00E527D9">
        <w:rPr>
          <w:noProof/>
          <w:sz w:val="22"/>
          <w:szCs w:val="22"/>
        </w:rPr>
        <w:t>(16)</w:t>
      </w:r>
      <w:r w:rsidR="008533B2">
        <w:rPr>
          <w:sz w:val="22"/>
          <w:szCs w:val="22"/>
        </w:rPr>
        <w:fldChar w:fldCharType="end"/>
      </w:r>
      <w:r w:rsidR="0082270A">
        <w:rPr>
          <w:sz w:val="22"/>
          <w:szCs w:val="22"/>
        </w:rPr>
        <w:t xml:space="preserve">. </w:t>
      </w:r>
      <w:r w:rsidR="00FC5E7E">
        <w:rPr>
          <w:sz w:val="22"/>
          <w:szCs w:val="22"/>
        </w:rPr>
        <w:t>Fittingly</w:t>
      </w:r>
      <w:r w:rsidR="007D2ECC">
        <w:rPr>
          <w:sz w:val="22"/>
          <w:szCs w:val="22"/>
        </w:rPr>
        <w:t xml:space="preserve">, RING in this context does not indicate </w:t>
      </w:r>
      <w:r w:rsidR="00FC5E7E">
        <w:rPr>
          <w:sz w:val="22"/>
          <w:szCs w:val="22"/>
        </w:rPr>
        <w:t>that the protein has a</w:t>
      </w:r>
      <w:r w:rsidR="007D2ECC">
        <w:rPr>
          <w:sz w:val="22"/>
          <w:szCs w:val="22"/>
        </w:rPr>
        <w:t xml:space="preserve"> circular structure but rather denotes </w:t>
      </w:r>
      <w:r w:rsidR="00FC5E7E" w:rsidRPr="009817AB">
        <w:rPr>
          <w:sz w:val="22"/>
          <w:szCs w:val="22"/>
          <w:u w:val="single"/>
        </w:rPr>
        <w:t>R</w:t>
      </w:r>
      <w:r w:rsidR="007D2ECC">
        <w:rPr>
          <w:sz w:val="22"/>
          <w:szCs w:val="22"/>
        </w:rPr>
        <w:t xml:space="preserve">eally </w:t>
      </w:r>
      <w:r w:rsidR="00FC5E7E" w:rsidRPr="009817AB">
        <w:rPr>
          <w:sz w:val="22"/>
          <w:szCs w:val="22"/>
          <w:u w:val="single"/>
        </w:rPr>
        <w:t>I</w:t>
      </w:r>
      <w:r w:rsidR="007D2ECC">
        <w:rPr>
          <w:sz w:val="22"/>
          <w:szCs w:val="22"/>
        </w:rPr>
        <w:t xml:space="preserve">nteresting </w:t>
      </w:r>
      <w:r w:rsidR="00FC5E7E" w:rsidRPr="009817AB">
        <w:rPr>
          <w:sz w:val="22"/>
          <w:szCs w:val="22"/>
          <w:u w:val="single"/>
        </w:rPr>
        <w:t>N</w:t>
      </w:r>
      <w:r w:rsidR="007D2ECC">
        <w:rPr>
          <w:sz w:val="22"/>
          <w:szCs w:val="22"/>
        </w:rPr>
        <w:t xml:space="preserve">ew </w:t>
      </w:r>
      <w:r w:rsidR="00FC5E7E" w:rsidRPr="009817AB">
        <w:rPr>
          <w:sz w:val="22"/>
          <w:szCs w:val="22"/>
          <w:u w:val="single"/>
        </w:rPr>
        <w:t>G</w:t>
      </w:r>
      <w:r w:rsidR="007D2ECC">
        <w:rPr>
          <w:sz w:val="22"/>
          <w:szCs w:val="22"/>
        </w:rPr>
        <w:t xml:space="preserve">ene. </w:t>
      </w:r>
      <w:r w:rsidR="004D0675">
        <w:rPr>
          <w:sz w:val="22"/>
          <w:szCs w:val="22"/>
        </w:rPr>
        <w:t xml:space="preserve">Indeed, this was the first reported </w:t>
      </w:r>
      <w:r w:rsidR="007477FE">
        <w:rPr>
          <w:sz w:val="22"/>
          <w:szCs w:val="22"/>
        </w:rPr>
        <w:t>loss of function variant</w:t>
      </w:r>
      <w:r w:rsidR="004D0675">
        <w:rPr>
          <w:sz w:val="22"/>
          <w:szCs w:val="22"/>
        </w:rPr>
        <w:t xml:space="preserve"> </w:t>
      </w:r>
      <w:r w:rsidR="007477FE">
        <w:rPr>
          <w:sz w:val="22"/>
          <w:szCs w:val="22"/>
        </w:rPr>
        <w:t xml:space="preserve">causing CPP </w:t>
      </w:r>
      <w:r w:rsidR="004D0675">
        <w:rPr>
          <w:sz w:val="22"/>
          <w:szCs w:val="22"/>
        </w:rPr>
        <w:t>and remains the commonest genetic cause of CPP</w:t>
      </w:r>
      <w:r w:rsidR="00A25C79">
        <w:rPr>
          <w:sz w:val="22"/>
          <w:szCs w:val="22"/>
        </w:rPr>
        <w:t xml:space="preserve">, enabling the reclassification of </w:t>
      </w:r>
      <w:r w:rsidR="00A93D13">
        <w:rPr>
          <w:sz w:val="22"/>
          <w:szCs w:val="22"/>
        </w:rPr>
        <w:t xml:space="preserve">many </w:t>
      </w:r>
      <w:r w:rsidR="00A25C79">
        <w:rPr>
          <w:sz w:val="22"/>
          <w:szCs w:val="22"/>
        </w:rPr>
        <w:t>children previous labelled as</w:t>
      </w:r>
      <w:r w:rsidR="00A93D13">
        <w:rPr>
          <w:sz w:val="22"/>
          <w:szCs w:val="22"/>
        </w:rPr>
        <w:t xml:space="preserve"> having</w:t>
      </w:r>
      <w:r w:rsidR="00A25C79">
        <w:rPr>
          <w:sz w:val="22"/>
          <w:szCs w:val="22"/>
        </w:rPr>
        <w:t xml:space="preserve"> idiopathic CPP </w:t>
      </w:r>
      <w:r w:rsidR="00A25C79">
        <w:rPr>
          <w:sz w:val="22"/>
          <w:szCs w:val="22"/>
        </w:rPr>
        <w:fldChar w:fldCharType="begin" w:fldLock="1"/>
      </w:r>
      <w:r w:rsidR="00E527D9">
        <w:rPr>
          <w:sz w:val="22"/>
          <w:szCs w:val="22"/>
        </w:rPr>
        <w:instrText>ADDIN CSL_CITATION {"citationItems":[{"id":"ITEM-1","itemData":{"DOI":"10.1159/000446963","ISSN":"14230194","abstract":"Background/Aims: Recently, loss-of-function mutations in the MKRN3 gene have been implicated in the etiology of familial central precocious puberty (CPP) in both sexes. We aimed to analyze the frequency of MKRN3 mutations in boys with CPP and to compare the clinical and hormonal features of boys with and without MKRN3 mutations. Methods: This was a retrospective review of clinical, hormonal and genetic features of 20 male patients with idiopathic CPP evaluated at an academic medical center. The entire coding regions of MKRN3, KISS1 and KISS1R genes were sequenced. Results: We studied 20 boys from 17 families with CPP. All of them had normal brain magnetic resonance imaging. Eight boys from 5 families harbored four distinct heterozygous MKRN3 mutations predicted to be deleterious for protein function, p.Ala162Glyfs</w:instrText>
      </w:r>
      <w:r w:rsidR="00E527D9">
        <w:rPr>
          <w:rFonts w:ascii="Cambria Math" w:hAnsi="Cambria Math" w:cs="Cambria Math"/>
          <w:sz w:val="22"/>
          <w:szCs w:val="22"/>
        </w:rPr>
        <w:instrText>∗</w:instrText>
      </w:r>
      <w:r w:rsidR="00E527D9">
        <w:rPr>
          <w:sz w:val="22"/>
          <w:szCs w:val="22"/>
        </w:rPr>
        <w:instrText>14, p.Arg213Glyfs</w:instrText>
      </w:r>
      <w:r w:rsidR="00E527D9">
        <w:rPr>
          <w:rFonts w:ascii="Cambria Math" w:hAnsi="Cambria Math" w:cs="Cambria Math"/>
          <w:sz w:val="22"/>
          <w:szCs w:val="22"/>
        </w:rPr>
        <w:instrText>∗</w:instrText>
      </w:r>
      <w:r w:rsidR="00E527D9">
        <w:rPr>
          <w:sz w:val="22"/>
          <w:szCs w:val="22"/>
        </w:rPr>
        <w:instrText>73, p.Arg328Cys and p.Arg365Ser. One boy carried a previously described KISS1-activating mutation (p.Pro74Ser). The frequency of MKRN3 mutations among these boys with idiopathic CPP was significantly higher than previously reported female data (40 vs. 6.4%, respectively, p &lt; 0.001). Boys with MKRN3 mutations had typical clinical and hormonal features of CPP. Notably, they had later pubertal onset than boys without MKRN3 abnormalities (median age 8.2 vs. 7.0 years, respectively, p = 0.033). Conclusion: We demonstrated a high frequency of MKRN3 mutations in boys with CPP, previously classified as idiopathic, suggesting the importance of genetic analysis in this group. The boys with CPP due to MKRN3 mutations had classical features of CPP, but with puberty initiation at a borderline age.","author":[{"dropping-particle":"","family":"Bessa","given":"Danielle S.","non-dropping-particle":"","parse-names":false,"suffix":""},{"dropping-particle":"","family":"Macedo","given":"Delanie B.","non-dropping-particle":"","parse-names":false,"suffix":""},{"dropping-particle":"","family":"Brito","given":"Vinicius N.","non-dropping-particle":"","parse-names":false,"suffix":""},{"dropping-particle":"","family":"França","given":"Monica M.","non-dropping-particle":"","parse-names":false,"suffix":""},{"dropping-particle":"","family":"Montenegro","given":"Luciana R.","non-dropping-particle":"","parse-names":false,"suffix":""},{"dropping-particle":"","family":"Cunha-Silva","given":"Marina","non-dropping-particle":"","parse-names":false,"suffix":""},{"dropping-particle":"","family":"Silveira","given":"Leticia G.","non-dropping-particle":"","parse-names":false,"suffix":""},{"dropping-particle":"","family":"Hummel","given":"Tiago","non-dropping-particle":"","parse-names":false,"suffix":""},{"dropping-particle":"","family":"Bergadá","given":"Ignacio","non-dropping-particle":"","parse-names":false,"suffix":""},{"dropping-particle":"","family":"Braslavsky","given":"Debora","non-dropping-particle":"","parse-names":false,"suffix":""},{"dropping-particle":"","family":"Abreu","given":"Ana Paula","non-dropping-particle":"","parse-names":false,"suffix":""},{"dropping-particle":"","family":"Dauber","given":"Andrew","non-dropping-particle":"","parse-names":false,"suffix":""},{"dropping-particle":"","family":"Mendonca","given":"Berenice B.","non-dropping-particle":"","parse-names":false,"suffix":""},{"dropping-particle":"","family":"Kaiser","given":"Ursula B.","non-dropping-particle":"","parse-names":false,"suffix":""},{"dropping-particle":"","family":"Latronico","given":"Ana Claudia","non-dropping-particle":"","parse-names":false,"suffix":""}],"container-title":"Neuroendocrinology","id":"ITEM-1","issued":{"date-parts":[["2017"]]},"title":"High Frequency of MKRN3 Mutations in Male Central Precocious Puberty Previously Classified as Idiopathic","type":"article"},"uris":["http://www.mendeley.com/documents/?uuid=30b49496-44b6-4d4f-946b-284490e98143"]}],"mendeley":{"formattedCitation":"(17)","plainTextFormattedCitation":"(17)","previouslyFormattedCitation":"(17)"},"properties":{"noteIndex":0},"schema":"https://github.com/citation-style-language/schema/raw/master/csl-citation.json"}</w:instrText>
      </w:r>
      <w:r w:rsidR="00A25C79">
        <w:rPr>
          <w:sz w:val="22"/>
          <w:szCs w:val="22"/>
        </w:rPr>
        <w:fldChar w:fldCharType="separate"/>
      </w:r>
      <w:r w:rsidR="00E527D9" w:rsidRPr="00E527D9">
        <w:rPr>
          <w:noProof/>
          <w:sz w:val="22"/>
          <w:szCs w:val="22"/>
        </w:rPr>
        <w:t>(17)</w:t>
      </w:r>
      <w:r w:rsidR="00A25C79">
        <w:rPr>
          <w:sz w:val="22"/>
          <w:szCs w:val="22"/>
        </w:rPr>
        <w:fldChar w:fldCharType="end"/>
      </w:r>
      <w:r w:rsidR="007477FE">
        <w:rPr>
          <w:sz w:val="22"/>
          <w:szCs w:val="22"/>
        </w:rPr>
        <w:t>. A recent met</w:t>
      </w:r>
      <w:r w:rsidR="005D0BC0">
        <w:rPr>
          <w:sz w:val="22"/>
          <w:szCs w:val="22"/>
        </w:rPr>
        <w:t>a-</w:t>
      </w:r>
      <w:r w:rsidR="007477FE">
        <w:rPr>
          <w:sz w:val="22"/>
          <w:szCs w:val="22"/>
        </w:rPr>
        <w:t xml:space="preserve">analysis </w:t>
      </w:r>
      <w:r w:rsidR="00D5212C">
        <w:rPr>
          <w:sz w:val="22"/>
          <w:szCs w:val="22"/>
        </w:rPr>
        <w:t>revealed</w:t>
      </w:r>
      <w:r w:rsidR="007477FE">
        <w:rPr>
          <w:sz w:val="22"/>
          <w:szCs w:val="22"/>
        </w:rPr>
        <w:t xml:space="preserve"> that </w:t>
      </w:r>
      <w:r w:rsidR="00901549" w:rsidRPr="007477FE">
        <w:rPr>
          <w:i/>
          <w:iCs/>
          <w:sz w:val="22"/>
          <w:szCs w:val="22"/>
        </w:rPr>
        <w:t>MKRN3</w:t>
      </w:r>
      <w:r w:rsidR="00901549" w:rsidRPr="00901549">
        <w:rPr>
          <w:sz w:val="22"/>
          <w:szCs w:val="22"/>
        </w:rPr>
        <w:t xml:space="preserve"> </w:t>
      </w:r>
      <w:r w:rsidR="00901549">
        <w:rPr>
          <w:sz w:val="22"/>
          <w:szCs w:val="22"/>
        </w:rPr>
        <w:t xml:space="preserve">variants are found in </w:t>
      </w:r>
      <w:r w:rsidR="00E74DA1">
        <w:rPr>
          <w:sz w:val="22"/>
          <w:szCs w:val="22"/>
        </w:rPr>
        <w:t xml:space="preserve">9% (95%CI </w:t>
      </w:r>
      <w:r w:rsidR="007477FE">
        <w:rPr>
          <w:sz w:val="22"/>
          <w:szCs w:val="22"/>
        </w:rPr>
        <w:t>4-15%</w:t>
      </w:r>
      <w:r w:rsidR="00E74DA1">
        <w:rPr>
          <w:sz w:val="22"/>
          <w:szCs w:val="22"/>
        </w:rPr>
        <w:t>)</w:t>
      </w:r>
      <w:r w:rsidR="007477FE">
        <w:rPr>
          <w:sz w:val="22"/>
          <w:szCs w:val="22"/>
        </w:rPr>
        <w:t xml:space="preserve"> of </w:t>
      </w:r>
      <w:r w:rsidR="001515CB">
        <w:rPr>
          <w:sz w:val="22"/>
          <w:szCs w:val="22"/>
        </w:rPr>
        <w:t xml:space="preserve">children with </w:t>
      </w:r>
      <w:r w:rsidR="007477FE">
        <w:rPr>
          <w:sz w:val="22"/>
          <w:szCs w:val="22"/>
        </w:rPr>
        <w:t>CPP</w:t>
      </w:r>
      <w:r w:rsidR="00B53F29">
        <w:rPr>
          <w:i/>
          <w:iCs/>
          <w:sz w:val="22"/>
          <w:szCs w:val="22"/>
        </w:rPr>
        <w:t>,</w:t>
      </w:r>
      <w:r w:rsidR="007477FE">
        <w:rPr>
          <w:i/>
          <w:iCs/>
          <w:sz w:val="22"/>
          <w:szCs w:val="22"/>
        </w:rPr>
        <w:t xml:space="preserve"> </w:t>
      </w:r>
      <w:r w:rsidR="00B53F29">
        <w:rPr>
          <w:sz w:val="22"/>
          <w:szCs w:val="22"/>
        </w:rPr>
        <w:t>and more frequently in familial CPP (19%)</w:t>
      </w:r>
      <w:r w:rsidR="008533B2">
        <w:rPr>
          <w:sz w:val="22"/>
          <w:szCs w:val="22"/>
        </w:rPr>
        <w:t xml:space="preserve"> </w:t>
      </w:r>
      <w:r w:rsidR="008533B2">
        <w:rPr>
          <w:sz w:val="22"/>
          <w:szCs w:val="22"/>
        </w:rPr>
        <w:fldChar w:fldCharType="begin" w:fldLock="1"/>
      </w:r>
      <w:r w:rsidR="00E527D9">
        <w:rPr>
          <w:sz w:val="22"/>
          <w:szCs w:val="22"/>
        </w:rPr>
        <w:instrText>ADDIN CSL_CITATION {"citationItems":[{"id":"ITEM-1","itemData":{"DOI":"10.1210/js.2019-00041","ISSN":"2472-1972","abstract":"MKRN3 mutations represent the most common genetic cause of central precocious puberty (CPP) but associations between genotype and clinical features have not been extensively explored. This systematic review and meta-analysis investigated genotype-phenotype associations and prevalence of MKRN3 mutations in CPP. The search was conducted in seven electronic databases (Cochrane, EMBASE, LILACS, LIVIVO, PubMed, Scopus, and Web of Science) for articles published until 4 September 2018. Studies evaluating MKRN3 mutations in patients with CPP were considered eligible. A total of 22 studies, studying 880 subjects with CPP, fulfilled the inclusion criteria. Eighty-nine subjects (76 girls) were identified as harboring MKRN3 mutations. Girls, compared with boys, exhibited earlier age at pubertal onset (median, 6.0 years; range, 3.0 to 7.0 vs 8.5 years; range, 5.9 to 9.0; P &lt; 0.001), and higher basal FSH levels (median, 4.3 IU/L; range, 0.7 to 13.94 IU/L vs 2.45 IU/L; range, 0.8 to 13.70 IU/L; P = 0.003), and bone age advancement (ΔBA; median, 2.3 years; range, -0.9 to 5.2 vs 1.2 years; range, 0.0 to 2.3; P = 0.01). Additional dysmorphisms were uncommon. A total of 14 studies evaluating 857 patients were included for quantitative analysis, with a pooled overall mutation prevalence of 9.0% (95% CI, 0.04 to 0.15). Subgroup analysis showed that prevalence estimates were higher in males, familial cases, and in non-Asian countries. In conclusion, MKRN3 mutations are associated with nonsyndromic CPP and manifest in a sex-dimorphic manner, with girls being affected earlier. They represent a common cause of CPP in western countries, especially in boys and familial cases.","author":[{"dropping-particle":"","family":"Valadares","given":"Luciana Pinto","non-dropping-particle":"","parse-names":false,"suffix":""},{"dropping-particle":"","family":"Meireles","given":"Cinthia Gabriel","non-dropping-particle":"","parse-names":false,"suffix":""},{"dropping-particle":"","family":"Toledo","given":"Isabela Porto","non-dropping-particle":"De","parse-names":false,"suffix":""},{"dropping-particle":"","family":"Santarem de Oliveira","given":"Renata","non-dropping-particle":"","parse-names":false,"suffix":""},{"dropping-particle":"","family":"Gonçalves de Castro","given":"Luiz Cláudio","non-dropping-particle":"","parse-names":false,"suffix":""},{"dropping-particle":"","family":"Abreu","given":"Ana Paula","non-dropping-particle":"","parse-names":false,"suffix":""},{"dropping-particle":"","family":"Carroll","given":"Rona S","non-dropping-particle":"","parse-names":false,"suffix":""},{"dropping-particle":"","family":"Latronico","given":"Ana Claudia","non-dropping-particle":"","parse-names":false,"suffix":""},{"dropping-particle":"","family":"Kaiser","given":"Ursula B","non-dropping-particle":"","parse-names":false,"suffix":""},{"dropping-particle":"","family":"Guerra","given":"Eliete Neves Silva","non-dropping-particle":"","parse-names":false,"suffix":""},{"dropping-particle":"","family":"Lofrano-Porto","given":"Adriana","non-dropping-particle":"","parse-names":false,"suffix":""}],"container-title":"Journal of the Endocrine Society","id":"ITEM-1","issued":{"date-parts":[["2019"]]},"title":"MKRN3 Mutations in Central Precocious Puberty: A Systematic Review and Meta-Analysis","type":"article-journal"},"uris":["http://www.mendeley.com/documents/?uuid=01a9f793-92df-48c3-b422-8c6d18770e4e"]}],"mendeley":{"formattedCitation":"(18)","plainTextFormattedCitation":"(18)","previouslyFormattedCitation":"(18)"},"properties":{"noteIndex":0},"schema":"https://github.com/citation-style-language/schema/raw/master/csl-citation.json"}</w:instrText>
      </w:r>
      <w:r w:rsidR="008533B2">
        <w:rPr>
          <w:sz w:val="22"/>
          <w:szCs w:val="22"/>
        </w:rPr>
        <w:fldChar w:fldCharType="separate"/>
      </w:r>
      <w:r w:rsidR="00E527D9" w:rsidRPr="00E527D9">
        <w:rPr>
          <w:noProof/>
          <w:sz w:val="22"/>
          <w:szCs w:val="22"/>
        </w:rPr>
        <w:t>(18)</w:t>
      </w:r>
      <w:r w:rsidR="008533B2">
        <w:rPr>
          <w:sz w:val="22"/>
          <w:szCs w:val="22"/>
        </w:rPr>
        <w:fldChar w:fldCharType="end"/>
      </w:r>
      <w:r w:rsidR="007477FE">
        <w:rPr>
          <w:sz w:val="22"/>
          <w:szCs w:val="22"/>
        </w:rPr>
        <w:t>.</w:t>
      </w:r>
      <w:r w:rsidR="004D0675">
        <w:rPr>
          <w:sz w:val="22"/>
          <w:szCs w:val="22"/>
        </w:rPr>
        <w:t xml:space="preserve"> </w:t>
      </w:r>
      <w:r w:rsidR="00E74DA1">
        <w:rPr>
          <w:sz w:val="22"/>
          <w:szCs w:val="22"/>
        </w:rPr>
        <w:t>Whilst</w:t>
      </w:r>
      <w:r w:rsidR="004D0675">
        <w:rPr>
          <w:sz w:val="22"/>
          <w:szCs w:val="22"/>
        </w:rPr>
        <w:t xml:space="preserve"> </w:t>
      </w:r>
      <w:r w:rsidR="00E74DA1">
        <w:rPr>
          <w:sz w:val="22"/>
          <w:szCs w:val="22"/>
        </w:rPr>
        <w:t>t</w:t>
      </w:r>
      <w:r w:rsidR="004D0675">
        <w:rPr>
          <w:sz w:val="22"/>
          <w:szCs w:val="22"/>
        </w:rPr>
        <w:t xml:space="preserve">ypically CPP occurs more commonly in girls, </w:t>
      </w:r>
      <w:r w:rsidR="004D0675" w:rsidRPr="00602CFA">
        <w:rPr>
          <w:i/>
          <w:iCs/>
          <w:sz w:val="22"/>
          <w:szCs w:val="22"/>
        </w:rPr>
        <w:t>MKRN3</w:t>
      </w:r>
      <w:r w:rsidR="004D0675">
        <w:rPr>
          <w:sz w:val="22"/>
          <w:szCs w:val="22"/>
        </w:rPr>
        <w:t xml:space="preserve"> </w:t>
      </w:r>
      <w:r w:rsidR="00E74DA1">
        <w:rPr>
          <w:sz w:val="22"/>
          <w:szCs w:val="22"/>
        </w:rPr>
        <w:t>variants can cause CPP in</w:t>
      </w:r>
      <w:r w:rsidR="004D0675">
        <w:rPr>
          <w:sz w:val="22"/>
          <w:szCs w:val="22"/>
        </w:rPr>
        <w:t xml:space="preserve"> both sexes</w:t>
      </w:r>
      <w:r w:rsidR="00B53F29">
        <w:rPr>
          <w:sz w:val="22"/>
          <w:szCs w:val="22"/>
        </w:rPr>
        <w:t xml:space="preserve">, </w:t>
      </w:r>
      <w:r w:rsidR="00E74DA1">
        <w:rPr>
          <w:sz w:val="22"/>
          <w:szCs w:val="22"/>
        </w:rPr>
        <w:t xml:space="preserve">albeit </w:t>
      </w:r>
      <w:r w:rsidR="00B53F29">
        <w:rPr>
          <w:sz w:val="22"/>
          <w:szCs w:val="22"/>
        </w:rPr>
        <w:t xml:space="preserve">more </w:t>
      </w:r>
      <w:r w:rsidR="001515CB">
        <w:rPr>
          <w:sz w:val="22"/>
          <w:szCs w:val="22"/>
        </w:rPr>
        <w:t>frequently</w:t>
      </w:r>
      <w:r w:rsidR="00B53F29">
        <w:rPr>
          <w:sz w:val="22"/>
          <w:szCs w:val="22"/>
        </w:rPr>
        <w:t xml:space="preserve"> in boys</w:t>
      </w:r>
      <w:r w:rsidR="00E74DA1">
        <w:rPr>
          <w:sz w:val="22"/>
          <w:szCs w:val="22"/>
        </w:rPr>
        <w:t xml:space="preserve"> with CPP (22% vs 7%)</w:t>
      </w:r>
      <w:r w:rsidR="00B53F29">
        <w:rPr>
          <w:sz w:val="22"/>
          <w:szCs w:val="22"/>
        </w:rPr>
        <w:t>,</w:t>
      </w:r>
      <w:r w:rsidR="00E74DA1">
        <w:rPr>
          <w:sz w:val="22"/>
          <w:szCs w:val="22"/>
        </w:rPr>
        <w:t xml:space="preserve"> </w:t>
      </w:r>
      <w:r w:rsidR="00733692">
        <w:rPr>
          <w:sz w:val="22"/>
          <w:szCs w:val="22"/>
        </w:rPr>
        <w:t>and</w:t>
      </w:r>
      <w:r w:rsidR="00E74DA1">
        <w:rPr>
          <w:sz w:val="22"/>
          <w:szCs w:val="22"/>
        </w:rPr>
        <w:t xml:space="preserve"> girls </w:t>
      </w:r>
      <w:r w:rsidR="000D5AE7">
        <w:rPr>
          <w:sz w:val="22"/>
          <w:szCs w:val="22"/>
        </w:rPr>
        <w:t>remain</w:t>
      </w:r>
      <w:r w:rsidR="00E74DA1">
        <w:rPr>
          <w:sz w:val="22"/>
          <w:szCs w:val="22"/>
        </w:rPr>
        <w:t xml:space="preserve"> affected at </w:t>
      </w:r>
      <w:r w:rsidR="00733692">
        <w:rPr>
          <w:sz w:val="22"/>
          <w:szCs w:val="22"/>
        </w:rPr>
        <w:t xml:space="preserve">an </w:t>
      </w:r>
      <w:r w:rsidR="00E74DA1">
        <w:rPr>
          <w:sz w:val="22"/>
          <w:szCs w:val="22"/>
        </w:rPr>
        <w:t>earlier age than boys</w:t>
      </w:r>
      <w:r w:rsidR="00B53F29">
        <w:rPr>
          <w:sz w:val="22"/>
          <w:szCs w:val="22"/>
        </w:rPr>
        <w:t xml:space="preserve"> </w:t>
      </w:r>
      <w:r w:rsidR="008533B2">
        <w:rPr>
          <w:sz w:val="22"/>
          <w:szCs w:val="22"/>
        </w:rPr>
        <w:fldChar w:fldCharType="begin" w:fldLock="1"/>
      </w:r>
      <w:r w:rsidR="00E527D9">
        <w:rPr>
          <w:sz w:val="22"/>
          <w:szCs w:val="22"/>
        </w:rPr>
        <w:instrText>ADDIN CSL_CITATION {"citationItems":[{"id":"ITEM-1","itemData":{"DOI":"10.1210/js.2019-00041","ISSN":"2472-1972","abstract":"MKRN3 mutations represent the most common genetic cause of central precocious puberty (CPP) but associations between genotype and clinical features have not been extensively explored. This systematic review and meta-analysis investigated genotype-phenotype associations and prevalence of MKRN3 mutations in CPP. The search was conducted in seven electronic databases (Cochrane, EMBASE, LILACS, LIVIVO, PubMed, Scopus, and Web of Science) for articles published until 4 September 2018. Studies evaluating MKRN3 mutations in patients with CPP were considered eligible. A total of 22 studies, studying 880 subjects with CPP, fulfilled the inclusion criteria. Eighty-nine subjects (76 girls) were identified as harboring MKRN3 mutations. Girls, compared with boys, exhibited earlier age at pubertal onset (median, 6.0 years; range, 3.0 to 7.0 vs 8.5 years; range, 5.9 to 9.0; P &lt; 0.001), and higher basal FSH levels (median, 4.3 IU/L; range, 0.7 to 13.94 IU/L vs 2.45 IU/L; range, 0.8 to 13.70 IU/L; P = 0.003), and bone age advancement (ΔBA; median, 2.3 years; range, -0.9 to 5.2 vs 1.2 years; range, 0.0 to 2.3; P = 0.01). Additional dysmorphisms were uncommon. A total of 14 studies evaluating 857 patients were included for quantitative analysis, with a pooled overall mutation prevalence of 9.0% (95% CI, 0.04 to 0.15). Subgroup analysis showed that prevalence estimates were higher in males, familial cases, and in non-Asian countries. In conclusion, MKRN3 mutations are associated with nonsyndromic CPP and manifest in a sex-dimorphic manner, with girls being affected earlier. They represent a common cause of CPP in western countries, especially in boys and familial cases.","author":[{"dropping-particle":"","family":"Valadares","given":"Luciana Pinto","non-dropping-particle":"","parse-names":false,"suffix":""},{"dropping-particle":"","family":"Meireles","given":"Cinthia Gabriel","non-dropping-particle":"","parse-names":false,"suffix":""},{"dropping-particle":"","family":"Toledo","given":"Isabela Porto","non-dropping-particle":"De","parse-names":false,"suffix":""},{"dropping-particle":"","family":"Santarem de Oliveira","given":"Renata","non-dropping-particle":"","parse-names":false,"suffix":""},{"dropping-particle":"","family":"Gonçalves de Castro","given":"Luiz Cláudio","non-dropping-particle":"","parse-names":false,"suffix":""},{"dropping-particle":"","family":"Abreu","given":"Ana Paula","non-dropping-particle":"","parse-names":false,"suffix":""},{"dropping-particle":"","family":"Carroll","given":"Rona S","non-dropping-particle":"","parse-names":false,"suffix":""},{"dropping-particle":"","family":"Latronico","given":"Ana Claudia","non-dropping-particle":"","parse-names":false,"suffix":""},{"dropping-particle":"","family":"Kaiser","given":"Ursula B","non-dropping-particle":"","parse-names":false,"suffix":""},{"dropping-particle":"","family":"Guerra","given":"Eliete Neves Silva","non-dropping-particle":"","parse-names":false,"suffix":""},{"dropping-particle":"","family":"Lofrano-Porto","given":"Adriana","non-dropping-particle":"","parse-names":false,"suffix":""}],"container-title":"Journal of the Endocrine Society","id":"ITEM-1","issued":{"date-parts":[["2019"]]},"title":"MKRN3 Mutations in Central Precocious Puberty: A Systematic Review and Meta-Analysis","type":"article-journal"},"uris":["http://www.mendeley.com/documents/?uuid=01a9f793-92df-48c3-b422-8c6d18770e4e"]}],"mendeley":{"formattedCitation":"(18)","plainTextFormattedCitation":"(18)","previouslyFormattedCitation":"(18)"},"properties":{"noteIndex":0},"schema":"https://github.com/citation-style-language/schema/raw/master/csl-citation.json"}</w:instrText>
      </w:r>
      <w:r w:rsidR="008533B2">
        <w:rPr>
          <w:sz w:val="22"/>
          <w:szCs w:val="22"/>
        </w:rPr>
        <w:fldChar w:fldCharType="separate"/>
      </w:r>
      <w:r w:rsidR="00E527D9" w:rsidRPr="00E527D9">
        <w:rPr>
          <w:noProof/>
          <w:sz w:val="22"/>
          <w:szCs w:val="22"/>
        </w:rPr>
        <w:t>(18)</w:t>
      </w:r>
      <w:r w:rsidR="008533B2">
        <w:rPr>
          <w:sz w:val="22"/>
          <w:szCs w:val="22"/>
        </w:rPr>
        <w:fldChar w:fldCharType="end"/>
      </w:r>
      <w:r w:rsidR="008533B2">
        <w:rPr>
          <w:sz w:val="22"/>
          <w:szCs w:val="22"/>
        </w:rPr>
        <w:t>.</w:t>
      </w:r>
      <w:r w:rsidR="00840481">
        <w:rPr>
          <w:sz w:val="22"/>
          <w:szCs w:val="22"/>
        </w:rPr>
        <w:t xml:space="preserve"> </w:t>
      </w:r>
    </w:p>
    <w:p w14:paraId="16EB2B9D" w14:textId="58A55E0D" w:rsidR="009D47FB" w:rsidRDefault="003B5973" w:rsidP="00353B9F">
      <w:pPr>
        <w:autoSpaceDE w:val="0"/>
        <w:autoSpaceDN w:val="0"/>
        <w:adjustRightInd w:val="0"/>
        <w:spacing w:line="480" w:lineRule="auto"/>
        <w:ind w:firstLine="720"/>
        <w:jc w:val="both"/>
        <w:rPr>
          <w:sz w:val="22"/>
          <w:szCs w:val="22"/>
        </w:rPr>
      </w:pPr>
      <w:r w:rsidRPr="003044AA">
        <w:rPr>
          <w:i/>
          <w:iCs/>
          <w:sz w:val="22"/>
          <w:szCs w:val="22"/>
        </w:rPr>
        <w:t>MKRN3</w:t>
      </w:r>
      <w:r w:rsidRPr="003B5973">
        <w:rPr>
          <w:sz w:val="22"/>
          <w:szCs w:val="22"/>
        </w:rPr>
        <w:t xml:space="preserve"> is an </w:t>
      </w:r>
      <w:proofErr w:type="spellStart"/>
      <w:r w:rsidRPr="003B5973">
        <w:rPr>
          <w:sz w:val="22"/>
          <w:szCs w:val="22"/>
        </w:rPr>
        <w:t>intronless</w:t>
      </w:r>
      <w:proofErr w:type="spellEnd"/>
      <w:r>
        <w:rPr>
          <w:sz w:val="22"/>
          <w:szCs w:val="22"/>
        </w:rPr>
        <w:t xml:space="preserve"> </w:t>
      </w:r>
      <w:r w:rsidRPr="003B5973">
        <w:rPr>
          <w:sz w:val="22"/>
          <w:szCs w:val="22"/>
        </w:rPr>
        <w:t>and maternally imprinted gene</w:t>
      </w:r>
      <w:r w:rsidR="009F7F6F">
        <w:rPr>
          <w:sz w:val="22"/>
          <w:szCs w:val="22"/>
        </w:rPr>
        <w:t xml:space="preserve"> (</w:t>
      </w:r>
      <w:proofErr w:type="spellStart"/>
      <w:r w:rsidR="009F7F6F">
        <w:rPr>
          <w:sz w:val="22"/>
          <w:szCs w:val="22"/>
        </w:rPr>
        <w:t>ie</w:t>
      </w:r>
      <w:proofErr w:type="spellEnd"/>
      <w:r w:rsidR="009F7F6F">
        <w:rPr>
          <w:sz w:val="22"/>
          <w:szCs w:val="22"/>
        </w:rPr>
        <w:t xml:space="preserve"> only the paternal allele is expressed) </w:t>
      </w:r>
      <w:r w:rsidRPr="003B5973">
        <w:rPr>
          <w:sz w:val="22"/>
          <w:szCs w:val="22"/>
        </w:rPr>
        <w:t>located on chromosome 15q11.2</w:t>
      </w:r>
      <w:r>
        <w:rPr>
          <w:sz w:val="22"/>
          <w:szCs w:val="22"/>
        </w:rPr>
        <w:t xml:space="preserve"> in the </w:t>
      </w:r>
      <w:r w:rsidRPr="003B5973">
        <w:rPr>
          <w:sz w:val="22"/>
          <w:szCs w:val="22"/>
        </w:rPr>
        <w:t>Prader-Willi</w:t>
      </w:r>
      <w:r>
        <w:rPr>
          <w:sz w:val="22"/>
          <w:szCs w:val="22"/>
        </w:rPr>
        <w:t xml:space="preserve"> </w:t>
      </w:r>
      <w:r w:rsidRPr="003B5973">
        <w:rPr>
          <w:sz w:val="22"/>
          <w:szCs w:val="22"/>
        </w:rPr>
        <w:t>Syndrome (PWS) critical region</w:t>
      </w:r>
      <w:r>
        <w:rPr>
          <w:sz w:val="22"/>
          <w:szCs w:val="22"/>
        </w:rPr>
        <w:t>.</w:t>
      </w:r>
      <w:r w:rsidR="00596D3E">
        <w:rPr>
          <w:sz w:val="22"/>
          <w:szCs w:val="22"/>
        </w:rPr>
        <w:t xml:space="preserve"> Gene imprinting refers to </w:t>
      </w:r>
      <w:r w:rsidR="0016701F">
        <w:rPr>
          <w:sz w:val="22"/>
          <w:szCs w:val="22"/>
        </w:rPr>
        <w:t>the</w:t>
      </w:r>
      <w:r w:rsidR="00596D3E">
        <w:rPr>
          <w:sz w:val="22"/>
          <w:szCs w:val="22"/>
        </w:rPr>
        <w:t xml:space="preserve"> epigenetic phenomenon that results in selective expression of genes depending on whether they are inherited from the </w:t>
      </w:r>
      <w:r w:rsidR="001C3FE9">
        <w:rPr>
          <w:sz w:val="22"/>
          <w:szCs w:val="22"/>
        </w:rPr>
        <w:t>maternal</w:t>
      </w:r>
      <w:r w:rsidR="0016701F">
        <w:rPr>
          <w:sz w:val="22"/>
          <w:szCs w:val="22"/>
        </w:rPr>
        <w:t xml:space="preserve"> or </w:t>
      </w:r>
      <w:r w:rsidR="001C3FE9">
        <w:rPr>
          <w:sz w:val="22"/>
          <w:szCs w:val="22"/>
        </w:rPr>
        <w:t>paternal parent</w:t>
      </w:r>
      <w:r w:rsidR="00596D3E">
        <w:rPr>
          <w:sz w:val="22"/>
          <w:szCs w:val="22"/>
        </w:rPr>
        <w:t xml:space="preserve">. </w:t>
      </w:r>
      <w:r w:rsidR="0016701F">
        <w:rPr>
          <w:sz w:val="22"/>
          <w:szCs w:val="22"/>
        </w:rPr>
        <w:t>For instance, w</w:t>
      </w:r>
      <w:r w:rsidR="00596D3E">
        <w:rPr>
          <w:sz w:val="22"/>
          <w:szCs w:val="22"/>
        </w:rPr>
        <w:t xml:space="preserve">hilst paternal inheritance of </w:t>
      </w:r>
      <w:r w:rsidR="009F7F6F">
        <w:rPr>
          <w:sz w:val="22"/>
          <w:szCs w:val="22"/>
        </w:rPr>
        <w:t xml:space="preserve">variants in </w:t>
      </w:r>
      <w:r w:rsidR="00596D3E">
        <w:rPr>
          <w:sz w:val="22"/>
          <w:szCs w:val="22"/>
        </w:rPr>
        <w:t xml:space="preserve">the </w:t>
      </w:r>
      <w:r w:rsidR="00596D3E" w:rsidRPr="003B5973">
        <w:rPr>
          <w:sz w:val="22"/>
          <w:szCs w:val="22"/>
        </w:rPr>
        <w:t>PWS critical region</w:t>
      </w:r>
      <w:r w:rsidR="00596D3E">
        <w:rPr>
          <w:sz w:val="22"/>
          <w:szCs w:val="22"/>
        </w:rPr>
        <w:t xml:space="preserve"> results in Prader Willi syndrome (hypotonia, obesity and hypogonadism), maternal inheritance of </w:t>
      </w:r>
      <w:r w:rsidR="009F7F6F">
        <w:rPr>
          <w:sz w:val="22"/>
          <w:szCs w:val="22"/>
        </w:rPr>
        <w:t>variant</w:t>
      </w:r>
      <w:r w:rsidR="003044AA">
        <w:rPr>
          <w:sz w:val="22"/>
          <w:szCs w:val="22"/>
        </w:rPr>
        <w:t>s</w:t>
      </w:r>
      <w:r w:rsidR="009F7F6F">
        <w:rPr>
          <w:sz w:val="22"/>
          <w:szCs w:val="22"/>
        </w:rPr>
        <w:t xml:space="preserve"> in the same region </w:t>
      </w:r>
      <w:r w:rsidR="00596D3E">
        <w:rPr>
          <w:sz w:val="22"/>
          <w:szCs w:val="22"/>
        </w:rPr>
        <w:t>results in Angelman syndrome (seizures, developmental and neurological disorders).</w:t>
      </w:r>
      <w:r w:rsidR="00E74DA1">
        <w:rPr>
          <w:sz w:val="22"/>
          <w:szCs w:val="22"/>
        </w:rPr>
        <w:t xml:space="preserve"> </w:t>
      </w:r>
      <w:r w:rsidR="0025360B">
        <w:rPr>
          <w:sz w:val="22"/>
          <w:szCs w:val="22"/>
        </w:rPr>
        <w:t xml:space="preserve">In a genome wide association study to identify genes associated with the natural variation in puberty onset, </w:t>
      </w:r>
      <w:r w:rsidR="0025360B" w:rsidRPr="00353B9F">
        <w:rPr>
          <w:i/>
          <w:sz w:val="22"/>
          <w:szCs w:val="22"/>
        </w:rPr>
        <w:t>MKRN3</w:t>
      </w:r>
      <w:r w:rsidR="0025360B">
        <w:rPr>
          <w:sz w:val="22"/>
          <w:szCs w:val="22"/>
        </w:rPr>
        <w:t xml:space="preserve"> had the greatest association with menarche when paternally inherited </w:t>
      </w:r>
      <w:r w:rsidR="0025360B">
        <w:rPr>
          <w:sz w:val="22"/>
          <w:szCs w:val="22"/>
        </w:rPr>
        <w:fldChar w:fldCharType="begin" w:fldLock="1"/>
      </w:r>
      <w:r w:rsidR="0025360B">
        <w:rPr>
          <w:sz w:val="22"/>
          <w:szCs w:val="22"/>
        </w:rPr>
        <w:instrText>ADDIN CSL_CITATION {"citationItems":[{"id":"ITEM-1","itemData":{"DOI":"10.1038/nature13545","ISSN":"14764687","PMID":"25231870","abstract":"Age at menarche is a marker of timing of puberty in females. It varies widely between individuals, is a heritable trait and is associated with risks for obesity, type 2 diabetes, cardiovascular disease, breast cancer and all-cause mortality. Studies of rare human disorders of puberty and animal models point to a complex hypothalamic-pituitary-hormonal regulation, but the mechanisms that determine pubertal timing and underlie its links to disease risk remain unclear. Here, using genome-wide and custom-genotyping arrays in up to 182,416 women of European descent from 57 studies, we found robust evidence (P &lt; 5 × 10&lt;sup&gt;-8&lt;/sup&gt;) for 123 signals at 106 genomic loci associated with age at menarche. Many loci were associated with other pubertal traits in both sexes, and there was substantial overlap with genes implicated in body mass index and various diseases, including rare disorders of puberty. Menarche signals were enriched in imprinted regions, with three loci (DLK1-WDR25, MKRN3-MAGEL2 and KCNK9) demonstrating parent-of-origin-specific associations concordant with known parental expression patterns. Pathway analyses implicated nuclear hormone receptors, particularly retinoic acid and γ-aminobutyric acid-B2 receptor signalling, among novel mechanisms that regulate pubertal timing in humans. Our findings suggest a genetic architecture involving at least hundreds of common variants in the coordinated timing of the pubertal transition.","author":[{"dropping-particle":"","family":"Perry","given":"John R.B.","non-dropping-particle":"","parse-names":false,"suffix":""},{"dropping-particle":"","family":"Day","given":"Felix","non-dropping-particle":"","parse-names":false,"suffix":""},{"dropping-particle":"","family":"Elks","given":"Cathy E.","non-dropping-particle":"","parse-names":false,"suffix":""},{"dropping-particle":"","family":"Sulem","given":"Patrick","non-dropping-particle":"","parse-names":false,"suffix":""},{"dropping-particle":"","family":"Thompson","given":"Deborah J.","non-dropping-particle":"","parse-names":false,"suffix":""},{"dropping-particle":"","family":"Ferreira","given":"Teresa","non-dropping-particle":"","parse-names":false,"suffix":""},{"dropping-particle":"","family":"He","given":"Chunyan","non-dropping-particle":"","parse-names":false,"suffix":""},{"dropping-particle":"","family":"Chasman","given":"Daniel I.","non-dropping-particle":"","parse-names":false,"suffix":""},{"dropping-particle":"","family":"Esko","given":"Tõnu","non-dropping-particle":"","parse-names":false,"suffix":""},{"dropping-particle":"","family":"Thorleifsson","given":"Gudmar","non-dropping-particle":"","parse-names":false,"suffix":""},{"dropping-particle":"","family":"Albrecht","given":"Eva","non-dropping-particle":"","parse-names":false,"suffix":""},{"dropping-particle":"","family":"Ang","given":"Wei Q.","non-dropping-particle":"","parse-names":false,"suffix":""},{"dropping-particle":"","family":"Corre","given":"Tanguy","non-dropping-particle":"","parse-names":false,"suffix":""},{"dropping-particle":"","family":"Cousminer","given":"Diana L.","non-dropping-particle":"","parse-names":false,"suffix":""},{"dropping-particle":"","family":"Feenstra","given":"Bjarke","non-dropping-particle":"","parse-names":false,"suffix":""},{"dropping-particle":"","family":"Franceschini","given":"Nora","non-dropping-particle":"","parse-names":false,"suffix":""},{"dropping-particle":"","family":"Ganna","given":"Andrea","non-dropping-particle":"","parse-names":false,"suffix":""},{"dropping-particle":"","family":"Johnson","given":"Andrew D.","non-dropping-particle":"","parse-names":false,"suffix":""},{"dropping-particle":"","family":"Kjellqvist","given":"Sanela","non-dropping-particle":"","parse-names":false,"suffix":""},{"dropping-particle":"","family":"Lunetta","given":"Kathryn L.","non-dropping-particle":"","parse-names":false,"suffix":""},{"dropping-particle":"","family":"McMahon","given":"George","non-dropping-particle":"","parse-names":false,"suffix":""},{"dropping-particle":"","family":"Nolte","given":"Ilja M.","non-dropping-particle":"","parse-names":false,"suffix":""},{"dropping-particle":"","family":"Paternoster","given":"Lavinia","non-dropping-particle":"","parse-names":false,"suffix":""},{"dropping-particle":"","family":"Porcu","given":"Eleonora","non-dropping-particle":"","parse-names":false,"suffix":""},{"dropping-particle":"V.","family":"Smith","given":"Albert","non-dropping-particle":"","parse-names":false,"suffix":""},{"dropping-particle":"","family":"Stolk","given":"Lisette","non-dropping-particle":"","parse-names":false,"suffix":""},{"dropping-particle":"","family":"Teumer","given":"Alexander","non-dropping-particle":"","parse-names":false,"suffix":""},{"dropping-particle":"","family":"Tšernikova","given":"Natalia","non-dropping-particle":"","parse-names":false,"suffix":""},{"dropping-particle":"","family":"Tikkanen","given":"Emmi","non-dropping-particle":"","parse-names":false,"suffix":""},{"dropping-particle":"","family":"Ulivi","given":"Sheila","non-dropping-particle":"","parse-names":false,"suffix":""},{"dropping-particle":"","family":"Wagner","given":"Erin K.","non-dropping-particle":"","parse-names":false,"suffix":""},{"dropping-particle":"","family":"Amin","given":"Najaf","non-dropping-particle":"","parse-names":false,"suffix":""},{"dropping-particle":"","family":"Bierut","given":"Laura J.","non-dropping-particle":"","parse-names":false,"suffix":""},{"dropping-particle":"","family":"Byrne","given":"Enda M.","non-dropping-particle":"","parse-names":false,"suffix":""},{"dropping-particle":"","family":"Hottenga","given":"Jouke Jan","non-dropping-particle":"","parse-names":false,"suffix":""},{"dropping-particle":"","family":"Koller","given":"Daniel L.","non-dropping-particle":"","parse-names":false,"suffix":""},{"dropping-particle":"","family":"Mangino","given":"Massimo","non-dropping-particle":"","parse-names":false,"suffix":""},{"dropping-particle":"","family":"Pers","given":"Tune H.","non-dropping-particle":"","parse-names":false,"suffix":""},{"dropping-particle":"","family":"Yerges-Armstrong","given":"Laura M.","non-dropping-particle":"","parse-names":false,"suffix":""},{"dropping-particle":"","family":"Zhao","given":"Jing Hua","non-dropping-particle":"","parse-names":false,"suffix":""},{"dropping-particle":"","family":"Andrulis","given":"Irene L.","non-dropping-particle":"","parse-names":false,"suffix":""},{"dropping-particle":"","family":"Anton-Culver","given":"Hoda","non-dropping-particle":"","parse-names":false,"suffix":""},{"dropping-particle":"","family":"Atsma","given":"Femke","non-dropping-particle":"","parse-names":false,"suffix":""},{"dropping-particle":"","family":"Bandinelli","given":"Stefania","non-dropping-particle":"","parse-names":false,"suffix":""},{"dropping-particle":"","family":"Beckmann","given":"Matthias W.","non-dropping-particle":"","parse-names":false,"suffix":""},{"dropping-particle":"","family":"Benitez","given":"Javier","non-dropping-particle":"","parse-names":false,"suffix":""},{"dropping-particle":"","family":"Blomqvist","given":"Carl","non-dropping-particle":"","parse-names":false,"suffix":""},{"dropping-particle":"","family":"Bojesen","given":"Stig E.","non-dropping-particle":"","parse-names":false,"suffix":""},{"dropping-particle":"","family":"Bolla","given":"Manjeet K.","non-dropping-particle":"","parse-names":false,"suffix":""},{"dropping-particle":"","family":"Bonanni","given":"Bernardo","non-dropping-particle":"","parse-names":false,"suffix":""},{"dropping-particle":"","family":"Brauch","given":"Hiltrud","non-dropping-particle":"","parse-names":false,"suffix":""},{"dropping-particle":"","family":"Brenner","given":"Hermann","non-dropping-particle":"","parse-names":false,"suffix":""},{"dropping-particle":"","family":"Buring","given":"Julie E.","non-dropping-particle":"","parse-names":false,"suffix":""},{"dropping-particle":"","family":"Chang-Claude","given":"Jenny","non-dropping-particle":"","parse-names":false,"suffix":""},{"dropping-particle":"","family":"Chanock","given":"Stephen","non-dropping-particle":"","parse-names":false,"suffix":""},{"dropping-particle":"","family":"Chen","given":"Jinhui","non-dropping-particle":"","parse-names":false,"suffix":""},{"dropping-particle":"","family":"Chenevix-Trench","given":"Georgia","non-dropping-particle":"","parse-names":false,"suffix":""},{"dropping-particle":"","family":"Collée","given":"J. Margriet","non-dropping-particle":"","parse-names":false,"suffix":""},{"dropping-particle":"","family":"Couch","given":"Fergus J.","non-dropping-particle":"","parse-names":false,"suffix":""},{"dropping-particle":"","family":"Couper","given":"David","non-dropping-particle":"","parse-names":false,"suffix":""},{"dropping-particle":"","family":"Coviello","given":"Andrea D.","non-dropping-particle":"","parse-names":false,"suffix":""},{"dropping-particle":"","family":"Cox","given":"Angela","non-dropping-particle":"","parse-names":false,"suffix":""},{"dropping-particle":"","family":"Czene","given":"Kamila","non-dropping-particle":"","parse-names":false,"suffix":""},{"dropping-particle":"","family":"D'adamo","given":"Adamo Pio","non-dropping-particle":"","parse-names":false,"suffix":""},{"dropping-particle":"","family":"Smith","given":"George Davey","non-dropping-particle":"","parse-names":false,"suffix":""},{"dropping-particle":"","family":"Vivo","given":"Immaculata","non-dropping-particle":"De","parse-names":false,"suffix":""},{"dropping-particle":"","family":"Demerath","given":"Ellen W.","non-dropping-particle":"","parse-names":false,"suffix":""},{"dropping-particle":"","family":"Dennis","given":"Joe","non-dropping-particle":"","parse-names":false,"suffix":""},{"dropping-particle":"","family":"Devilee","given":"Peter","non-dropping-particle":"","parse-names":false,"suffix":""},{"dropping-particle":"","family":"Dieffenbach","given":"Aida K.","non-dropping-particle":"","parse-names":false,"suffix":""},{"dropping-particle":"","family":"Dunning","given":"Alison M.","non-dropping-particle":"","parse-names":false,"suffix":""},{"dropping-particle":"","family":"Eiriksdottir","given":"Gudny","non-dropping-particle":"","parse-names":false,"suffix":""},{"dropping-particle":"","family":"Eriksson","given":"Johan G.","non-dropping-particle":"","parse-names":false,"suffix":""},{"dropping-particle":"","family":"Fasching","given":"Peter A.","non-dropping-particle":"","parse-names":false,"suffix":""},{"dropping-particle":"","family":"Ferrucci","given":"Luigi","non-dropping-particle":"","parse-names":false,"suffix":""},{"dropping-particle":"","family":"Flesch-Janys","given":"Dieter","non-dropping-particle":"","parse-names":false,"suffix":""},{"dropping-particle":"","family":"Flyger","given":"Henrik","non-dropping-particle":"","parse-names":false,"suffix":""},{"dropping-particle":"","family":"Foroud","given":"Tatiana","non-dropping-particle":"","parse-names":false,"suffix":""},{"dropping-particle":"","family":"Franke","given":"Lude","non-dropping-particle":"","parse-names":false,"suffix":""},{"dropping-particle":"","family":"Garcia","given":"Melissa E.","non-dropping-particle":"","parse-names":false,"suffix":""},{"dropping-particle":"","family":"García-Closas","given":"Montserrat","non-dropping-particle":"","parse-names":false,"suffix":""},{"dropping-particle":"","family":"Geller","given":"Frank","non-dropping-particle":"","parse-names":false,"suffix":""},{"dropping-particle":"","family":"Geus","given":"Eco E.J.","non-dropping-particle":"De","parse-names":false,"suffix":""},{"dropping-particle":"","family":"Giles","given":"Graham G.","non-dropping-particle":"","parse-names":false,"suffix":""},{"dropping-particle":"","family":"Gudbjartsson","given":"Daniel F.","non-dropping-particle":"","parse-names":false,"suffix":""},{"dropping-particle":"","family":"Gudnason","given":"Vilmundur","non-dropping-particle":"","parse-names":false,"suffix":""},{"dropping-particle":"","family":"Guénel","given":"Pascal","non-dropping-particle":"","parse-names":false,"suffix":""},{"dropping-particle":"","family":"Guo","given":"Suiqun","non-dropping-particle":"","parse-names":false,"suffix":""},{"dropping-particle":"","family":"Hall","given":"Per","non-dropping-particle":"","parse-names":false,"suffix":""},{"dropping-particle":"","family":"Hamann","given":"Ute","non-dropping-particle":"","parse-names":false,"suffix":""},{"dropping-particle":"","family":"Haring","given":"Robin","non-dropping-particle":"","parse-names":false,"suffix":""},{"dropping-particle":"","family":"Hartman","given":"Catharina A.","non-dropping-particle":"","parse-names":false,"suffix":""},{"dropping-particle":"","family":"Heath","given":"Andrew C.","non-dropping-particle":"","parse-names":false,"suffix":""},{"dropping-particle":"","family":"Hofman","given":"Albert","non-dropping-particle":"","parse-names":false,"suffix":""},{"dropping-particle":"","family":"Hooning","given":"Maartje J.","non-dropping-particle":"","parse-names":false,"suffix":""},{"dropping-particle":"","family":"Hopper","given":"John L.","non-dropping-particle":"","parse-names":false,"suffix":""},{"dropping-particle":"","family":"Hu","given":"Frank B.","non-dropping-particle":"","parse-names":false,"suffix":""},{"dropping-particle":"","family":"Hunter","given":"David J.","non-dropping-particle":"","parse-names":false,"suffix":""},{"dropping-particle":"","family":"Karasik","given":"David","non-dropping-particle":"","parse-names":false,"suffix":""},{"dropping-particle":"","family":"Kiel","given":"Douglas P.","non-dropping-particle":"","parse-names":false,"suffix":""},{"dropping-particle":"","family":"Knight","given":"Julia A.","non-dropping-particle":"","parse-names":false,"suffix":""},{"dropping-particle":"","family":"Kosma","given":"Veli Matti","non-dropping-particle":"","parse-names":false,"suffix":""},{"dropping-particle":"","family":"Kutalik","given":"Zoltan","non-dropping-particle":"","parse-names":false,"suffix":""},{"dropping-particle":"","family":"Lai","given":"Sandra","non-dropping-particle":"","parse-names":false,"suffix":""},{"dropping-particle":"","family":"Lambrechts","given":"Diether","non-dropping-particle":"","parse-names":false,"suffix":""},{"dropping-particle":"","family":"Lindblom","given":"Annika","non-dropping-particle":"","parse-names":false,"suffix":""},{"dropping-particle":"","family":"Mägi","given":"Reedik","non-dropping-particle":"","parse-names":false,"suffix":""},{"dropping-particle":"","family":"Magnusson","given":"Patrik K.","non-dropping-particle":"","parse-names":false,"suffix":""},{"dropping-particle":"","family":"Mannermaa","given":"Arto","non-dropping-particle":"","parse-names":false,"suffix":""},{"dropping-particle":"","family":"Martin","given":"Nicholas G.","non-dropping-particle":"","parse-names":false,"suffix":""},{"dropping-particle":"","family":"Masson","given":"Gisli","non-dropping-particle":"","parse-names":false,"suffix":""},{"dropping-particle":"","family":"McArdle","given":"Patrick F.","non-dropping-particle":"","parse-names":false,"suffix":""},{"dropping-particle":"","family":"McArdle","given":"Wendy L.","non-dropping-particle":"","parse-names":false,"suffix":""},{"dropping-particle":"","family":"Melbye","given":"Mads","non-dropping-particle":"","parse-names":false,"suffix":""},{"dropping-particle":"","family":"Michailidou","given":"Kyriaki","non-dropping-particle":"","parse-names":false,"suffix":""},{"dropping-particle":"","family":"Mihailov","given":"Evelin","non-dropping-particle":"","parse-names":false,"suffix":""},{"dropping-particle":"","family":"Milani","given":"Lili","non-dropping-particle":"","parse-names":false,"suffix":""},{"dropping-particle":"","family":"Milne","given":"Roger L.","non-dropping-particle":"","parse-names":false,"suffix":""},{"dropping-particle":"","family":"Nevanlinna","given":"Heli","non-dropping-particle":"","parse-names":false,"suffix":""},{"dropping-particle":"","family":"Neven","given":"Patrick","non-dropping-particle":"","parse-names":false,"suffix":""},{"dropping-particle":"","family":"Nohr","given":"Ellen A.","non-dropping-particle":"","parse-names":false,"suffix":""},{"dropping-particle":"","family":"Oldehinkel","given":"Albertine J.","non-dropping-particle":"","parse-names":false,"suffix":""},{"dropping-particle":"","family":"Oostra","given":"Ben A.","non-dropping-particle":"","parse-names":false,"suffix":""},{"dropping-particle":"","family":"Palotie","given":"Aarno","non-dropping-particle":"","parse-names":false,"suffix":""},{"dropping-particle":"","family":"Peacock","given":"Munro","non-dropping-particle":"","parse-names":false,"suffix":""},{"dropping-particle":"","family":"Pedersen","given":"Nancy L.","non-dropping-particle":"","parse-names":false,"suffix":""},{"dropping-particle":"","family":"Peterlongo","given":"Paolo","non-dropping-particle":"","parse-names":false,"suffix":""},{"dropping-particle":"","family":"Peto","given":"Julian","non-dropping-particle":"","parse-names":false,"suffix":""},{"dropping-particle":"","family":"Pharoah","given":"Paul D.P.","non-dropping-particle":"","parse-names":false,"suffix":""},{"dropping-particle":"","family":"Postma","given":"Dirkje S.","non-dropping-particle":"","parse-names":false,"suffix":""},{"dropping-particle":"","family":"Pouta","given":"Anneli","non-dropping-particle":"","parse-names":false,"suffix":""},{"dropping-particle":"","family":"Pylkäs","given":"Katri","non-dropping-particle":"","parse-names":false,"suffix":""},{"dropping-particle":"","family":"Radice","given":"Paolo","non-dropping-particle":"","parse-names":false,"suffix":""},{"dropping-particle":"","family":"Ring","given":"Susan","non-dropping-particle":"","parse-names":false,"suffix":""},{"dropping-particle":"","family":"Rivadeneira","given":"Fernando","non-dropping-particle":"","parse-names":false,"suffix":""},{"dropping-particle":"","family":"Robino","given":"Antonietta","non-dropping-particle":"","parse-names":false,"suffix":""},{"dropping-particle":"","family":"Rose","given":"Lynda M.","non-dropping-particle":"","parse-names":false,"suffix":""},{"dropping-particle":"","family":"Rudolph","given":"Anja","non-dropping-particle":"","parse-names":false,"suffix":""},{"dropping-particle":"","family":"Salomaa","given":"Veikko","non-dropping-particle":"","parse-names":false,"suffix":""},{"dropping-particle":"","family":"Sanna","given":"Serena","non-dropping-particle":"","parse-names":false,"suffix":""},{"dropping-particle":"","family":"Schlessinger","given":"David","non-dropping-particle":"","parse-names":false,"suffix":""},{"dropping-particle":"","family":"Schmidt","given":"Marjanka K.","non-dropping-particle":"","parse-names":false,"suffix":""},{"dropping-particle":"","family":"Southey","given":"Mellissa C.","non-dropping-particle":"","parse-names":false,"suffix":""},{"dropping-particle":"","family":"Sovio","given":"Ulla","non-dropping-particle":"","parse-names":false,"suffix":""},{"dropping-particle":"","family":"Stampfer","given":"Meir J.","non-dropping-particle":"","parse-names":false,"suffix":""},{"dropping-particle":"","family":"Stöckl","given":"Doris","non-dropping-particle":"","parse-names":false,"suffix":""},{"dropping-particle":"","family":"Storniolo","given":"Anna M.","non-dropping-particle":"","parse-names":false,"suffix":""},{"dropping-particle":"","family":"Timpson","given":"Nicholas J.","non-dropping-particle":"","parse-names":false,"suffix":""},{"dropping-particle":"","family":"Tyrer","given":"Jonathan","non-dropping-particle":"","parse-names":false,"suffix":""},{"dropping-particle":"","family":"Visser","given":"Jenny A.","non-dropping-particle":"","parse-names":false,"suffix":""},{"dropping-particle":"","family":"Vollenweider","given":"Peter","non-dropping-particle":"","parse-names":false,"suffix":""},{"dropping-particle":"","family":"Völzke","given":"Henry","non-dropping-particle":"","parse-names":false,"suffix":""},{"dropping-particle":"","family":"Waeber","given":"Gerard","non-dropping-particle":"","parse-names":false,"suffix":""},{"dropping-particle":"","family":"Waldenberger","given":"Melanie","non-dropping-particle":"","parse-names":false,"suffix":""},{"dropping-particle":"","family":"Wallaschofski","given":"Henri","non-dropping-particle":"","parse-names":false,"suffix":""},{"dropping-particle":"","family":"Wang","given":"Qin","non-dropping-particle":"","parse-names":false,"suffix":""},{"dropping-particle":"","family":"Willemsen","given":"Gonneke","non-dropping-particle":"","parse-names":false,"suffix":""},{"dropping-particle":"","family":"Winqvist","given":"Robert","non-dropping-particle":"","parse-names":false,"suffix":""},{"dropping-particle":"","family":"Wolffenbuttel","given":"Bruce H.R.","non-dropping-particle":"","parse-names":false,"suffix":""},{"dropping-particle":"","family":"Wright","given":"Margaret J.","non-dropping-particle":"","parse-names":false,"suffix":""},{"dropping-particle":"","family":"Boomsma","given":"Dorret I.","non-dropping-particle":"","parse-names":false,"suffix":""},{"dropping-particle":"","family":"Econs","given":"Michael J.","non-dropping-particle":"","parse-names":false,"suffix":""},{"dropping-particle":"","family":"Khaw","given":"Kay Tee","non-dropping-particle":"","parse-names":false,"suffix":""},{"dropping-particle":"","family":"Loos","given":"Ruth J.F.","non-dropping-particle":"","parse-names":false,"suffix":""},{"dropping-particle":"","family":"McCarthy","given":"Mark I.","non-dropping-particle":"","parse-names":false,"suffix":""},{"dropping-particle":"","family":"Montgomery","given":"Grant W.","non-dropping-particle":"","parse-names":false,"suffix":""},{"dropping-particle":"","family":"Rice","given":"John P.","non-dropping-particle":"","parse-names":false,"suffix":""},{"dropping-particle":"","family":"Streeten","given":"Elizabeth A.","non-dropping-particle":"","parse-names":false,"suffix":""},{"dropping-particle":"","family":"Thorsteinsdottir","given":"Unnur","non-dropping-particle":"","parse-names":false,"suffix":""},{"dropping-particle":"","family":"Duijn","given":"Cornelia M.","non-dropping-particle":"Van","parse-names":false,"suffix":""},{"dropping-particle":"","family":"Alizadeh","given":"Behrooz Z.","non-dropping-particle":"","parse-names":false,"suffix":""},{"dropping-particle":"","family":"Bergmann","given":"Sven","non-dropping-particle":"","parse-names":false,"suffix":""},{"dropping-particle":"","family":"Boerwinkle","given":"Eric","non-dropping-particle":"","parse-names":false,"suffix":""},{"dropping-particle":"","family":"Boyd","given":"Heather A.","non-dropping-particle":"","parse-names":false,"suffix":""},{"dropping-particle":"","family":"Crisponi","given":"Laura","non-dropping-particle":"","parse-names":false,"suffix":""},{"dropping-particle":"","family":"Gasparini","given":"Paolo","non-dropping-particle":"","parse-names":false,"suffix":""},{"dropping-particle":"","family":"Gieger","given":"Christian","non-dropping-particle":"","parse-names":false,"suffix":""},{"dropping-particle":"","family":"Harris","given":"Tamara B.","non-dropping-particle":"","parse-names":false,"suffix":""},{"dropping-particle":"","family":"Ingelsson","given":"Erik","non-dropping-particle":"","parse-names":false,"suffix":""},{"dropping-particle":"","family":"Järvelin","given":"Marjo Riitta","non-dropping-particle":"","parse-names":false,"suffix":""},{"dropping-particle":"","family":"Kraft","given":"Peter","non-dropping-particle":"","parse-names":false,"suffix":""},{"dropping-particle":"","family":"Lawlor","given":"Debbie","non-dropping-particle":"","parse-names":false,"suffix":""},{"dropping-particle":"","family":"Metspalu","given":"Andres","non-dropping-particle":"","parse-names":false,"suffix":""},{"dropping-particle":"","family":"Pennell","given":"Craig E.","non-dropping-particle":"","parse-names":false,"suffix":""},{"dropping-particle":"","family":"Ridker","given":"Paul M.","non-dropping-particle":"","parse-names":false,"suffix":""},{"dropping-particle":"","family":"Snieder","given":"Harold","non-dropping-particle":"","parse-names":false,"suffix":""},{"dropping-particle":"","family":"Sørensen","given":"Thorkild I.A.","non-dropping-particle":"","parse-names":false,"suffix":""},{"dropping-particle":"","family":"Spector","given":"Tim D.","non-dropping-particle":"","parse-names":false,"suffix":""},{"dropping-particle":"","family":"Strachan","given":"David P.","non-dropping-particle":"","parse-names":false,"suffix":""},{"dropping-particle":"","family":"Uitterlinden","given":"André G.","non-dropping-particle":"","parse-names":false,"suffix":""},{"dropping-particle":"","family":"Wareham","given":"Nicholas J.","non-dropping-particle":"","parse-names":false,"suffix":""},{"dropping-particle":"","family":"Widen","given":"Elisabeth","non-dropping-particle":"","parse-names":false,"suffix":""},{"dropping-particle":"","family":"Zygmunt","given":"Marek","non-dropping-particle":"","parse-names":false,"suffix":""},{"dropping-particle":"","family":"Murray","given":"Anna","non-dropping-particle":"","parse-names":false,"suffix":""},{"dropping-particle":"","family":"Easton","given":"Douglas F.","non-dropping-particle":"","parse-names":false,"suffix":""},{"dropping-particle":"","family":"Stefansson","given":"Kari","non-dropping-particle":"","parse-names":false,"suffix":""},{"dropping-particle":"","family":"Murabito","given":"Joanne M.","non-dropping-particle":"","parse-names":false,"suffix":""},{"dropping-particle":"","family":"Ong","given":"Ken K.","non-dropping-particle":"","parse-names":false,"suffix":""}],"container-title":"Nature","id":"ITEM-1","issued":{"date-parts":[["2014"]]},"title":"Parent-of-origin-specific allelic associations among 106 genomic loci for age at menarche","type":"article-journal"},"uris":["http://www.mendeley.com/documents/?uuid=7770caa0-2ad7-4b80-b7c1-36520f6aa00f"]}],"mendeley":{"formattedCitation":"(1)","plainTextFormattedCitation":"(1)","previouslyFormattedCitation":"(1)"},"properties":{"noteIndex":0},"schema":"https://github.com/citation-style-language/schema/raw/master/csl-citation.json"}</w:instrText>
      </w:r>
      <w:r w:rsidR="0025360B">
        <w:rPr>
          <w:sz w:val="22"/>
          <w:szCs w:val="22"/>
        </w:rPr>
        <w:fldChar w:fldCharType="separate"/>
      </w:r>
      <w:r w:rsidR="0025360B" w:rsidRPr="002F278E">
        <w:rPr>
          <w:noProof/>
          <w:sz w:val="22"/>
          <w:szCs w:val="22"/>
        </w:rPr>
        <w:t>(1)</w:t>
      </w:r>
      <w:r w:rsidR="0025360B">
        <w:rPr>
          <w:sz w:val="22"/>
          <w:szCs w:val="22"/>
        </w:rPr>
        <w:fldChar w:fldCharType="end"/>
      </w:r>
      <w:r w:rsidR="0025360B">
        <w:rPr>
          <w:sz w:val="22"/>
          <w:szCs w:val="22"/>
        </w:rPr>
        <w:t>.</w:t>
      </w:r>
    </w:p>
    <w:p w14:paraId="24E81EB0" w14:textId="77777777" w:rsidR="00C07A74" w:rsidRDefault="00C07A74" w:rsidP="009D47FB">
      <w:pPr>
        <w:autoSpaceDE w:val="0"/>
        <w:autoSpaceDN w:val="0"/>
        <w:adjustRightInd w:val="0"/>
        <w:spacing w:line="480" w:lineRule="auto"/>
        <w:jc w:val="both"/>
        <w:rPr>
          <w:b/>
          <w:sz w:val="22"/>
          <w:szCs w:val="22"/>
        </w:rPr>
      </w:pPr>
    </w:p>
    <w:p w14:paraId="0ED8E989" w14:textId="62675E1F" w:rsidR="00C07A74" w:rsidRPr="006E27ED" w:rsidRDefault="00835882" w:rsidP="009D47FB">
      <w:pPr>
        <w:autoSpaceDE w:val="0"/>
        <w:autoSpaceDN w:val="0"/>
        <w:adjustRightInd w:val="0"/>
        <w:spacing w:line="480" w:lineRule="auto"/>
        <w:jc w:val="both"/>
        <w:rPr>
          <w:b/>
          <w:sz w:val="22"/>
          <w:szCs w:val="22"/>
        </w:rPr>
      </w:pPr>
      <w:r>
        <w:rPr>
          <w:b/>
          <w:sz w:val="22"/>
          <w:szCs w:val="22"/>
        </w:rPr>
        <w:t xml:space="preserve">How does </w:t>
      </w:r>
      <w:r w:rsidR="00C07A74" w:rsidRPr="006E27ED">
        <w:rPr>
          <w:b/>
          <w:sz w:val="22"/>
          <w:szCs w:val="22"/>
        </w:rPr>
        <w:t>MKRN3</w:t>
      </w:r>
      <w:r>
        <w:rPr>
          <w:b/>
          <w:sz w:val="22"/>
          <w:szCs w:val="22"/>
        </w:rPr>
        <w:t xml:space="preserve"> interact with </w:t>
      </w:r>
      <w:r w:rsidR="00C07A74" w:rsidRPr="006E27ED">
        <w:rPr>
          <w:b/>
          <w:sz w:val="22"/>
          <w:szCs w:val="22"/>
        </w:rPr>
        <w:t>kisspe</w:t>
      </w:r>
      <w:r w:rsidR="008C5B9B">
        <w:rPr>
          <w:b/>
          <w:sz w:val="22"/>
          <w:szCs w:val="22"/>
        </w:rPr>
        <w:t>p</w:t>
      </w:r>
      <w:r w:rsidR="00C07A74" w:rsidRPr="006E27ED">
        <w:rPr>
          <w:b/>
          <w:sz w:val="22"/>
          <w:szCs w:val="22"/>
        </w:rPr>
        <w:t xml:space="preserve">tin </w:t>
      </w:r>
      <w:r>
        <w:rPr>
          <w:b/>
          <w:sz w:val="22"/>
          <w:szCs w:val="22"/>
        </w:rPr>
        <w:t>neurons?</w:t>
      </w:r>
    </w:p>
    <w:p w14:paraId="4FFA9228" w14:textId="2444AD2E" w:rsidR="004D0675" w:rsidRDefault="00650B6C" w:rsidP="005D55CF">
      <w:pPr>
        <w:autoSpaceDE w:val="0"/>
        <w:autoSpaceDN w:val="0"/>
        <w:adjustRightInd w:val="0"/>
        <w:spacing w:line="480" w:lineRule="auto"/>
        <w:jc w:val="both"/>
        <w:rPr>
          <w:sz w:val="22"/>
          <w:szCs w:val="22"/>
        </w:rPr>
      </w:pPr>
      <w:r>
        <w:rPr>
          <w:sz w:val="22"/>
          <w:szCs w:val="22"/>
        </w:rPr>
        <w:t>Abreu and Kaiser</w:t>
      </w:r>
      <w:r w:rsidR="002B64BC">
        <w:rPr>
          <w:sz w:val="22"/>
          <w:szCs w:val="22"/>
        </w:rPr>
        <w:t xml:space="preserve"> published the seminal report </w:t>
      </w:r>
      <w:r w:rsidR="00547568">
        <w:rPr>
          <w:sz w:val="22"/>
          <w:szCs w:val="22"/>
        </w:rPr>
        <w:t>in 2013 demonstrating that</w:t>
      </w:r>
      <w:r w:rsidR="002B64BC">
        <w:rPr>
          <w:sz w:val="22"/>
          <w:szCs w:val="22"/>
        </w:rPr>
        <w:t xml:space="preserve"> loss of function </w:t>
      </w:r>
      <w:r w:rsidR="0024083E">
        <w:rPr>
          <w:sz w:val="22"/>
          <w:szCs w:val="22"/>
        </w:rPr>
        <w:t>variants</w:t>
      </w:r>
      <w:r w:rsidR="002B64BC">
        <w:rPr>
          <w:sz w:val="22"/>
          <w:szCs w:val="22"/>
        </w:rPr>
        <w:t xml:space="preserve"> in </w:t>
      </w:r>
      <w:r w:rsidR="002B64BC" w:rsidRPr="00F4491F">
        <w:rPr>
          <w:i/>
          <w:iCs/>
          <w:sz w:val="22"/>
          <w:szCs w:val="22"/>
        </w:rPr>
        <w:t>MKRN3</w:t>
      </w:r>
      <w:r w:rsidR="002B64BC">
        <w:rPr>
          <w:sz w:val="22"/>
          <w:szCs w:val="22"/>
        </w:rPr>
        <w:t xml:space="preserve"> caus</w:t>
      </w:r>
      <w:r w:rsidR="00547568">
        <w:rPr>
          <w:sz w:val="22"/>
          <w:szCs w:val="22"/>
        </w:rPr>
        <w:t>e</w:t>
      </w:r>
      <w:r w:rsidR="002B64BC">
        <w:rPr>
          <w:sz w:val="22"/>
          <w:szCs w:val="22"/>
        </w:rPr>
        <w:t xml:space="preserve"> CCP</w:t>
      </w:r>
      <w:r w:rsidR="00547568">
        <w:rPr>
          <w:sz w:val="22"/>
          <w:szCs w:val="22"/>
        </w:rPr>
        <w:t xml:space="preserve"> </w:t>
      </w:r>
      <w:r w:rsidR="00547568">
        <w:rPr>
          <w:sz w:val="22"/>
          <w:szCs w:val="22"/>
        </w:rPr>
        <w:fldChar w:fldCharType="begin" w:fldLock="1"/>
      </w:r>
      <w:r w:rsidR="00547568">
        <w:rPr>
          <w:sz w:val="22"/>
          <w:szCs w:val="22"/>
        </w:rPr>
        <w:instrText>ADDIN CSL_CITATION {"citationItems":[{"id":"ITEM-1","itemData":{"DOI":"10.1016/S2213-8587(15)00418-0","ISSN":"22138595","abstract":"Puberty marks the end of childhood and is a period when individuals undergo physiological and psychological changes to achieve sexual maturation and fertility. The hypothalamic-pituitary-gonadal axis controls puberty and reproduction and is tightly regulated by a complex network of excitatory and inhibitory factors. This axis is active in the embryonic and early postnatal stages of life and is subsequently restrained during childhood, and its reactivation culminates in puberty initiation. The mechanisms underlying this reactivation are not completely known. The age of puberty onset varies between individuals and the timing of puberty initiation is associated with several health outcomes in adult life. In this Series paper, we discuss pubertal markers, epidemiological trends of puberty initiation over time, and the mechanisms whereby genetic, metabolic, and other factors control secretion of gonadotropin-releasing hormone to determine initiation of puberty.","author":[{"dropping-particle":"","family":"Abreu","given":"Ana Paula","non-dropping-particle":"","parse-names":false,"suffix":""},{"dropping-particle":"","family":"Kaiser","given":"Ursula B.","non-dropping-particle":"","parse-names":false,"suffix":""}],"container-title":"The Lancet Diabetes and Endocrinology","id":"ITEM-1","issued":{"date-parts":[["2016"]]},"title":"Pubertal development and regulation","type":"article"},"uris":["http://www.mendeley.com/documents/?uuid=54ce62f4-beb3-47b5-8841-d400f4050ebb"]}],"mendeley":{"formattedCitation":"(2)","plainTextFormattedCitation":"(2)","previouslyFormattedCitation":"(2)"},"properties":{"noteIndex":0},"schema":"https://github.com/citation-style-language/schema/raw/master/csl-citation.json"}</w:instrText>
      </w:r>
      <w:r w:rsidR="00547568">
        <w:rPr>
          <w:sz w:val="22"/>
          <w:szCs w:val="22"/>
        </w:rPr>
        <w:fldChar w:fldCharType="separate"/>
      </w:r>
      <w:r w:rsidR="00547568" w:rsidRPr="008533B2">
        <w:rPr>
          <w:noProof/>
          <w:sz w:val="22"/>
          <w:szCs w:val="22"/>
        </w:rPr>
        <w:t>(2)</w:t>
      </w:r>
      <w:r w:rsidR="00547568">
        <w:rPr>
          <w:sz w:val="22"/>
          <w:szCs w:val="22"/>
        </w:rPr>
        <w:fldChar w:fldCharType="end"/>
      </w:r>
      <w:r w:rsidR="00F343D8">
        <w:rPr>
          <w:sz w:val="22"/>
          <w:szCs w:val="22"/>
        </w:rPr>
        <w:t>.</w:t>
      </w:r>
      <w:r w:rsidR="002B64BC">
        <w:rPr>
          <w:sz w:val="22"/>
          <w:szCs w:val="22"/>
        </w:rPr>
        <w:t xml:space="preserve"> </w:t>
      </w:r>
      <w:r>
        <w:rPr>
          <w:sz w:val="22"/>
          <w:szCs w:val="22"/>
        </w:rPr>
        <w:t>I</w:t>
      </w:r>
      <w:r w:rsidR="00C07A74">
        <w:rPr>
          <w:sz w:val="22"/>
          <w:szCs w:val="22"/>
        </w:rPr>
        <w:t>n this issue of the</w:t>
      </w:r>
      <w:r w:rsidR="00C07A74" w:rsidRPr="009817AB">
        <w:rPr>
          <w:i/>
          <w:sz w:val="22"/>
          <w:szCs w:val="22"/>
        </w:rPr>
        <w:t xml:space="preserve"> JCI</w:t>
      </w:r>
      <w:r w:rsidR="00C07A74">
        <w:rPr>
          <w:sz w:val="22"/>
          <w:szCs w:val="22"/>
        </w:rPr>
        <w:t xml:space="preserve">, </w:t>
      </w:r>
      <w:r w:rsidR="00F4491F">
        <w:rPr>
          <w:sz w:val="22"/>
          <w:szCs w:val="22"/>
        </w:rPr>
        <w:t xml:space="preserve">Abreu and colleagues </w:t>
      </w:r>
      <w:r w:rsidR="00547568">
        <w:rPr>
          <w:sz w:val="22"/>
          <w:szCs w:val="22"/>
        </w:rPr>
        <w:t>further</w:t>
      </w:r>
      <w:r w:rsidR="007B7C56">
        <w:rPr>
          <w:sz w:val="22"/>
          <w:szCs w:val="22"/>
        </w:rPr>
        <w:t xml:space="preserve"> </w:t>
      </w:r>
      <w:r w:rsidR="005D55CF">
        <w:rPr>
          <w:sz w:val="22"/>
          <w:szCs w:val="22"/>
        </w:rPr>
        <w:t xml:space="preserve">investigate the mechanism by which </w:t>
      </w:r>
      <w:r w:rsidR="005D55CF" w:rsidRPr="0092075A">
        <w:rPr>
          <w:i/>
          <w:iCs/>
          <w:sz w:val="22"/>
          <w:szCs w:val="22"/>
        </w:rPr>
        <w:t>MKRN3</w:t>
      </w:r>
      <w:r w:rsidR="005D55CF">
        <w:rPr>
          <w:sz w:val="22"/>
          <w:szCs w:val="22"/>
        </w:rPr>
        <w:t xml:space="preserve"> constrains pubertal maturation</w:t>
      </w:r>
      <w:r w:rsidR="00DD7682">
        <w:rPr>
          <w:sz w:val="22"/>
          <w:szCs w:val="22"/>
        </w:rPr>
        <w:t xml:space="preserve"> </w:t>
      </w:r>
      <w:r w:rsidR="00DD7682">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eviouslyFormattedCitation":"(19)"},"properties":{"noteIndex":0},"schema":"https://github.com/citation-style-language/schema/raw/master/csl-citation.json"}</w:instrText>
      </w:r>
      <w:r w:rsidR="00DD7682">
        <w:rPr>
          <w:sz w:val="22"/>
          <w:szCs w:val="22"/>
        </w:rPr>
        <w:fldChar w:fldCharType="separate"/>
      </w:r>
      <w:r w:rsidR="00E527D9" w:rsidRPr="00E527D9">
        <w:rPr>
          <w:noProof/>
          <w:sz w:val="22"/>
          <w:szCs w:val="22"/>
        </w:rPr>
        <w:t>(19)</w:t>
      </w:r>
      <w:r w:rsidR="00DD7682">
        <w:rPr>
          <w:sz w:val="22"/>
          <w:szCs w:val="22"/>
        </w:rPr>
        <w:fldChar w:fldCharType="end"/>
      </w:r>
      <w:r w:rsidR="005D55CF">
        <w:rPr>
          <w:sz w:val="22"/>
          <w:szCs w:val="22"/>
        </w:rPr>
        <w:t>.</w:t>
      </w:r>
      <w:r w:rsidR="00AA2BFF">
        <w:rPr>
          <w:sz w:val="22"/>
          <w:szCs w:val="22"/>
        </w:rPr>
        <w:t xml:space="preserve"> </w:t>
      </w:r>
      <w:r w:rsidR="00547568">
        <w:rPr>
          <w:sz w:val="22"/>
          <w:szCs w:val="22"/>
        </w:rPr>
        <w:t>They demonstrate</w:t>
      </w:r>
      <w:r w:rsidR="00DB02A4">
        <w:rPr>
          <w:sz w:val="22"/>
          <w:szCs w:val="22"/>
        </w:rPr>
        <w:t>d</w:t>
      </w:r>
      <w:r w:rsidR="00547568">
        <w:rPr>
          <w:sz w:val="22"/>
          <w:szCs w:val="22"/>
        </w:rPr>
        <w:t xml:space="preserve"> that </w:t>
      </w:r>
      <w:r w:rsidR="004D0675" w:rsidRPr="0092075A">
        <w:rPr>
          <w:i/>
          <w:iCs/>
          <w:sz w:val="22"/>
          <w:szCs w:val="22"/>
        </w:rPr>
        <w:t>MKRN3</w:t>
      </w:r>
      <w:r w:rsidR="004D0675">
        <w:rPr>
          <w:sz w:val="22"/>
          <w:szCs w:val="22"/>
        </w:rPr>
        <w:t xml:space="preserve"> </w:t>
      </w:r>
      <w:r w:rsidR="00DB02A4">
        <w:rPr>
          <w:sz w:val="22"/>
          <w:szCs w:val="22"/>
        </w:rPr>
        <w:t>was</w:t>
      </w:r>
      <w:r w:rsidR="004D0675">
        <w:rPr>
          <w:sz w:val="22"/>
          <w:szCs w:val="22"/>
        </w:rPr>
        <w:t xml:space="preserve"> expressed at higher levels in the hypothalamus than the liver or testes</w:t>
      </w:r>
      <w:r w:rsidR="00547568">
        <w:rPr>
          <w:sz w:val="22"/>
          <w:szCs w:val="22"/>
        </w:rPr>
        <w:t>,</w:t>
      </w:r>
      <w:r w:rsidR="00AA2BFF">
        <w:rPr>
          <w:sz w:val="22"/>
          <w:szCs w:val="22"/>
        </w:rPr>
        <w:t xml:space="preserve"> consistent with its role </w:t>
      </w:r>
      <w:r w:rsidR="001D40DE">
        <w:rPr>
          <w:sz w:val="22"/>
          <w:szCs w:val="22"/>
        </w:rPr>
        <w:t>as an</w:t>
      </w:r>
      <w:r w:rsidR="00AA2BFF">
        <w:rPr>
          <w:sz w:val="22"/>
          <w:szCs w:val="22"/>
        </w:rPr>
        <w:t xml:space="preserve"> inhibitor</w:t>
      </w:r>
      <w:r w:rsidR="001D40DE">
        <w:rPr>
          <w:sz w:val="22"/>
          <w:szCs w:val="22"/>
        </w:rPr>
        <w:t xml:space="preserve"> of</w:t>
      </w:r>
      <w:r w:rsidR="00AA2BFF">
        <w:rPr>
          <w:sz w:val="22"/>
          <w:szCs w:val="22"/>
        </w:rPr>
        <w:t xml:space="preserve"> hypothalamic kisspeptin neuron</w:t>
      </w:r>
      <w:r w:rsidR="00A87317">
        <w:rPr>
          <w:sz w:val="22"/>
          <w:szCs w:val="22"/>
        </w:rPr>
        <w:t>s</w:t>
      </w:r>
      <w:r w:rsidR="00AA2BFF">
        <w:rPr>
          <w:sz w:val="22"/>
          <w:szCs w:val="22"/>
        </w:rPr>
        <w:t xml:space="preserve">. Further, </w:t>
      </w:r>
      <w:r w:rsidR="00547568">
        <w:rPr>
          <w:sz w:val="22"/>
          <w:szCs w:val="22"/>
        </w:rPr>
        <w:t>they confirm</w:t>
      </w:r>
      <w:r w:rsidR="00DB02A4">
        <w:rPr>
          <w:sz w:val="22"/>
          <w:szCs w:val="22"/>
        </w:rPr>
        <w:t>ed</w:t>
      </w:r>
      <w:r w:rsidR="00547568">
        <w:rPr>
          <w:sz w:val="22"/>
          <w:szCs w:val="22"/>
        </w:rPr>
        <w:t xml:space="preserve"> </w:t>
      </w:r>
      <w:r w:rsidR="0092075A">
        <w:rPr>
          <w:sz w:val="22"/>
          <w:szCs w:val="22"/>
        </w:rPr>
        <w:t xml:space="preserve">the </w:t>
      </w:r>
      <w:r w:rsidR="00E72D2F">
        <w:rPr>
          <w:sz w:val="22"/>
          <w:szCs w:val="22"/>
        </w:rPr>
        <w:t>presence</w:t>
      </w:r>
      <w:r w:rsidR="0092075A">
        <w:rPr>
          <w:sz w:val="22"/>
          <w:szCs w:val="22"/>
        </w:rPr>
        <w:t xml:space="preserve"> of </w:t>
      </w:r>
      <w:r w:rsidR="00E72D2F" w:rsidRPr="00EE4FD4">
        <w:rPr>
          <w:i/>
          <w:iCs/>
          <w:sz w:val="22"/>
          <w:szCs w:val="22"/>
        </w:rPr>
        <w:t>MKRN3</w:t>
      </w:r>
      <w:r w:rsidR="0092075A">
        <w:rPr>
          <w:sz w:val="22"/>
          <w:szCs w:val="22"/>
        </w:rPr>
        <w:t xml:space="preserve"> across species </w:t>
      </w:r>
      <w:r w:rsidR="00547568">
        <w:rPr>
          <w:sz w:val="22"/>
          <w:szCs w:val="22"/>
        </w:rPr>
        <w:t xml:space="preserve">with </w:t>
      </w:r>
      <w:r w:rsidR="007B7C56">
        <w:rPr>
          <w:sz w:val="22"/>
          <w:szCs w:val="22"/>
        </w:rPr>
        <w:t>express</w:t>
      </w:r>
      <w:r w:rsidR="00E72D2F">
        <w:rPr>
          <w:sz w:val="22"/>
          <w:szCs w:val="22"/>
        </w:rPr>
        <w:t>ion</w:t>
      </w:r>
      <w:r w:rsidR="007B7C56">
        <w:rPr>
          <w:sz w:val="22"/>
          <w:szCs w:val="22"/>
        </w:rPr>
        <w:t xml:space="preserve"> in both the rat and non-human primate </w:t>
      </w:r>
      <w:r w:rsidR="004D0675">
        <w:rPr>
          <w:sz w:val="22"/>
          <w:szCs w:val="22"/>
        </w:rPr>
        <w:t xml:space="preserve">medial basal </w:t>
      </w:r>
      <w:r w:rsidR="007B7C56">
        <w:rPr>
          <w:sz w:val="22"/>
          <w:szCs w:val="22"/>
        </w:rPr>
        <w:t>hypothalamus</w:t>
      </w:r>
      <w:r w:rsidR="00DD7682">
        <w:rPr>
          <w:sz w:val="22"/>
          <w:szCs w:val="22"/>
        </w:rPr>
        <w:t xml:space="preserve"> </w:t>
      </w:r>
      <w:r w:rsidR="00DD7682">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eviouslyFormattedCitation":"(19)"},"properties":{"noteIndex":0},"schema":"https://github.com/citation-style-language/schema/raw/master/csl-citation.json"}</w:instrText>
      </w:r>
      <w:r w:rsidR="00DD7682">
        <w:rPr>
          <w:sz w:val="22"/>
          <w:szCs w:val="22"/>
        </w:rPr>
        <w:fldChar w:fldCharType="separate"/>
      </w:r>
      <w:r w:rsidR="00E527D9" w:rsidRPr="00E527D9">
        <w:rPr>
          <w:noProof/>
          <w:sz w:val="22"/>
          <w:szCs w:val="22"/>
        </w:rPr>
        <w:t>(19)</w:t>
      </w:r>
      <w:r w:rsidR="00DD7682">
        <w:rPr>
          <w:sz w:val="22"/>
          <w:szCs w:val="22"/>
        </w:rPr>
        <w:fldChar w:fldCharType="end"/>
      </w:r>
      <w:r w:rsidR="00E72D2F">
        <w:rPr>
          <w:sz w:val="22"/>
          <w:szCs w:val="22"/>
        </w:rPr>
        <w:t xml:space="preserve">, consistent with </w:t>
      </w:r>
      <w:r w:rsidR="00547568">
        <w:rPr>
          <w:sz w:val="22"/>
          <w:szCs w:val="22"/>
        </w:rPr>
        <w:t>its</w:t>
      </w:r>
      <w:r w:rsidR="00E72D2F">
        <w:rPr>
          <w:sz w:val="22"/>
          <w:szCs w:val="22"/>
        </w:rPr>
        <w:t xml:space="preserve"> </w:t>
      </w:r>
      <w:r w:rsidR="00547568">
        <w:rPr>
          <w:sz w:val="22"/>
          <w:szCs w:val="22"/>
        </w:rPr>
        <w:t>central</w:t>
      </w:r>
      <w:r w:rsidR="00E72D2F">
        <w:rPr>
          <w:sz w:val="22"/>
          <w:szCs w:val="22"/>
        </w:rPr>
        <w:t xml:space="preserve"> role in the neuroendocrine control of puberty</w:t>
      </w:r>
      <w:r w:rsidR="007B7C56">
        <w:rPr>
          <w:sz w:val="22"/>
          <w:szCs w:val="22"/>
        </w:rPr>
        <w:t xml:space="preserve">. </w:t>
      </w:r>
      <w:r w:rsidR="004D0675">
        <w:rPr>
          <w:sz w:val="22"/>
          <w:szCs w:val="22"/>
        </w:rPr>
        <w:t xml:space="preserve">More specifically, </w:t>
      </w:r>
      <w:r w:rsidR="00AA2BFF">
        <w:rPr>
          <w:sz w:val="22"/>
          <w:szCs w:val="22"/>
        </w:rPr>
        <w:t>though</w:t>
      </w:r>
      <w:r w:rsidR="004D0675">
        <w:rPr>
          <w:sz w:val="22"/>
          <w:szCs w:val="22"/>
        </w:rPr>
        <w:t xml:space="preserve"> </w:t>
      </w:r>
      <w:r w:rsidR="004D0675" w:rsidRPr="00EE4FD4">
        <w:rPr>
          <w:i/>
          <w:iCs/>
          <w:sz w:val="22"/>
          <w:szCs w:val="22"/>
        </w:rPr>
        <w:t>MKRN3</w:t>
      </w:r>
      <w:r w:rsidR="004D0675">
        <w:rPr>
          <w:sz w:val="22"/>
          <w:szCs w:val="22"/>
        </w:rPr>
        <w:t xml:space="preserve"> </w:t>
      </w:r>
      <w:r w:rsidR="009D7DDE">
        <w:rPr>
          <w:sz w:val="22"/>
          <w:szCs w:val="22"/>
        </w:rPr>
        <w:t>wa</w:t>
      </w:r>
      <w:r w:rsidR="0000406A">
        <w:rPr>
          <w:sz w:val="22"/>
          <w:szCs w:val="22"/>
        </w:rPr>
        <w:t>s</w:t>
      </w:r>
      <w:r w:rsidR="004D0675">
        <w:rPr>
          <w:sz w:val="22"/>
          <w:szCs w:val="22"/>
        </w:rPr>
        <w:t xml:space="preserve"> expressed </w:t>
      </w:r>
      <w:r w:rsidR="004D0675">
        <w:rPr>
          <w:sz w:val="22"/>
          <w:szCs w:val="22"/>
        </w:rPr>
        <w:lastRenderedPageBreak/>
        <w:t xml:space="preserve">in a number of hypothalamic nuclei, it </w:t>
      </w:r>
      <w:r w:rsidR="0000406A">
        <w:rPr>
          <w:sz w:val="22"/>
          <w:szCs w:val="22"/>
        </w:rPr>
        <w:t>is</w:t>
      </w:r>
      <w:r w:rsidR="004D0675">
        <w:rPr>
          <w:sz w:val="22"/>
          <w:szCs w:val="22"/>
        </w:rPr>
        <w:t xml:space="preserve"> most strongly expressed in the arcuate and ventromedial nucleus</w:t>
      </w:r>
      <w:r w:rsidR="00DD7682">
        <w:rPr>
          <w:sz w:val="22"/>
          <w:szCs w:val="22"/>
        </w:rPr>
        <w:t xml:space="preserve"> </w:t>
      </w:r>
      <w:r w:rsidR="00DD7682">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eviouslyFormattedCitation":"(19)"},"properties":{"noteIndex":0},"schema":"https://github.com/citation-style-language/schema/raw/master/csl-citation.json"}</w:instrText>
      </w:r>
      <w:r w:rsidR="00DD7682">
        <w:rPr>
          <w:sz w:val="22"/>
          <w:szCs w:val="22"/>
        </w:rPr>
        <w:fldChar w:fldCharType="separate"/>
      </w:r>
      <w:r w:rsidR="00E527D9" w:rsidRPr="00E527D9">
        <w:rPr>
          <w:noProof/>
          <w:sz w:val="22"/>
          <w:szCs w:val="22"/>
        </w:rPr>
        <w:t>(19)</w:t>
      </w:r>
      <w:r w:rsidR="00DD7682">
        <w:rPr>
          <w:sz w:val="22"/>
          <w:szCs w:val="22"/>
        </w:rPr>
        <w:fldChar w:fldCharType="end"/>
      </w:r>
      <w:r w:rsidR="004D0675">
        <w:rPr>
          <w:sz w:val="22"/>
          <w:szCs w:val="22"/>
        </w:rPr>
        <w:t xml:space="preserve">. </w:t>
      </w:r>
      <w:r w:rsidR="005243A1">
        <w:rPr>
          <w:sz w:val="22"/>
          <w:szCs w:val="22"/>
        </w:rPr>
        <w:t>Further</w:t>
      </w:r>
      <w:r w:rsidR="004D0675">
        <w:rPr>
          <w:sz w:val="22"/>
          <w:szCs w:val="22"/>
        </w:rPr>
        <w:t xml:space="preserve">, </w:t>
      </w:r>
      <w:r w:rsidR="004D0675" w:rsidRPr="00EE4FD4">
        <w:rPr>
          <w:i/>
          <w:iCs/>
          <w:sz w:val="22"/>
          <w:szCs w:val="22"/>
        </w:rPr>
        <w:t>MKRN3</w:t>
      </w:r>
      <w:r w:rsidR="004D0675">
        <w:rPr>
          <w:sz w:val="22"/>
          <w:szCs w:val="22"/>
        </w:rPr>
        <w:t xml:space="preserve"> colocalised with kisspeptin expressing neurons</w:t>
      </w:r>
      <w:r w:rsidR="00547568">
        <w:rPr>
          <w:sz w:val="22"/>
          <w:szCs w:val="22"/>
        </w:rPr>
        <w:t>,</w:t>
      </w:r>
      <w:r w:rsidR="00AA2BFF">
        <w:rPr>
          <w:sz w:val="22"/>
          <w:szCs w:val="22"/>
        </w:rPr>
        <w:t xml:space="preserve"> and its expression</w:t>
      </w:r>
      <w:r w:rsidR="00B01930">
        <w:rPr>
          <w:sz w:val="22"/>
          <w:szCs w:val="22"/>
        </w:rPr>
        <w:t xml:space="preserve"> </w:t>
      </w:r>
      <w:r w:rsidR="00AA2BFF">
        <w:rPr>
          <w:sz w:val="22"/>
          <w:szCs w:val="22"/>
        </w:rPr>
        <w:t xml:space="preserve">decreased </w:t>
      </w:r>
      <w:r w:rsidR="00F343D8">
        <w:rPr>
          <w:sz w:val="22"/>
          <w:szCs w:val="22"/>
        </w:rPr>
        <w:t xml:space="preserve">during </w:t>
      </w:r>
      <w:r w:rsidR="00AA2BFF">
        <w:rPr>
          <w:sz w:val="22"/>
          <w:szCs w:val="22"/>
        </w:rPr>
        <w:t>the lead up to pubert</w:t>
      </w:r>
      <w:r w:rsidR="00547568">
        <w:rPr>
          <w:sz w:val="22"/>
          <w:szCs w:val="22"/>
        </w:rPr>
        <w:t>y</w:t>
      </w:r>
      <w:r w:rsidR="00DD7682">
        <w:rPr>
          <w:sz w:val="22"/>
          <w:szCs w:val="22"/>
        </w:rPr>
        <w:t xml:space="preserve"> </w:t>
      </w:r>
      <w:r w:rsidR="00DD7682">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eviouslyFormattedCitation":"(19)"},"properties":{"noteIndex":0},"schema":"https://github.com/citation-style-language/schema/raw/master/csl-citation.json"}</w:instrText>
      </w:r>
      <w:r w:rsidR="00DD7682">
        <w:rPr>
          <w:sz w:val="22"/>
          <w:szCs w:val="22"/>
        </w:rPr>
        <w:fldChar w:fldCharType="separate"/>
      </w:r>
      <w:r w:rsidR="00E527D9" w:rsidRPr="00E527D9">
        <w:rPr>
          <w:noProof/>
          <w:sz w:val="22"/>
          <w:szCs w:val="22"/>
        </w:rPr>
        <w:t>(19)</w:t>
      </w:r>
      <w:r w:rsidR="00DD7682">
        <w:rPr>
          <w:sz w:val="22"/>
          <w:szCs w:val="22"/>
        </w:rPr>
        <w:fldChar w:fldCharType="end"/>
      </w:r>
      <w:r w:rsidR="00547568">
        <w:rPr>
          <w:sz w:val="22"/>
          <w:szCs w:val="22"/>
        </w:rPr>
        <w:t xml:space="preserve">, consistent with the </w:t>
      </w:r>
      <w:r w:rsidR="00D36335">
        <w:rPr>
          <w:sz w:val="22"/>
          <w:szCs w:val="22"/>
        </w:rPr>
        <w:t xml:space="preserve">working </w:t>
      </w:r>
      <w:r w:rsidR="00547568">
        <w:rPr>
          <w:sz w:val="22"/>
          <w:szCs w:val="22"/>
        </w:rPr>
        <w:t xml:space="preserve">hypothesis that </w:t>
      </w:r>
      <w:r w:rsidR="00F343D8">
        <w:rPr>
          <w:sz w:val="22"/>
          <w:szCs w:val="22"/>
        </w:rPr>
        <w:t xml:space="preserve">the </w:t>
      </w:r>
      <w:r w:rsidR="00547568">
        <w:rPr>
          <w:sz w:val="22"/>
          <w:szCs w:val="22"/>
        </w:rPr>
        <w:t xml:space="preserve">reduction in </w:t>
      </w:r>
      <w:r w:rsidR="00547568" w:rsidRPr="00DD7682">
        <w:rPr>
          <w:i/>
          <w:iCs/>
          <w:sz w:val="22"/>
          <w:szCs w:val="22"/>
        </w:rPr>
        <w:t>MKRN3</w:t>
      </w:r>
      <w:r w:rsidR="00547568">
        <w:rPr>
          <w:sz w:val="22"/>
          <w:szCs w:val="22"/>
        </w:rPr>
        <w:t xml:space="preserve"> </w:t>
      </w:r>
      <w:r w:rsidR="00F079B5">
        <w:rPr>
          <w:sz w:val="22"/>
          <w:szCs w:val="22"/>
        </w:rPr>
        <w:t>alleviates</w:t>
      </w:r>
      <w:r w:rsidR="00547568">
        <w:rPr>
          <w:sz w:val="22"/>
          <w:szCs w:val="22"/>
        </w:rPr>
        <w:t xml:space="preserve"> the constraint on these neurons to allow the initiation of puberty</w:t>
      </w:r>
      <w:r w:rsidR="00A87317">
        <w:rPr>
          <w:sz w:val="22"/>
          <w:szCs w:val="22"/>
        </w:rPr>
        <w:t xml:space="preserve"> (</w:t>
      </w:r>
      <w:r w:rsidR="00A87317" w:rsidRPr="00A87317">
        <w:rPr>
          <w:b/>
          <w:bCs/>
          <w:sz w:val="22"/>
          <w:szCs w:val="22"/>
        </w:rPr>
        <w:t>Figure 1</w:t>
      </w:r>
      <w:r w:rsidR="00A87317">
        <w:rPr>
          <w:sz w:val="22"/>
          <w:szCs w:val="22"/>
        </w:rPr>
        <w:t>)</w:t>
      </w:r>
      <w:r w:rsidR="00C32A2D">
        <w:rPr>
          <w:sz w:val="22"/>
          <w:szCs w:val="22"/>
        </w:rPr>
        <w:t xml:space="preserve">. </w:t>
      </w:r>
      <w:r w:rsidR="001B7F78">
        <w:rPr>
          <w:sz w:val="22"/>
          <w:szCs w:val="22"/>
        </w:rPr>
        <w:t xml:space="preserve">The </w:t>
      </w:r>
      <w:r w:rsidR="00547568">
        <w:rPr>
          <w:sz w:val="22"/>
          <w:szCs w:val="22"/>
        </w:rPr>
        <w:t>investigators reveal</w:t>
      </w:r>
      <w:r w:rsidR="00B01930">
        <w:rPr>
          <w:sz w:val="22"/>
          <w:szCs w:val="22"/>
        </w:rPr>
        <w:t>ed</w:t>
      </w:r>
      <w:r w:rsidR="001B7F78">
        <w:rPr>
          <w:sz w:val="22"/>
          <w:szCs w:val="22"/>
        </w:rPr>
        <w:t xml:space="preserve"> </w:t>
      </w:r>
      <w:r w:rsidR="007C6F57">
        <w:rPr>
          <w:sz w:val="22"/>
          <w:szCs w:val="22"/>
        </w:rPr>
        <w:t xml:space="preserve">further detail as to </w:t>
      </w:r>
      <w:r w:rsidR="001B7F78">
        <w:rPr>
          <w:sz w:val="22"/>
          <w:szCs w:val="22"/>
        </w:rPr>
        <w:t xml:space="preserve">how </w:t>
      </w:r>
      <w:r w:rsidR="001B7F78" w:rsidRPr="00EE4FD4">
        <w:rPr>
          <w:sz w:val="22"/>
          <w:szCs w:val="22"/>
        </w:rPr>
        <w:t>MKRN3</w:t>
      </w:r>
      <w:r w:rsidR="001B7F78">
        <w:rPr>
          <w:sz w:val="22"/>
          <w:szCs w:val="22"/>
        </w:rPr>
        <w:t xml:space="preserve"> interact</w:t>
      </w:r>
      <w:r w:rsidR="00B01930">
        <w:rPr>
          <w:sz w:val="22"/>
          <w:szCs w:val="22"/>
        </w:rPr>
        <w:t>ed</w:t>
      </w:r>
      <w:r w:rsidR="001B7F78">
        <w:rPr>
          <w:sz w:val="22"/>
          <w:szCs w:val="22"/>
        </w:rPr>
        <w:t xml:space="preserve"> with </w:t>
      </w:r>
      <w:proofErr w:type="spellStart"/>
      <w:r w:rsidR="001B7F78">
        <w:rPr>
          <w:sz w:val="22"/>
          <w:szCs w:val="22"/>
        </w:rPr>
        <w:t>KNDy</w:t>
      </w:r>
      <w:proofErr w:type="spellEnd"/>
      <w:r w:rsidR="001B7F78">
        <w:rPr>
          <w:sz w:val="22"/>
          <w:szCs w:val="22"/>
        </w:rPr>
        <w:t xml:space="preserve"> neurons</w:t>
      </w:r>
      <w:r w:rsidR="00547568">
        <w:rPr>
          <w:sz w:val="22"/>
          <w:szCs w:val="22"/>
        </w:rPr>
        <w:t>;</w:t>
      </w:r>
      <w:r w:rsidR="003B29F1">
        <w:rPr>
          <w:sz w:val="22"/>
          <w:szCs w:val="22"/>
        </w:rPr>
        <w:t xml:space="preserve"> </w:t>
      </w:r>
      <w:r w:rsidR="00EE4FD4">
        <w:rPr>
          <w:sz w:val="22"/>
          <w:szCs w:val="22"/>
        </w:rPr>
        <w:t>specifically</w:t>
      </w:r>
      <w:r w:rsidR="00547568">
        <w:rPr>
          <w:sz w:val="22"/>
          <w:szCs w:val="22"/>
        </w:rPr>
        <w:t xml:space="preserve"> </w:t>
      </w:r>
      <w:r w:rsidR="00CE15D7">
        <w:rPr>
          <w:sz w:val="22"/>
          <w:szCs w:val="22"/>
        </w:rPr>
        <w:t xml:space="preserve">that </w:t>
      </w:r>
      <w:r w:rsidR="003B29F1" w:rsidRPr="00F079B5">
        <w:rPr>
          <w:sz w:val="22"/>
          <w:szCs w:val="22"/>
        </w:rPr>
        <w:t>MKRN</w:t>
      </w:r>
      <w:r w:rsidR="005D55CF" w:rsidRPr="00F079B5">
        <w:rPr>
          <w:sz w:val="22"/>
          <w:szCs w:val="22"/>
        </w:rPr>
        <w:t>3</w:t>
      </w:r>
      <w:r w:rsidR="003B29F1">
        <w:rPr>
          <w:sz w:val="22"/>
          <w:szCs w:val="22"/>
        </w:rPr>
        <w:t xml:space="preserve"> repress</w:t>
      </w:r>
      <w:r w:rsidR="00B01930">
        <w:rPr>
          <w:sz w:val="22"/>
          <w:szCs w:val="22"/>
        </w:rPr>
        <w:t>ed</w:t>
      </w:r>
      <w:r w:rsidR="003B29F1">
        <w:rPr>
          <w:sz w:val="22"/>
          <w:szCs w:val="22"/>
        </w:rPr>
        <w:t xml:space="preserve"> the promot</w:t>
      </w:r>
      <w:r w:rsidR="00873B47">
        <w:rPr>
          <w:sz w:val="22"/>
          <w:szCs w:val="22"/>
        </w:rPr>
        <w:t>e</w:t>
      </w:r>
      <w:r w:rsidR="003B29F1">
        <w:rPr>
          <w:sz w:val="22"/>
          <w:szCs w:val="22"/>
        </w:rPr>
        <w:t xml:space="preserve">r activity of </w:t>
      </w:r>
      <w:r w:rsidR="00524D74">
        <w:rPr>
          <w:sz w:val="22"/>
          <w:szCs w:val="22"/>
        </w:rPr>
        <w:t>genes encoding for kisspeptin and neurokinin B</w:t>
      </w:r>
      <w:r w:rsidR="00DD7682">
        <w:rPr>
          <w:sz w:val="22"/>
          <w:szCs w:val="22"/>
        </w:rPr>
        <w:t xml:space="preserve"> </w:t>
      </w:r>
      <w:r w:rsidR="00DD7682">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eviouslyFormattedCitation":"(19)"},"properties":{"noteIndex":0},"schema":"https://github.com/citation-style-language/schema/raw/master/csl-citation.json"}</w:instrText>
      </w:r>
      <w:r w:rsidR="00DD7682">
        <w:rPr>
          <w:sz w:val="22"/>
          <w:szCs w:val="22"/>
        </w:rPr>
        <w:fldChar w:fldCharType="separate"/>
      </w:r>
      <w:r w:rsidR="00E527D9" w:rsidRPr="00E527D9">
        <w:rPr>
          <w:noProof/>
          <w:sz w:val="22"/>
          <w:szCs w:val="22"/>
        </w:rPr>
        <w:t>(19)</w:t>
      </w:r>
      <w:r w:rsidR="00DD7682">
        <w:rPr>
          <w:sz w:val="22"/>
          <w:szCs w:val="22"/>
        </w:rPr>
        <w:fldChar w:fldCharType="end"/>
      </w:r>
      <w:r w:rsidR="003B29F1">
        <w:rPr>
          <w:sz w:val="22"/>
          <w:szCs w:val="22"/>
        </w:rPr>
        <w:t>.</w:t>
      </w:r>
      <w:r w:rsidR="00CE15D7">
        <w:rPr>
          <w:sz w:val="22"/>
          <w:szCs w:val="22"/>
        </w:rPr>
        <w:t xml:space="preserve"> Finally</w:t>
      </w:r>
      <w:r w:rsidR="002510B6">
        <w:rPr>
          <w:sz w:val="22"/>
          <w:szCs w:val="22"/>
        </w:rPr>
        <w:t>, the</w:t>
      </w:r>
      <w:r w:rsidR="00B01930">
        <w:rPr>
          <w:sz w:val="22"/>
          <w:szCs w:val="22"/>
        </w:rPr>
        <w:t xml:space="preserve"> authors</w:t>
      </w:r>
      <w:r w:rsidR="002510B6">
        <w:rPr>
          <w:sz w:val="22"/>
          <w:szCs w:val="22"/>
        </w:rPr>
        <w:t xml:space="preserve"> demonstrate</w:t>
      </w:r>
      <w:r w:rsidR="00B01930">
        <w:rPr>
          <w:sz w:val="22"/>
          <w:szCs w:val="22"/>
        </w:rPr>
        <w:t>d</w:t>
      </w:r>
      <w:r w:rsidR="002510B6">
        <w:rPr>
          <w:sz w:val="22"/>
          <w:szCs w:val="22"/>
        </w:rPr>
        <w:t xml:space="preserve"> that </w:t>
      </w:r>
      <w:r w:rsidR="002510B6" w:rsidRPr="00F079B5">
        <w:rPr>
          <w:sz w:val="22"/>
          <w:szCs w:val="22"/>
        </w:rPr>
        <w:t>MKRN3</w:t>
      </w:r>
      <w:r w:rsidR="002510B6">
        <w:rPr>
          <w:i/>
          <w:iCs/>
          <w:sz w:val="22"/>
          <w:szCs w:val="22"/>
        </w:rPr>
        <w:t xml:space="preserve"> </w:t>
      </w:r>
      <w:r w:rsidR="002510B6">
        <w:rPr>
          <w:sz w:val="22"/>
          <w:szCs w:val="22"/>
        </w:rPr>
        <w:t>achieve</w:t>
      </w:r>
      <w:r w:rsidR="00B01930">
        <w:rPr>
          <w:sz w:val="22"/>
          <w:szCs w:val="22"/>
        </w:rPr>
        <w:t>d</w:t>
      </w:r>
      <w:r w:rsidR="002510B6">
        <w:rPr>
          <w:sz w:val="22"/>
          <w:szCs w:val="22"/>
        </w:rPr>
        <w:t xml:space="preserve"> inhibition </w:t>
      </w:r>
      <w:r w:rsidR="00CE15D7">
        <w:rPr>
          <w:sz w:val="22"/>
          <w:szCs w:val="22"/>
        </w:rPr>
        <w:t xml:space="preserve">of </w:t>
      </w:r>
      <w:proofErr w:type="spellStart"/>
      <w:r w:rsidR="00CE15D7">
        <w:rPr>
          <w:sz w:val="22"/>
          <w:szCs w:val="22"/>
        </w:rPr>
        <w:t>KNDy</w:t>
      </w:r>
      <w:proofErr w:type="spellEnd"/>
      <w:r w:rsidR="00CE15D7">
        <w:rPr>
          <w:sz w:val="22"/>
          <w:szCs w:val="22"/>
        </w:rPr>
        <w:t xml:space="preserve"> neurons </w:t>
      </w:r>
      <w:r w:rsidR="002510B6">
        <w:rPr>
          <w:sz w:val="22"/>
          <w:szCs w:val="22"/>
        </w:rPr>
        <w:t>through its action as a</w:t>
      </w:r>
      <w:r w:rsidR="00F079B5">
        <w:rPr>
          <w:sz w:val="22"/>
          <w:szCs w:val="22"/>
        </w:rPr>
        <w:t>n E3</w:t>
      </w:r>
      <w:r w:rsidR="002510B6">
        <w:rPr>
          <w:sz w:val="22"/>
          <w:szCs w:val="22"/>
        </w:rPr>
        <w:t xml:space="preserve"> ubiquitin ligase. Ubiquitin is a small regulatory protein, which as </w:t>
      </w:r>
      <w:r w:rsidR="00461A7E">
        <w:rPr>
          <w:sz w:val="22"/>
          <w:szCs w:val="22"/>
        </w:rPr>
        <w:t>its</w:t>
      </w:r>
      <w:r w:rsidR="002510B6">
        <w:rPr>
          <w:sz w:val="22"/>
          <w:szCs w:val="22"/>
        </w:rPr>
        <w:t xml:space="preserve"> name suggests, is ubiquitously present in most eukaryotic cells. Ubiquitination refers to the process by which ubiquitin binds to a substrate protein to modify its function, or to target it for degradation; ubiquitination </w:t>
      </w:r>
      <w:r w:rsidR="002510B6" w:rsidRPr="0043506F">
        <w:rPr>
          <w:sz w:val="22"/>
          <w:szCs w:val="22"/>
        </w:rPr>
        <w:t xml:space="preserve">involves three </w:t>
      </w:r>
      <w:r w:rsidR="002510B6">
        <w:rPr>
          <w:sz w:val="22"/>
          <w:szCs w:val="22"/>
        </w:rPr>
        <w:t xml:space="preserve">sequential </w:t>
      </w:r>
      <w:r w:rsidR="002510B6" w:rsidRPr="0043506F">
        <w:rPr>
          <w:sz w:val="22"/>
          <w:szCs w:val="22"/>
        </w:rPr>
        <w:t xml:space="preserve">steps </w:t>
      </w:r>
      <w:r w:rsidR="007C6F57">
        <w:rPr>
          <w:sz w:val="22"/>
          <w:szCs w:val="22"/>
        </w:rPr>
        <w:t xml:space="preserve">that are </w:t>
      </w:r>
      <w:proofErr w:type="spellStart"/>
      <w:r w:rsidR="002510B6">
        <w:rPr>
          <w:sz w:val="22"/>
          <w:szCs w:val="22"/>
        </w:rPr>
        <w:t>catalyzed</w:t>
      </w:r>
      <w:proofErr w:type="spellEnd"/>
      <w:r w:rsidR="002510B6">
        <w:rPr>
          <w:sz w:val="22"/>
          <w:szCs w:val="22"/>
        </w:rPr>
        <w:t xml:space="preserve"> by </w:t>
      </w:r>
      <w:r w:rsidR="002510B6" w:rsidRPr="0043506F">
        <w:rPr>
          <w:sz w:val="22"/>
          <w:szCs w:val="22"/>
        </w:rPr>
        <w:t>specific groups of enzymes</w:t>
      </w:r>
      <w:r w:rsidR="002510B6">
        <w:rPr>
          <w:sz w:val="22"/>
          <w:szCs w:val="22"/>
        </w:rPr>
        <w:t>, namely</w:t>
      </w:r>
      <w:r w:rsidR="002510B6" w:rsidRPr="0043506F">
        <w:rPr>
          <w:sz w:val="22"/>
          <w:szCs w:val="22"/>
        </w:rPr>
        <w:t>:</w:t>
      </w:r>
      <w:r w:rsidR="002510B6">
        <w:rPr>
          <w:sz w:val="22"/>
          <w:szCs w:val="22"/>
        </w:rPr>
        <w:t xml:space="preserve"> a</w:t>
      </w:r>
      <w:r w:rsidR="002510B6" w:rsidRPr="0043506F">
        <w:rPr>
          <w:sz w:val="22"/>
          <w:szCs w:val="22"/>
        </w:rPr>
        <w:t>ctivation (E1)</w:t>
      </w:r>
      <w:r w:rsidR="002510B6">
        <w:rPr>
          <w:sz w:val="22"/>
          <w:szCs w:val="22"/>
        </w:rPr>
        <w:t xml:space="preserve">, conjugation (E2) and ligation (E3). </w:t>
      </w:r>
      <w:r w:rsidR="003D412A">
        <w:rPr>
          <w:sz w:val="22"/>
          <w:szCs w:val="22"/>
        </w:rPr>
        <w:t>E3 enzymes can also undergo a</w:t>
      </w:r>
      <w:r w:rsidR="002510B6" w:rsidRPr="0043506F">
        <w:rPr>
          <w:sz w:val="22"/>
          <w:szCs w:val="22"/>
        </w:rPr>
        <w:t>uto-ubiquitination</w:t>
      </w:r>
      <w:r w:rsidR="003D412A">
        <w:rPr>
          <w:sz w:val="22"/>
          <w:szCs w:val="22"/>
        </w:rPr>
        <w:t>, whereby they</w:t>
      </w:r>
      <w:r w:rsidR="002510B6" w:rsidRPr="0043506F">
        <w:rPr>
          <w:sz w:val="22"/>
          <w:szCs w:val="22"/>
        </w:rPr>
        <w:t xml:space="preserve"> </w:t>
      </w:r>
      <w:proofErr w:type="spellStart"/>
      <w:r w:rsidR="002510B6" w:rsidRPr="0043506F">
        <w:rPr>
          <w:sz w:val="22"/>
          <w:szCs w:val="22"/>
        </w:rPr>
        <w:t>catalyze</w:t>
      </w:r>
      <w:proofErr w:type="spellEnd"/>
      <w:r w:rsidR="002510B6" w:rsidRPr="0043506F">
        <w:rPr>
          <w:sz w:val="22"/>
          <w:szCs w:val="22"/>
        </w:rPr>
        <w:t xml:space="preserve"> the addition of polyubiquitin to themselves</w:t>
      </w:r>
      <w:r w:rsidR="003D412A">
        <w:rPr>
          <w:sz w:val="22"/>
          <w:szCs w:val="22"/>
        </w:rPr>
        <w:t>;</w:t>
      </w:r>
      <w:r w:rsidR="00F079B5">
        <w:rPr>
          <w:sz w:val="22"/>
          <w:szCs w:val="22"/>
        </w:rPr>
        <w:t xml:space="preserve"> a </w:t>
      </w:r>
      <w:r w:rsidR="002510B6">
        <w:rPr>
          <w:sz w:val="22"/>
          <w:szCs w:val="22"/>
        </w:rPr>
        <w:t xml:space="preserve">feature </w:t>
      </w:r>
      <w:r w:rsidR="00842E9E">
        <w:rPr>
          <w:sz w:val="22"/>
          <w:szCs w:val="22"/>
        </w:rPr>
        <w:t>that</w:t>
      </w:r>
      <w:r w:rsidR="00642A6A">
        <w:rPr>
          <w:sz w:val="22"/>
          <w:szCs w:val="22"/>
        </w:rPr>
        <w:t xml:space="preserve"> can be </w:t>
      </w:r>
      <w:r w:rsidR="002510B6">
        <w:rPr>
          <w:sz w:val="22"/>
          <w:szCs w:val="22"/>
        </w:rPr>
        <w:t xml:space="preserve">used to monitor </w:t>
      </w:r>
      <w:r w:rsidR="00B01930">
        <w:rPr>
          <w:sz w:val="22"/>
          <w:szCs w:val="22"/>
        </w:rPr>
        <w:t xml:space="preserve">E3 enzyme </w:t>
      </w:r>
      <w:r w:rsidR="002510B6">
        <w:rPr>
          <w:sz w:val="22"/>
          <w:szCs w:val="22"/>
        </w:rPr>
        <w:t>activity</w:t>
      </w:r>
      <w:r w:rsidR="002510B6" w:rsidRPr="0043506F">
        <w:rPr>
          <w:sz w:val="22"/>
          <w:szCs w:val="22"/>
        </w:rPr>
        <w:t>.</w:t>
      </w:r>
      <w:r w:rsidR="002510B6">
        <w:rPr>
          <w:sz w:val="22"/>
          <w:szCs w:val="22"/>
        </w:rPr>
        <w:t xml:space="preserve"> </w:t>
      </w:r>
      <w:r w:rsidR="00A448AD">
        <w:rPr>
          <w:sz w:val="22"/>
          <w:szCs w:val="22"/>
        </w:rPr>
        <w:t>Abreu et al. demonstrate</w:t>
      </w:r>
      <w:r w:rsidR="00B01930">
        <w:rPr>
          <w:sz w:val="22"/>
          <w:szCs w:val="22"/>
        </w:rPr>
        <w:t>d</w:t>
      </w:r>
      <w:r w:rsidR="00A448AD">
        <w:rPr>
          <w:sz w:val="22"/>
          <w:szCs w:val="22"/>
        </w:rPr>
        <w:t xml:space="preserve"> that the RING finger domain of </w:t>
      </w:r>
      <w:r w:rsidR="00A448AD" w:rsidRPr="00F079B5">
        <w:rPr>
          <w:sz w:val="22"/>
          <w:szCs w:val="22"/>
        </w:rPr>
        <w:t>MKRN3</w:t>
      </w:r>
      <w:r w:rsidR="00A448AD">
        <w:rPr>
          <w:sz w:val="22"/>
          <w:szCs w:val="22"/>
        </w:rPr>
        <w:t xml:space="preserve"> </w:t>
      </w:r>
      <w:r w:rsidR="00B01930">
        <w:rPr>
          <w:sz w:val="22"/>
          <w:szCs w:val="22"/>
        </w:rPr>
        <w:t>wa</w:t>
      </w:r>
      <w:r w:rsidR="00A448AD">
        <w:rPr>
          <w:sz w:val="22"/>
          <w:szCs w:val="22"/>
        </w:rPr>
        <w:t xml:space="preserve">s obligatory for its ubiquitinase activity, which in turn </w:t>
      </w:r>
      <w:r w:rsidR="00B01930">
        <w:rPr>
          <w:sz w:val="22"/>
          <w:szCs w:val="22"/>
        </w:rPr>
        <w:t>wa</w:t>
      </w:r>
      <w:r w:rsidR="00A448AD">
        <w:rPr>
          <w:sz w:val="22"/>
          <w:szCs w:val="22"/>
        </w:rPr>
        <w:t>s requi</w:t>
      </w:r>
      <w:r w:rsidR="00B01930">
        <w:rPr>
          <w:sz w:val="22"/>
          <w:szCs w:val="22"/>
        </w:rPr>
        <w:t>red</w:t>
      </w:r>
      <w:r w:rsidR="00A448AD">
        <w:rPr>
          <w:sz w:val="22"/>
          <w:szCs w:val="22"/>
        </w:rPr>
        <w:t xml:space="preserve"> to repress </w:t>
      </w:r>
      <w:r w:rsidR="003A27DB">
        <w:rPr>
          <w:sz w:val="22"/>
          <w:szCs w:val="22"/>
        </w:rPr>
        <w:t xml:space="preserve">kisspeptin and neurokinin B gene </w:t>
      </w:r>
      <w:r w:rsidR="00A448AD">
        <w:rPr>
          <w:sz w:val="22"/>
          <w:szCs w:val="22"/>
        </w:rPr>
        <w:t>promoters</w:t>
      </w:r>
      <w:r w:rsidR="009817AB">
        <w:rPr>
          <w:sz w:val="22"/>
          <w:szCs w:val="22"/>
        </w:rPr>
        <w:t xml:space="preserve"> </w:t>
      </w:r>
      <w:r w:rsidR="00DD7682">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eviouslyFormattedCitation":"(19)"},"properties":{"noteIndex":0},"schema":"https://github.com/citation-style-language/schema/raw/master/csl-citation.json"}</w:instrText>
      </w:r>
      <w:r w:rsidR="00DD7682">
        <w:rPr>
          <w:sz w:val="22"/>
          <w:szCs w:val="22"/>
        </w:rPr>
        <w:fldChar w:fldCharType="separate"/>
      </w:r>
      <w:r w:rsidR="00E527D9" w:rsidRPr="00E527D9">
        <w:rPr>
          <w:noProof/>
          <w:sz w:val="22"/>
          <w:szCs w:val="22"/>
        </w:rPr>
        <w:t>(19)</w:t>
      </w:r>
      <w:r w:rsidR="00DD7682">
        <w:rPr>
          <w:sz w:val="22"/>
          <w:szCs w:val="22"/>
        </w:rPr>
        <w:fldChar w:fldCharType="end"/>
      </w:r>
      <w:r w:rsidR="00A448AD">
        <w:rPr>
          <w:sz w:val="22"/>
          <w:szCs w:val="22"/>
        </w:rPr>
        <w:t xml:space="preserve">. </w:t>
      </w:r>
      <w:r w:rsidR="002510B6" w:rsidRPr="00F079B5">
        <w:rPr>
          <w:sz w:val="22"/>
          <w:szCs w:val="22"/>
        </w:rPr>
        <w:t>MKRN3</w:t>
      </w:r>
      <w:r w:rsidR="002510B6">
        <w:rPr>
          <w:sz w:val="22"/>
          <w:szCs w:val="22"/>
        </w:rPr>
        <w:t xml:space="preserve"> is an E3 ubiquitin ligase</w:t>
      </w:r>
      <w:r w:rsidR="006412A8">
        <w:rPr>
          <w:sz w:val="22"/>
          <w:szCs w:val="22"/>
        </w:rPr>
        <w:t>,</w:t>
      </w:r>
      <w:r w:rsidR="002510B6">
        <w:rPr>
          <w:sz w:val="22"/>
          <w:szCs w:val="22"/>
        </w:rPr>
        <w:t xml:space="preserve"> and </w:t>
      </w:r>
      <w:r w:rsidR="002510B6" w:rsidRPr="005A4447">
        <w:rPr>
          <w:sz w:val="22"/>
          <w:szCs w:val="22"/>
        </w:rPr>
        <w:t>methyl-CpG-</w:t>
      </w:r>
      <w:r w:rsidR="00A448AD">
        <w:rPr>
          <w:sz w:val="22"/>
          <w:szCs w:val="22"/>
        </w:rPr>
        <w:t xml:space="preserve">DNA </w:t>
      </w:r>
      <w:r w:rsidR="002510B6" w:rsidRPr="005A4447">
        <w:rPr>
          <w:sz w:val="22"/>
          <w:szCs w:val="22"/>
        </w:rPr>
        <w:t xml:space="preserve">binding </w:t>
      </w:r>
      <w:r w:rsidR="00A448AD" w:rsidRPr="005A4447">
        <w:rPr>
          <w:sz w:val="22"/>
          <w:szCs w:val="22"/>
        </w:rPr>
        <w:t xml:space="preserve">protein </w:t>
      </w:r>
      <w:r w:rsidR="00A448AD">
        <w:rPr>
          <w:sz w:val="22"/>
          <w:szCs w:val="22"/>
        </w:rPr>
        <w:t>(</w:t>
      </w:r>
      <w:r w:rsidR="002510B6" w:rsidRPr="005A4447">
        <w:rPr>
          <w:sz w:val="22"/>
          <w:szCs w:val="22"/>
        </w:rPr>
        <w:t>MBD3</w:t>
      </w:r>
      <w:r w:rsidR="00A448AD">
        <w:rPr>
          <w:sz w:val="22"/>
          <w:szCs w:val="22"/>
        </w:rPr>
        <w:t>)</w:t>
      </w:r>
      <w:r w:rsidR="002510B6" w:rsidRPr="005A4447">
        <w:rPr>
          <w:sz w:val="22"/>
          <w:szCs w:val="22"/>
        </w:rPr>
        <w:t xml:space="preserve"> </w:t>
      </w:r>
      <w:r w:rsidR="002510B6">
        <w:rPr>
          <w:sz w:val="22"/>
          <w:szCs w:val="22"/>
        </w:rPr>
        <w:t xml:space="preserve">has recently been identified </w:t>
      </w:r>
      <w:r w:rsidR="002510B6" w:rsidRPr="005A4447">
        <w:rPr>
          <w:sz w:val="22"/>
          <w:szCs w:val="22"/>
        </w:rPr>
        <w:t xml:space="preserve">as </w:t>
      </w:r>
      <w:r w:rsidR="00895017">
        <w:rPr>
          <w:sz w:val="22"/>
          <w:szCs w:val="22"/>
        </w:rPr>
        <w:t>a</w:t>
      </w:r>
      <w:r w:rsidR="00895017" w:rsidRPr="005A4447">
        <w:rPr>
          <w:sz w:val="22"/>
          <w:szCs w:val="22"/>
        </w:rPr>
        <w:t xml:space="preserve"> </w:t>
      </w:r>
      <w:r w:rsidR="002510B6" w:rsidRPr="005A4447">
        <w:rPr>
          <w:sz w:val="22"/>
          <w:szCs w:val="22"/>
        </w:rPr>
        <w:t xml:space="preserve">substrate for </w:t>
      </w:r>
      <w:r w:rsidR="002510B6">
        <w:rPr>
          <w:sz w:val="22"/>
          <w:szCs w:val="22"/>
        </w:rPr>
        <w:t>its</w:t>
      </w:r>
      <w:r w:rsidR="002510B6" w:rsidRPr="005A4447">
        <w:rPr>
          <w:sz w:val="22"/>
          <w:szCs w:val="22"/>
        </w:rPr>
        <w:t xml:space="preserve"> E3 ligase activity </w:t>
      </w:r>
      <w:r w:rsidR="002510B6">
        <w:rPr>
          <w:sz w:val="22"/>
          <w:szCs w:val="22"/>
        </w:rPr>
        <w:fldChar w:fldCharType="begin" w:fldLock="1"/>
      </w:r>
      <w:r w:rsidR="00E527D9">
        <w:rPr>
          <w:sz w:val="22"/>
          <w:szCs w:val="22"/>
        </w:rPr>
        <w:instrText>ADDIN CSL_CITATION {"citationItems":[{"id":"ITEM-1","itemData":{"DOI":"10.1093/nsr/nwaa023","ISSN":"2095-5138","abstract":"Central precocious puberty (CPP) refers to a human syndrome of early puberty initiation with characteristic increase in hypothalamic production and release of gonadotropin releasing hormone (GnRH). Previously, loss-of-function mutations in human MKRN3, encoding a putative E3 ubiquitin ligase, were found to contribute to over 30% of cases of familial CPP. MKRN3 was thereby suggested to serve as a “brake” of mammalian puberty onset, but the underlying mechanisms remain yet unknown. Here we report that genetic ablation of Mkrn3 did accelerate mouse puberty onset with increased production of hypothalamic GnRH1. MKRN3 interacts with, and ubiquitinates MBD3, which epigenetically silences Gnrh1 through disrupting the MBD3 binding to the GNRH1 promoter and recruitment of DNA demethylase TET2. Our findings have thus delineated a molecular mechanism through which the MKRN3-MBD3 axis controls the epigenetic switch in the onset of mammalian puberty.","author":[{"dropping-particle":"","family":"Li","given":"Chuanyin","non-dropping-particle":"","parse-names":false,"suffix":""},{"dropping-particle":"","family":"Lu","given":"Wenli","non-dropping-particle":"","parse-names":false,"suffix":""},{"dropping-particle":"","family":"Yang","given":"Liguang","non-dropping-particle":"","parse-names":false,"suffix":""},{"dropping-particle":"","family":"Li","given":"Zhengwei","non-dropping-particle":"","parse-names":false,"suffix":""},{"dropping-particle":"","family":"Zhou","given":"Xiaoyi","non-dropping-particle":"","parse-names":false,"suffix":""},{"dropping-particle":"","family":"Guo","given":"Rong","non-dropping-particle":"","parse-names":false,"suffix":""},{"dropping-particle":"","family":"Wang","given":"Junqi","non-dropping-particle":"","parse-names":false,"suffix":""},{"dropping-particle":"","family":"Wu","given":"Zhebao","non-dropping-particle":"","parse-names":false,"suffix":""},{"dropping-particle":"","family":"Dong","given":"Zhiya","non-dropping-particle":"","parse-names":false,"suffix":""},{"dropping-particle":"","family":"Ning","given":"Guang","non-dropping-particle":"","parse-names":false,"suffix":""},{"dropping-particle":"","family":"Shi","given":"Yujiang","non-dropping-particle":"","parse-names":false,"suffix":""},{"dropping-particle":"","family":"Gu","given":"Yinmin","non-dropping-particle":"","parse-names":false,"suffix":""},{"dropping-particle":"","family":"Chen","given":"Peng","non-dropping-particle":"","parse-names":false,"suffix":""},{"dropping-particle":"","family":"Hao","given":"Zijian","non-dropping-particle":"","parse-names":false,"suffix":""},{"dropping-particle":"","family":"Han","given":"Tianting","non-dropping-particle":"","parse-names":false,"suffix":""},{"dropping-particle":"","family":"Yang","given":"Meiqiang","non-dropping-particle":"","parse-names":false,"suffix":""},{"dropping-particle":"","family":"Wang","given":"Wei","non-dropping-particle":"","parse-names":false,"suffix":""},{"dropping-particle":"","family":"Huang","given":"Xuehui","non-dropping-particle":"","parse-names":false,"suffix":""},{"dropping-particle":"","family":"Li","given":"Yixue","non-dropping-particle":"","parse-names":false,"suffix":""},{"dropping-particle":"","family":"Gao","given":"Shan","non-dropping-particle":"","parse-names":false,"suffix":""},{"dropping-particle":"","family":"Hu","given":"Ronggui","non-dropping-particle":"","parse-names":false,"suffix":""}],"container-title":"National Science Review","id":"ITEM-1","issued":{"date-parts":[["2020"]]},"title":"MKRN3 regulates the epigenetic switch of mammalian puberty via ubiquitination of MBD3","type":"article-journal"},"uris":["http://www.mendeley.com/documents/?uuid=d94d76c4-da67-4f85-a75e-b5096fb11e8e"]}],"mendeley":{"formattedCitation":"(20)","plainTextFormattedCitation":"(20)","previouslyFormattedCitation":"(20)"},"properties":{"noteIndex":0},"schema":"https://github.com/citation-style-language/schema/raw/master/csl-citation.json"}</w:instrText>
      </w:r>
      <w:r w:rsidR="002510B6">
        <w:rPr>
          <w:sz w:val="22"/>
          <w:szCs w:val="22"/>
        </w:rPr>
        <w:fldChar w:fldCharType="separate"/>
      </w:r>
      <w:r w:rsidR="00E527D9" w:rsidRPr="00E527D9">
        <w:rPr>
          <w:noProof/>
          <w:sz w:val="22"/>
          <w:szCs w:val="22"/>
        </w:rPr>
        <w:t>(20)</w:t>
      </w:r>
      <w:r w:rsidR="002510B6">
        <w:rPr>
          <w:sz w:val="22"/>
          <w:szCs w:val="22"/>
        </w:rPr>
        <w:fldChar w:fldCharType="end"/>
      </w:r>
      <w:r w:rsidR="002510B6">
        <w:rPr>
          <w:sz w:val="22"/>
          <w:szCs w:val="22"/>
        </w:rPr>
        <w:t>.</w:t>
      </w:r>
      <w:r w:rsidR="00F079B5">
        <w:rPr>
          <w:sz w:val="22"/>
          <w:szCs w:val="22"/>
        </w:rPr>
        <w:t xml:space="preserve"> </w:t>
      </w:r>
      <w:r w:rsidR="006412A8">
        <w:rPr>
          <w:sz w:val="22"/>
          <w:szCs w:val="22"/>
        </w:rPr>
        <w:t>Additionally</w:t>
      </w:r>
      <w:r w:rsidR="00A67C03">
        <w:rPr>
          <w:sz w:val="22"/>
          <w:szCs w:val="22"/>
        </w:rPr>
        <w:t xml:space="preserve">, </w:t>
      </w:r>
      <w:r w:rsidR="00A448AD" w:rsidRPr="00A448AD">
        <w:rPr>
          <w:sz w:val="22"/>
          <w:szCs w:val="22"/>
        </w:rPr>
        <w:t xml:space="preserve">MKRN3-mediated ubiquitination </w:t>
      </w:r>
      <w:r w:rsidR="00EB3E64">
        <w:rPr>
          <w:sz w:val="22"/>
          <w:szCs w:val="22"/>
        </w:rPr>
        <w:t xml:space="preserve">has been reported to </w:t>
      </w:r>
      <w:r w:rsidR="00A448AD" w:rsidRPr="00A448AD">
        <w:rPr>
          <w:sz w:val="22"/>
          <w:szCs w:val="22"/>
        </w:rPr>
        <w:t xml:space="preserve">disrupt interactions between MBD3 </w:t>
      </w:r>
      <w:r w:rsidR="00A448AD">
        <w:rPr>
          <w:sz w:val="22"/>
          <w:szCs w:val="22"/>
        </w:rPr>
        <w:t>and the</w:t>
      </w:r>
      <w:r w:rsidR="00A448AD" w:rsidRPr="00A448AD">
        <w:rPr>
          <w:sz w:val="22"/>
          <w:szCs w:val="22"/>
        </w:rPr>
        <w:t xml:space="preserve"> </w:t>
      </w:r>
      <w:r w:rsidR="00A448AD" w:rsidRPr="00A448AD">
        <w:rPr>
          <w:i/>
          <w:iCs/>
          <w:sz w:val="22"/>
          <w:szCs w:val="22"/>
        </w:rPr>
        <w:t>GNRH1</w:t>
      </w:r>
      <w:r w:rsidR="00A448AD" w:rsidRPr="00A448AD">
        <w:rPr>
          <w:sz w:val="22"/>
          <w:szCs w:val="22"/>
        </w:rPr>
        <w:t xml:space="preserve"> promoter </w:t>
      </w:r>
      <w:r w:rsidR="00A448AD">
        <w:rPr>
          <w:sz w:val="22"/>
          <w:szCs w:val="22"/>
        </w:rPr>
        <w:t>to cause</w:t>
      </w:r>
      <w:r w:rsidR="00A448AD" w:rsidRPr="00A448AD">
        <w:rPr>
          <w:sz w:val="22"/>
          <w:szCs w:val="22"/>
        </w:rPr>
        <w:t xml:space="preserve"> epigenetic silenc</w:t>
      </w:r>
      <w:r w:rsidR="00A448AD">
        <w:rPr>
          <w:sz w:val="22"/>
          <w:szCs w:val="22"/>
        </w:rPr>
        <w:t>ing</w:t>
      </w:r>
      <w:r w:rsidR="00A448AD" w:rsidRPr="00A448AD">
        <w:rPr>
          <w:sz w:val="22"/>
          <w:szCs w:val="22"/>
        </w:rPr>
        <w:t xml:space="preserve"> of </w:t>
      </w:r>
      <w:r w:rsidR="00A448AD" w:rsidRPr="00A448AD">
        <w:rPr>
          <w:i/>
          <w:iCs/>
          <w:sz w:val="22"/>
          <w:szCs w:val="22"/>
        </w:rPr>
        <w:t>GNRH1</w:t>
      </w:r>
      <w:r w:rsidR="00A448AD" w:rsidRPr="00A448AD">
        <w:rPr>
          <w:sz w:val="22"/>
          <w:szCs w:val="22"/>
        </w:rPr>
        <w:t xml:space="preserve"> expression</w:t>
      </w:r>
      <w:r w:rsidR="00A448AD">
        <w:rPr>
          <w:sz w:val="22"/>
          <w:szCs w:val="22"/>
        </w:rPr>
        <w:t xml:space="preserve"> </w:t>
      </w:r>
      <w:r w:rsidR="00DD7682">
        <w:rPr>
          <w:sz w:val="22"/>
          <w:szCs w:val="22"/>
        </w:rPr>
        <w:t xml:space="preserve">(which encodes for the precursor of GnRH) </w:t>
      </w:r>
      <w:r w:rsidR="00A448AD">
        <w:rPr>
          <w:sz w:val="22"/>
          <w:szCs w:val="22"/>
        </w:rPr>
        <w:fldChar w:fldCharType="begin" w:fldLock="1"/>
      </w:r>
      <w:r w:rsidR="00E527D9">
        <w:rPr>
          <w:sz w:val="22"/>
          <w:szCs w:val="22"/>
        </w:rPr>
        <w:instrText>ADDIN CSL_CITATION {"citationItems":[{"id":"ITEM-1","itemData":{"DOI":"10.1093/nsr/nwaa023","ISSN":"2095-5138","abstract":"Central precocious puberty (CPP) refers to a human syndrome of early puberty initiation with characteristic increase in hypothalamic production and release of gonadotropin releasing hormone (GnRH). Previously, loss-of-function mutations in human MKRN3, encoding a putative E3 ubiquitin ligase, were found to contribute to over 30% of cases of familial CPP. MKRN3 was thereby suggested to serve as a “brake” of mammalian puberty onset, but the underlying mechanisms remain yet unknown. Here we report that genetic ablation of Mkrn3 did accelerate mouse puberty onset with increased production of hypothalamic GnRH1. MKRN3 interacts with, and ubiquitinates MBD3, which epigenetically silences Gnrh1 through disrupting the MBD3 binding to the GNRH1 promoter and recruitment of DNA demethylase TET2. Our findings have thus delineated a molecular mechanism through which the MKRN3-MBD3 axis controls the epigenetic switch in the onset of mammalian puberty.","author":[{"dropping-particle":"","family":"Li","given":"Chuanyin","non-dropping-particle":"","parse-names":false,"suffix":""},{"dropping-particle":"","family":"Lu","given":"Wenli","non-dropping-particle":"","parse-names":false,"suffix":""},{"dropping-particle":"","family":"Yang","given":"Liguang","non-dropping-particle":"","parse-names":false,"suffix":""},{"dropping-particle":"","family":"Li","given":"Zhengwei","non-dropping-particle":"","parse-names":false,"suffix":""},{"dropping-particle":"","family":"Zhou","given":"Xiaoyi","non-dropping-particle":"","parse-names":false,"suffix":""},{"dropping-particle":"","family":"Guo","given":"Rong","non-dropping-particle":"","parse-names":false,"suffix":""},{"dropping-particle":"","family":"Wang","given":"Junqi","non-dropping-particle":"","parse-names":false,"suffix":""},{"dropping-particle":"","family":"Wu","given":"Zhebao","non-dropping-particle":"","parse-names":false,"suffix":""},{"dropping-particle":"","family":"Dong","given":"Zhiya","non-dropping-particle":"","parse-names":false,"suffix":""},{"dropping-particle":"","family":"Ning","given":"Guang","non-dropping-particle":"","parse-names":false,"suffix":""},{"dropping-particle":"","family":"Shi","given":"Yujiang","non-dropping-particle":"","parse-names":false,"suffix":""},{"dropping-particle":"","family":"Gu","given":"Yinmin","non-dropping-particle":"","parse-names":false,"suffix":""},{"dropping-particle":"","family":"Chen","given":"Peng","non-dropping-particle":"","parse-names":false,"suffix":""},{"dropping-particle":"","family":"Hao","given":"Zijian","non-dropping-particle":"","parse-names":false,"suffix":""},{"dropping-particle":"","family":"Han","given":"Tianting","non-dropping-particle":"","parse-names":false,"suffix":""},{"dropping-particle":"","family":"Yang","given":"Meiqiang","non-dropping-particle":"","parse-names":false,"suffix":""},{"dropping-particle":"","family":"Wang","given":"Wei","non-dropping-particle":"","parse-names":false,"suffix":""},{"dropping-particle":"","family":"Huang","given":"Xuehui","non-dropping-particle":"","parse-names":false,"suffix":""},{"dropping-particle":"","family":"Li","given":"Yixue","non-dropping-particle":"","parse-names":false,"suffix":""},{"dropping-particle":"","family":"Gao","given":"Shan","non-dropping-particle":"","parse-names":false,"suffix":""},{"dropping-particle":"","family":"Hu","given":"Ronggui","non-dropping-particle":"","parse-names":false,"suffix":""}],"container-title":"National Science Review","id":"ITEM-1","issued":{"date-parts":[["2020"]]},"title":"MKRN3 regulates the epigenetic switch of mammalian puberty via ubiquitination of MBD3","type":"article-journal"},"uris":["http://www.mendeley.com/documents/?uuid=d94d76c4-da67-4f85-a75e-b5096fb11e8e"]}],"mendeley":{"formattedCitation":"(20)","plainTextFormattedCitation":"(20)","previouslyFormattedCitation":"(20)"},"properties":{"noteIndex":0},"schema":"https://github.com/citation-style-language/schema/raw/master/csl-citation.json"}</w:instrText>
      </w:r>
      <w:r w:rsidR="00A448AD">
        <w:rPr>
          <w:sz w:val="22"/>
          <w:szCs w:val="22"/>
        </w:rPr>
        <w:fldChar w:fldCharType="separate"/>
      </w:r>
      <w:r w:rsidR="00E527D9" w:rsidRPr="00E527D9">
        <w:rPr>
          <w:noProof/>
          <w:sz w:val="22"/>
          <w:szCs w:val="22"/>
        </w:rPr>
        <w:t>(20)</w:t>
      </w:r>
      <w:r w:rsidR="00A448AD">
        <w:rPr>
          <w:sz w:val="22"/>
          <w:szCs w:val="22"/>
        </w:rPr>
        <w:fldChar w:fldCharType="end"/>
      </w:r>
      <w:r w:rsidR="00A448AD" w:rsidRPr="00A448AD">
        <w:rPr>
          <w:sz w:val="22"/>
          <w:szCs w:val="22"/>
        </w:rPr>
        <w:t xml:space="preserve">. </w:t>
      </w:r>
      <w:r w:rsidR="00895017">
        <w:rPr>
          <w:sz w:val="22"/>
          <w:szCs w:val="22"/>
        </w:rPr>
        <w:t xml:space="preserve">However, this action may not be </w:t>
      </w:r>
      <w:r w:rsidR="0043438F">
        <w:rPr>
          <w:sz w:val="22"/>
          <w:szCs w:val="22"/>
        </w:rPr>
        <w:t>exclusive</w:t>
      </w:r>
      <w:r w:rsidR="00895017">
        <w:rPr>
          <w:sz w:val="22"/>
          <w:szCs w:val="22"/>
        </w:rPr>
        <w:t xml:space="preserve">, as MKRN3 has been shown to associate with 81 protein interaction partners, of which 21 </w:t>
      </w:r>
      <w:r w:rsidR="0043438F">
        <w:rPr>
          <w:sz w:val="22"/>
          <w:szCs w:val="22"/>
        </w:rPr>
        <w:t>are</w:t>
      </w:r>
      <w:r w:rsidR="00895017">
        <w:rPr>
          <w:sz w:val="22"/>
          <w:szCs w:val="22"/>
        </w:rPr>
        <w:t xml:space="preserve"> implicated in </w:t>
      </w:r>
      <w:r w:rsidR="00D05FDC">
        <w:rPr>
          <w:sz w:val="22"/>
          <w:szCs w:val="22"/>
        </w:rPr>
        <w:t xml:space="preserve">the </w:t>
      </w:r>
      <w:r w:rsidR="00895017">
        <w:rPr>
          <w:sz w:val="22"/>
          <w:szCs w:val="22"/>
        </w:rPr>
        <w:t xml:space="preserve">determination of </w:t>
      </w:r>
      <w:r w:rsidR="006412A8">
        <w:rPr>
          <w:sz w:val="22"/>
          <w:szCs w:val="22"/>
        </w:rPr>
        <w:t xml:space="preserve">puberty </w:t>
      </w:r>
      <w:r w:rsidR="00895017">
        <w:rPr>
          <w:sz w:val="22"/>
          <w:szCs w:val="22"/>
        </w:rPr>
        <w:t xml:space="preserve">onset </w:t>
      </w:r>
      <w:r w:rsidR="00895017">
        <w:rPr>
          <w:sz w:val="22"/>
          <w:szCs w:val="22"/>
        </w:rPr>
        <w:fldChar w:fldCharType="begin" w:fldLock="1"/>
      </w:r>
      <w:r w:rsidR="00E527D9">
        <w:rPr>
          <w:sz w:val="22"/>
          <w:szCs w:val="22"/>
        </w:rPr>
        <w:instrText>ADDIN CSL_CITATION {"citationItems":[{"id":"ITEM-1","itemData":{"DOI":"10.3389/fendo.2019.00048","ISSN":"1664-2392","abstract":"Paternally-inherited loss-of-function mutations in makorin ring finger protein 3 gene (MKRN3) underlie central precocious puberty. To investigate the puberty-related mechanism(s) of MKRN3 in humans, we generated two distinct bi-allelic MKRN3 knock-out human pluripotent stem cell lines, Del 1 and Del 2, and differentiated them into GNRH1-expressing neurons. Both Del 1 and Del 2 clones could be differentiated into neuronal progenitors and GNRH1-expressing neurons, however, the relative expression of GNRH1 did not differ from wild type cells (P = NS). Subsequently, we investigated stable and dynamic protein-protein interaction (PPI) partners of MKRN3 by stably expressing it in HEK cells followed by mass spectrometry analyses. We found 81 high-confidence novel protein interaction partners, which are implicated in cellular processes such as insulin signaling, RNA metabolism and cell-cell adhesion. Of the identified interactors, 20 have been previously implicated in puberty timing. In conclusion, our stem cell model for generation of GNRH1-expressing neurons did not offer mechanistic insight for the role of MKRN3 in puberty initiation. The PPI data, however, indicate that MKRN3 may regulate puberty by interacting with other puberty-related proteins. Further studies are required to elucidate the possible mechanisms and outcomes of these interactions.","author":[{"dropping-particle":"","family":"Yellapragada","given":"Venkatram","non-dropping-particle":"","parse-names":false,"suffix":""},{"dropping-particle":"","family":"Liu","given":"Xiaonan","non-dropping-particle":"","parse-names":false,"suffix":""},{"dropping-particle":"","family":"Lund","given":"Carina","non-dropping-particle":"","parse-names":false,"suffix":""},{"dropping-particle":"","family":"Känsäkoski","given":"Johanna","non-dropping-particle":"","parse-names":false,"suffix":""},{"dropping-particle":"","family":"Pulli","given":"Kristiina","non-dropping-particle":"","parse-names":false,"suffix":""},{"dropping-particle":"","family":"Vuoristo","given":"Sanna","non-dropping-particle":"","parse-names":false,"suffix":""},{"dropping-particle":"","family":"Lundin","given":"Karolina","non-dropping-particle":"","parse-names":false,"suffix":""},{"dropping-particle":"","family":"Tuuri","given":"Timo","non-dropping-particle":"","parse-names":false,"suffix":""},{"dropping-particle":"","family":"Varjosalo","given":"Markku","non-dropping-particle":"","parse-names":false,"suffix":""},{"dropping-particle":"","family":"Raivio","given":"Taneli","non-dropping-particle":"","parse-names":false,"suffix":""}],"container-title":"Frontiers in Endocrinology","id":"ITEM-1","issue":"FEB","issued":{"date-parts":[["2019","2","8"]]},"page":"48","publisher":"Frontiers Media S.A.","title":"MKRN3 Interacts With Several Proteins Implicated in Puberty Timing but Does Not Influence GNRH1 Expression","type":"article-journal","volume":"10"},"uris":["http://www.mendeley.com/documents/?uuid=49d81ea7-5dbb-37b9-8267-2faf60246c0d"]}],"mendeley":{"formattedCitation":"(21)","plainTextFormattedCitation":"(21)","previouslyFormattedCitation":"(21)"},"properties":{"noteIndex":0},"schema":"https://github.com/citation-style-language/schema/raw/master/csl-citation.json"}</w:instrText>
      </w:r>
      <w:r w:rsidR="00895017">
        <w:rPr>
          <w:sz w:val="22"/>
          <w:szCs w:val="22"/>
        </w:rPr>
        <w:fldChar w:fldCharType="separate"/>
      </w:r>
      <w:r w:rsidR="00E527D9" w:rsidRPr="00E527D9">
        <w:rPr>
          <w:noProof/>
          <w:sz w:val="22"/>
          <w:szCs w:val="22"/>
        </w:rPr>
        <w:t>(21)</w:t>
      </w:r>
      <w:r w:rsidR="00895017">
        <w:rPr>
          <w:sz w:val="22"/>
          <w:szCs w:val="22"/>
        </w:rPr>
        <w:fldChar w:fldCharType="end"/>
      </w:r>
      <w:r w:rsidR="00895017">
        <w:rPr>
          <w:sz w:val="22"/>
          <w:szCs w:val="22"/>
        </w:rPr>
        <w:t>.</w:t>
      </w:r>
    </w:p>
    <w:p w14:paraId="3210BA36" w14:textId="7F42B55D" w:rsidR="005A4447" w:rsidRDefault="00840481" w:rsidP="00353B9F">
      <w:pPr>
        <w:autoSpaceDE w:val="0"/>
        <w:autoSpaceDN w:val="0"/>
        <w:adjustRightInd w:val="0"/>
        <w:spacing w:line="480" w:lineRule="auto"/>
        <w:ind w:firstLine="720"/>
        <w:jc w:val="both"/>
        <w:rPr>
          <w:sz w:val="22"/>
          <w:szCs w:val="22"/>
        </w:rPr>
      </w:pPr>
      <w:r>
        <w:rPr>
          <w:sz w:val="22"/>
          <w:szCs w:val="22"/>
        </w:rPr>
        <w:t xml:space="preserve">Data from other studies corroborate </w:t>
      </w:r>
      <w:r w:rsidR="003A27DB">
        <w:rPr>
          <w:sz w:val="22"/>
          <w:szCs w:val="22"/>
        </w:rPr>
        <w:t>the Abreu et al.</w:t>
      </w:r>
      <w:r>
        <w:rPr>
          <w:sz w:val="22"/>
          <w:szCs w:val="22"/>
        </w:rPr>
        <w:t xml:space="preserve"> </w:t>
      </w:r>
      <w:r w:rsidR="00D05FDC">
        <w:rPr>
          <w:sz w:val="22"/>
          <w:szCs w:val="22"/>
        </w:rPr>
        <w:t xml:space="preserve">(15) </w:t>
      </w:r>
      <w:r>
        <w:rPr>
          <w:sz w:val="22"/>
          <w:szCs w:val="22"/>
        </w:rPr>
        <w:t xml:space="preserve">hypothesis that </w:t>
      </w:r>
      <w:r w:rsidR="00BC26AF">
        <w:rPr>
          <w:sz w:val="22"/>
          <w:szCs w:val="22"/>
        </w:rPr>
        <w:t>the</w:t>
      </w:r>
      <w:r>
        <w:rPr>
          <w:sz w:val="22"/>
          <w:szCs w:val="22"/>
        </w:rPr>
        <w:t xml:space="preserve"> decline in MKRN3 acts as a signal to initiate puberty. C</w:t>
      </w:r>
      <w:r w:rsidR="00E72D2F">
        <w:rPr>
          <w:sz w:val="22"/>
          <w:szCs w:val="22"/>
        </w:rPr>
        <w:t>irculating levels of MKRN3 decline both before and during puberty</w:t>
      </w:r>
      <w:r>
        <w:rPr>
          <w:sz w:val="22"/>
          <w:szCs w:val="22"/>
        </w:rPr>
        <w:t>,</w:t>
      </w:r>
      <w:r w:rsidR="00E72D2F">
        <w:rPr>
          <w:sz w:val="22"/>
          <w:szCs w:val="22"/>
        </w:rPr>
        <w:t xml:space="preserve"> </w:t>
      </w:r>
      <w:r>
        <w:rPr>
          <w:sz w:val="22"/>
          <w:szCs w:val="22"/>
        </w:rPr>
        <w:t>reducing</w:t>
      </w:r>
      <w:r w:rsidR="004D0675">
        <w:rPr>
          <w:sz w:val="22"/>
          <w:szCs w:val="22"/>
        </w:rPr>
        <w:t xml:space="preserve"> by almost half </w:t>
      </w:r>
      <w:r w:rsidR="00A448AD">
        <w:rPr>
          <w:sz w:val="22"/>
          <w:szCs w:val="22"/>
        </w:rPr>
        <w:t>across</w:t>
      </w:r>
      <w:r w:rsidR="00642A6A">
        <w:rPr>
          <w:sz w:val="22"/>
          <w:szCs w:val="22"/>
        </w:rPr>
        <w:t xml:space="preserve"> the </w:t>
      </w:r>
      <w:r w:rsidR="00A448AD">
        <w:rPr>
          <w:sz w:val="22"/>
          <w:szCs w:val="22"/>
        </w:rPr>
        <w:t xml:space="preserve">pubertal </w:t>
      </w:r>
      <w:r w:rsidR="00642A6A">
        <w:rPr>
          <w:sz w:val="22"/>
          <w:szCs w:val="22"/>
        </w:rPr>
        <w:t xml:space="preserve">transition </w:t>
      </w:r>
      <w:r w:rsidR="004D0675">
        <w:rPr>
          <w:sz w:val="22"/>
          <w:szCs w:val="22"/>
        </w:rPr>
        <w:t>in boys</w:t>
      </w:r>
      <w:r w:rsidR="002F278E">
        <w:rPr>
          <w:sz w:val="22"/>
          <w:szCs w:val="22"/>
        </w:rPr>
        <w:t xml:space="preserve"> </w:t>
      </w:r>
      <w:r w:rsidR="002F278E">
        <w:rPr>
          <w:sz w:val="22"/>
          <w:szCs w:val="22"/>
        </w:rPr>
        <w:fldChar w:fldCharType="begin" w:fldLock="1"/>
      </w:r>
      <w:r w:rsidR="00E527D9">
        <w:rPr>
          <w:sz w:val="22"/>
          <w:szCs w:val="22"/>
        </w:rPr>
        <w:instrText>ADDIN CSL_CITATION {"citationItems":[{"id":"ITEM-1","itemData":{"DOI":"10.1210/jc.2016-1488","ISSN":"19457197","abstract":"Context: Initiation and progression of puberty requires concerted action of hypothalamic activating and inhibiting factors. Recently, cases of familial central precocious puberty have been linked to loss-of-function mutations of makorin RING-finger protein 3 (MKRN3) indicating a pivotal inhibitory role of the protein on GnRH secretion. Objective: To investigate peripubertal circulating MKRN3 levels in healthy boys. Design: Population-based longitudinal study in healthy Danish boys. Setting: General community. Patients or Other Participants: Healthy boys (n = 60) aged (median [range]) 9.3 (5.8 -11.8) years at baseline followed for 6.0 (0.5-7.6) years (2006-2014) with blood sampling every 6 months. Intervention: None. Main Outcome Measures: Serum levels of MKRN3: 623 samples, median (range) 12 (2-14) per boy. Results: MKRN3 levels declined before onset of puberty; the geometric mean (95% confidence interval) 5 years before onset of puberty vs last visit before onset of puberty was 216 (169-272) pg/mL vs 128 (118-139) pg/mL (P ≤ .001), respectively. MKRN3 levels continued to decrease as puberty progressed. MKRN3 levels were not associated with age at onset of puberty. Conclusion: Declining MKRN3 before pubertal onset support MKRN3 as an inhibitor of GnRH secretion during midchildhood..","author":[{"dropping-particle":"","family":"Busch","given":"Alexander S.","non-dropping-particle":"","parse-names":false,"suffix":""},{"dropping-particle":"","family":"Hagen","given":"Casper P.","non-dropping-particle":"","parse-names":false,"suffix":""},{"dropping-particle":"","family":"Almstrup","given":"Kristian","non-dropping-particle":"","parse-names":false,"suffix":""},{"dropping-particle":"","family":"Juul","given":"Anders","non-dropping-particle":"","parse-names":false,"suffix":""}],"container-title":"Journal of Clinical Endocrinology and Metabolism","id":"ITEM-1","issued":{"date-parts":[["2016"]]},"title":"Circulating MKRN3 levels decline during puberty in healthy boys","type":"article-journal"},"uris":["http://www.mendeley.com/documents/?uuid=6a357708-22fe-436c-8f7f-ef9b93d6fa83"]}],"mendeley":{"formattedCitation":"(22)","plainTextFormattedCitation":"(22)","previouslyFormattedCitation":"(22)"},"properties":{"noteIndex":0},"schema":"https://github.com/citation-style-language/schema/raw/master/csl-citation.json"}</w:instrText>
      </w:r>
      <w:r w:rsidR="002F278E">
        <w:rPr>
          <w:sz w:val="22"/>
          <w:szCs w:val="22"/>
        </w:rPr>
        <w:fldChar w:fldCharType="separate"/>
      </w:r>
      <w:r w:rsidR="00E527D9" w:rsidRPr="00E527D9">
        <w:rPr>
          <w:noProof/>
          <w:sz w:val="22"/>
          <w:szCs w:val="22"/>
        </w:rPr>
        <w:t>(22)</w:t>
      </w:r>
      <w:r w:rsidR="002F278E">
        <w:rPr>
          <w:sz w:val="22"/>
          <w:szCs w:val="22"/>
        </w:rPr>
        <w:fldChar w:fldCharType="end"/>
      </w:r>
      <w:r>
        <w:rPr>
          <w:sz w:val="22"/>
          <w:szCs w:val="22"/>
        </w:rPr>
        <w:t>;</w:t>
      </w:r>
      <w:r w:rsidR="004D0675">
        <w:rPr>
          <w:sz w:val="22"/>
          <w:szCs w:val="22"/>
        </w:rPr>
        <w:t xml:space="preserve"> </w:t>
      </w:r>
      <w:r>
        <w:rPr>
          <w:sz w:val="22"/>
          <w:szCs w:val="22"/>
        </w:rPr>
        <w:t>t</w:t>
      </w:r>
      <w:r w:rsidR="004D0675">
        <w:rPr>
          <w:sz w:val="22"/>
          <w:szCs w:val="22"/>
        </w:rPr>
        <w:t xml:space="preserve">he fall in circulating MKRN3 levels appears to occur most precipitously in </w:t>
      </w:r>
      <w:r>
        <w:rPr>
          <w:sz w:val="22"/>
          <w:szCs w:val="22"/>
        </w:rPr>
        <w:t xml:space="preserve">early </w:t>
      </w:r>
      <w:r w:rsidR="004D0675">
        <w:rPr>
          <w:sz w:val="22"/>
          <w:szCs w:val="22"/>
        </w:rPr>
        <w:t xml:space="preserve">puberty </w:t>
      </w:r>
      <w:r w:rsidR="00642A6A">
        <w:rPr>
          <w:sz w:val="22"/>
          <w:szCs w:val="22"/>
        </w:rPr>
        <w:t xml:space="preserve">and </w:t>
      </w:r>
      <w:r w:rsidR="00EB3E64">
        <w:rPr>
          <w:sz w:val="22"/>
          <w:szCs w:val="22"/>
        </w:rPr>
        <w:t xml:space="preserve">inversely </w:t>
      </w:r>
      <w:r w:rsidR="004D0675">
        <w:rPr>
          <w:sz w:val="22"/>
          <w:szCs w:val="22"/>
        </w:rPr>
        <w:t>correlat</w:t>
      </w:r>
      <w:r w:rsidR="00642A6A">
        <w:rPr>
          <w:sz w:val="22"/>
          <w:szCs w:val="22"/>
        </w:rPr>
        <w:t>es</w:t>
      </w:r>
      <w:r w:rsidR="004D0675">
        <w:rPr>
          <w:sz w:val="22"/>
          <w:szCs w:val="22"/>
        </w:rPr>
        <w:t xml:space="preserve"> with increase</w:t>
      </w:r>
      <w:r>
        <w:rPr>
          <w:sz w:val="22"/>
          <w:szCs w:val="22"/>
        </w:rPr>
        <w:t>s</w:t>
      </w:r>
      <w:r w:rsidR="004D0675">
        <w:rPr>
          <w:sz w:val="22"/>
          <w:szCs w:val="22"/>
        </w:rPr>
        <w:t xml:space="preserve"> in luteinizing hormone </w:t>
      </w:r>
      <w:r w:rsidR="00642A6A">
        <w:rPr>
          <w:sz w:val="22"/>
          <w:szCs w:val="22"/>
        </w:rPr>
        <w:t xml:space="preserve">(LH) </w:t>
      </w:r>
      <w:r w:rsidR="004D0675">
        <w:rPr>
          <w:sz w:val="22"/>
          <w:szCs w:val="22"/>
        </w:rPr>
        <w:t xml:space="preserve">and testosterone </w:t>
      </w:r>
      <w:r w:rsidR="002F278E">
        <w:rPr>
          <w:sz w:val="22"/>
          <w:szCs w:val="22"/>
        </w:rPr>
        <w:fldChar w:fldCharType="begin" w:fldLock="1"/>
      </w:r>
      <w:r w:rsidR="00E527D9">
        <w:rPr>
          <w:sz w:val="22"/>
          <w:szCs w:val="22"/>
        </w:rPr>
        <w:instrText>ADDIN CSL_CITATION {"citationItems":[{"id":"ITEM-1","itemData":{"DOI":"10.1530/EJE-15-1193","ISSN":"1479683X","abstract":"Objective: Makorin ring finger protein 3 (MKRN3) gene restrains the hypothalamic-pituitary-gonadal axis. In girls, peripheral levels of MKRN3 decline prior to the onset of puberty. We described longitudinal changes in serum MKRN3 levels in boys before and during puberty and assessed the effect of inhibition of estrogen biosynthesis on MKRN3 levels. Design: Longitudinal serum samples from a double-blind, randomized controlled study in 30 boys (age range: 9.1-14.2 years) with idiopathic short stature who received placebo (Pl; n = 14) or aromatase inhibitor letrozole (Lz; 2.5 mg/day; n = 16) for 2 years. Methods: We analyzed the relationships between serum MKRN3 and clinical and biochemical markers of puberty by using summary measures. Results: Serum MKRN3 declined by 669 ± 713 pg/mL per year (P &lt; 0.001). This change was biphasic, as the levels decreased during Tanner genital stage G1 (-2931 ± 2750 pg/mL per year) and plateaued thereafter (-560 ± 1510 pg/mL per year) (P &lt; 0.05). During G1, MKRN3 levels in Lz-treated subjects decreased slower than in Pl-treated boys (-782 ± 3190 vs -2030 ± 821 pg/mL per year, P &lt; 0.05). The decrease in serum MKRN3 levels in G1 was associated with increases in LH (r = -0.5, P &lt; 0.01), testosterone (r = -0.6, P &lt; 0.01), and inhibin B (r = -0.44, P &lt; 0.05) (n = 26). Conclusion: Peripheral MKRN3 levels in boys appear to serve as a readout of the diminishing central inhibition that controls the onset of puberty.","author":[{"dropping-particle":"","family":"Varimo","given":"Tero","non-dropping-particle":"","parse-names":false,"suffix":""},{"dropping-particle":"","family":"Dunkel","given":"Leo","non-dropping-particle":"","parse-names":false,"suffix":""},{"dropping-particle":"","family":"Vaaralahti","given":"Kirsi","non-dropping-particle":"","parse-names":false,"suffix":""},{"dropping-particle":"","family":"Miettinen","given":"Päivi J.","non-dropping-particle":"","parse-names":false,"suffix":""},{"dropping-particle":"","family":"Hero","given":"Matti","non-dropping-particle":"","parse-names":false,"suffix":""},{"dropping-particle":"","family":"Raivio","given":"Taneli","non-dropping-particle":"","parse-names":false,"suffix":""}],"container-title":"European Journal of Endocrinology","id":"ITEM-1","issued":{"date-parts":[["2016"]]},"title":"Circulating makorin ring finger protein 3 levels decline in boys before the clinical onset of puberty","type":"article-journal"},"uris":["http://www.mendeley.com/documents/?uuid=a2165d12-dc7a-47f4-9d58-16e53ae52bf3"]}],"mendeley":{"formattedCitation":"(23)","plainTextFormattedCitation":"(23)","previouslyFormattedCitation":"(23)"},"properties":{"noteIndex":0},"schema":"https://github.com/citation-style-language/schema/raw/master/csl-citation.json"}</w:instrText>
      </w:r>
      <w:r w:rsidR="002F278E">
        <w:rPr>
          <w:sz w:val="22"/>
          <w:szCs w:val="22"/>
        </w:rPr>
        <w:fldChar w:fldCharType="separate"/>
      </w:r>
      <w:r w:rsidR="00E527D9" w:rsidRPr="00E527D9">
        <w:rPr>
          <w:noProof/>
          <w:sz w:val="22"/>
          <w:szCs w:val="22"/>
        </w:rPr>
        <w:t>(23)</w:t>
      </w:r>
      <w:r w:rsidR="002F278E">
        <w:rPr>
          <w:sz w:val="22"/>
          <w:szCs w:val="22"/>
        </w:rPr>
        <w:fldChar w:fldCharType="end"/>
      </w:r>
      <w:r w:rsidR="002F278E">
        <w:rPr>
          <w:sz w:val="22"/>
          <w:szCs w:val="22"/>
        </w:rPr>
        <w:t>.</w:t>
      </w:r>
      <w:r w:rsidR="00E74DA1">
        <w:rPr>
          <w:sz w:val="22"/>
          <w:szCs w:val="22"/>
        </w:rPr>
        <w:t xml:space="preserve"> </w:t>
      </w:r>
      <w:r w:rsidR="004D0675">
        <w:rPr>
          <w:sz w:val="22"/>
          <w:szCs w:val="22"/>
        </w:rPr>
        <w:t xml:space="preserve">Circulating MKRN3 </w:t>
      </w:r>
      <w:r w:rsidR="002F278E">
        <w:rPr>
          <w:sz w:val="22"/>
          <w:szCs w:val="22"/>
        </w:rPr>
        <w:t>levels are</w:t>
      </w:r>
      <w:r w:rsidR="004D0675">
        <w:rPr>
          <w:sz w:val="22"/>
          <w:szCs w:val="22"/>
        </w:rPr>
        <w:t xml:space="preserve"> </w:t>
      </w:r>
      <w:r w:rsidR="005A4447">
        <w:rPr>
          <w:sz w:val="22"/>
          <w:szCs w:val="22"/>
        </w:rPr>
        <w:t>lower</w:t>
      </w:r>
      <w:r w:rsidR="004D0675">
        <w:rPr>
          <w:sz w:val="22"/>
          <w:szCs w:val="22"/>
        </w:rPr>
        <w:t xml:space="preserve"> in girls with CPP than healthy controls</w:t>
      </w:r>
      <w:r w:rsidR="002F278E">
        <w:rPr>
          <w:sz w:val="22"/>
          <w:szCs w:val="22"/>
        </w:rPr>
        <w:t xml:space="preserve"> </w:t>
      </w:r>
      <w:r>
        <w:rPr>
          <w:sz w:val="22"/>
          <w:szCs w:val="22"/>
        </w:rPr>
        <w:fldChar w:fldCharType="begin" w:fldLock="1"/>
      </w:r>
      <w:r w:rsidR="00E527D9">
        <w:rPr>
          <w:sz w:val="22"/>
          <w:szCs w:val="22"/>
        </w:rPr>
        <w:instrText>ADDIN CSL_CITATION {"citationItems":[{"id":"ITEM-1","itemData":{"DOI":"10.1007/s12020-017-1281-x","ISSN":"15590100","abstract":"Purpose: Recently, mutations of makorin RING-finger protein 3 (MKRN3) have been described in familial central precocious puberty. Serum levels of this protein decline before the pubertal onset in healthy girls and boys. The aim of the study is to investigate MKRN3 circulating levels in patients with central precocious puberty. Methods: We performed an observational cross-sectional study. We enrolled 17 patients with central precocious puberty aged 7 years (range: 2–8 years) and breast development onset &lt;8 years; 17 prepubertal control age-matched patients aged 6.3 years (2–8.2); and 10 pubertal stage-matched control patients aged 11.4 years (9–14). Serum values of MKRN3, gonadotropins, (17)estradiol and Anti-Müllerian Hormone were evaluated and the MKRN3 genotyped in central precocious puberty patients. Results: No MKRN3 mutation was found among central precocious puberty patients. MKRN3 levels were lower in patients with central precocious puberty compared to prepubertal age-matched ones (p: 0.0004) and comparable to those matched for pubertal stage. MKRN3 levels were inversely correlated to Body Mass Index Standard Deviations (r:−0.35; p:0.02), Luteinizing Hormone (r:−0.35; p:0.03), FSH (r:−0.37; p:0.02), and (17)estradiol (r: −0.36; p:0.02). Conclusions: We showed that girls with central precocious puberty had lower peripheral levels of MKRN3 compared to age-matched pairs and that they negatively correlated to gonadotropins, estrogen, and BMI. Our findings support the MKRN3 involvement in central precocious puberty also in absence of deleterious mutations, although our sample size is small. In addition our data suggest the role of MKRN3 in the complex mechanism controlling puberty onset and its interaction with other factors affecting puberty such as nutrition.","author":[{"dropping-particle":"","family":"Grandone","given":"Anna","non-dropping-particle":"","parse-names":false,"suffix":""},{"dropping-particle":"","family":"Cirillo","given":"Grazia","non-dropping-particle":"","parse-names":false,"suffix":""},{"dropping-particle":"","family":"Sasso","given":"Marcella","non-dropping-particle":"","parse-names":false,"suffix":""},{"dropping-particle":"","family":"Capristo","given":"Carlo","non-dropping-particle":"","parse-names":false,"suffix":""},{"dropping-particle":"","family":"Tornese","given":"Gianluca","non-dropping-particle":"","parse-names":false,"suffix":""},{"dropping-particle":"","family":"Marzuillo","given":"Pierluigi","non-dropping-particle":"","parse-names":false,"suffix":""},{"dropping-particle":"","family":"Luongo","given":"Caterina","non-dropping-particle":"","parse-names":false,"suffix":""},{"dropping-particle":"","family":"Rosaria Umano","given":"Giuseppina","non-dropping-particle":"","parse-names":false,"suffix":""},{"dropping-particle":"","family":"Festa","given":"Adalgisa","non-dropping-particle":"","parse-names":false,"suffix":""},{"dropping-particle":"","family":"Coppola","given":"Ruggero","non-dropping-particle":"","parse-names":false,"suffix":""},{"dropping-particle":"","family":"Miraglia del Giudice","given":"Emanuele","non-dropping-particle":"","parse-names":false,"suffix":""},{"dropping-particle":"","family":"Perrone","given":"Laura","non-dropping-particle":"","parse-names":false,"suffix":""}],"container-title":"Endocrine","id":"ITEM-1","issued":{"date-parts":[["2018"]]},"title":"MKRN3 levels in girls with central precocious puberty and correlation with sexual hormone levels: a pilot study","type":"article-journal"},"uris":["http://www.mendeley.com/documents/?uuid=d7a23697-7ac2-40b1-b2bd-6fc74ea64ae6"]},{"id":"ITEM-2","itemData":{"DOI":"10.1210/jc.2014-4462","ISSN":"19457197","abstract":"Context: Puberty is initiated by a complex interaction of suppressing and stimulating factors. Genetic studies of familial central precocious puberty have suggested makorin ring finger protein 3 (MKRN3) as a major inhibitor of GnRH secretion during childhood. Furthermore, genetic variation near MKRN3 (rs12148769) affects age at menarche in healthy girls. Objective: The purpose of this study was to evaluate whether serum levels of MKRN3 declined before pubertal onset in healthy girls. Design: This was a population-based longitudinal study of healthy Danish girls and a cohort study of early maturing girls. Setting: The study was performed in the general community and in a tertiary referral center for pediatric endocrinology. Patients or Other Participants: Healthy girls (n = 38) aged 9.3 years (range, 5.9-11.3 years) at baseline and followed for 6.0 years (2.7-7.6 years ) (2006-2014) with blood sampling every 6 months and early maturing girls (n = 13) with breast development ay &lt;8.3 years of age were included. Main Outcome Measures: Serum levels of MKRN3 were measured in 354 samples (median, 9 per girl; range, 2-14 per girl), and genotyping of variants near MKRN3 (rs12148769 and rs12439354) was performed. Results: MKRN3 concentrations declined preceding pubertal onset; the geometric mean (95% confidence interval) 3 years before pubertal onset vs the last visit before pubertal onset was 304 pg/mL (264-350 pg/mL) vs 257 pg/mL (243-273 pg/mL), corresponding to a reduction of 15% (1-27%) (P = .033). In prepubertal girls, circulating MKRN3 correlated negatively with gonadotropin levels: for FSH, r = -0.262 (P = .015) and for LH, r = -0.226 (P = .037). After adjustment, MKRN3 levels were lower in early maturing girls than in age-matched prepubertal girls: 171 pg/mL (&lt;25-333 pg/mL) vs 262 pg/mL (94-624 pg/mL) (P = .051). Genetic variants near MKRN3 did not correlate with serum levels of MKRN3. Conclusions: Declining levels of circulating MKRN3 preceded pubertal onset. The negative correlation between MKRN3 and gonadotropins further supports MKRN3 as a major regulator of hypothalamic GnRH secretion during childhood. Undetectable or low MKRN3 levels were observed in a subgroup of patients with early onset of puberty.","author":[{"dropping-particle":"","family":"Hagen","given":"Casper P.","non-dropping-particle":"","parse-names":false,"suffix":""},{"dropping-particle":"","family":"Sørensen","given":"Kaspar","non-dropping-particle":"","parse-names":false,"suffix":""},{"dropping-particle":"","family":"Mieritz","given":"Mikkel G.","non-dropping-particle":"","parse-names":false,"suffix":""},{"dropping-particle":"","family":"Johannsen","given":"Trine Holm","non-dropping-particle":"","parse-names":false,"suffix":""},{"dropping-particle":"","family":"Almstrup","given":"Kristian","non-dropping-particle":"","parse-names":false,"suffix":""},{"dropping-particle":"","family":"Juul","given":"Anders","non-dropping-particle":"","parse-names":false,"suffix":""}],"container-title":"Journal of Clinical Endocrinology and Metabolism","id":"ITEM-2","issued":{"date-parts":[["2015"]]},"title":"Circulating MKRN3 levels decline prior to pubertal onset and through puberty: A longitudinal study of healthy girls","type":"article-journal"},"uris":["http://www.mendeley.com/documents/?uuid=0a80460d-d512-4874-b40b-156d22e7c54d"]},{"id":"ITEM-3","itemData":{"DOI":"10.33549/physiolres.934222","ISSN":"18029973","PMID":"31852205","abstract":"This study aims to investigate serum makorin ring finger protein 3 (MKRN3) levels in girls with idiopathic central precocious puberty (ICPP) and premature thelarche (PT), in order to determine whether circulating MKRN3 level is associated with ICPP and PT. A total of 90 girls were enrolled in the study. 30 age-matched girls were allocated for each group (ICPP, PT and healthy controls [HC], respectively). The base LH (B-LH) and E2 levels were higher in ICPP girls than those in HC and PT girls. The peak LH (P-LH) levels and P-LH/P-FSH values were obviously higher in ICPP girls than those in PT girls, while higher peak FSH (P-FSH) levels were detected in PT girls when compared to those in ICPP girls. Kisspeptin levels were lower in HC girls than those in ICPP and PT girls. MKRN3 levels were the highest in HC girls among the three groups. There were relatively strong negative correlations among MKRN3, kisspeptin and P-LH/P-FSH. Circulating MKRN3 can have an important role in the onset of ICPP and PT. However, this should not be used as an independent diagnostic criterion for diagnosing ICPP or differentiating ICPP from PT, but should be used only as an adjunctive diagnostic biomarker.","author":[{"dropping-particle":"","family":"Ge","given":"Wei","non-dropping-particle":"","parse-names":false,"suffix":""},{"dropping-particle":"","family":"Wang","given":"Hai Lian","non-dropping-particle":"","parse-names":false,"suffix":""},{"dropping-particle":"","family":"Shao","given":"Hong Jia","non-dropping-particle":"","parse-names":false,"suffix":""},{"dropping-particle":"","family":"Liu","given":"Hua Wei","non-dropping-particle":"","parse-names":false,"suffix":""},{"dropping-particle":"","family":"Xu","given":"Rui Ying","non-dropping-particle":"","parse-names":false,"suffix":""}],"container-title":"Physiological Research","id":"ITEM-3","issued":{"date-parts":[["2020"]]},"title":"Evaluation of serum makorin ring finger protein 3 (MKRN3) levels in girls with idiopathic central precocious puberty and premature thelarche","type":"article-journal"},"uris":["http://www.mendeley.com/documents/?uuid=c4ec25df-7625-4376-bd16-61f40a209498"]}],"mendeley":{"formattedCitation":"(24–26)","plainTextFormattedCitation":"(24–26)","previouslyFormattedCitation":"(24–26)"},"properties":{"noteIndex":0},"schema":"https://github.com/citation-style-language/schema/raw/master/csl-citation.json"}</w:instrText>
      </w:r>
      <w:r>
        <w:rPr>
          <w:sz w:val="22"/>
          <w:szCs w:val="22"/>
        </w:rPr>
        <w:fldChar w:fldCharType="separate"/>
      </w:r>
      <w:r w:rsidR="00E527D9" w:rsidRPr="00E527D9">
        <w:rPr>
          <w:noProof/>
          <w:sz w:val="22"/>
          <w:szCs w:val="22"/>
        </w:rPr>
        <w:t>(24–26)</w:t>
      </w:r>
      <w:r>
        <w:rPr>
          <w:sz w:val="22"/>
          <w:szCs w:val="22"/>
        </w:rPr>
        <w:fldChar w:fldCharType="end"/>
      </w:r>
      <w:r>
        <w:rPr>
          <w:sz w:val="22"/>
          <w:szCs w:val="22"/>
        </w:rPr>
        <w:t>, although</w:t>
      </w:r>
      <w:r w:rsidR="002F278E">
        <w:rPr>
          <w:sz w:val="22"/>
          <w:szCs w:val="22"/>
        </w:rPr>
        <w:t xml:space="preserve"> </w:t>
      </w:r>
      <w:r w:rsidR="00D165A1">
        <w:rPr>
          <w:sz w:val="22"/>
          <w:szCs w:val="22"/>
        </w:rPr>
        <w:t>tellingly</w:t>
      </w:r>
      <w:r w:rsidR="005A4447">
        <w:rPr>
          <w:sz w:val="22"/>
          <w:szCs w:val="22"/>
        </w:rPr>
        <w:t xml:space="preserve">, MKRN3 </w:t>
      </w:r>
      <w:r w:rsidR="002F278E">
        <w:rPr>
          <w:sz w:val="22"/>
          <w:szCs w:val="22"/>
        </w:rPr>
        <w:t xml:space="preserve">levels </w:t>
      </w:r>
      <w:r w:rsidR="005A4447">
        <w:rPr>
          <w:sz w:val="22"/>
          <w:szCs w:val="22"/>
        </w:rPr>
        <w:t>f</w:t>
      </w:r>
      <w:r>
        <w:rPr>
          <w:sz w:val="22"/>
          <w:szCs w:val="22"/>
        </w:rPr>
        <w:t>a</w:t>
      </w:r>
      <w:r w:rsidR="005A4447">
        <w:rPr>
          <w:sz w:val="22"/>
          <w:szCs w:val="22"/>
        </w:rPr>
        <w:t>ll rather than r</w:t>
      </w:r>
      <w:r>
        <w:rPr>
          <w:sz w:val="22"/>
          <w:szCs w:val="22"/>
        </w:rPr>
        <w:t>i</w:t>
      </w:r>
      <w:r w:rsidR="005A4447">
        <w:rPr>
          <w:sz w:val="22"/>
          <w:szCs w:val="22"/>
        </w:rPr>
        <w:t xml:space="preserve">se after </w:t>
      </w:r>
      <w:r w:rsidR="002F278E">
        <w:rPr>
          <w:sz w:val="22"/>
          <w:szCs w:val="22"/>
        </w:rPr>
        <w:t xml:space="preserve">GnRH </w:t>
      </w:r>
      <w:r w:rsidR="002F278E">
        <w:rPr>
          <w:sz w:val="22"/>
          <w:szCs w:val="22"/>
        </w:rPr>
        <w:lastRenderedPageBreak/>
        <w:t xml:space="preserve">agonist </w:t>
      </w:r>
      <w:r w:rsidR="005A4447">
        <w:rPr>
          <w:sz w:val="22"/>
          <w:szCs w:val="22"/>
        </w:rPr>
        <w:t xml:space="preserve">treatment of </w:t>
      </w:r>
      <w:r w:rsidR="002F278E">
        <w:rPr>
          <w:sz w:val="22"/>
          <w:szCs w:val="22"/>
        </w:rPr>
        <w:t>girls</w:t>
      </w:r>
      <w:r w:rsidR="005A4447">
        <w:rPr>
          <w:sz w:val="22"/>
          <w:szCs w:val="22"/>
        </w:rPr>
        <w:t xml:space="preserve"> with CPP </w:t>
      </w:r>
      <w:r w:rsidR="002F278E">
        <w:rPr>
          <w:sz w:val="22"/>
          <w:szCs w:val="22"/>
        </w:rPr>
        <w:fldChar w:fldCharType="begin" w:fldLock="1"/>
      </w:r>
      <w:r w:rsidR="00E527D9">
        <w:rPr>
          <w:sz w:val="22"/>
          <w:szCs w:val="22"/>
        </w:rPr>
        <w:instrText>ADDIN CSL_CITATION {"citationItems":[{"id":"ITEM-1","itemData":{"DOI":"10.1080/09513590.2019.1576615","ISSN":"14730766","abstract":"This study evaluated the serum level of MKRN3 and investigated its diagnostic usefulness in girls with central precocious puberty (CPP). In total, 41 girls with CPP and 35 age-matched normal control girls were enrolled. Serum values of MKRN3 were measured in both groups. Gonadotropin and estradiol concentrations were evaluated after 6 and 12 months of GnRH agonist (GnRHa) treatment in CPP patients. The MKRN3 concentrations were much lower in the patient group than in the control group (p =.005). Over 1 year of GnRHa treatment in patients, the gonadotropin concentrations were significantly decreased (p &lt;.05), while the MKRN3 concentrations were unchanged (p &gt;.05). MKRN3 levels were inversely correlated to standard deviation (SD) in height (r = −0.46, p =.000), SD in weight (r = −0.32, p =.005), Tanner stage (r = −0.41, p =.000), and bone age (r = −0.46, p =.000). Based on ROC analysis, the area under curve was 0.758 for MKRN3, with 82.9% sensitivity and 68.5% specificity. The measurement of serum MKRN3 level may provide some help for CPP prediction, but relatively various values need further validation.","author":[{"dropping-particle":"","family":"Jeong","given":"Hwal Rim","non-dropping-particle":"","parse-names":false,"suffix":""},{"dropping-particle":"","family":"Lee","given":"Hye Jin","non-dropping-particle":"","parse-names":false,"suffix":""},{"dropping-particle":"","family":"Shim","given":"Yeong Suk","non-dropping-particle":"","parse-names":false,"suffix":""},{"dropping-particle":"","family":"Kang","given":"Min Jae","non-dropping-particle":"","parse-names":false,"suffix":""},{"dropping-particle":"","family":"Yang","given":"Seung","non-dropping-particle":"","parse-names":false,"suffix":""},{"dropping-particle":"","family":"Hwang","given":"Il Tae","non-dropping-particle":"","parse-names":false,"suffix":""}],"container-title":"Gynecological Endocrinology","id":"ITEM-1","issued":{"date-parts":[["2019"]]},"title":"Serum Makorin ring finger protein 3 values for predicting Central precocious puberty in girls","type":"article-journal"},"uris":["http://www.mendeley.com/documents/?uuid=fd1022ee-0f06-4894-bd84-3189a84161aa"]},{"id":"ITEM-2","itemData":{"DOI":"10.1159/000493134","ISSN":"16632826","abstract":"Background: Recently, mutations of makorin RING finger protein 3 (MKRN3) have been identified in familial central precocious puberty (CPP). Serum levels of this protein decline before the pubertal onset in healthy girls and boys and are lower in patients with CPP compared to prepubertal matched pairs. The aim of our study was to investigate longitudinal changes in circulating MKRN3 levels in patients with CPP before and during GnRH analogs (GnRHa) treatment. Methods: We performed a longitudinal prospective study. We enrolled 15 patients with CPP aged 7.2 years (range: 2-8) with age at breast development onset &lt; 8 years and 12 control girls matched for the time from puberty onset (mean age 11.8 ± 1.2 years). Serum values of MKRN3, gonadotropins, and 17β-estradiol were evaluated before and during treatment with GnRHa (at 6 and 12 months). The MKRN3 gene was genotyped in CPP patients. In the girls from the control group, only basal levels were analyzed. Results: No MKRN3 mutations were found among CPP patients. MKRN3 levels declined significantly from baseline to 6 months of GnRHa treatment (p = 0.0007) and from 6 to 12 months of treatment (p = 0.003); MKRN3 levels at 6 months were significantly lower than in the control girls (p &lt; 0.0001). Conclusions: We showed that girls with CPP had a decline in peripheral levels of MKRN3 during GnRHa treatment. Our data suggest a suppression of MKRN3 by continuous pharmacological administration of GnRHa.","author":[{"dropping-particle":"","family":"Grandone","given":"Anna","non-dropping-particle":"","parse-names":false,"suffix":""},{"dropping-particle":"","family":"Cirillo","given":"Grazia","non-dropping-particle":"","parse-names":false,"suffix":""},{"dropping-particle":"","family":"Sasso","given":"Marcella","non-dropping-particle":"","parse-names":false,"suffix":""},{"dropping-particle":"","family":"Tornese","given":"Gianluca","non-dropping-particle":"","parse-names":false,"suffix":""},{"dropping-particle":"","family":"Luongo","given":"Caterina","non-dropping-particle":"","parse-names":false,"suffix":""},{"dropping-particle":"","family":"Festa","given":"Adalgisa","non-dropping-particle":"","parse-names":false,"suffix":""},{"dropping-particle":"","family":"Marzuillo","given":"Pierluigi","non-dropping-particle":"","parse-names":false,"suffix":""},{"dropping-particle":"","family":"Miraglia Del Giudice","given":"Emanuele","non-dropping-particle":"","parse-names":false,"suffix":""}],"container-title":"Hormone Research in Paediatrics","id":"ITEM-2","issued":{"date-parts":[["2018"]]},"title":"MKRN3 Levels in Girls with Central Precocious Puberty during GnRHa Treatment: A Longitudinal Study","type":"article-journal"},"uris":["http://www.mendeley.com/documents/?uuid=44932891-6909-461c-8fff-f6ea6d0565e9"]}],"mendeley":{"formattedCitation":"(27,28)","plainTextFormattedCitation":"(27,28)","previouslyFormattedCitation":"(27,28)"},"properties":{"noteIndex":0},"schema":"https://github.com/citation-style-language/schema/raw/master/csl-citation.json"}</w:instrText>
      </w:r>
      <w:r w:rsidR="002F278E">
        <w:rPr>
          <w:sz w:val="22"/>
          <w:szCs w:val="22"/>
        </w:rPr>
        <w:fldChar w:fldCharType="separate"/>
      </w:r>
      <w:r w:rsidR="00E527D9" w:rsidRPr="00E527D9">
        <w:rPr>
          <w:noProof/>
          <w:sz w:val="22"/>
          <w:szCs w:val="22"/>
        </w:rPr>
        <w:t>(27,28)</w:t>
      </w:r>
      <w:r w:rsidR="002F278E">
        <w:rPr>
          <w:sz w:val="22"/>
          <w:szCs w:val="22"/>
        </w:rPr>
        <w:fldChar w:fldCharType="end"/>
      </w:r>
      <w:r w:rsidR="005A4447">
        <w:rPr>
          <w:sz w:val="22"/>
          <w:szCs w:val="22"/>
        </w:rPr>
        <w:t>.</w:t>
      </w:r>
      <w:r w:rsidR="00AE08C8">
        <w:rPr>
          <w:sz w:val="22"/>
          <w:szCs w:val="22"/>
        </w:rPr>
        <w:t xml:space="preserve"> </w:t>
      </w:r>
      <w:r w:rsidR="00F279E0">
        <w:rPr>
          <w:sz w:val="22"/>
          <w:szCs w:val="22"/>
        </w:rPr>
        <w:t xml:space="preserve">Men with congenital hypogonadotropic hypogonadism had similar circulating levels of MKRN3 to healthy men </w:t>
      </w:r>
      <w:r w:rsidR="00F279E0">
        <w:rPr>
          <w:sz w:val="22"/>
          <w:szCs w:val="22"/>
        </w:rPr>
        <w:fldChar w:fldCharType="begin" w:fldLock="1"/>
      </w:r>
      <w:r w:rsidR="00E527D9">
        <w:rPr>
          <w:sz w:val="22"/>
          <w:szCs w:val="22"/>
        </w:rPr>
        <w:instrText>ADDIN CSL_CITATION {"citationItems":[{"id":"ITEM-1","itemData":{"DOI":"10.1111/cen.12851","ISSN":"13652265","author":[{"dropping-particle":"","family":"Varimo","given":"Tero","non-dropping-particle":"","parse-names":false,"suffix":""},{"dropping-particle":"","family":"Hero","given":"Matti","non-dropping-particle":"","parse-names":false,"suffix":""},{"dropping-particle":"","family":"Känsäkoski","given":"Johanna","non-dropping-particle":"","parse-names":false,"suffix":""},{"dropping-particle":"","family":"Vaaralahti","given":"Kirsi","non-dropping-particle":"","parse-names":false,"suffix":""},{"dropping-particle":"","family":"Matikainen","given":"Niina","non-dropping-particle":"","parse-names":false,"suffix":""},{"dropping-particle":"","family":"Raivio","given":"Taneli","non-dropping-particle":"","parse-names":false,"suffix":""}],"container-title":"Clinical Endocrinology","id":"ITEM-1","issued":{"date-parts":[["2016"]]},"title":"Circulating makorin ring-finger protein-3 (MKRN3) levels in healthy men and in men with hypogonadotropic hypogonadism","type":"article"},"uris":["http://www.mendeley.com/documents/?uuid=79a5f0a7-6ff3-4c0b-970b-e0dde3f3767b"]}],"mendeley":{"formattedCitation":"(29)","plainTextFormattedCitation":"(29)","previouslyFormattedCitation":"(29)"},"properties":{"noteIndex":0},"schema":"https://github.com/citation-style-language/schema/raw/master/csl-citation.json"}</w:instrText>
      </w:r>
      <w:r w:rsidR="00F279E0">
        <w:rPr>
          <w:sz w:val="22"/>
          <w:szCs w:val="22"/>
        </w:rPr>
        <w:fldChar w:fldCharType="separate"/>
      </w:r>
      <w:r w:rsidR="00E527D9" w:rsidRPr="00E527D9">
        <w:rPr>
          <w:noProof/>
          <w:sz w:val="22"/>
          <w:szCs w:val="22"/>
        </w:rPr>
        <w:t>(29)</w:t>
      </w:r>
      <w:r w:rsidR="00F279E0">
        <w:rPr>
          <w:sz w:val="22"/>
          <w:szCs w:val="22"/>
        </w:rPr>
        <w:fldChar w:fldCharType="end"/>
      </w:r>
      <w:r w:rsidR="00F279E0">
        <w:rPr>
          <w:sz w:val="22"/>
          <w:szCs w:val="22"/>
        </w:rPr>
        <w:t>.</w:t>
      </w:r>
    </w:p>
    <w:p w14:paraId="51BCC926" w14:textId="79B487D0" w:rsidR="002A160C" w:rsidRDefault="00174834" w:rsidP="00353B9F">
      <w:pPr>
        <w:autoSpaceDE w:val="0"/>
        <w:autoSpaceDN w:val="0"/>
        <w:adjustRightInd w:val="0"/>
        <w:spacing w:line="480" w:lineRule="auto"/>
        <w:ind w:firstLine="720"/>
        <w:jc w:val="both"/>
        <w:rPr>
          <w:sz w:val="22"/>
          <w:szCs w:val="22"/>
        </w:rPr>
      </w:pPr>
      <w:r>
        <w:rPr>
          <w:sz w:val="22"/>
          <w:szCs w:val="22"/>
        </w:rPr>
        <w:t>Of course, whilst the discovery of MKRN3 signals a new chapter in the story</w:t>
      </w:r>
      <w:r w:rsidR="008D11AD">
        <w:rPr>
          <w:sz w:val="22"/>
          <w:szCs w:val="22"/>
        </w:rPr>
        <w:t xml:space="preserve"> </w:t>
      </w:r>
      <w:r w:rsidR="00CA0421">
        <w:rPr>
          <w:sz w:val="22"/>
          <w:szCs w:val="22"/>
        </w:rPr>
        <w:t>unravelling the</w:t>
      </w:r>
      <w:r w:rsidR="008D11AD">
        <w:rPr>
          <w:sz w:val="22"/>
          <w:szCs w:val="22"/>
        </w:rPr>
        <w:t xml:space="preserve"> neuroendocrine control of pubert</w:t>
      </w:r>
      <w:r w:rsidR="00343021">
        <w:rPr>
          <w:sz w:val="22"/>
          <w:szCs w:val="22"/>
        </w:rPr>
        <w:t>y</w:t>
      </w:r>
      <w:r>
        <w:rPr>
          <w:sz w:val="22"/>
          <w:szCs w:val="22"/>
        </w:rPr>
        <w:t xml:space="preserve">, many pages </w:t>
      </w:r>
      <w:r w:rsidR="00CA0421">
        <w:rPr>
          <w:sz w:val="22"/>
          <w:szCs w:val="22"/>
        </w:rPr>
        <w:t>have yet</w:t>
      </w:r>
      <w:r w:rsidR="008D11AD">
        <w:rPr>
          <w:sz w:val="22"/>
          <w:szCs w:val="22"/>
        </w:rPr>
        <w:t xml:space="preserve"> </w:t>
      </w:r>
      <w:r>
        <w:rPr>
          <w:sz w:val="22"/>
          <w:szCs w:val="22"/>
        </w:rPr>
        <w:t xml:space="preserve">to be written. </w:t>
      </w:r>
      <w:r w:rsidR="00DD7682">
        <w:rPr>
          <w:sz w:val="22"/>
          <w:szCs w:val="22"/>
        </w:rPr>
        <w:t>Recent</w:t>
      </w:r>
      <w:r w:rsidR="00CA0421">
        <w:rPr>
          <w:sz w:val="22"/>
          <w:szCs w:val="22"/>
        </w:rPr>
        <w:t xml:space="preserve"> </w:t>
      </w:r>
      <w:r w:rsidR="00DD7682">
        <w:rPr>
          <w:sz w:val="22"/>
          <w:szCs w:val="22"/>
        </w:rPr>
        <w:t xml:space="preserve">supportive </w:t>
      </w:r>
      <w:r w:rsidR="00CA0421">
        <w:rPr>
          <w:sz w:val="22"/>
          <w:szCs w:val="22"/>
        </w:rPr>
        <w:t xml:space="preserve">evidence demonstrates that puberty is accelerated in a </w:t>
      </w:r>
      <w:r w:rsidR="00CA0421" w:rsidRPr="009817AB">
        <w:rPr>
          <w:i/>
          <w:sz w:val="22"/>
          <w:szCs w:val="22"/>
        </w:rPr>
        <w:t>M</w:t>
      </w:r>
      <w:r w:rsidR="00FF1118" w:rsidRPr="009817AB">
        <w:rPr>
          <w:i/>
          <w:sz w:val="22"/>
          <w:szCs w:val="22"/>
        </w:rPr>
        <w:t>krn3</w:t>
      </w:r>
      <w:r w:rsidR="00CA0421">
        <w:rPr>
          <w:sz w:val="22"/>
          <w:szCs w:val="22"/>
        </w:rPr>
        <w:t xml:space="preserve"> knockout mouse, which ha</w:t>
      </w:r>
      <w:r w:rsidR="00DD7682">
        <w:rPr>
          <w:sz w:val="22"/>
          <w:szCs w:val="22"/>
        </w:rPr>
        <w:t>s</w:t>
      </w:r>
      <w:r w:rsidR="00CA0421">
        <w:rPr>
          <w:sz w:val="22"/>
          <w:szCs w:val="22"/>
        </w:rPr>
        <w:t xml:space="preserve"> increased hypothalamic expression of </w:t>
      </w:r>
      <w:r w:rsidR="00CA0421" w:rsidRPr="005A4447">
        <w:rPr>
          <w:i/>
          <w:iCs/>
          <w:sz w:val="22"/>
          <w:szCs w:val="22"/>
        </w:rPr>
        <w:t>G</w:t>
      </w:r>
      <w:r w:rsidR="00CA0421">
        <w:rPr>
          <w:i/>
          <w:iCs/>
          <w:sz w:val="22"/>
          <w:szCs w:val="22"/>
        </w:rPr>
        <w:t>nrh</w:t>
      </w:r>
      <w:r w:rsidR="00CA0421" w:rsidRPr="005A4447">
        <w:rPr>
          <w:i/>
          <w:iCs/>
          <w:sz w:val="22"/>
          <w:szCs w:val="22"/>
        </w:rPr>
        <w:t>1</w:t>
      </w:r>
      <w:r w:rsidR="00D05FDC">
        <w:rPr>
          <w:i/>
          <w:iCs/>
          <w:sz w:val="22"/>
          <w:szCs w:val="22"/>
        </w:rPr>
        <w:t xml:space="preserve">, </w:t>
      </w:r>
      <w:r w:rsidR="00CA0421">
        <w:rPr>
          <w:sz w:val="22"/>
          <w:szCs w:val="22"/>
        </w:rPr>
        <w:t xml:space="preserve"> although</w:t>
      </w:r>
      <w:r w:rsidR="00D05FDC">
        <w:rPr>
          <w:sz w:val="22"/>
          <w:szCs w:val="22"/>
        </w:rPr>
        <w:t>,</w:t>
      </w:r>
      <w:r w:rsidR="00CA0421">
        <w:rPr>
          <w:sz w:val="22"/>
          <w:szCs w:val="22"/>
        </w:rPr>
        <w:t xml:space="preserve"> </w:t>
      </w:r>
      <w:r w:rsidR="0036253A">
        <w:rPr>
          <w:sz w:val="22"/>
          <w:szCs w:val="22"/>
        </w:rPr>
        <w:t>notably</w:t>
      </w:r>
      <w:r w:rsidR="00D05FDC">
        <w:rPr>
          <w:sz w:val="22"/>
          <w:szCs w:val="22"/>
        </w:rPr>
        <w:t>,</w:t>
      </w:r>
      <w:r w:rsidR="00DD7682">
        <w:rPr>
          <w:sz w:val="22"/>
          <w:szCs w:val="22"/>
        </w:rPr>
        <w:t xml:space="preserve"> </w:t>
      </w:r>
      <w:r w:rsidR="00CA0421">
        <w:rPr>
          <w:sz w:val="22"/>
          <w:szCs w:val="22"/>
        </w:rPr>
        <w:t>no</w:t>
      </w:r>
      <w:r w:rsidR="00D05FDC">
        <w:rPr>
          <w:sz w:val="22"/>
          <w:szCs w:val="22"/>
        </w:rPr>
        <w:t xml:space="preserve"> change in the expression of</w:t>
      </w:r>
      <w:r w:rsidR="00CD139E">
        <w:rPr>
          <w:sz w:val="22"/>
          <w:szCs w:val="22"/>
        </w:rPr>
        <w:t xml:space="preserve"> </w:t>
      </w:r>
      <w:r w:rsidR="00FB166A">
        <w:rPr>
          <w:sz w:val="22"/>
          <w:szCs w:val="22"/>
        </w:rPr>
        <w:t>genes encoding kisspeptin or neurokinin B</w:t>
      </w:r>
      <w:r w:rsidR="00CA0421">
        <w:rPr>
          <w:sz w:val="22"/>
          <w:szCs w:val="22"/>
        </w:rPr>
        <w:t xml:space="preserve"> </w:t>
      </w:r>
      <w:r w:rsidR="00CA0421">
        <w:rPr>
          <w:sz w:val="22"/>
          <w:szCs w:val="22"/>
        </w:rPr>
        <w:fldChar w:fldCharType="begin" w:fldLock="1"/>
      </w:r>
      <w:r w:rsidR="00E527D9">
        <w:rPr>
          <w:sz w:val="22"/>
          <w:szCs w:val="22"/>
        </w:rPr>
        <w:instrText>ADDIN CSL_CITATION {"citationItems":[{"id":"ITEM-1","itemData":{"DOI":"10.1093/nsr/nwaa023","ISSN":"2095-5138","abstract":"Central precocious puberty (CPP) refers to a human syndrome of early puberty initiation with characteristic increase in hypothalamic production and release of gonadotropin releasing hormone (GnRH). Previously, loss-of-function mutations in human MKRN3, encoding a putative E3 ubiquitin ligase, were found to contribute to over 30% of cases of familial CPP. MKRN3 was thereby suggested to serve as a “brake” of mammalian puberty onset, but the underlying mechanisms remain yet unknown. Here we report that genetic ablation of Mkrn3 did accelerate mouse puberty onset with increased production of hypothalamic GnRH1. MKRN3 interacts with, and ubiquitinates MBD3, which epigenetically silences Gnrh1 through disrupting the MBD3 binding to the GNRH1 promoter and recruitment of DNA demethylase TET2. Our findings have thus delineated a molecular mechanism through which the MKRN3-MBD3 axis controls the epigenetic switch in the onset of mammalian puberty.","author":[{"dropping-particle":"","family":"Li","given":"Chuanyin","non-dropping-particle":"","parse-names":false,"suffix":""},{"dropping-particle":"","family":"Lu","given":"Wenli","non-dropping-particle":"","parse-names":false,"suffix":""},{"dropping-particle":"","family":"Yang","given":"Liguang","non-dropping-particle":"","parse-names":false,"suffix":""},{"dropping-particle":"","family":"Li","given":"Zhengwei","non-dropping-particle":"","parse-names":false,"suffix":""},{"dropping-particle":"","family":"Zhou","given":"Xiaoyi","non-dropping-particle":"","parse-names":false,"suffix":""},{"dropping-particle":"","family":"Guo","given":"Rong","non-dropping-particle":"","parse-names":false,"suffix":""},{"dropping-particle":"","family":"Wang","given":"Junqi","non-dropping-particle":"","parse-names":false,"suffix":""},{"dropping-particle":"","family":"Wu","given":"Zhebao","non-dropping-particle":"","parse-names":false,"suffix":""},{"dropping-particle":"","family":"Dong","given":"Zhiya","non-dropping-particle":"","parse-names":false,"suffix":""},{"dropping-particle":"","family":"Ning","given":"Guang","non-dropping-particle":"","parse-names":false,"suffix":""},{"dropping-particle":"","family":"Shi","given":"Yujiang","non-dropping-particle":"","parse-names":false,"suffix":""},{"dropping-particle":"","family":"Gu","given":"Yinmin","non-dropping-particle":"","parse-names":false,"suffix":""},{"dropping-particle":"","family":"Chen","given":"Peng","non-dropping-particle":"","parse-names":false,"suffix":""},{"dropping-particle":"","family":"Hao","given":"Zijian","non-dropping-particle":"","parse-names":false,"suffix":""},{"dropping-particle":"","family":"Han","given":"Tianting","non-dropping-particle":"","parse-names":false,"suffix":""},{"dropping-particle":"","family":"Yang","given":"Meiqiang","non-dropping-particle":"","parse-names":false,"suffix":""},{"dropping-particle":"","family":"Wang","given":"Wei","non-dropping-particle":"","parse-names":false,"suffix":""},{"dropping-particle":"","family":"Huang","given":"Xuehui","non-dropping-particle":"","parse-names":false,"suffix":""},{"dropping-particle":"","family":"Li","given":"Yixue","non-dropping-particle":"","parse-names":false,"suffix":""},{"dropping-particle":"","family":"Gao","given":"Shan","non-dropping-particle":"","parse-names":false,"suffix":""},{"dropping-particle":"","family":"Hu","given":"Ronggui","non-dropping-particle":"","parse-names":false,"suffix":""}],"container-title":"National Science Review","id":"ITEM-1","issued":{"date-parts":[["2020"]]},"title":"MKRN3 regulates the epigenetic switch of mammalian puberty via ubiquitination of MBD3","type":"article-journal"},"uris":["http://www.mendeley.com/documents/?uuid=d94d76c4-da67-4f85-a75e-b5096fb11e8e"]}],"mendeley":{"formattedCitation":"(20)","plainTextFormattedCitation":"(20)","previouslyFormattedCitation":"(20)"},"properties":{"noteIndex":0},"schema":"https://github.com/citation-style-language/schema/raw/master/csl-citation.json"}</w:instrText>
      </w:r>
      <w:r w:rsidR="00CA0421">
        <w:rPr>
          <w:sz w:val="22"/>
          <w:szCs w:val="22"/>
        </w:rPr>
        <w:fldChar w:fldCharType="separate"/>
      </w:r>
      <w:r w:rsidR="00E527D9" w:rsidRPr="00E527D9">
        <w:rPr>
          <w:noProof/>
          <w:sz w:val="22"/>
          <w:szCs w:val="22"/>
        </w:rPr>
        <w:t>(20)</w:t>
      </w:r>
      <w:r w:rsidR="00CA0421">
        <w:rPr>
          <w:sz w:val="22"/>
          <w:szCs w:val="22"/>
        </w:rPr>
        <w:fldChar w:fldCharType="end"/>
      </w:r>
      <w:r w:rsidR="00CA0421">
        <w:rPr>
          <w:sz w:val="22"/>
          <w:szCs w:val="22"/>
        </w:rPr>
        <w:t xml:space="preserve">. </w:t>
      </w:r>
      <w:r w:rsidR="00DD7682">
        <w:rPr>
          <w:sz w:val="22"/>
          <w:szCs w:val="22"/>
        </w:rPr>
        <w:t>Moreover</w:t>
      </w:r>
      <w:r>
        <w:rPr>
          <w:sz w:val="22"/>
          <w:szCs w:val="22"/>
        </w:rPr>
        <w:t>, the microRNA (</w:t>
      </w:r>
      <w:r w:rsidRPr="00174834">
        <w:rPr>
          <w:sz w:val="22"/>
          <w:szCs w:val="22"/>
        </w:rPr>
        <w:t>short noncoding RNA that repress</w:t>
      </w:r>
      <w:r w:rsidR="00DD7682">
        <w:rPr>
          <w:sz w:val="22"/>
          <w:szCs w:val="22"/>
        </w:rPr>
        <w:t>es</w:t>
      </w:r>
      <w:r w:rsidRPr="00174834">
        <w:rPr>
          <w:sz w:val="22"/>
          <w:szCs w:val="22"/>
        </w:rPr>
        <w:t xml:space="preserve"> post</w:t>
      </w:r>
      <w:r>
        <w:rPr>
          <w:sz w:val="22"/>
          <w:szCs w:val="22"/>
        </w:rPr>
        <w:t>-</w:t>
      </w:r>
      <w:r w:rsidRPr="00174834">
        <w:rPr>
          <w:sz w:val="22"/>
          <w:szCs w:val="22"/>
        </w:rPr>
        <w:t>transcriptional gene expression</w:t>
      </w:r>
      <w:r>
        <w:rPr>
          <w:sz w:val="22"/>
          <w:szCs w:val="22"/>
        </w:rPr>
        <w:t>)</w:t>
      </w:r>
      <w:r w:rsidRPr="00174834">
        <w:rPr>
          <w:sz w:val="22"/>
          <w:szCs w:val="22"/>
        </w:rPr>
        <w:t>,</w:t>
      </w:r>
      <w:r>
        <w:rPr>
          <w:sz w:val="22"/>
          <w:szCs w:val="22"/>
        </w:rPr>
        <w:t xml:space="preserve"> miR-30, </w:t>
      </w:r>
      <w:r w:rsidR="003A27DB">
        <w:rPr>
          <w:sz w:val="22"/>
          <w:szCs w:val="22"/>
        </w:rPr>
        <w:t>can</w:t>
      </w:r>
      <w:r>
        <w:rPr>
          <w:sz w:val="22"/>
          <w:szCs w:val="22"/>
        </w:rPr>
        <w:t xml:space="preserve"> repress MKRN3</w:t>
      </w:r>
      <w:r w:rsidR="00CC515F">
        <w:rPr>
          <w:sz w:val="22"/>
          <w:szCs w:val="22"/>
        </w:rPr>
        <w:t xml:space="preserve"> expression and thus could mediate the signal that releases </w:t>
      </w:r>
      <w:r w:rsidR="00CA0421">
        <w:rPr>
          <w:sz w:val="22"/>
          <w:szCs w:val="22"/>
        </w:rPr>
        <w:t xml:space="preserve">the </w:t>
      </w:r>
      <w:r w:rsidR="00CC515F">
        <w:rPr>
          <w:sz w:val="22"/>
          <w:szCs w:val="22"/>
        </w:rPr>
        <w:t xml:space="preserve">MKRN3 constraint on </w:t>
      </w:r>
      <w:proofErr w:type="spellStart"/>
      <w:r w:rsidR="00CC515F">
        <w:rPr>
          <w:sz w:val="22"/>
          <w:szCs w:val="22"/>
        </w:rPr>
        <w:t>KNDy</w:t>
      </w:r>
      <w:proofErr w:type="spellEnd"/>
      <w:r w:rsidR="00CC515F">
        <w:rPr>
          <w:sz w:val="22"/>
          <w:szCs w:val="22"/>
        </w:rPr>
        <w:t xml:space="preserve"> neurons to initiate puberty</w:t>
      </w:r>
      <w:r>
        <w:rPr>
          <w:sz w:val="22"/>
          <w:szCs w:val="22"/>
        </w:rPr>
        <w:t xml:space="preserve"> </w:t>
      </w:r>
      <w:r w:rsidR="002F278E">
        <w:rPr>
          <w:sz w:val="22"/>
          <w:szCs w:val="22"/>
        </w:rPr>
        <w:fldChar w:fldCharType="begin" w:fldLock="1"/>
      </w:r>
      <w:r w:rsidR="00E527D9">
        <w:rPr>
          <w:sz w:val="22"/>
          <w:szCs w:val="22"/>
        </w:rPr>
        <w:instrText>ADDIN CSL_CITATION {"citationItems":[{"id":"ITEM-1","itemData":{"DOI":"10.1371/journal.pbio.3000532","ISSN":"15457885","PMID":"31697675","abstract":"Mkrn3, the maternally imprinted gene encoding the makorin RING-finger protein-3, has recently emerged as putative pubertal repressor, as evidenced by central precocity caused by MKRN3 mutations in humans; yet, the molecular underpinnings of this key regulatory action remain largely unexplored. We report herein that the microRNA, miR-30, with three binding sites in a highly conserved region of its 30 UTR, operates as repressor of Mkrn3 to control pubertal onset. Hypothalamic miR-30b expression increased, while Mkrn3 mRNA and protein content decreased, during rat postnatal maturation. Neonatal estrogen exposure, causing pubertal alterations, enhanced hypothalamic Mkrn3 and suppressed miR-30b expression in female rats. Functional in vitro analyses demonstrated a strong repressive action of miR-30b on Mkrn3 3' UTR. Moreover, central infusion during the juvenile period of target site blockers, tailored to prevent miR-30 binding to Mkrn3 3' UTR, reversed the prepubertal down-regulation of hypothalamic Mkrn3 protein and delayed female puberty. Collectively, our data unveil a novel hypothalamic miRNA pathway, involving miR-30, with a prominent role in the control of puberty via Mkrn3 repression. These findings expand our current understanding of the molecular basis of puberty and its disease states.","author":[{"dropping-particle":"","family":"Heras","given":"Violeta","non-dropping-particle":"","parse-names":false,"suffix":""},{"dropping-particle":"","family":"Sangiao-Alvarellos","given":"Susana","non-dropping-particle":"","parse-names":false,"suffix":""},{"dropping-particle":"","family":"Manfredi-Lozano","given":"Maria","non-dropping-particle":"","parse-names":false,"suffix":""},{"dropping-particle":"","family":"Sanchez-Tapia","given":"María J.","non-dropping-particle":"","parse-names":false,"suffix":""},{"dropping-particle":"","family":"Ruiz-Pino","given":"Francisco","non-dropping-particle":"","parse-names":false,"suffix":""},{"dropping-particle":"","family":"Roa","given":"Juan","non-dropping-particle":"","parse-names":false,"suffix":""},{"dropping-particle":"","family":"Lara-Chica","given":"Maribel","non-dropping-particle":"","parse-names":false,"suffix":""},{"dropping-particle":"","family":"Morrugares-Carmona","given":"Rosario","non-dropping-particle":"","parse-names":false,"suffix":""},{"dropping-particle":"","family":"Jouy","given":"Nathalie","non-dropping-particle":"","parse-names":false,"suffix":""},{"dropping-particle":"","family":"Abreu","given":"Ana P.","non-dropping-particle":"","parse-names":false,"suffix":""},{"dropping-particle":"","family":"Prevot","given":"Vincent","non-dropping-particle":"","parse-names":false,"suffix":""},{"dropping-particle":"","family":"Belsham","given":"Denise","non-dropping-particle":"","parse-names":false,"suffix":""},{"dropping-particle":"","family":"Vazquez","given":"Maria J.","non-dropping-particle":"","parse-names":false,"suffix":""},{"dropping-particle":"","family":"Calzado","given":"Marco A.","non-dropping-particle":"","parse-names":false,"suffix":""},{"dropping-particle":"","family":"Pinilla","given":"Leonor","non-dropping-particle":"","parse-names":false,"suffix":""},{"dropping-particle":"","family":"Gaytan","given":"Francisco","non-dropping-particle":"","parse-names":false,"suffix":""},{"dropping-particle":"","family":"Latronico","given":"Ana C.","non-dropping-particle":"","parse-names":false,"suffix":""},{"dropping-particle":"","family":"Kaiser","given":"Ursula B.","non-dropping-particle":"","parse-names":false,"suffix":""},{"dropping-particle":"","family":"Castellano","given":"Juan M.","non-dropping-particle":"","parse-names":false,"suffix":""},{"dropping-particle":"","family":"Tena-Sempere","given":"Manuel","non-dropping-particle":"","parse-names":false,"suffix":""}],"container-title":"PLoS Biology","id":"ITEM-1","issued":{"date-parts":[["2019"]]},"title":"Hypothalamic miR-30 regulates puberty onset via repression of the puberty-suppressing factor, Mkrn3","type":"article-journal"},"uris":["http://www.mendeley.com/documents/?uuid=bb23a10e-a78b-45bf-8041-66866b55d2e2"]}],"mendeley":{"formattedCitation":"(30)","plainTextFormattedCitation":"(30)","previouslyFormattedCitation":"(30)"},"properties":{"noteIndex":0},"schema":"https://github.com/citation-style-language/schema/raw/master/csl-citation.json"}</w:instrText>
      </w:r>
      <w:r w:rsidR="002F278E">
        <w:rPr>
          <w:sz w:val="22"/>
          <w:szCs w:val="22"/>
        </w:rPr>
        <w:fldChar w:fldCharType="separate"/>
      </w:r>
      <w:r w:rsidR="00E527D9" w:rsidRPr="00E527D9">
        <w:rPr>
          <w:noProof/>
          <w:sz w:val="22"/>
          <w:szCs w:val="22"/>
        </w:rPr>
        <w:t>(30)</w:t>
      </w:r>
      <w:r w:rsidR="002F278E">
        <w:rPr>
          <w:sz w:val="22"/>
          <w:szCs w:val="22"/>
        </w:rPr>
        <w:fldChar w:fldCharType="end"/>
      </w:r>
      <w:r>
        <w:rPr>
          <w:sz w:val="22"/>
          <w:szCs w:val="22"/>
        </w:rPr>
        <w:t xml:space="preserve">. </w:t>
      </w:r>
      <w:r w:rsidR="006249F7">
        <w:rPr>
          <w:sz w:val="22"/>
          <w:szCs w:val="22"/>
        </w:rPr>
        <w:t xml:space="preserve">Sex-steroids have been </w:t>
      </w:r>
      <w:r w:rsidR="009D747C">
        <w:rPr>
          <w:sz w:val="22"/>
          <w:szCs w:val="22"/>
        </w:rPr>
        <w:t>prescribed</w:t>
      </w:r>
      <w:r w:rsidR="006249F7">
        <w:rPr>
          <w:sz w:val="22"/>
          <w:szCs w:val="22"/>
        </w:rPr>
        <w:t xml:space="preserve"> </w:t>
      </w:r>
      <w:r w:rsidR="00DD7682">
        <w:rPr>
          <w:sz w:val="22"/>
          <w:szCs w:val="22"/>
        </w:rPr>
        <w:t xml:space="preserve">clinically </w:t>
      </w:r>
      <w:r w:rsidR="006249F7">
        <w:rPr>
          <w:sz w:val="22"/>
          <w:szCs w:val="22"/>
        </w:rPr>
        <w:t xml:space="preserve">to induce pubertal maturation in </w:t>
      </w:r>
      <w:r w:rsidR="005A3E37">
        <w:rPr>
          <w:sz w:val="22"/>
          <w:szCs w:val="22"/>
        </w:rPr>
        <w:t>children</w:t>
      </w:r>
      <w:r w:rsidR="006249F7">
        <w:rPr>
          <w:sz w:val="22"/>
          <w:szCs w:val="22"/>
        </w:rPr>
        <w:t xml:space="preserve"> with delayed </w:t>
      </w:r>
      <w:r w:rsidR="00EB2ECE">
        <w:rPr>
          <w:sz w:val="22"/>
          <w:szCs w:val="22"/>
        </w:rPr>
        <w:t>puberty</w:t>
      </w:r>
      <w:r w:rsidR="00D80029">
        <w:rPr>
          <w:sz w:val="22"/>
          <w:szCs w:val="22"/>
        </w:rPr>
        <w:t>.</w:t>
      </w:r>
      <w:r w:rsidR="00EB2ECE">
        <w:rPr>
          <w:sz w:val="22"/>
          <w:szCs w:val="22"/>
        </w:rPr>
        <w:t xml:space="preserve"> </w:t>
      </w:r>
      <w:r w:rsidR="00D80029">
        <w:rPr>
          <w:sz w:val="22"/>
          <w:szCs w:val="22"/>
        </w:rPr>
        <w:t xml:space="preserve">While </w:t>
      </w:r>
      <w:r w:rsidR="00DD7682">
        <w:rPr>
          <w:sz w:val="22"/>
          <w:szCs w:val="22"/>
        </w:rPr>
        <w:t xml:space="preserve">Abreu et al. </w:t>
      </w:r>
      <w:r w:rsidR="003A27DB">
        <w:rPr>
          <w:sz w:val="22"/>
          <w:szCs w:val="22"/>
        </w:rPr>
        <w:t>found</w:t>
      </w:r>
      <w:r w:rsidR="00DD7682">
        <w:rPr>
          <w:sz w:val="22"/>
          <w:szCs w:val="22"/>
        </w:rPr>
        <w:t xml:space="preserve"> that </w:t>
      </w:r>
      <w:r w:rsidR="003A27DB">
        <w:rPr>
          <w:sz w:val="22"/>
          <w:szCs w:val="22"/>
        </w:rPr>
        <w:t>sex-steroids failed to</w:t>
      </w:r>
      <w:r w:rsidR="00FF1118">
        <w:rPr>
          <w:sz w:val="22"/>
          <w:szCs w:val="22"/>
        </w:rPr>
        <w:t xml:space="preserve"> change</w:t>
      </w:r>
      <w:r w:rsidR="003A27DB">
        <w:rPr>
          <w:sz w:val="22"/>
          <w:szCs w:val="22"/>
        </w:rPr>
        <w:t xml:space="preserve"> </w:t>
      </w:r>
      <w:r w:rsidR="00733692" w:rsidRPr="00DD7682">
        <w:rPr>
          <w:i/>
          <w:iCs/>
          <w:sz w:val="22"/>
          <w:szCs w:val="22"/>
        </w:rPr>
        <w:t>MKRN3</w:t>
      </w:r>
      <w:r w:rsidR="00733692">
        <w:rPr>
          <w:sz w:val="22"/>
          <w:szCs w:val="22"/>
        </w:rPr>
        <w:t xml:space="preserve"> </w:t>
      </w:r>
      <w:r w:rsidR="00EB2ECE">
        <w:rPr>
          <w:sz w:val="22"/>
          <w:szCs w:val="22"/>
        </w:rPr>
        <w:t xml:space="preserve">expression </w:t>
      </w:r>
      <w:r w:rsidR="00DD7682">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eviouslyFormattedCitation":"(19)"},"properties":{"noteIndex":0},"schema":"https://github.com/citation-style-language/schema/raw/master/csl-citation.json"}</w:instrText>
      </w:r>
      <w:r w:rsidR="00DD7682">
        <w:rPr>
          <w:sz w:val="22"/>
          <w:szCs w:val="22"/>
        </w:rPr>
        <w:fldChar w:fldCharType="separate"/>
      </w:r>
      <w:r w:rsidR="00E527D9" w:rsidRPr="00E527D9">
        <w:rPr>
          <w:noProof/>
          <w:sz w:val="22"/>
          <w:szCs w:val="22"/>
        </w:rPr>
        <w:t>(19)</w:t>
      </w:r>
      <w:r w:rsidR="00DD7682">
        <w:rPr>
          <w:sz w:val="22"/>
          <w:szCs w:val="22"/>
        </w:rPr>
        <w:fldChar w:fldCharType="end"/>
      </w:r>
      <w:r w:rsidR="00FF1118">
        <w:rPr>
          <w:sz w:val="22"/>
          <w:szCs w:val="22"/>
        </w:rPr>
        <w:t xml:space="preserve">, </w:t>
      </w:r>
      <w:proofErr w:type="spellStart"/>
      <w:r w:rsidR="00FF1118">
        <w:rPr>
          <w:sz w:val="22"/>
          <w:szCs w:val="22"/>
        </w:rPr>
        <w:t>estrogen</w:t>
      </w:r>
      <w:proofErr w:type="spellEnd"/>
      <w:r w:rsidR="00FF1118">
        <w:rPr>
          <w:sz w:val="22"/>
          <w:szCs w:val="22"/>
        </w:rPr>
        <w:t xml:space="preserve"> exposure </w:t>
      </w:r>
      <w:r w:rsidR="00D80029">
        <w:rPr>
          <w:sz w:val="22"/>
          <w:szCs w:val="22"/>
        </w:rPr>
        <w:t xml:space="preserve">in rats </w:t>
      </w:r>
      <w:r w:rsidR="00FF1118">
        <w:rPr>
          <w:sz w:val="22"/>
          <w:szCs w:val="22"/>
        </w:rPr>
        <w:t xml:space="preserve">has been shown to supress </w:t>
      </w:r>
      <w:r w:rsidR="00CC515F">
        <w:rPr>
          <w:sz w:val="22"/>
          <w:szCs w:val="22"/>
        </w:rPr>
        <w:t>miR-30</w:t>
      </w:r>
      <w:r w:rsidR="00FF1118">
        <w:rPr>
          <w:sz w:val="22"/>
          <w:szCs w:val="22"/>
        </w:rPr>
        <w:t xml:space="preserve"> expression</w:t>
      </w:r>
      <w:r w:rsidR="00CD139E">
        <w:rPr>
          <w:sz w:val="22"/>
          <w:szCs w:val="22"/>
        </w:rPr>
        <w:t xml:space="preserve">, </w:t>
      </w:r>
      <w:r w:rsidR="00685A32">
        <w:rPr>
          <w:sz w:val="22"/>
          <w:szCs w:val="22"/>
        </w:rPr>
        <w:t>thus</w:t>
      </w:r>
      <w:r w:rsidR="00390BA8">
        <w:rPr>
          <w:sz w:val="22"/>
          <w:szCs w:val="22"/>
        </w:rPr>
        <w:t xml:space="preserve"> </w:t>
      </w:r>
      <w:r w:rsidR="00CD139E">
        <w:rPr>
          <w:sz w:val="22"/>
          <w:szCs w:val="22"/>
        </w:rPr>
        <w:t>suggesting</w:t>
      </w:r>
      <w:r w:rsidR="00390BA8">
        <w:rPr>
          <w:sz w:val="22"/>
          <w:szCs w:val="22"/>
        </w:rPr>
        <w:t xml:space="preserve"> an</w:t>
      </w:r>
      <w:r w:rsidR="00685A32">
        <w:rPr>
          <w:sz w:val="22"/>
          <w:szCs w:val="22"/>
        </w:rPr>
        <w:t xml:space="preserve"> indirect</w:t>
      </w:r>
      <w:r w:rsidR="00390BA8">
        <w:rPr>
          <w:sz w:val="22"/>
          <w:szCs w:val="22"/>
        </w:rPr>
        <w:t xml:space="preserve"> mechanism </w:t>
      </w:r>
      <w:r w:rsidR="00CD139E">
        <w:rPr>
          <w:sz w:val="22"/>
          <w:szCs w:val="22"/>
        </w:rPr>
        <w:t xml:space="preserve">by which </w:t>
      </w:r>
      <w:proofErr w:type="spellStart"/>
      <w:r w:rsidR="00CD139E">
        <w:rPr>
          <w:sz w:val="22"/>
          <w:szCs w:val="22"/>
        </w:rPr>
        <w:t>estrogen</w:t>
      </w:r>
      <w:proofErr w:type="spellEnd"/>
      <w:r w:rsidR="005A3E37">
        <w:rPr>
          <w:sz w:val="22"/>
          <w:szCs w:val="22"/>
        </w:rPr>
        <w:t xml:space="preserve"> </w:t>
      </w:r>
      <w:r w:rsidR="00873904">
        <w:rPr>
          <w:sz w:val="22"/>
          <w:szCs w:val="22"/>
        </w:rPr>
        <w:t xml:space="preserve">could </w:t>
      </w:r>
      <w:r w:rsidR="00685A32">
        <w:rPr>
          <w:sz w:val="22"/>
          <w:szCs w:val="22"/>
        </w:rPr>
        <w:t xml:space="preserve">affect </w:t>
      </w:r>
      <w:r w:rsidR="00685A32" w:rsidRPr="00685A32">
        <w:rPr>
          <w:i/>
          <w:iCs/>
          <w:sz w:val="22"/>
          <w:szCs w:val="22"/>
        </w:rPr>
        <w:t>MKRN3</w:t>
      </w:r>
      <w:r w:rsidR="00685A32">
        <w:rPr>
          <w:sz w:val="22"/>
          <w:szCs w:val="22"/>
        </w:rPr>
        <w:t xml:space="preserve"> expression </w:t>
      </w:r>
      <w:r w:rsidR="00DD7682">
        <w:rPr>
          <w:sz w:val="22"/>
          <w:szCs w:val="22"/>
        </w:rPr>
        <w:fldChar w:fldCharType="begin" w:fldLock="1"/>
      </w:r>
      <w:r w:rsidR="00E527D9">
        <w:rPr>
          <w:sz w:val="22"/>
          <w:szCs w:val="22"/>
        </w:rPr>
        <w:instrText>ADDIN CSL_CITATION {"citationItems":[{"id":"ITEM-1","itemData":{"DOI":"10.1371/journal.pbio.3000532","ISSN":"15457885","PMID":"31697675","abstract":"Mkrn3, the maternally imprinted gene encoding the makorin RING-finger protein-3, has recently emerged as putative pubertal repressor, as evidenced by central precocity caused by MKRN3 mutations in humans; yet, the molecular underpinnings of this key regulatory action remain largely unexplored. We report herein that the microRNA, miR-30, with three binding sites in a highly conserved region of its 30 UTR, operates as repressor of Mkrn3 to control pubertal onset. Hypothalamic miR-30b expression increased, while Mkrn3 mRNA and protein content decreased, during rat postnatal maturation. Neonatal estrogen exposure, causing pubertal alterations, enhanced hypothalamic Mkrn3 and suppressed miR-30b expression in female rats. Functional in vitro analyses demonstrated a strong repressive action of miR-30b on Mkrn3 3' UTR. Moreover, central infusion during the juvenile period of target site blockers, tailored to prevent miR-30 binding to Mkrn3 3' UTR, reversed the prepubertal down-regulation of hypothalamic Mkrn3 protein and delayed female puberty. Collectively, our data unveil a novel hypothalamic miRNA pathway, involving miR-30, with a prominent role in the control of puberty via Mkrn3 repression. These findings expand our current understanding of the molecular basis of puberty and its disease states.","author":[{"dropping-particle":"","family":"Heras","given":"Violeta","non-dropping-particle":"","parse-names":false,"suffix":""},{"dropping-particle":"","family":"Sangiao-Alvarellos","given":"Susana","non-dropping-particle":"","parse-names":false,"suffix":""},{"dropping-particle":"","family":"Manfredi-Lozano","given":"Maria","non-dropping-particle":"","parse-names":false,"suffix":""},{"dropping-particle":"","family":"Sanchez-Tapia","given":"María J.","non-dropping-particle":"","parse-names":false,"suffix":""},{"dropping-particle":"","family":"Ruiz-Pino","given":"Francisco","non-dropping-particle":"","parse-names":false,"suffix":""},{"dropping-particle":"","family":"Roa","given":"Juan","non-dropping-particle":"","parse-names":false,"suffix":""},{"dropping-particle":"","family":"Lara-Chica","given":"Maribel","non-dropping-particle":"","parse-names":false,"suffix":""},{"dropping-particle":"","family":"Morrugares-Carmona","given":"Rosario","non-dropping-particle":"","parse-names":false,"suffix":""},{"dropping-particle":"","family":"Jouy","given":"Nathalie","non-dropping-particle":"","parse-names":false,"suffix":""},{"dropping-particle":"","family":"Abreu","given":"Ana P.","non-dropping-particle":"","parse-names":false,"suffix":""},{"dropping-particle":"","family":"Prevot","given":"Vincent","non-dropping-particle":"","parse-names":false,"suffix":""},{"dropping-particle":"","family":"Belsham","given":"Denise","non-dropping-particle":"","parse-names":false,"suffix":""},{"dropping-particle":"","family":"Vazquez","given":"Maria J.","non-dropping-particle":"","parse-names":false,"suffix":""},{"dropping-particle":"","family":"Calzado","given":"Marco A.","non-dropping-particle":"","parse-names":false,"suffix":""},{"dropping-particle":"","family":"Pinilla","given":"Leonor","non-dropping-particle":"","parse-names":false,"suffix":""},{"dropping-particle":"","family":"Gaytan","given":"Francisco","non-dropping-particle":"","parse-names":false,"suffix":""},{"dropping-particle":"","family":"Latronico","given":"Ana C.","non-dropping-particle":"","parse-names":false,"suffix":""},{"dropping-particle":"","family":"Kaiser","given":"Ursula B.","non-dropping-particle":"","parse-names":false,"suffix":""},{"dropping-particle":"","family":"Castellano","given":"Juan M.","non-dropping-particle":"","parse-names":false,"suffix":""},{"dropping-particle":"","family":"Tena-Sempere","given":"Manuel","non-dropping-particle":"","parse-names":false,"suffix":""}],"container-title":"PLoS Biology","id":"ITEM-1","issued":{"date-parts":[["2019"]]},"title":"Hypothalamic miR-30 regulates puberty onset via repression of the puberty-suppressing factor, Mkrn3","type":"article-journal"},"uris":["http://www.mendeley.com/documents/?uuid=bb23a10e-a78b-45bf-8041-66866b55d2e2"]}],"mendeley":{"formattedCitation":"(30)","plainTextFormattedCitation":"(30)","previouslyFormattedCitation":"(30)"},"properties":{"noteIndex":0},"schema":"https://github.com/citation-style-language/schema/raw/master/csl-citation.json"}</w:instrText>
      </w:r>
      <w:r w:rsidR="00DD7682">
        <w:rPr>
          <w:sz w:val="22"/>
          <w:szCs w:val="22"/>
        </w:rPr>
        <w:fldChar w:fldCharType="separate"/>
      </w:r>
      <w:r w:rsidR="00E527D9" w:rsidRPr="00E527D9">
        <w:rPr>
          <w:noProof/>
          <w:sz w:val="22"/>
          <w:szCs w:val="22"/>
        </w:rPr>
        <w:t>(30)</w:t>
      </w:r>
      <w:r w:rsidR="00DD7682">
        <w:rPr>
          <w:sz w:val="22"/>
          <w:szCs w:val="22"/>
        </w:rPr>
        <w:fldChar w:fldCharType="end"/>
      </w:r>
      <w:r w:rsidR="00CC515F">
        <w:rPr>
          <w:sz w:val="22"/>
          <w:szCs w:val="22"/>
        </w:rPr>
        <w:t>.</w:t>
      </w:r>
    </w:p>
    <w:p w14:paraId="67252D56" w14:textId="370C00A0" w:rsidR="00C07A74" w:rsidRDefault="00C07A74" w:rsidP="00283091">
      <w:pPr>
        <w:autoSpaceDE w:val="0"/>
        <w:autoSpaceDN w:val="0"/>
        <w:adjustRightInd w:val="0"/>
        <w:spacing w:line="480" w:lineRule="auto"/>
        <w:jc w:val="both"/>
        <w:rPr>
          <w:sz w:val="22"/>
          <w:szCs w:val="22"/>
        </w:rPr>
      </w:pPr>
    </w:p>
    <w:p w14:paraId="6280C01B" w14:textId="2252FDDF" w:rsidR="00C07A74" w:rsidRPr="00C07A74" w:rsidRDefault="00C07A74" w:rsidP="00283091">
      <w:pPr>
        <w:autoSpaceDE w:val="0"/>
        <w:autoSpaceDN w:val="0"/>
        <w:adjustRightInd w:val="0"/>
        <w:spacing w:line="480" w:lineRule="auto"/>
        <w:jc w:val="both"/>
        <w:rPr>
          <w:b/>
          <w:sz w:val="22"/>
          <w:szCs w:val="22"/>
        </w:rPr>
      </w:pPr>
      <w:r w:rsidRPr="00C07A74">
        <w:rPr>
          <w:b/>
          <w:sz w:val="22"/>
          <w:szCs w:val="22"/>
        </w:rPr>
        <w:t>Future directions</w:t>
      </w:r>
    </w:p>
    <w:p w14:paraId="1EC65C27" w14:textId="33CE56F3" w:rsidR="00CB6CC1" w:rsidRDefault="00EB2ECE" w:rsidP="00283091">
      <w:pPr>
        <w:autoSpaceDE w:val="0"/>
        <w:autoSpaceDN w:val="0"/>
        <w:adjustRightInd w:val="0"/>
        <w:spacing w:line="480" w:lineRule="auto"/>
        <w:jc w:val="both"/>
        <w:rPr>
          <w:sz w:val="22"/>
          <w:szCs w:val="22"/>
        </w:rPr>
      </w:pPr>
      <w:r>
        <w:rPr>
          <w:sz w:val="22"/>
          <w:szCs w:val="22"/>
        </w:rPr>
        <w:t>I</w:t>
      </w:r>
      <w:r w:rsidR="002A160C">
        <w:rPr>
          <w:sz w:val="22"/>
          <w:szCs w:val="22"/>
        </w:rPr>
        <w:t>n future studies, i</w:t>
      </w:r>
      <w:r>
        <w:rPr>
          <w:sz w:val="22"/>
          <w:szCs w:val="22"/>
        </w:rPr>
        <w:t xml:space="preserve">t would be </w:t>
      </w:r>
      <w:r w:rsidR="00373869">
        <w:rPr>
          <w:sz w:val="22"/>
          <w:szCs w:val="22"/>
        </w:rPr>
        <w:t>intriguing</w:t>
      </w:r>
      <w:r>
        <w:rPr>
          <w:sz w:val="22"/>
          <w:szCs w:val="22"/>
        </w:rPr>
        <w:t xml:space="preserve"> to </w:t>
      </w:r>
      <w:r w:rsidR="002A160C">
        <w:rPr>
          <w:sz w:val="22"/>
          <w:szCs w:val="22"/>
        </w:rPr>
        <w:t>investigate</w:t>
      </w:r>
      <w:r>
        <w:rPr>
          <w:sz w:val="22"/>
          <w:szCs w:val="22"/>
        </w:rPr>
        <w:t xml:space="preserve"> the expression of </w:t>
      </w:r>
      <w:r w:rsidRPr="00E448B1">
        <w:rPr>
          <w:i/>
          <w:iCs/>
          <w:sz w:val="22"/>
          <w:szCs w:val="22"/>
        </w:rPr>
        <w:t>MKRN3</w:t>
      </w:r>
      <w:r>
        <w:rPr>
          <w:sz w:val="22"/>
          <w:szCs w:val="22"/>
        </w:rPr>
        <w:t xml:space="preserve"> </w:t>
      </w:r>
      <w:r w:rsidR="00F00D00">
        <w:rPr>
          <w:sz w:val="22"/>
          <w:szCs w:val="22"/>
        </w:rPr>
        <w:t xml:space="preserve">at </w:t>
      </w:r>
      <w:r>
        <w:rPr>
          <w:sz w:val="22"/>
          <w:szCs w:val="22"/>
        </w:rPr>
        <w:t xml:space="preserve">around the time of </w:t>
      </w:r>
      <w:proofErr w:type="gramStart"/>
      <w:r>
        <w:rPr>
          <w:sz w:val="22"/>
          <w:szCs w:val="22"/>
        </w:rPr>
        <w:t>min</w:t>
      </w:r>
      <w:r w:rsidR="004D0675">
        <w:rPr>
          <w:sz w:val="22"/>
          <w:szCs w:val="22"/>
        </w:rPr>
        <w:t>i</w:t>
      </w:r>
      <w:r>
        <w:rPr>
          <w:sz w:val="22"/>
          <w:szCs w:val="22"/>
        </w:rPr>
        <w:t>-puberty</w:t>
      </w:r>
      <w:proofErr w:type="gramEnd"/>
      <w:r w:rsidR="00373869">
        <w:rPr>
          <w:sz w:val="22"/>
          <w:szCs w:val="22"/>
        </w:rPr>
        <w:t xml:space="preserve"> to </w:t>
      </w:r>
      <w:r w:rsidR="002A160C">
        <w:rPr>
          <w:sz w:val="22"/>
          <w:szCs w:val="22"/>
        </w:rPr>
        <w:t>ascertain</w:t>
      </w:r>
      <w:r w:rsidR="00373869">
        <w:rPr>
          <w:sz w:val="22"/>
          <w:szCs w:val="22"/>
        </w:rPr>
        <w:t xml:space="preserve"> whether corresponding changes in </w:t>
      </w:r>
      <w:r w:rsidR="00373869" w:rsidRPr="00E448B1">
        <w:rPr>
          <w:sz w:val="22"/>
          <w:szCs w:val="22"/>
        </w:rPr>
        <w:t>MKRN3</w:t>
      </w:r>
      <w:r w:rsidR="00373869">
        <w:rPr>
          <w:sz w:val="22"/>
          <w:szCs w:val="22"/>
        </w:rPr>
        <w:t xml:space="preserve"> are </w:t>
      </w:r>
      <w:r w:rsidR="002A160C">
        <w:rPr>
          <w:sz w:val="22"/>
          <w:szCs w:val="22"/>
        </w:rPr>
        <w:t>apparent</w:t>
      </w:r>
      <w:r>
        <w:rPr>
          <w:sz w:val="22"/>
          <w:szCs w:val="22"/>
        </w:rPr>
        <w:t>.</w:t>
      </w:r>
      <w:r w:rsidR="00782864">
        <w:rPr>
          <w:sz w:val="22"/>
          <w:szCs w:val="22"/>
        </w:rPr>
        <w:t xml:space="preserve"> </w:t>
      </w:r>
      <w:r w:rsidR="00A729CE">
        <w:rPr>
          <w:sz w:val="22"/>
          <w:szCs w:val="22"/>
        </w:rPr>
        <w:t>Additionally</w:t>
      </w:r>
      <w:r w:rsidR="00782864">
        <w:rPr>
          <w:sz w:val="22"/>
          <w:szCs w:val="22"/>
        </w:rPr>
        <w:t xml:space="preserve">, it would be interesting to </w:t>
      </w:r>
      <w:r w:rsidR="00DD7682">
        <w:rPr>
          <w:sz w:val="22"/>
          <w:szCs w:val="22"/>
        </w:rPr>
        <w:t>discern</w:t>
      </w:r>
      <w:r w:rsidR="00782864">
        <w:rPr>
          <w:sz w:val="22"/>
          <w:szCs w:val="22"/>
        </w:rPr>
        <w:t xml:space="preserve"> whether </w:t>
      </w:r>
      <w:r w:rsidR="00F279E0">
        <w:rPr>
          <w:sz w:val="22"/>
          <w:szCs w:val="22"/>
        </w:rPr>
        <w:t>MKRN3 plays a</w:t>
      </w:r>
      <w:r w:rsidR="00651B36">
        <w:rPr>
          <w:sz w:val="22"/>
          <w:szCs w:val="22"/>
        </w:rPr>
        <w:t>n</w:t>
      </w:r>
      <w:r w:rsidR="00BC7600">
        <w:rPr>
          <w:sz w:val="22"/>
          <w:szCs w:val="22"/>
        </w:rPr>
        <w:t>y</w:t>
      </w:r>
      <w:r w:rsidR="00651B36">
        <w:rPr>
          <w:sz w:val="22"/>
          <w:szCs w:val="22"/>
        </w:rPr>
        <w:t xml:space="preserve"> important </w:t>
      </w:r>
      <w:r w:rsidR="00F279E0">
        <w:rPr>
          <w:sz w:val="22"/>
          <w:szCs w:val="22"/>
        </w:rPr>
        <w:t xml:space="preserve">role after puberty and whether </w:t>
      </w:r>
      <w:r w:rsidR="00E448B1">
        <w:rPr>
          <w:sz w:val="22"/>
          <w:szCs w:val="22"/>
        </w:rPr>
        <w:t xml:space="preserve">the </w:t>
      </w:r>
      <w:r w:rsidR="00F279E0">
        <w:rPr>
          <w:sz w:val="22"/>
          <w:szCs w:val="22"/>
        </w:rPr>
        <w:t xml:space="preserve">system </w:t>
      </w:r>
      <w:r w:rsidR="00E448B1">
        <w:rPr>
          <w:sz w:val="22"/>
          <w:szCs w:val="22"/>
        </w:rPr>
        <w:t xml:space="preserve">is reversible </w:t>
      </w:r>
      <w:r w:rsidR="00651B36">
        <w:rPr>
          <w:sz w:val="22"/>
          <w:szCs w:val="22"/>
        </w:rPr>
        <w:t>(</w:t>
      </w:r>
      <w:r w:rsidR="003D553C">
        <w:rPr>
          <w:sz w:val="22"/>
          <w:szCs w:val="22"/>
        </w:rPr>
        <w:t>i</w:t>
      </w:r>
      <w:r w:rsidR="00651B36">
        <w:rPr>
          <w:sz w:val="22"/>
          <w:szCs w:val="22"/>
        </w:rPr>
        <w:t>.</w:t>
      </w:r>
      <w:r w:rsidR="003D553C">
        <w:rPr>
          <w:sz w:val="22"/>
          <w:szCs w:val="22"/>
        </w:rPr>
        <w:t>e</w:t>
      </w:r>
      <w:r w:rsidR="00651B36">
        <w:rPr>
          <w:sz w:val="22"/>
          <w:szCs w:val="22"/>
        </w:rPr>
        <w:t>.</w:t>
      </w:r>
      <w:r w:rsidR="003D553C">
        <w:rPr>
          <w:sz w:val="22"/>
          <w:szCs w:val="22"/>
        </w:rPr>
        <w:t xml:space="preserve"> can</w:t>
      </w:r>
      <w:r w:rsidR="00E448B1">
        <w:rPr>
          <w:sz w:val="22"/>
          <w:szCs w:val="22"/>
        </w:rPr>
        <w:t xml:space="preserve"> </w:t>
      </w:r>
      <w:r w:rsidR="00782864">
        <w:rPr>
          <w:sz w:val="22"/>
          <w:szCs w:val="22"/>
        </w:rPr>
        <w:t xml:space="preserve">over-expression of </w:t>
      </w:r>
      <w:r w:rsidR="00782864" w:rsidRPr="007E31ED">
        <w:rPr>
          <w:i/>
          <w:iCs/>
          <w:sz w:val="22"/>
          <w:szCs w:val="22"/>
        </w:rPr>
        <w:t>MKRN3</w:t>
      </w:r>
      <w:r w:rsidR="00782864">
        <w:rPr>
          <w:sz w:val="22"/>
          <w:szCs w:val="22"/>
        </w:rPr>
        <w:t xml:space="preserve"> in adult </w:t>
      </w:r>
      <w:r w:rsidR="00A448AD">
        <w:rPr>
          <w:sz w:val="22"/>
          <w:szCs w:val="22"/>
        </w:rPr>
        <w:t>animal</w:t>
      </w:r>
      <w:r w:rsidR="00946FFC">
        <w:rPr>
          <w:sz w:val="22"/>
          <w:szCs w:val="22"/>
        </w:rPr>
        <w:t>s</w:t>
      </w:r>
      <w:r w:rsidR="00A448AD">
        <w:rPr>
          <w:sz w:val="22"/>
          <w:szCs w:val="22"/>
        </w:rPr>
        <w:t xml:space="preserve"> </w:t>
      </w:r>
      <w:r w:rsidR="00DD7682">
        <w:rPr>
          <w:sz w:val="22"/>
          <w:szCs w:val="22"/>
        </w:rPr>
        <w:t>switch off</w:t>
      </w:r>
      <w:r w:rsidR="00782864">
        <w:rPr>
          <w:sz w:val="22"/>
          <w:szCs w:val="22"/>
        </w:rPr>
        <w:t xml:space="preserve"> the </w:t>
      </w:r>
      <w:r w:rsidR="00DD7682">
        <w:rPr>
          <w:sz w:val="22"/>
          <w:szCs w:val="22"/>
        </w:rPr>
        <w:t>HPG</w:t>
      </w:r>
      <w:r w:rsidR="00782864">
        <w:rPr>
          <w:sz w:val="22"/>
          <w:szCs w:val="22"/>
        </w:rPr>
        <w:t xml:space="preserve"> axis</w:t>
      </w:r>
      <w:r w:rsidR="006064EE">
        <w:rPr>
          <w:sz w:val="22"/>
          <w:szCs w:val="22"/>
        </w:rPr>
        <w:t xml:space="preserve"> once activated</w:t>
      </w:r>
      <w:r w:rsidR="003D553C">
        <w:rPr>
          <w:sz w:val="22"/>
          <w:szCs w:val="22"/>
        </w:rPr>
        <w:t>?</w:t>
      </w:r>
      <w:r w:rsidR="00651B36">
        <w:rPr>
          <w:sz w:val="22"/>
          <w:szCs w:val="22"/>
        </w:rPr>
        <w:t>)</w:t>
      </w:r>
      <w:r w:rsidR="006418F3">
        <w:rPr>
          <w:sz w:val="22"/>
          <w:szCs w:val="22"/>
        </w:rPr>
        <w:t>.</w:t>
      </w:r>
      <w:r w:rsidR="00782864">
        <w:rPr>
          <w:sz w:val="22"/>
          <w:szCs w:val="22"/>
        </w:rPr>
        <w:t xml:space="preserve"> </w:t>
      </w:r>
      <w:r w:rsidR="00F00D00">
        <w:rPr>
          <w:sz w:val="22"/>
          <w:szCs w:val="22"/>
        </w:rPr>
        <w:t xml:space="preserve">Further work is required to investigate whether MKRN3 mediates the impact of metabolic factors on puberty onset. </w:t>
      </w:r>
      <w:r w:rsidR="00733692">
        <w:rPr>
          <w:sz w:val="22"/>
          <w:szCs w:val="22"/>
        </w:rPr>
        <w:t>I</w:t>
      </w:r>
      <w:r w:rsidR="00E72D2F">
        <w:rPr>
          <w:sz w:val="22"/>
          <w:szCs w:val="22"/>
        </w:rPr>
        <w:t>nterestingly</w:t>
      </w:r>
      <w:r w:rsidR="007E31ED">
        <w:rPr>
          <w:sz w:val="22"/>
          <w:szCs w:val="22"/>
        </w:rPr>
        <w:t>,</w:t>
      </w:r>
      <w:r w:rsidR="00E72D2F">
        <w:rPr>
          <w:sz w:val="22"/>
          <w:szCs w:val="22"/>
        </w:rPr>
        <w:t xml:space="preserve"> MKRN3 levels correlate with HBA1c in healthy </w:t>
      </w:r>
      <w:r w:rsidR="00733692">
        <w:rPr>
          <w:sz w:val="22"/>
          <w:szCs w:val="22"/>
        </w:rPr>
        <w:t>men</w:t>
      </w:r>
      <w:r w:rsidR="002F278E">
        <w:rPr>
          <w:sz w:val="22"/>
          <w:szCs w:val="22"/>
        </w:rPr>
        <w:t xml:space="preserve"> </w:t>
      </w:r>
      <w:r w:rsidR="002F278E">
        <w:rPr>
          <w:sz w:val="22"/>
          <w:szCs w:val="22"/>
        </w:rPr>
        <w:fldChar w:fldCharType="begin" w:fldLock="1"/>
      </w:r>
      <w:r w:rsidR="00E527D9">
        <w:rPr>
          <w:sz w:val="22"/>
          <w:szCs w:val="22"/>
        </w:rPr>
        <w:instrText>ADDIN CSL_CITATION {"citationItems":[{"id":"ITEM-1","itemData":{"DOI":"10.1111/cen.12851","ISSN":"13652265","author":[{"dropping-particle":"","family":"Varimo","given":"Tero","non-dropping-particle":"","parse-names":false,"suffix":""},{"dropping-particle":"","family":"Hero","given":"Matti","non-dropping-particle":"","parse-names":false,"suffix":""},{"dropping-particle":"","family":"Känsäkoski","given":"Johanna","non-dropping-particle":"","parse-names":false,"suffix":""},{"dropping-particle":"","family":"Vaaralahti","given":"Kirsi","non-dropping-particle":"","parse-names":false,"suffix":""},{"dropping-particle":"","family":"Matikainen","given":"Niina","non-dropping-particle":"","parse-names":false,"suffix":""},{"dropping-particle":"","family":"Raivio","given":"Taneli","non-dropping-particle":"","parse-names":false,"suffix":""}],"container-title":"Clinical Endocrinology","id":"ITEM-1","issued":{"date-parts":[["2016"]]},"title":"Circulating makorin ring-finger protein-3 (MKRN3) levels in healthy men and in men with hypogonadotropic hypogonadism","type":"article"},"uris":["http://www.mendeley.com/documents/?uuid=79a5f0a7-6ff3-4c0b-970b-e0dde3f3767b"]}],"mendeley":{"formattedCitation":"(29)","plainTextFormattedCitation":"(29)","previouslyFormattedCitation":"(29)"},"properties":{"noteIndex":0},"schema":"https://github.com/citation-style-language/schema/raw/master/csl-citation.json"}</w:instrText>
      </w:r>
      <w:r w:rsidR="002F278E">
        <w:rPr>
          <w:sz w:val="22"/>
          <w:szCs w:val="22"/>
        </w:rPr>
        <w:fldChar w:fldCharType="separate"/>
      </w:r>
      <w:r w:rsidR="00E527D9" w:rsidRPr="00E527D9">
        <w:rPr>
          <w:noProof/>
          <w:sz w:val="22"/>
          <w:szCs w:val="22"/>
        </w:rPr>
        <w:t>(29)</w:t>
      </w:r>
      <w:r w:rsidR="002F278E">
        <w:rPr>
          <w:sz w:val="22"/>
          <w:szCs w:val="22"/>
        </w:rPr>
        <w:fldChar w:fldCharType="end"/>
      </w:r>
      <w:r w:rsidR="00733692">
        <w:rPr>
          <w:sz w:val="22"/>
          <w:szCs w:val="22"/>
        </w:rPr>
        <w:t xml:space="preserve"> and</w:t>
      </w:r>
      <w:r w:rsidR="00E72D2F">
        <w:rPr>
          <w:sz w:val="22"/>
          <w:szCs w:val="22"/>
        </w:rPr>
        <w:t xml:space="preserve"> </w:t>
      </w:r>
      <w:r w:rsidR="00DD7682" w:rsidRPr="00E448B1">
        <w:rPr>
          <w:i/>
          <w:iCs/>
          <w:sz w:val="22"/>
          <w:szCs w:val="22"/>
        </w:rPr>
        <w:t>M</w:t>
      </w:r>
      <w:r w:rsidR="00714088">
        <w:rPr>
          <w:i/>
          <w:iCs/>
          <w:sz w:val="22"/>
          <w:szCs w:val="22"/>
        </w:rPr>
        <w:t>krn</w:t>
      </w:r>
      <w:r w:rsidR="00DD7682" w:rsidRPr="00E448B1">
        <w:rPr>
          <w:i/>
          <w:iCs/>
          <w:sz w:val="22"/>
          <w:szCs w:val="22"/>
        </w:rPr>
        <w:t>3</w:t>
      </w:r>
      <w:r w:rsidR="00DD7682">
        <w:rPr>
          <w:sz w:val="22"/>
          <w:szCs w:val="22"/>
        </w:rPr>
        <w:t xml:space="preserve"> knockout mice </w:t>
      </w:r>
      <w:r w:rsidR="00E448B1">
        <w:rPr>
          <w:sz w:val="22"/>
          <w:szCs w:val="22"/>
        </w:rPr>
        <w:t>had</w:t>
      </w:r>
      <w:r w:rsidR="00DD7682">
        <w:rPr>
          <w:sz w:val="22"/>
          <w:szCs w:val="22"/>
        </w:rPr>
        <w:t xml:space="preserve"> </w:t>
      </w:r>
      <w:r w:rsidR="006064EE">
        <w:rPr>
          <w:sz w:val="22"/>
          <w:szCs w:val="22"/>
        </w:rPr>
        <w:t xml:space="preserve">subtle </w:t>
      </w:r>
      <w:r w:rsidR="00733692">
        <w:rPr>
          <w:sz w:val="22"/>
          <w:szCs w:val="22"/>
        </w:rPr>
        <w:t xml:space="preserve">sex-specific </w:t>
      </w:r>
      <w:r w:rsidR="00DD7682">
        <w:rPr>
          <w:sz w:val="22"/>
          <w:szCs w:val="22"/>
        </w:rPr>
        <w:t>alterations in body</w:t>
      </w:r>
      <w:r w:rsidR="00F00D00">
        <w:rPr>
          <w:sz w:val="22"/>
          <w:szCs w:val="22"/>
        </w:rPr>
        <w:t xml:space="preserve">-weight </w:t>
      </w:r>
      <w:r w:rsidR="00CF6D66">
        <w:rPr>
          <w:sz w:val="22"/>
          <w:szCs w:val="22"/>
        </w:rPr>
        <w:fldChar w:fldCharType="begin" w:fldLock="1"/>
      </w:r>
      <w:r w:rsidR="00E527D9">
        <w:rPr>
          <w:sz w:val="22"/>
          <w:szCs w:val="22"/>
        </w:rPr>
        <w:instrText>ADDIN CSL_CITATION {"citationItems":[{"id":"ITEM-1","itemData":{"DOI":"10.1093/nsr/nwaa023","ISSN":"2095-5138","abstract":"Central precocious puberty (CPP) refers to a human syndrome of early puberty initiation with characteristic increase in hypothalamic production and release of gonadotropin releasing hormone (GnRH). Previously, loss-of-function mutations in human MKRN3, encoding a putative E3 ubiquitin ligase, were found to contribute to over 30% of cases of familial CPP. MKRN3 was thereby suggested to serve as a “brake” of mammalian puberty onset, but the underlying mechanisms remain yet unknown. Here we report that genetic ablation of Mkrn3 did accelerate mouse puberty onset with increased production of hypothalamic GnRH1. MKRN3 interacts with, and ubiquitinates MBD3, which epigenetically silences Gnrh1 through disrupting the MBD3 binding to the GNRH1 promoter and recruitment of DNA demethylase TET2. Our findings have thus delineated a molecular mechanism through which the MKRN3-MBD3 axis controls the epigenetic switch in the onset of mammalian puberty.","author":[{"dropping-particle":"","family":"Li","given":"Chuanyin","non-dropping-particle":"","parse-names":false,"suffix":""},{"dropping-particle":"","family":"Lu","given":"Wenli","non-dropping-particle":"","parse-names":false,"suffix":""},{"dropping-particle":"","family":"Yang","given":"Liguang","non-dropping-particle":"","parse-names":false,"suffix":""},{"dropping-particle":"","family":"Li","given":"Zhengwei","non-dropping-particle":"","parse-names":false,"suffix":""},{"dropping-particle":"","family":"Zhou","given":"Xiaoyi","non-dropping-particle":"","parse-names":false,"suffix":""},{"dropping-particle":"","family":"Guo","given":"Rong","non-dropping-particle":"","parse-names":false,"suffix":""},{"dropping-particle":"","family":"Wang","given":"Junqi","non-dropping-particle":"","parse-names":false,"suffix":""},{"dropping-particle":"","family":"Wu","given":"Zhebao","non-dropping-particle":"","parse-names":false,"suffix":""},{"dropping-particle":"","family":"Dong","given":"Zhiya","non-dropping-particle":"","parse-names":false,"suffix":""},{"dropping-particle":"","family":"Ning","given":"Guang","non-dropping-particle":"","parse-names":false,"suffix":""},{"dropping-particle":"","family":"Shi","given":"Yujiang","non-dropping-particle":"","parse-names":false,"suffix":""},{"dropping-particle":"","family":"Gu","given":"Yinmin","non-dropping-particle":"","parse-names":false,"suffix":""},{"dropping-particle":"","family":"Chen","given":"Peng","non-dropping-particle":"","parse-names":false,"suffix":""},{"dropping-particle":"","family":"Hao","given":"Zijian","non-dropping-particle":"","parse-names":false,"suffix":""},{"dropping-particle":"","family":"Han","given":"Tianting","non-dropping-particle":"","parse-names":false,"suffix":""},{"dropping-particle":"","family":"Yang","given":"Meiqiang","non-dropping-particle":"","parse-names":false,"suffix":""},{"dropping-particle":"","family":"Wang","given":"Wei","non-dropping-particle":"","parse-names":false,"suffix":""},{"dropping-particle":"","family":"Huang","given":"Xuehui","non-dropping-particle":"","parse-names":false,"suffix":""},{"dropping-particle":"","family":"Li","given":"Yixue","non-dropping-particle":"","parse-names":false,"suffix":""},{"dropping-particle":"","family":"Gao","given":"Shan","non-dropping-particle":"","parse-names":false,"suffix":""},{"dropping-particle":"","family":"Hu","given":"Ronggui","non-dropping-particle":"","parse-names":false,"suffix":""}],"container-title":"National Science Review","id":"ITEM-1","issued":{"date-parts":[["2020"]]},"title":"MKRN3 regulates the epigenetic switch of mammalian puberty via ubiquitination of MBD3","type":"article-journal"},"uris":["http://www.mendeley.com/documents/?uuid=d94d76c4-da67-4f85-a75e-b5096fb11e8e"]}],"mendeley":{"formattedCitation":"(20)","plainTextFormattedCitation":"(20)","previouslyFormattedCitation":"(20)"},"properties":{"noteIndex":0},"schema":"https://github.com/citation-style-language/schema/raw/master/csl-citation.json"}</w:instrText>
      </w:r>
      <w:r w:rsidR="00CF6D66">
        <w:rPr>
          <w:sz w:val="22"/>
          <w:szCs w:val="22"/>
        </w:rPr>
        <w:fldChar w:fldCharType="separate"/>
      </w:r>
      <w:r w:rsidR="00E527D9" w:rsidRPr="00E527D9">
        <w:rPr>
          <w:noProof/>
          <w:sz w:val="22"/>
          <w:szCs w:val="22"/>
        </w:rPr>
        <w:t>(20)</w:t>
      </w:r>
      <w:r w:rsidR="00CF6D66">
        <w:rPr>
          <w:sz w:val="22"/>
          <w:szCs w:val="22"/>
        </w:rPr>
        <w:fldChar w:fldCharType="end"/>
      </w:r>
      <w:r w:rsidR="006A504A">
        <w:rPr>
          <w:sz w:val="22"/>
          <w:szCs w:val="22"/>
        </w:rPr>
        <w:t>.</w:t>
      </w:r>
      <w:r w:rsidR="00DD7682">
        <w:rPr>
          <w:sz w:val="22"/>
          <w:szCs w:val="22"/>
        </w:rPr>
        <w:t xml:space="preserve"> </w:t>
      </w:r>
      <w:r w:rsidR="006A504A">
        <w:rPr>
          <w:sz w:val="22"/>
          <w:szCs w:val="22"/>
        </w:rPr>
        <w:t>T</w:t>
      </w:r>
      <w:r w:rsidR="00733692">
        <w:rPr>
          <w:sz w:val="22"/>
          <w:szCs w:val="22"/>
        </w:rPr>
        <w:t>hese data</w:t>
      </w:r>
      <w:r w:rsidR="00281C37">
        <w:rPr>
          <w:sz w:val="22"/>
          <w:szCs w:val="22"/>
        </w:rPr>
        <w:t>,</w:t>
      </w:r>
      <w:r w:rsidR="00733692">
        <w:rPr>
          <w:sz w:val="22"/>
          <w:szCs w:val="22"/>
        </w:rPr>
        <w:t xml:space="preserve"> coupled with the interaction of MBD3 with</w:t>
      </w:r>
      <w:r w:rsidR="006A504A">
        <w:rPr>
          <w:sz w:val="22"/>
          <w:szCs w:val="22"/>
        </w:rPr>
        <w:t xml:space="preserve"> </w:t>
      </w:r>
      <w:r w:rsidR="006A504A" w:rsidRPr="00733692">
        <w:rPr>
          <w:sz w:val="22"/>
          <w:szCs w:val="22"/>
        </w:rPr>
        <w:t xml:space="preserve">ten-eleven translocation </w:t>
      </w:r>
      <w:proofErr w:type="spellStart"/>
      <w:r w:rsidR="006A504A" w:rsidRPr="00733692">
        <w:rPr>
          <w:sz w:val="22"/>
          <w:szCs w:val="22"/>
        </w:rPr>
        <w:t>methylcytosine</w:t>
      </w:r>
      <w:proofErr w:type="spellEnd"/>
      <w:r w:rsidR="006A504A" w:rsidRPr="00733692">
        <w:rPr>
          <w:sz w:val="22"/>
          <w:szCs w:val="22"/>
        </w:rPr>
        <w:t xml:space="preserve"> dioxygenase 2 (TET2</w:t>
      </w:r>
      <w:r w:rsidR="00733692" w:rsidRPr="00733692">
        <w:rPr>
          <w:sz w:val="22"/>
          <w:szCs w:val="22"/>
        </w:rPr>
        <w:t>)</w:t>
      </w:r>
      <w:r w:rsidR="006A504A">
        <w:rPr>
          <w:sz w:val="22"/>
          <w:szCs w:val="22"/>
        </w:rPr>
        <w:t xml:space="preserve"> </w:t>
      </w:r>
      <w:r w:rsidR="006A504A">
        <w:rPr>
          <w:sz w:val="22"/>
          <w:szCs w:val="22"/>
        </w:rPr>
        <w:fldChar w:fldCharType="begin" w:fldLock="1"/>
      </w:r>
      <w:r w:rsidR="00E527D9">
        <w:rPr>
          <w:sz w:val="22"/>
          <w:szCs w:val="22"/>
        </w:rPr>
        <w:instrText>ADDIN CSL_CITATION {"citationItems":[{"id":"ITEM-1","itemData":{"DOI":"10.1093/nsr/nwaa023","ISSN":"2095-5138","abstract":"Central precocious puberty (CPP) refers to a human syndrome of early puberty initiation with characteristic increase in hypothalamic production and release of gonadotropin releasing hormone (GnRH). Previously, loss-of-function mutations in human MKRN3, encoding a putative E3 ubiquitin ligase, were found to contribute to over 30% of cases of familial CPP. MKRN3 was thereby suggested to serve as a “brake” of mammalian puberty onset, but the underlying mechanisms remain yet unknown. Here we report that genetic ablation of Mkrn3 did accelerate mouse puberty onset with increased production of hypothalamic GnRH1. MKRN3 interacts with, and ubiquitinates MBD3, which epigenetically silences Gnrh1 through disrupting the MBD3 binding to the GNRH1 promoter and recruitment of DNA demethylase TET2. Our findings have thus delineated a molecular mechanism through which the MKRN3-MBD3 axis controls the epigenetic switch in the onset of mammalian puberty.","author":[{"dropping-particle":"","family":"Li","given":"Chuanyin","non-dropping-particle":"","parse-names":false,"suffix":""},{"dropping-particle":"","family":"Lu","given":"Wenli","non-dropping-particle":"","parse-names":false,"suffix":""},{"dropping-particle":"","family":"Yang","given":"Liguang","non-dropping-particle":"","parse-names":false,"suffix":""},{"dropping-particle":"","family":"Li","given":"Zhengwei","non-dropping-particle":"","parse-names":false,"suffix":""},{"dropping-particle":"","family":"Zhou","given":"Xiaoyi","non-dropping-particle":"","parse-names":false,"suffix":""},{"dropping-particle":"","family":"Guo","given":"Rong","non-dropping-particle":"","parse-names":false,"suffix":""},{"dropping-particle":"","family":"Wang","given":"Junqi","non-dropping-particle":"","parse-names":false,"suffix":""},{"dropping-particle":"","family":"Wu","given":"Zhebao","non-dropping-particle":"","parse-names":false,"suffix":""},{"dropping-particle":"","family":"Dong","given":"Zhiya","non-dropping-particle":"","parse-names":false,"suffix":""},{"dropping-particle":"","family":"Ning","given":"Guang","non-dropping-particle":"","parse-names":false,"suffix":""},{"dropping-particle":"","family":"Shi","given":"Yujiang","non-dropping-particle":"","parse-names":false,"suffix":""},{"dropping-particle":"","family":"Gu","given":"Yinmin","non-dropping-particle":"","parse-names":false,"suffix":""},{"dropping-particle":"","family":"Chen","given":"Peng","non-dropping-particle":"","parse-names":false,"suffix":""},{"dropping-particle":"","family":"Hao","given":"Zijian","non-dropping-particle":"","parse-names":false,"suffix":""},{"dropping-particle":"","family":"Han","given":"Tianting","non-dropping-particle":"","parse-names":false,"suffix":""},{"dropping-particle":"","family":"Yang","given":"Meiqiang","non-dropping-particle":"","parse-names":false,"suffix":""},{"dropping-particle":"","family":"Wang","given":"Wei","non-dropping-particle":"","parse-names":false,"suffix":""},{"dropping-particle":"","family":"Huang","given":"Xuehui","non-dropping-particle":"","parse-names":false,"suffix":""},{"dropping-particle":"","family":"Li","given":"Yixue","non-dropping-particle":"","parse-names":false,"suffix":""},{"dropping-particle":"","family":"Gao","given":"Shan","non-dropping-particle":"","parse-names":false,"suffix":""},{"dropping-particle":"","family":"Hu","given":"Ronggui","non-dropping-particle":"","parse-names":false,"suffix":""}],"container-title":"National Science Review","id":"ITEM-1","issued":{"date-parts":[["2020"]]},"title":"MKRN3 regulates the epigenetic switch of mammalian puberty via ubiquitination of MBD3","type":"article-journal"},"uris":["http://www.mendeley.com/documents/?uuid=d94d76c4-da67-4f85-a75e-b5096fb11e8e"]}],"mendeley":{"formattedCitation":"(20)","plainTextFormattedCitation":"(20)","previouslyFormattedCitation":"(20)"},"properties":{"noteIndex":0},"schema":"https://github.com/citation-style-language/schema/raw/master/csl-citation.json"}</w:instrText>
      </w:r>
      <w:r w:rsidR="006A504A">
        <w:rPr>
          <w:sz w:val="22"/>
          <w:szCs w:val="22"/>
        </w:rPr>
        <w:fldChar w:fldCharType="separate"/>
      </w:r>
      <w:r w:rsidR="00E527D9" w:rsidRPr="00E527D9">
        <w:rPr>
          <w:noProof/>
          <w:sz w:val="22"/>
          <w:szCs w:val="22"/>
        </w:rPr>
        <w:t>(20)</w:t>
      </w:r>
      <w:r w:rsidR="006A504A">
        <w:rPr>
          <w:sz w:val="22"/>
          <w:szCs w:val="22"/>
        </w:rPr>
        <w:fldChar w:fldCharType="end"/>
      </w:r>
      <w:r w:rsidR="00733692">
        <w:rPr>
          <w:sz w:val="22"/>
          <w:szCs w:val="22"/>
        </w:rPr>
        <w:t xml:space="preserve"> </w:t>
      </w:r>
      <w:r w:rsidR="00281C37">
        <w:rPr>
          <w:sz w:val="22"/>
          <w:szCs w:val="22"/>
        </w:rPr>
        <w:t>(</w:t>
      </w:r>
      <w:r w:rsidR="00733692">
        <w:rPr>
          <w:sz w:val="22"/>
          <w:szCs w:val="22"/>
        </w:rPr>
        <w:t xml:space="preserve">a DNA methylase reported to be </w:t>
      </w:r>
      <w:r w:rsidR="00733692" w:rsidRPr="00733692">
        <w:rPr>
          <w:sz w:val="22"/>
          <w:szCs w:val="22"/>
        </w:rPr>
        <w:t xml:space="preserve">a substrate </w:t>
      </w:r>
      <w:r w:rsidR="00733692">
        <w:rPr>
          <w:sz w:val="22"/>
          <w:szCs w:val="22"/>
        </w:rPr>
        <w:t>for</w:t>
      </w:r>
      <w:r w:rsidR="00733692" w:rsidRPr="00733692">
        <w:rPr>
          <w:sz w:val="22"/>
          <w:szCs w:val="22"/>
        </w:rPr>
        <w:t xml:space="preserve"> AMP-activated kinase</w:t>
      </w:r>
      <w:r w:rsidR="00281C37">
        <w:rPr>
          <w:sz w:val="22"/>
          <w:szCs w:val="22"/>
        </w:rPr>
        <w:t xml:space="preserve">; </w:t>
      </w:r>
      <w:r w:rsidR="00733692" w:rsidRPr="00733692">
        <w:rPr>
          <w:sz w:val="22"/>
          <w:szCs w:val="22"/>
        </w:rPr>
        <w:t>AMPK</w:t>
      </w:r>
      <w:r w:rsidR="00281C37">
        <w:rPr>
          <w:sz w:val="22"/>
          <w:szCs w:val="22"/>
        </w:rPr>
        <w:t>)</w:t>
      </w:r>
      <w:r w:rsidR="00733692">
        <w:rPr>
          <w:sz w:val="22"/>
          <w:szCs w:val="22"/>
        </w:rPr>
        <w:t xml:space="preserve">, </w:t>
      </w:r>
      <w:r w:rsidR="00946FFC">
        <w:rPr>
          <w:sz w:val="22"/>
          <w:szCs w:val="22"/>
        </w:rPr>
        <w:t>suggest</w:t>
      </w:r>
      <w:r w:rsidR="00733692">
        <w:rPr>
          <w:sz w:val="22"/>
          <w:szCs w:val="22"/>
        </w:rPr>
        <w:t xml:space="preserve"> that </w:t>
      </w:r>
      <w:r w:rsidR="00281C37">
        <w:rPr>
          <w:sz w:val="22"/>
          <w:szCs w:val="22"/>
        </w:rPr>
        <w:t>further study is warranted to</w:t>
      </w:r>
      <w:r w:rsidR="00E72D2F">
        <w:rPr>
          <w:sz w:val="22"/>
          <w:szCs w:val="22"/>
        </w:rPr>
        <w:t xml:space="preserve"> </w:t>
      </w:r>
      <w:r w:rsidR="00281C37">
        <w:rPr>
          <w:sz w:val="22"/>
          <w:szCs w:val="22"/>
        </w:rPr>
        <w:t xml:space="preserve">investigate how </w:t>
      </w:r>
      <w:r w:rsidR="00733692">
        <w:rPr>
          <w:sz w:val="22"/>
          <w:szCs w:val="22"/>
        </w:rPr>
        <w:t xml:space="preserve">metabolic factors </w:t>
      </w:r>
      <w:r w:rsidR="00281C37">
        <w:rPr>
          <w:sz w:val="22"/>
          <w:szCs w:val="22"/>
        </w:rPr>
        <w:t>interact with</w:t>
      </w:r>
      <w:r w:rsidR="00733692">
        <w:rPr>
          <w:sz w:val="22"/>
          <w:szCs w:val="22"/>
        </w:rPr>
        <w:t xml:space="preserve"> </w:t>
      </w:r>
      <w:r w:rsidR="00E72D2F">
        <w:rPr>
          <w:sz w:val="22"/>
          <w:szCs w:val="22"/>
        </w:rPr>
        <w:t>MKRN3</w:t>
      </w:r>
      <w:r w:rsidR="00281C37">
        <w:rPr>
          <w:sz w:val="22"/>
          <w:szCs w:val="22"/>
        </w:rPr>
        <w:t>, perhaps via epigenetic changes, to</w:t>
      </w:r>
      <w:r w:rsidR="00733692">
        <w:rPr>
          <w:sz w:val="22"/>
          <w:szCs w:val="22"/>
        </w:rPr>
        <w:t xml:space="preserve"> impact </w:t>
      </w:r>
      <w:r w:rsidR="00E72D2F">
        <w:rPr>
          <w:sz w:val="22"/>
          <w:szCs w:val="22"/>
        </w:rPr>
        <w:t>pubert</w:t>
      </w:r>
      <w:r w:rsidR="00F00D00">
        <w:rPr>
          <w:sz w:val="22"/>
          <w:szCs w:val="22"/>
        </w:rPr>
        <w:t>y</w:t>
      </w:r>
      <w:r w:rsidR="00E72D2F">
        <w:rPr>
          <w:sz w:val="22"/>
          <w:szCs w:val="22"/>
        </w:rPr>
        <w:t xml:space="preserve"> </w:t>
      </w:r>
      <w:r w:rsidR="00D1242E">
        <w:rPr>
          <w:sz w:val="22"/>
          <w:szCs w:val="22"/>
        </w:rPr>
        <w:t>onset</w:t>
      </w:r>
      <w:r w:rsidR="005A4447">
        <w:rPr>
          <w:sz w:val="22"/>
          <w:szCs w:val="22"/>
        </w:rPr>
        <w:t>.</w:t>
      </w:r>
      <w:r w:rsidR="00F40C17">
        <w:rPr>
          <w:sz w:val="22"/>
          <w:szCs w:val="22"/>
        </w:rPr>
        <w:t xml:space="preserve"> </w:t>
      </w:r>
      <w:r w:rsidR="006D2898">
        <w:rPr>
          <w:sz w:val="22"/>
          <w:szCs w:val="22"/>
        </w:rPr>
        <w:t xml:space="preserve">A </w:t>
      </w:r>
      <w:r w:rsidR="00EA4DDE">
        <w:rPr>
          <w:sz w:val="22"/>
          <w:szCs w:val="22"/>
        </w:rPr>
        <w:t>clear</w:t>
      </w:r>
      <w:r w:rsidR="006D2898">
        <w:rPr>
          <w:sz w:val="22"/>
          <w:szCs w:val="22"/>
        </w:rPr>
        <w:t xml:space="preserve"> candidate for mediating the effects of </w:t>
      </w:r>
      <w:r w:rsidR="008A3615">
        <w:rPr>
          <w:sz w:val="22"/>
          <w:szCs w:val="22"/>
        </w:rPr>
        <w:t xml:space="preserve">body-weight </w:t>
      </w:r>
      <w:r w:rsidR="006D2898">
        <w:rPr>
          <w:sz w:val="22"/>
          <w:szCs w:val="22"/>
        </w:rPr>
        <w:t xml:space="preserve">on </w:t>
      </w:r>
      <w:r w:rsidR="00F00D00">
        <w:rPr>
          <w:sz w:val="22"/>
          <w:szCs w:val="22"/>
        </w:rPr>
        <w:t xml:space="preserve">puberty </w:t>
      </w:r>
      <w:r w:rsidR="006D2898">
        <w:rPr>
          <w:sz w:val="22"/>
          <w:szCs w:val="22"/>
        </w:rPr>
        <w:t>initiation</w:t>
      </w:r>
      <w:r w:rsidR="00CA4C3F">
        <w:rPr>
          <w:sz w:val="22"/>
          <w:szCs w:val="22"/>
        </w:rPr>
        <w:t xml:space="preserve"> is leptin, however </w:t>
      </w:r>
      <w:r w:rsidR="003B546E">
        <w:rPr>
          <w:sz w:val="22"/>
          <w:szCs w:val="22"/>
        </w:rPr>
        <w:t>the effects of</w:t>
      </w:r>
      <w:r w:rsidR="00E64FB5">
        <w:rPr>
          <w:sz w:val="22"/>
          <w:szCs w:val="22"/>
        </w:rPr>
        <w:t xml:space="preserve"> </w:t>
      </w:r>
      <w:r w:rsidR="00CA4C3F">
        <w:rPr>
          <w:sz w:val="22"/>
          <w:szCs w:val="22"/>
        </w:rPr>
        <w:t xml:space="preserve">leptin </w:t>
      </w:r>
      <w:r w:rsidR="003B546E">
        <w:rPr>
          <w:sz w:val="22"/>
          <w:szCs w:val="22"/>
        </w:rPr>
        <w:t>appear to be independent of MKRN3</w:t>
      </w:r>
      <w:r w:rsidR="00E64FB5">
        <w:rPr>
          <w:sz w:val="22"/>
          <w:szCs w:val="22"/>
        </w:rPr>
        <w:t xml:space="preserve"> </w:t>
      </w:r>
      <w:r w:rsidR="00E64FB5">
        <w:rPr>
          <w:sz w:val="22"/>
          <w:szCs w:val="22"/>
        </w:rPr>
        <w:fldChar w:fldCharType="begin" w:fldLock="1"/>
      </w:r>
      <w:r w:rsidR="00E527D9">
        <w:rPr>
          <w:sz w:val="22"/>
          <w:szCs w:val="22"/>
        </w:rPr>
        <w:instrText>ADDIN CSL_CITATION {"citationItems":[{"id":"ITEM-1","itemData":{"DOI":"10.1210/JENDSO/BVAA059","author":[{"dropping-particle":"","family":"Roberts","given":"Stephanie A","non-dropping-particle":"","parse-names":false,"suffix":""},{"dropping-particle":"","family":"Abreu","given":"Ana Paula","non-dropping-particle":"","parse-names":false,"suffix":""},{"dropping-particle":"","family":"Navarro","given":"Victor M","non-dropping-particle":"","parse-names":false,"suffix":""},{"dropping-particle":"","family":"Liang","given":"Joy N","non-dropping-particle":"","parse-names":false,"suffix":""},{"dropping-particle":"","family":"Maguire","given":"Caroline A","non-dropping-particle":"","parse-names":false,"suffix":""},{"dropping-particle":"","family":"Kim","given":"Han Kyeol","non-dropping-particle":"","parse-names":false,"suffix":""},{"dropping-particle":"","family":"Carroll","given":"Rona S","non-dropping-particle":"","parse-names":false,"suffix":""},{"dropping-particle":"","family":"Kaiser","given":"Ursula B","non-dropping-particle":"","parse-names":false,"suffix":""}],"container-title":"Journal of the Endocrine Society","id":"ITEM-1","issued":{"date-parts":[["0"]]},"title":"The peripubertal decline in Makorin ring finger protein 3 expression is independent of leptin action","type":"article-journal"},"uris":["http://www.mendeley.com/documents/?uuid=ef4f0f3e-a919-3225-8f7e-59dea7c654f3"]}],"mendeley":{"formattedCitation":"(31)","plainTextFormattedCitation":"(31)","previouslyFormattedCitation":"(31)"},"properties":{"noteIndex":0},"schema":"https://github.com/citation-style-language/schema/raw/master/csl-citation.json"}</w:instrText>
      </w:r>
      <w:r w:rsidR="00E64FB5">
        <w:rPr>
          <w:sz w:val="22"/>
          <w:szCs w:val="22"/>
        </w:rPr>
        <w:fldChar w:fldCharType="separate"/>
      </w:r>
      <w:r w:rsidR="00E527D9" w:rsidRPr="00E527D9">
        <w:rPr>
          <w:noProof/>
          <w:sz w:val="22"/>
          <w:szCs w:val="22"/>
        </w:rPr>
        <w:t>(31)</w:t>
      </w:r>
      <w:r w:rsidR="00E64FB5">
        <w:rPr>
          <w:sz w:val="22"/>
          <w:szCs w:val="22"/>
        </w:rPr>
        <w:fldChar w:fldCharType="end"/>
      </w:r>
      <w:r w:rsidR="00E64FB5">
        <w:rPr>
          <w:sz w:val="22"/>
          <w:szCs w:val="22"/>
        </w:rPr>
        <w:t xml:space="preserve">. </w:t>
      </w:r>
      <w:r w:rsidR="003B546E">
        <w:rPr>
          <w:sz w:val="22"/>
          <w:szCs w:val="22"/>
        </w:rPr>
        <w:lastRenderedPageBreak/>
        <w:t>Thus, further work to identify the factors that regulate MKRN3 represent</w:t>
      </w:r>
      <w:r w:rsidR="006A504A">
        <w:rPr>
          <w:sz w:val="22"/>
          <w:szCs w:val="22"/>
        </w:rPr>
        <w:t>s</w:t>
      </w:r>
      <w:r w:rsidR="003B546E">
        <w:rPr>
          <w:sz w:val="22"/>
          <w:szCs w:val="22"/>
        </w:rPr>
        <w:t xml:space="preserve"> a</w:t>
      </w:r>
      <w:r w:rsidR="008C5B9B">
        <w:rPr>
          <w:sz w:val="22"/>
          <w:szCs w:val="22"/>
        </w:rPr>
        <w:t>n</w:t>
      </w:r>
      <w:r w:rsidR="00EA4DDE">
        <w:rPr>
          <w:sz w:val="22"/>
          <w:szCs w:val="22"/>
        </w:rPr>
        <w:t xml:space="preserve"> </w:t>
      </w:r>
      <w:r w:rsidR="008C5B9B">
        <w:rPr>
          <w:sz w:val="22"/>
          <w:szCs w:val="22"/>
        </w:rPr>
        <w:t>intriguing</w:t>
      </w:r>
      <w:r w:rsidR="003B546E">
        <w:rPr>
          <w:sz w:val="22"/>
          <w:szCs w:val="22"/>
        </w:rPr>
        <w:t xml:space="preserve"> area of active research.</w:t>
      </w:r>
    </w:p>
    <w:p w14:paraId="363660EE" w14:textId="41139F65" w:rsidR="00FA56B3" w:rsidRDefault="00DD7682" w:rsidP="00283091">
      <w:pPr>
        <w:autoSpaceDE w:val="0"/>
        <w:autoSpaceDN w:val="0"/>
        <w:adjustRightInd w:val="0"/>
        <w:spacing w:line="480" w:lineRule="auto"/>
        <w:jc w:val="both"/>
        <w:rPr>
          <w:sz w:val="22"/>
          <w:szCs w:val="22"/>
        </w:rPr>
      </w:pPr>
      <w:r>
        <w:rPr>
          <w:sz w:val="22"/>
          <w:szCs w:val="22"/>
        </w:rPr>
        <w:t>In conclusion</w:t>
      </w:r>
      <w:r w:rsidR="005A4447">
        <w:rPr>
          <w:sz w:val="22"/>
          <w:szCs w:val="22"/>
        </w:rPr>
        <w:t xml:space="preserve">, </w:t>
      </w:r>
      <w:r w:rsidR="00733692">
        <w:rPr>
          <w:sz w:val="22"/>
          <w:szCs w:val="22"/>
        </w:rPr>
        <w:t xml:space="preserve">the landmark discovery of </w:t>
      </w:r>
      <w:r w:rsidR="005A4447" w:rsidRPr="00946FFC">
        <w:rPr>
          <w:sz w:val="22"/>
          <w:szCs w:val="22"/>
        </w:rPr>
        <w:t>MKRN3</w:t>
      </w:r>
      <w:r>
        <w:rPr>
          <w:sz w:val="22"/>
          <w:szCs w:val="22"/>
        </w:rPr>
        <w:t xml:space="preserve"> </w:t>
      </w:r>
      <w:r w:rsidR="00E448B1">
        <w:rPr>
          <w:sz w:val="22"/>
          <w:szCs w:val="22"/>
        </w:rPr>
        <w:t>considerably</w:t>
      </w:r>
      <w:r>
        <w:rPr>
          <w:sz w:val="22"/>
          <w:szCs w:val="22"/>
        </w:rPr>
        <w:t xml:space="preserve"> advances our understanding of the signals that regulate the normal timing of puberty and</w:t>
      </w:r>
      <w:r w:rsidR="005A4447">
        <w:rPr>
          <w:sz w:val="22"/>
          <w:szCs w:val="22"/>
        </w:rPr>
        <w:t xml:space="preserve"> highlights the</w:t>
      </w:r>
      <w:r w:rsidR="00EA4DDE">
        <w:rPr>
          <w:sz w:val="22"/>
          <w:szCs w:val="22"/>
        </w:rPr>
        <w:t xml:space="preserve"> </w:t>
      </w:r>
      <w:r w:rsidR="00A729CE">
        <w:rPr>
          <w:sz w:val="22"/>
          <w:szCs w:val="22"/>
        </w:rPr>
        <w:t xml:space="preserve">relevance </w:t>
      </w:r>
      <w:r w:rsidR="005A4447">
        <w:rPr>
          <w:sz w:val="22"/>
          <w:szCs w:val="22"/>
        </w:rPr>
        <w:t xml:space="preserve">of epigenetic changes </w:t>
      </w:r>
      <w:r w:rsidR="007E31ED">
        <w:rPr>
          <w:sz w:val="22"/>
          <w:szCs w:val="22"/>
        </w:rPr>
        <w:t>o</w:t>
      </w:r>
      <w:r w:rsidR="005A4447">
        <w:rPr>
          <w:sz w:val="22"/>
          <w:szCs w:val="22"/>
        </w:rPr>
        <w:t xml:space="preserve">n the neuroendocrine control of </w:t>
      </w:r>
      <w:r w:rsidR="00EA4DDE">
        <w:rPr>
          <w:sz w:val="22"/>
          <w:szCs w:val="22"/>
        </w:rPr>
        <w:t>puberty</w:t>
      </w:r>
      <w:r w:rsidR="005A4447">
        <w:rPr>
          <w:sz w:val="22"/>
          <w:szCs w:val="22"/>
        </w:rPr>
        <w:t>.</w:t>
      </w:r>
    </w:p>
    <w:p w14:paraId="21A60A78" w14:textId="1606983D" w:rsidR="00FA56B3" w:rsidRDefault="00FA56B3" w:rsidP="00283091">
      <w:pPr>
        <w:autoSpaceDE w:val="0"/>
        <w:autoSpaceDN w:val="0"/>
        <w:adjustRightInd w:val="0"/>
        <w:spacing w:line="480" w:lineRule="auto"/>
        <w:jc w:val="both"/>
        <w:rPr>
          <w:sz w:val="22"/>
          <w:szCs w:val="22"/>
        </w:rPr>
      </w:pPr>
    </w:p>
    <w:p w14:paraId="160B0C44" w14:textId="77777777" w:rsidR="003B546E" w:rsidRDefault="003B546E" w:rsidP="00283091">
      <w:pPr>
        <w:autoSpaceDE w:val="0"/>
        <w:autoSpaceDN w:val="0"/>
        <w:adjustRightInd w:val="0"/>
        <w:spacing w:line="480" w:lineRule="auto"/>
        <w:jc w:val="both"/>
        <w:rPr>
          <w:sz w:val="22"/>
          <w:szCs w:val="22"/>
        </w:rPr>
      </w:pPr>
    </w:p>
    <w:p w14:paraId="5394E146" w14:textId="24EE0098" w:rsidR="00065D37" w:rsidRDefault="00DB43C3" w:rsidP="00283091">
      <w:pPr>
        <w:autoSpaceDE w:val="0"/>
        <w:autoSpaceDN w:val="0"/>
        <w:adjustRightInd w:val="0"/>
        <w:spacing w:line="480" w:lineRule="auto"/>
        <w:jc w:val="both"/>
        <w:rPr>
          <w:sz w:val="22"/>
          <w:szCs w:val="22"/>
        </w:rPr>
      </w:pPr>
      <w:r w:rsidRPr="009817AB">
        <w:rPr>
          <w:b/>
          <w:bCs/>
          <w:sz w:val="22"/>
          <w:szCs w:val="22"/>
        </w:rPr>
        <w:t>Figure 1:</w:t>
      </w:r>
      <w:r>
        <w:rPr>
          <w:sz w:val="22"/>
          <w:szCs w:val="22"/>
        </w:rPr>
        <w:t xml:space="preserve"> </w:t>
      </w:r>
      <w:r w:rsidRPr="00DF3FFF">
        <w:rPr>
          <w:b/>
          <w:sz w:val="22"/>
          <w:szCs w:val="22"/>
        </w:rPr>
        <w:t xml:space="preserve">A model for how the transition to puberty is controlled by </w:t>
      </w:r>
      <w:r w:rsidR="0072120D">
        <w:rPr>
          <w:b/>
          <w:sz w:val="22"/>
          <w:szCs w:val="22"/>
        </w:rPr>
        <w:t xml:space="preserve">the action of </w:t>
      </w:r>
      <w:r w:rsidRPr="00DF3FFF">
        <w:rPr>
          <w:b/>
          <w:sz w:val="22"/>
          <w:szCs w:val="22"/>
        </w:rPr>
        <w:t>MKRN3</w:t>
      </w:r>
      <w:r w:rsidR="0072120D">
        <w:rPr>
          <w:b/>
          <w:sz w:val="22"/>
          <w:szCs w:val="22"/>
        </w:rPr>
        <w:t xml:space="preserve"> on kisspeptin expressing neurons in the hypothalamus</w:t>
      </w:r>
      <w:r>
        <w:rPr>
          <w:sz w:val="22"/>
          <w:szCs w:val="22"/>
        </w:rPr>
        <w:t xml:space="preserve">. </w:t>
      </w:r>
      <w:r w:rsidR="008927E9">
        <w:rPr>
          <w:sz w:val="22"/>
          <w:szCs w:val="22"/>
        </w:rPr>
        <w:t>Abreu et al. showed</w:t>
      </w:r>
      <w:r w:rsidR="008927E9" w:rsidRPr="00DB43C3">
        <w:rPr>
          <w:sz w:val="22"/>
          <w:szCs w:val="22"/>
        </w:rPr>
        <w:t xml:space="preserve"> that MKRN3 repressed the promot</w:t>
      </w:r>
      <w:r w:rsidR="00873B47">
        <w:rPr>
          <w:sz w:val="22"/>
          <w:szCs w:val="22"/>
        </w:rPr>
        <w:t>e</w:t>
      </w:r>
      <w:r w:rsidR="008927E9" w:rsidRPr="00DB43C3">
        <w:rPr>
          <w:sz w:val="22"/>
          <w:szCs w:val="22"/>
        </w:rPr>
        <w:t>r activity of genes encoding kisspeptin and neurokinin B</w:t>
      </w:r>
      <w:r w:rsidR="00993199">
        <w:rPr>
          <w:sz w:val="22"/>
          <w:szCs w:val="22"/>
        </w:rPr>
        <w:t xml:space="preserve"> </w:t>
      </w:r>
      <w:r w:rsidR="00E527D9">
        <w:rPr>
          <w:sz w:val="22"/>
          <w:szCs w:val="22"/>
        </w:rPr>
        <w:fldChar w:fldCharType="begin" w:fldLock="1"/>
      </w:r>
      <w:r w:rsidR="00E527D9">
        <w:rPr>
          <w:sz w:val="22"/>
          <w:szCs w:val="22"/>
        </w:rPr>
        <w:instrText>ADDIN CSL_CITATION {"citationItems":[{"id":"ITEM-1","itemData":{"DOI":"10.1172/JCI136564","ISSN":"1558-8238","author":[{"dropping-particle":"","family":"Abreu","given":"Ana Paula","non-dropping-particle":"","parse-names":false,"suffix":""},{"dropping-particle":"","family":"Toro","given":"Carlos A.","non-dropping-particle":"","parse-names":false,"suffix":""},{"dropping-particle":"","family":"Song","given":"Yong Bhum","non-dropping-particle":"","parse-names":false,"suffix":""},{"dropping-particle":"","family":"Navarro","given":"Victor M","non-dropping-particle":"","parse-names":false,"suffix":""},{"dropping-particle":"","family":"Bosch","given":"Martha A.","non-dropping-particle":"","parse-names":false,"suffix":""},{"dropping-particle":"","family":"Eren","given":"Aysegul","non-dropping-particle":"","parse-names":false,"suffix":""},{"dropping-particle":"","family":"Liang","given":"Joy N.","non-dropping-particle":"","parse-names":false,"suffix":""},{"dropping-particle":"","family":"Carroll","given":"Rona S.","non-dropping-particle":"","parse-names":false,"suffix":""},{"dropping-particle":"","family":"Latronico","given":"Ana Claudia","non-dropping-particle":"","parse-names":false,"suffix":""},{"dropping-particle":"","family":"Ronnekleiv","given":"Oline K.","non-dropping-particle":"","parse-names":false,"suffix":""},{"dropping-particle":"","family":"Aylwin","given":"Carlos F","non-dropping-particle":"","parse-names":false,"suffix":""},{"dropping-particle":"","family":"Lomniczi","given":"Alejandro","non-dropping-particle":"","parse-names":false,"suffix":""},{"dropping-particle":"","family":"Ojeda","given":"Sergio R.","non-dropping-particle":"","parse-names":false,"suffix":""},{"dropping-particle":"","family":"Kaiser","given":"Ursula B","non-dropping-particle":"","parse-names":false,"suffix":""}],"container-title":"Journal of Clinical Investigation","id":"ITEM-1","issued":{"date-parts":[["2020","5","14"]]},"publisher":"J Clin Invest","title":"MKRN3 inhibits the reproductive axis through actions in kisspeptin-expressing neurons","type":"article-journal"},"uris":["http://www.mendeley.com/documents/?uuid=efcf0f71-a707-3526-bf40-e1f1b332491b"]}],"mendeley":{"formattedCitation":"(19)","plainTextFormattedCitation":"(19)"},"properties":{"noteIndex":0},"schema":"https://github.com/citation-style-language/schema/raw/master/csl-citation.json"}</w:instrText>
      </w:r>
      <w:r w:rsidR="00E527D9">
        <w:rPr>
          <w:sz w:val="22"/>
          <w:szCs w:val="22"/>
        </w:rPr>
        <w:fldChar w:fldCharType="separate"/>
      </w:r>
      <w:r w:rsidR="00E527D9" w:rsidRPr="00E527D9">
        <w:rPr>
          <w:noProof/>
          <w:sz w:val="22"/>
          <w:szCs w:val="22"/>
        </w:rPr>
        <w:t>(19)</w:t>
      </w:r>
      <w:r w:rsidR="00E527D9">
        <w:rPr>
          <w:sz w:val="22"/>
          <w:szCs w:val="22"/>
        </w:rPr>
        <w:fldChar w:fldCharType="end"/>
      </w:r>
      <w:r w:rsidR="0071072B">
        <w:rPr>
          <w:sz w:val="22"/>
          <w:szCs w:val="22"/>
        </w:rPr>
        <w:t xml:space="preserve">. </w:t>
      </w:r>
      <w:r>
        <w:rPr>
          <w:sz w:val="22"/>
          <w:szCs w:val="22"/>
        </w:rPr>
        <w:t xml:space="preserve">The </w:t>
      </w:r>
      <w:r w:rsidRPr="00DB43C3">
        <w:rPr>
          <w:sz w:val="22"/>
          <w:szCs w:val="22"/>
        </w:rPr>
        <w:t xml:space="preserve">reduction in </w:t>
      </w:r>
      <w:r w:rsidRPr="003D0C5A">
        <w:rPr>
          <w:sz w:val="22"/>
          <w:szCs w:val="22"/>
        </w:rPr>
        <w:t>MKRN3</w:t>
      </w:r>
      <w:r w:rsidR="008927E9">
        <w:rPr>
          <w:sz w:val="22"/>
          <w:szCs w:val="22"/>
        </w:rPr>
        <w:t xml:space="preserve"> in the lead up to puberty</w:t>
      </w:r>
      <w:r w:rsidRPr="00DB43C3">
        <w:rPr>
          <w:sz w:val="22"/>
          <w:szCs w:val="22"/>
        </w:rPr>
        <w:t xml:space="preserve"> alleviates </w:t>
      </w:r>
      <w:r w:rsidR="008927E9">
        <w:rPr>
          <w:sz w:val="22"/>
          <w:szCs w:val="22"/>
        </w:rPr>
        <w:t xml:space="preserve">the </w:t>
      </w:r>
      <w:r w:rsidRPr="00DB43C3">
        <w:rPr>
          <w:sz w:val="22"/>
          <w:szCs w:val="22"/>
        </w:rPr>
        <w:t>constraint</w:t>
      </w:r>
      <w:r>
        <w:rPr>
          <w:sz w:val="22"/>
          <w:szCs w:val="22"/>
        </w:rPr>
        <w:t xml:space="preserve"> </w:t>
      </w:r>
      <w:r w:rsidR="009817AB">
        <w:rPr>
          <w:sz w:val="22"/>
          <w:szCs w:val="22"/>
        </w:rPr>
        <w:t xml:space="preserve">on </w:t>
      </w:r>
      <w:r w:rsidR="009817AB" w:rsidRPr="009817AB">
        <w:rPr>
          <w:sz w:val="22"/>
          <w:szCs w:val="22"/>
          <w:u w:val="single"/>
        </w:rPr>
        <w:t>K</w:t>
      </w:r>
      <w:r w:rsidR="009817AB">
        <w:rPr>
          <w:sz w:val="22"/>
          <w:szCs w:val="22"/>
        </w:rPr>
        <w:t>isspeptin/</w:t>
      </w:r>
      <w:r w:rsidR="009817AB" w:rsidRPr="009817AB">
        <w:rPr>
          <w:sz w:val="22"/>
          <w:szCs w:val="22"/>
          <w:u w:val="single"/>
        </w:rPr>
        <w:t>N</w:t>
      </w:r>
      <w:r w:rsidR="009817AB">
        <w:rPr>
          <w:sz w:val="22"/>
          <w:szCs w:val="22"/>
        </w:rPr>
        <w:t>eurokinin B/</w:t>
      </w:r>
      <w:r w:rsidR="009817AB" w:rsidRPr="009817AB">
        <w:rPr>
          <w:sz w:val="22"/>
          <w:szCs w:val="22"/>
          <w:u w:val="single"/>
        </w:rPr>
        <w:t>Dy</w:t>
      </w:r>
      <w:r w:rsidR="009817AB">
        <w:rPr>
          <w:sz w:val="22"/>
          <w:szCs w:val="22"/>
        </w:rPr>
        <w:t>norphin (</w:t>
      </w:r>
      <w:proofErr w:type="spellStart"/>
      <w:r w:rsidR="009817AB">
        <w:rPr>
          <w:sz w:val="22"/>
          <w:szCs w:val="22"/>
        </w:rPr>
        <w:t>KNDy</w:t>
      </w:r>
      <w:proofErr w:type="spellEnd"/>
      <w:r w:rsidR="009817AB">
        <w:rPr>
          <w:sz w:val="22"/>
          <w:szCs w:val="22"/>
        </w:rPr>
        <w:t xml:space="preserve">) neurons </w:t>
      </w:r>
      <w:r w:rsidR="00065D37">
        <w:rPr>
          <w:sz w:val="22"/>
          <w:szCs w:val="22"/>
        </w:rPr>
        <w:t>to allow reactivation of the hypothalamo-pituitary-gonadal axis and the initiation of puberty.</w:t>
      </w:r>
    </w:p>
    <w:p w14:paraId="28173843" w14:textId="77777777" w:rsidR="00DB43C3" w:rsidRDefault="00DB43C3" w:rsidP="00283091">
      <w:pPr>
        <w:autoSpaceDE w:val="0"/>
        <w:autoSpaceDN w:val="0"/>
        <w:adjustRightInd w:val="0"/>
        <w:spacing w:line="480" w:lineRule="auto"/>
        <w:jc w:val="both"/>
        <w:rPr>
          <w:sz w:val="22"/>
          <w:szCs w:val="22"/>
        </w:rPr>
      </w:pPr>
    </w:p>
    <w:p w14:paraId="67F8282E" w14:textId="77777777" w:rsidR="00FA56B3" w:rsidRPr="00404155" w:rsidRDefault="00FA56B3" w:rsidP="00FA56B3">
      <w:pPr>
        <w:spacing w:line="480" w:lineRule="auto"/>
        <w:jc w:val="both"/>
        <w:rPr>
          <w:rFonts w:ascii="Times" w:hAnsi="Times"/>
          <w:b/>
          <w:bCs/>
          <w:sz w:val="22"/>
          <w:szCs w:val="22"/>
        </w:rPr>
      </w:pPr>
      <w:r w:rsidRPr="00404155">
        <w:rPr>
          <w:rFonts w:ascii="Times" w:hAnsi="Times"/>
          <w:b/>
          <w:bCs/>
          <w:sz w:val="22"/>
          <w:szCs w:val="22"/>
        </w:rPr>
        <w:t>Acknowledgments</w:t>
      </w:r>
    </w:p>
    <w:p w14:paraId="2F2FBA7B" w14:textId="4EBA7D48" w:rsidR="007D2ECC" w:rsidRPr="00FA56B3" w:rsidRDefault="00FA56B3" w:rsidP="00FA56B3">
      <w:pPr>
        <w:spacing w:line="480" w:lineRule="auto"/>
        <w:jc w:val="both"/>
        <w:rPr>
          <w:rFonts w:ascii="Times" w:hAnsi="Times"/>
          <w:sz w:val="22"/>
          <w:szCs w:val="22"/>
        </w:rPr>
      </w:pPr>
      <w:r w:rsidRPr="00404155">
        <w:rPr>
          <w:rFonts w:ascii="Times" w:hAnsi="Times"/>
          <w:sz w:val="22"/>
          <w:szCs w:val="22"/>
        </w:rPr>
        <w:t xml:space="preserve">The Section of Endocrinology and Investigative Medicine was funded by grants from the </w:t>
      </w:r>
      <w:r w:rsidR="00D12606">
        <w:rPr>
          <w:rFonts w:ascii="Times" w:hAnsi="Times"/>
          <w:sz w:val="22"/>
          <w:szCs w:val="22"/>
        </w:rPr>
        <w:t>Medical Research Council (</w:t>
      </w:r>
      <w:r w:rsidRPr="00404155">
        <w:rPr>
          <w:rFonts w:ascii="Times" w:hAnsi="Times"/>
          <w:sz w:val="22"/>
          <w:szCs w:val="22"/>
        </w:rPr>
        <w:t>MRC</w:t>
      </w:r>
      <w:r w:rsidR="00D12606">
        <w:rPr>
          <w:rFonts w:ascii="Times" w:hAnsi="Times"/>
          <w:sz w:val="22"/>
          <w:szCs w:val="22"/>
        </w:rPr>
        <w:t>)</w:t>
      </w:r>
      <w:r w:rsidRPr="00404155">
        <w:rPr>
          <w:rFonts w:ascii="Times" w:hAnsi="Times"/>
          <w:sz w:val="22"/>
          <w:szCs w:val="22"/>
        </w:rPr>
        <w:t xml:space="preserve">, </w:t>
      </w:r>
      <w:r w:rsidR="00D12606">
        <w:rPr>
          <w:rFonts w:ascii="Times" w:hAnsi="Times"/>
          <w:sz w:val="22"/>
          <w:szCs w:val="22"/>
        </w:rPr>
        <w:t>the Biotechnology and Biological Sciences Research Council (</w:t>
      </w:r>
      <w:r w:rsidRPr="00404155">
        <w:rPr>
          <w:rFonts w:ascii="Times" w:hAnsi="Times"/>
          <w:sz w:val="22"/>
          <w:szCs w:val="22"/>
        </w:rPr>
        <w:t>BBSRC</w:t>
      </w:r>
      <w:r w:rsidR="00D12606">
        <w:rPr>
          <w:rFonts w:ascii="Times" w:hAnsi="Times"/>
          <w:sz w:val="22"/>
          <w:szCs w:val="22"/>
        </w:rPr>
        <w:t>)</w:t>
      </w:r>
      <w:r w:rsidRPr="00404155">
        <w:rPr>
          <w:rFonts w:ascii="Times" w:hAnsi="Times"/>
          <w:sz w:val="22"/>
          <w:szCs w:val="22"/>
        </w:rPr>
        <w:t xml:space="preserve">, </w:t>
      </w:r>
      <w:r w:rsidR="00D12606">
        <w:rPr>
          <w:rFonts w:ascii="Times" w:hAnsi="Times"/>
          <w:sz w:val="22"/>
          <w:szCs w:val="22"/>
        </w:rPr>
        <w:t xml:space="preserve">and the </w:t>
      </w:r>
      <w:r w:rsidR="00D12606" w:rsidRPr="00404155">
        <w:rPr>
          <w:rFonts w:ascii="Times" w:hAnsi="Times"/>
          <w:sz w:val="22"/>
          <w:szCs w:val="22"/>
        </w:rPr>
        <w:t xml:space="preserve">National Institute of Health Research </w:t>
      </w:r>
      <w:r w:rsidR="00D12606">
        <w:rPr>
          <w:rFonts w:ascii="Times" w:hAnsi="Times"/>
          <w:sz w:val="22"/>
          <w:szCs w:val="22"/>
        </w:rPr>
        <w:t>(</w:t>
      </w:r>
      <w:r w:rsidRPr="00404155">
        <w:rPr>
          <w:rFonts w:ascii="Times" w:hAnsi="Times"/>
          <w:sz w:val="22"/>
          <w:szCs w:val="22"/>
        </w:rPr>
        <w:t>NIHR</w:t>
      </w:r>
      <w:proofErr w:type="gramStart"/>
      <w:r w:rsidR="00D12606">
        <w:rPr>
          <w:rFonts w:ascii="Times" w:hAnsi="Times"/>
          <w:sz w:val="22"/>
          <w:szCs w:val="22"/>
        </w:rPr>
        <w:t>),</w:t>
      </w:r>
      <w:r w:rsidRPr="00404155">
        <w:rPr>
          <w:rFonts w:ascii="Times" w:hAnsi="Times"/>
          <w:sz w:val="22"/>
          <w:szCs w:val="22"/>
        </w:rPr>
        <w:t xml:space="preserve"> and</w:t>
      </w:r>
      <w:proofErr w:type="gramEnd"/>
      <w:r w:rsidRPr="00404155">
        <w:rPr>
          <w:rFonts w:ascii="Times" w:hAnsi="Times"/>
          <w:sz w:val="22"/>
          <w:szCs w:val="22"/>
        </w:rPr>
        <w:t xml:space="preserve"> was supported by the NIHR Biomedical Research Centre Funding Scheme. The views expressed are those of the author(s) and not necessarily those of the MRC, BBSRC, the NHS, the NIHR, or the Department of Health. AA was supported by NIHR Clinician Scientist Award CS-2018-18-ST2-002. WSD was supported by an NIHR Research Professorship NIHR-RP-2014-05-001.</w:t>
      </w:r>
      <w:r w:rsidR="007D2ECC">
        <w:rPr>
          <w:sz w:val="22"/>
          <w:szCs w:val="22"/>
        </w:rPr>
        <w:br w:type="page"/>
      </w:r>
    </w:p>
    <w:p w14:paraId="70D6211B" w14:textId="27B1074C" w:rsidR="00E74DA1" w:rsidRDefault="007D2ECC" w:rsidP="00BD5B60">
      <w:pPr>
        <w:autoSpaceDE w:val="0"/>
        <w:autoSpaceDN w:val="0"/>
        <w:adjustRightInd w:val="0"/>
        <w:spacing w:line="480" w:lineRule="auto"/>
        <w:rPr>
          <w:b/>
          <w:bCs/>
          <w:sz w:val="22"/>
          <w:szCs w:val="22"/>
        </w:rPr>
      </w:pPr>
      <w:r w:rsidRPr="007D2ECC">
        <w:rPr>
          <w:b/>
          <w:bCs/>
          <w:sz w:val="22"/>
          <w:szCs w:val="22"/>
        </w:rPr>
        <w:lastRenderedPageBreak/>
        <w:t>References</w:t>
      </w:r>
    </w:p>
    <w:p w14:paraId="58A9C59A" w14:textId="5AC54CED" w:rsidR="00E527D9" w:rsidRPr="00E527D9" w:rsidRDefault="007D2ECC" w:rsidP="00E527D9">
      <w:pPr>
        <w:widowControl w:val="0"/>
        <w:autoSpaceDE w:val="0"/>
        <w:autoSpaceDN w:val="0"/>
        <w:adjustRightInd w:val="0"/>
        <w:spacing w:line="480" w:lineRule="auto"/>
        <w:ind w:left="640" w:hanging="640"/>
        <w:rPr>
          <w:noProof/>
          <w:sz w:val="22"/>
        </w:rPr>
      </w:pPr>
      <w:r>
        <w:rPr>
          <w:sz w:val="22"/>
          <w:szCs w:val="22"/>
        </w:rPr>
        <w:fldChar w:fldCharType="begin" w:fldLock="1"/>
      </w:r>
      <w:r>
        <w:rPr>
          <w:sz w:val="22"/>
          <w:szCs w:val="22"/>
        </w:rPr>
        <w:instrText xml:space="preserve">ADDIN Mendeley Bibliography CSL_BIBLIOGRAPHY </w:instrText>
      </w:r>
      <w:r>
        <w:rPr>
          <w:sz w:val="22"/>
          <w:szCs w:val="22"/>
        </w:rPr>
        <w:fldChar w:fldCharType="separate"/>
      </w:r>
      <w:r w:rsidR="00E527D9" w:rsidRPr="00E527D9">
        <w:rPr>
          <w:noProof/>
          <w:sz w:val="22"/>
        </w:rPr>
        <w:t xml:space="preserve">1. </w:t>
      </w:r>
      <w:r w:rsidR="00E527D9" w:rsidRPr="00E527D9">
        <w:rPr>
          <w:noProof/>
          <w:sz w:val="22"/>
        </w:rPr>
        <w:tab/>
        <w:t xml:space="preserve">Perry JRB, Day F, Elks CE, Sulem P, Thompson DJ, Ferreira T, et al. Parent-of-origin-specific allelic associations among 106 genomic loci for age at menarche. </w:t>
      </w:r>
      <w:r w:rsidR="00E527D9" w:rsidRPr="00E527D9">
        <w:rPr>
          <w:i/>
          <w:iCs/>
          <w:noProof/>
          <w:sz w:val="22"/>
        </w:rPr>
        <w:t>Nature</w:t>
      </w:r>
      <w:r w:rsidR="00E527D9" w:rsidRPr="00E527D9">
        <w:rPr>
          <w:noProof/>
          <w:sz w:val="22"/>
        </w:rPr>
        <w:t>. [Online] 2014; Available from: doi:10.1038/nature13545</w:t>
      </w:r>
    </w:p>
    <w:p w14:paraId="040E9BEF"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 </w:t>
      </w:r>
      <w:r w:rsidRPr="00E527D9">
        <w:rPr>
          <w:noProof/>
          <w:sz w:val="22"/>
        </w:rPr>
        <w:tab/>
        <w:t xml:space="preserve">Abreu AP, Kaiser UB. </w:t>
      </w:r>
      <w:r w:rsidRPr="00E527D9">
        <w:rPr>
          <w:i/>
          <w:iCs/>
          <w:noProof/>
          <w:sz w:val="22"/>
        </w:rPr>
        <w:t>Pubertal development and regulation</w:t>
      </w:r>
      <w:r w:rsidRPr="00E527D9">
        <w:rPr>
          <w:noProof/>
          <w:sz w:val="22"/>
        </w:rPr>
        <w:t>. [Online] The Lancet Diabetes and Endocrinology. 2016. Available from: doi:10.1016/S2213-8587(15)00418-0</w:t>
      </w:r>
    </w:p>
    <w:p w14:paraId="3F80E462"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3. </w:t>
      </w:r>
      <w:r w:rsidRPr="00E527D9">
        <w:rPr>
          <w:noProof/>
          <w:sz w:val="22"/>
        </w:rPr>
        <w:tab/>
        <w:t xml:space="preserve">Young J, Xu C, Papadakis GE, Acierno JS, Maione L, Hietamäki J, et al. Clinical Management of Congenital Hypogonadotropic Hypogonadism. </w:t>
      </w:r>
      <w:r w:rsidRPr="00E527D9">
        <w:rPr>
          <w:i/>
          <w:iCs/>
          <w:noProof/>
          <w:sz w:val="22"/>
        </w:rPr>
        <w:t>Endocrine Reviews</w:t>
      </w:r>
      <w:r w:rsidRPr="00E527D9">
        <w:rPr>
          <w:noProof/>
          <w:sz w:val="22"/>
        </w:rPr>
        <w:t>. [Online] 2019; Available from: doi:10.1210/er.2018-00116</w:t>
      </w:r>
    </w:p>
    <w:p w14:paraId="4EC66528"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4. </w:t>
      </w:r>
      <w:r w:rsidRPr="00E527D9">
        <w:rPr>
          <w:noProof/>
          <w:sz w:val="22"/>
        </w:rPr>
        <w:tab/>
        <w:t xml:space="preserve">Sørensen K, Aksglaede L, Petersen JH, Juul A. Recent changes in pubertal timing in healthy Danish boys: Associations with body mass index. </w:t>
      </w:r>
      <w:r w:rsidRPr="00E527D9">
        <w:rPr>
          <w:i/>
          <w:iCs/>
          <w:noProof/>
          <w:sz w:val="22"/>
        </w:rPr>
        <w:t>Journal of Clinical Endocrinology and Metabolism</w:t>
      </w:r>
      <w:r w:rsidRPr="00E527D9">
        <w:rPr>
          <w:noProof/>
          <w:sz w:val="22"/>
        </w:rPr>
        <w:t>. [Online] 2010; Available from: doi:10.1210/jc.2009-1478</w:t>
      </w:r>
    </w:p>
    <w:p w14:paraId="2C239C67"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5. </w:t>
      </w:r>
      <w:r w:rsidRPr="00E527D9">
        <w:rPr>
          <w:noProof/>
          <w:sz w:val="22"/>
        </w:rPr>
        <w:tab/>
        <w:t xml:space="preserve">So Much More to Know. </w:t>
      </w:r>
      <w:r w:rsidRPr="00E527D9">
        <w:rPr>
          <w:i/>
          <w:iCs/>
          <w:noProof/>
          <w:sz w:val="22"/>
        </w:rPr>
        <w:t>Science</w:t>
      </w:r>
      <w:r w:rsidRPr="00E527D9">
        <w:rPr>
          <w:noProof/>
          <w:sz w:val="22"/>
        </w:rPr>
        <w:t>. [Online] 2005;309(5731): 78b-102b. Available from: doi:10.1126/science.309.5731.78b</w:t>
      </w:r>
    </w:p>
    <w:p w14:paraId="6D33F255"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6. </w:t>
      </w:r>
      <w:r w:rsidRPr="00E527D9">
        <w:rPr>
          <w:noProof/>
          <w:sz w:val="22"/>
        </w:rPr>
        <w:tab/>
        <w:t xml:space="preserve">de Roux N, Genin E, Carel J-C, Matsuda F, Chaussain J-L, Milgrom E. Hypogonadotropic hypogonadism due to loss of function of the KiSS1-derived peptide receptor GPR54. </w:t>
      </w:r>
      <w:r w:rsidRPr="00E527D9">
        <w:rPr>
          <w:i/>
          <w:iCs/>
          <w:noProof/>
          <w:sz w:val="22"/>
        </w:rPr>
        <w:t>Proceedings of the National Academy of Sciences of the United States of America</w:t>
      </w:r>
      <w:r w:rsidRPr="00E527D9">
        <w:rPr>
          <w:noProof/>
          <w:sz w:val="22"/>
        </w:rPr>
        <w:t>. [Online] National Academy of Sciences; 2003;100(19): 10972–10976. Available from: doi:10.1073/pnas.1834399100</w:t>
      </w:r>
    </w:p>
    <w:p w14:paraId="7CE49BB0"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7. </w:t>
      </w:r>
      <w:r w:rsidRPr="00E527D9">
        <w:rPr>
          <w:noProof/>
          <w:sz w:val="22"/>
        </w:rPr>
        <w:tab/>
        <w:t xml:space="preserve">Seminara SB, Messager S, Chatzidaki EE, Thresher RR, Acierno JS, Shagoury JK, et al. The GPR54 Gene as a Regulator of Puberty. </w:t>
      </w:r>
      <w:r w:rsidRPr="00E527D9">
        <w:rPr>
          <w:i/>
          <w:iCs/>
          <w:noProof/>
          <w:sz w:val="22"/>
        </w:rPr>
        <w:t>New England Journal of Medicine</w:t>
      </w:r>
      <w:r w:rsidRPr="00E527D9">
        <w:rPr>
          <w:noProof/>
          <w:sz w:val="22"/>
        </w:rPr>
        <w:t>. [Online] 2003;349: 1614–1627. Available from: doi:10.1097/00006254-200405000-00020</w:t>
      </w:r>
    </w:p>
    <w:p w14:paraId="6935B608"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8. </w:t>
      </w:r>
      <w:r w:rsidRPr="00E527D9">
        <w:rPr>
          <w:noProof/>
          <w:sz w:val="22"/>
        </w:rPr>
        <w:tab/>
        <w:t xml:space="preserve">Teles MG, Bianco SDC, Brito VN, Trarbach EB, Kuohung W, Xu S, et al. A </w:t>
      </w:r>
      <w:r w:rsidRPr="00E527D9">
        <w:rPr>
          <w:i/>
          <w:iCs/>
          <w:noProof/>
          <w:sz w:val="22"/>
        </w:rPr>
        <w:t>GPR54</w:t>
      </w:r>
      <w:r w:rsidRPr="00E527D9">
        <w:rPr>
          <w:noProof/>
          <w:sz w:val="22"/>
        </w:rPr>
        <w:t xml:space="preserve"> -Activating Mutation in a Patient with Central Precocious Puberty. </w:t>
      </w:r>
      <w:r w:rsidRPr="00E527D9">
        <w:rPr>
          <w:i/>
          <w:iCs/>
          <w:noProof/>
          <w:sz w:val="22"/>
        </w:rPr>
        <w:t>New England Journal of Medicine</w:t>
      </w:r>
      <w:r w:rsidRPr="00E527D9">
        <w:rPr>
          <w:noProof/>
          <w:sz w:val="22"/>
        </w:rPr>
        <w:t>. [Online] 2008;358(7): 709–715. Available from: doi:10.1056/NEJMoa073443</w:t>
      </w:r>
    </w:p>
    <w:p w14:paraId="4C953DED"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9. </w:t>
      </w:r>
      <w:r w:rsidRPr="00E527D9">
        <w:rPr>
          <w:noProof/>
          <w:sz w:val="22"/>
        </w:rPr>
        <w:tab/>
        <w:t xml:space="preserve">Silveira LG, Noel SD, Silveira-Neto AP, Abreu AP, Brito VN, Santos MG, et al. Mutations of the KISS1 gene in disorders of puberty. </w:t>
      </w:r>
      <w:r w:rsidRPr="00E527D9">
        <w:rPr>
          <w:i/>
          <w:iCs/>
          <w:noProof/>
          <w:sz w:val="22"/>
        </w:rPr>
        <w:t>Journal of Clinical Endocrinology and Metabolism</w:t>
      </w:r>
      <w:r w:rsidRPr="00E527D9">
        <w:rPr>
          <w:noProof/>
          <w:sz w:val="22"/>
        </w:rPr>
        <w:t>. [Online] 2010;95(5). Available from: doi:10.1210/jc.2009-2421</w:t>
      </w:r>
    </w:p>
    <w:p w14:paraId="147591F4"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lastRenderedPageBreak/>
        <w:t xml:space="preserve">10. </w:t>
      </w:r>
      <w:r w:rsidRPr="00E527D9">
        <w:rPr>
          <w:noProof/>
          <w:sz w:val="22"/>
        </w:rPr>
        <w:tab/>
        <w:t xml:space="preserve">Herbison AE. </w:t>
      </w:r>
      <w:r w:rsidRPr="00E527D9">
        <w:rPr>
          <w:i/>
          <w:iCs/>
          <w:noProof/>
          <w:sz w:val="22"/>
        </w:rPr>
        <w:t>Control of puberty onset and fertility by gonadotropin-releasing hormone neurons</w:t>
      </w:r>
      <w:r w:rsidRPr="00E527D9">
        <w:rPr>
          <w:noProof/>
          <w:sz w:val="22"/>
        </w:rPr>
        <w:t>. [Online] Nature Reviews Endocrinology. Nature Publishing Group; 2016. p. 452–466. Available from: doi:10.1038/nrendo.2016.70</w:t>
      </w:r>
    </w:p>
    <w:p w14:paraId="7D6D03D8"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11. </w:t>
      </w:r>
      <w:r w:rsidRPr="00E527D9">
        <w:rPr>
          <w:noProof/>
          <w:sz w:val="22"/>
        </w:rPr>
        <w:tab/>
        <w:t xml:space="preserve">Topaloglu AK, Reimann F, Guclu M, Yalin AS, Kotan LD, Porter KM, et al. TAC3 and TACR3 mutations in familial hypogonadotropic hypogonadism reveal a key role for Neurokinin B in the central control of reproduction. </w:t>
      </w:r>
      <w:r w:rsidRPr="00E527D9">
        <w:rPr>
          <w:i/>
          <w:iCs/>
          <w:noProof/>
          <w:sz w:val="22"/>
        </w:rPr>
        <w:t>Nature genetics</w:t>
      </w:r>
      <w:r w:rsidRPr="00E527D9">
        <w:rPr>
          <w:noProof/>
          <w:sz w:val="22"/>
        </w:rPr>
        <w:t>. [Online] Europe PMC Funders; 2009;41(3): 354–358. Available from: doi:10.1038/ng.306</w:t>
      </w:r>
    </w:p>
    <w:p w14:paraId="5A397D3D"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12. </w:t>
      </w:r>
      <w:r w:rsidRPr="00E527D9">
        <w:rPr>
          <w:noProof/>
          <w:sz w:val="22"/>
        </w:rPr>
        <w:tab/>
        <w:t xml:space="preserve">Moore AM, Coolen LM, Lehman MN. Kisspeptin/Neurokinin B/Dynorphin (KNDy) cells as integrators of diverse internal and external cues: evidence from viral-based monosynaptic tract-tracing in mice. </w:t>
      </w:r>
      <w:r w:rsidRPr="00E527D9">
        <w:rPr>
          <w:i/>
          <w:iCs/>
          <w:noProof/>
          <w:sz w:val="22"/>
        </w:rPr>
        <w:t>Scientific Reports</w:t>
      </w:r>
      <w:r w:rsidRPr="00E527D9">
        <w:rPr>
          <w:noProof/>
          <w:sz w:val="22"/>
        </w:rPr>
        <w:t>. [Online] Nature Publishing Group; 2019;9(1): 1–15. Available from: doi:10.1038/s41598-019-51201-0</w:t>
      </w:r>
    </w:p>
    <w:p w14:paraId="6A866C18"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13. </w:t>
      </w:r>
      <w:r w:rsidRPr="00E527D9">
        <w:rPr>
          <w:noProof/>
          <w:sz w:val="22"/>
        </w:rPr>
        <w:tab/>
        <w:t xml:space="preserve">Moore AM, Coolen LM, Porter DT, Goodman RL, Lehman MN. </w:t>
      </w:r>
      <w:r w:rsidRPr="00E527D9">
        <w:rPr>
          <w:i/>
          <w:iCs/>
          <w:noProof/>
          <w:sz w:val="22"/>
        </w:rPr>
        <w:t>KNDy cells revisited</w:t>
      </w:r>
      <w:r w:rsidRPr="00E527D9">
        <w:rPr>
          <w:noProof/>
          <w:sz w:val="22"/>
        </w:rPr>
        <w:t>. [Online] Endocrinology. 2018. Available from: doi:10.1210/en.2018-00389</w:t>
      </w:r>
    </w:p>
    <w:p w14:paraId="41EDB3E1"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14. </w:t>
      </w:r>
      <w:r w:rsidRPr="00E527D9">
        <w:rPr>
          <w:noProof/>
          <w:sz w:val="22"/>
        </w:rPr>
        <w:tab/>
        <w:t xml:space="preserve">Weems P, Smith J, Clarke IJ, Coolen LM, Goodman RL, Lehman MN. Effects of season and estradiol on KNDy neuron peptides, colocalization with D2 dopamine receptors, and dopaminergic inputs in the ewe. </w:t>
      </w:r>
      <w:r w:rsidRPr="00E527D9">
        <w:rPr>
          <w:i/>
          <w:iCs/>
          <w:noProof/>
          <w:sz w:val="22"/>
        </w:rPr>
        <w:t>Endocrinology</w:t>
      </w:r>
      <w:r w:rsidRPr="00E527D9">
        <w:rPr>
          <w:noProof/>
          <w:sz w:val="22"/>
        </w:rPr>
        <w:t>. [Online] Endocrine Society; 2017;158(4): 831–841. Available from: doi:10.1210/en.2016-1830</w:t>
      </w:r>
    </w:p>
    <w:p w14:paraId="571A8C70"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15. </w:t>
      </w:r>
      <w:r w:rsidRPr="00E527D9">
        <w:rPr>
          <w:noProof/>
          <w:sz w:val="22"/>
        </w:rPr>
        <w:tab/>
        <w:t xml:space="preserve">Mittelman-Smith MA, Krajewski-Hall SJ, McMullen NT, Rance NE. Ablation of KNDy neurons results in hypogonadotropic hypogonadism and amplifies the steroid-induced lh surge in female rats. </w:t>
      </w:r>
      <w:r w:rsidRPr="00E527D9">
        <w:rPr>
          <w:i/>
          <w:iCs/>
          <w:noProof/>
          <w:sz w:val="22"/>
        </w:rPr>
        <w:t>Endocrinology</w:t>
      </w:r>
      <w:r w:rsidRPr="00E527D9">
        <w:rPr>
          <w:noProof/>
          <w:sz w:val="22"/>
        </w:rPr>
        <w:t>. [Online] Endocrine Society; 2016;157(5): 2015–2027. Available from: doi:10.1210/en.2015-1740</w:t>
      </w:r>
    </w:p>
    <w:p w14:paraId="308A8C64"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16. </w:t>
      </w:r>
      <w:r w:rsidRPr="00E527D9">
        <w:rPr>
          <w:noProof/>
          <w:sz w:val="22"/>
        </w:rPr>
        <w:tab/>
        <w:t xml:space="preserve">Abreu AP, Dauber A, Macedo DB, Noel SD, Brito VN, Gill JC, et al. Central precocious puberty caused by mutations in the imprinted gene MKRN3. </w:t>
      </w:r>
      <w:r w:rsidRPr="00E527D9">
        <w:rPr>
          <w:i/>
          <w:iCs/>
          <w:noProof/>
          <w:sz w:val="22"/>
        </w:rPr>
        <w:t>New England Journal of Medicine</w:t>
      </w:r>
      <w:r w:rsidRPr="00E527D9">
        <w:rPr>
          <w:noProof/>
          <w:sz w:val="22"/>
        </w:rPr>
        <w:t>. [Online] 2013; Available from: doi:10.1056/NEJMoa1302160</w:t>
      </w:r>
    </w:p>
    <w:p w14:paraId="4E389ACA"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17. </w:t>
      </w:r>
      <w:r w:rsidRPr="00E527D9">
        <w:rPr>
          <w:noProof/>
          <w:sz w:val="22"/>
        </w:rPr>
        <w:tab/>
        <w:t xml:space="preserve">Bessa DS, Macedo DB, Brito VN, França MM, Montenegro LR, Cunha-Silva M, et al. </w:t>
      </w:r>
      <w:r w:rsidRPr="00E527D9">
        <w:rPr>
          <w:i/>
          <w:iCs/>
          <w:noProof/>
          <w:sz w:val="22"/>
        </w:rPr>
        <w:t>High Frequency of MKRN3 Mutations in Male Central Precocious Puberty Previously Classified as Idiopathic</w:t>
      </w:r>
      <w:r w:rsidRPr="00E527D9">
        <w:rPr>
          <w:noProof/>
          <w:sz w:val="22"/>
        </w:rPr>
        <w:t>. [Online] Neuroendocrinology. 2017. Available from: doi:10.1159/000446963</w:t>
      </w:r>
    </w:p>
    <w:p w14:paraId="6C9715A4"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18. </w:t>
      </w:r>
      <w:r w:rsidRPr="00E527D9">
        <w:rPr>
          <w:noProof/>
          <w:sz w:val="22"/>
        </w:rPr>
        <w:tab/>
        <w:t xml:space="preserve">Valadares LP, Meireles CG, De Toledo IP, Santarem de Oliveira R, Gonçalves de Castro LC, </w:t>
      </w:r>
      <w:r w:rsidRPr="00E527D9">
        <w:rPr>
          <w:noProof/>
          <w:sz w:val="22"/>
        </w:rPr>
        <w:lastRenderedPageBreak/>
        <w:t xml:space="preserve">Abreu AP, et al. MKRN3 Mutations in Central Precocious Puberty: A Systematic Review and Meta-Analysis. </w:t>
      </w:r>
      <w:r w:rsidRPr="00E527D9">
        <w:rPr>
          <w:i/>
          <w:iCs/>
          <w:noProof/>
          <w:sz w:val="22"/>
        </w:rPr>
        <w:t>Journal of the Endocrine Society</w:t>
      </w:r>
      <w:r w:rsidRPr="00E527D9">
        <w:rPr>
          <w:noProof/>
          <w:sz w:val="22"/>
        </w:rPr>
        <w:t>. [Online] 2019; Available from: doi:10.1210/js.2019-00041</w:t>
      </w:r>
    </w:p>
    <w:p w14:paraId="7B2621BF"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19. </w:t>
      </w:r>
      <w:r w:rsidRPr="00E527D9">
        <w:rPr>
          <w:noProof/>
          <w:sz w:val="22"/>
        </w:rPr>
        <w:tab/>
        <w:t xml:space="preserve">Abreu AP, Toro CA, Song YB, Navarro VM, Bosch MA, Eren A, et al. MKRN3 inhibits the reproductive axis through actions in kisspeptin-expressing neurons. </w:t>
      </w:r>
      <w:r w:rsidRPr="00E527D9">
        <w:rPr>
          <w:i/>
          <w:iCs/>
          <w:noProof/>
          <w:sz w:val="22"/>
        </w:rPr>
        <w:t>Journal of Clinical Investigation</w:t>
      </w:r>
      <w:r w:rsidRPr="00E527D9">
        <w:rPr>
          <w:noProof/>
          <w:sz w:val="22"/>
        </w:rPr>
        <w:t>. [Online] J Clin Invest; 2020; Available from: doi:10.1172/JCI136564</w:t>
      </w:r>
    </w:p>
    <w:p w14:paraId="00E98F42"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20. </w:t>
      </w:r>
      <w:r w:rsidRPr="00E527D9">
        <w:rPr>
          <w:noProof/>
          <w:sz w:val="22"/>
        </w:rPr>
        <w:tab/>
        <w:t xml:space="preserve">Li C, Lu W, Yang L, Li Z, Zhou X, Guo R, et al. MKRN3 regulates the epigenetic switch of mammalian puberty via ubiquitination of MBD3. </w:t>
      </w:r>
      <w:r w:rsidRPr="00E527D9">
        <w:rPr>
          <w:i/>
          <w:iCs/>
          <w:noProof/>
          <w:sz w:val="22"/>
        </w:rPr>
        <w:t>National Science Review</w:t>
      </w:r>
      <w:r w:rsidRPr="00E527D9">
        <w:rPr>
          <w:noProof/>
          <w:sz w:val="22"/>
        </w:rPr>
        <w:t>. [Online] 2020; Available from: doi:10.1093/nsr/nwaa023</w:t>
      </w:r>
    </w:p>
    <w:p w14:paraId="1B2975A0"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21. </w:t>
      </w:r>
      <w:r w:rsidRPr="00E527D9">
        <w:rPr>
          <w:noProof/>
          <w:sz w:val="22"/>
        </w:rPr>
        <w:tab/>
        <w:t xml:space="preserve">Yellapragada V, Liu X, Lund C, Känsäkoski J, Pulli K, Vuoristo S, et al. MKRN3 Interacts With Several Proteins Implicated in Puberty Timing but Does Not Influence GNRH1 Expression. </w:t>
      </w:r>
      <w:r w:rsidRPr="00E527D9">
        <w:rPr>
          <w:i/>
          <w:iCs/>
          <w:noProof/>
          <w:sz w:val="22"/>
        </w:rPr>
        <w:t>Frontiers in Endocrinology</w:t>
      </w:r>
      <w:r w:rsidRPr="00E527D9">
        <w:rPr>
          <w:noProof/>
          <w:sz w:val="22"/>
        </w:rPr>
        <w:t>. [Online] Frontiers Media S.A.; 2019;10(FEB): 48. Available from: doi:10.3389/fendo.2019.00048</w:t>
      </w:r>
    </w:p>
    <w:p w14:paraId="209239C5"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22. </w:t>
      </w:r>
      <w:r w:rsidRPr="00E527D9">
        <w:rPr>
          <w:noProof/>
          <w:sz w:val="22"/>
        </w:rPr>
        <w:tab/>
        <w:t xml:space="preserve">Busch AS, Hagen CP, Almstrup K, Juul A. Circulating MKRN3 levels decline during puberty in healthy boys. </w:t>
      </w:r>
      <w:r w:rsidRPr="00E527D9">
        <w:rPr>
          <w:i/>
          <w:iCs/>
          <w:noProof/>
          <w:sz w:val="22"/>
        </w:rPr>
        <w:t>Journal of Clinical Endocrinology and Metabolism</w:t>
      </w:r>
      <w:r w:rsidRPr="00E527D9">
        <w:rPr>
          <w:noProof/>
          <w:sz w:val="22"/>
        </w:rPr>
        <w:t>. [Online] 2016; Available from: doi:10.1210/jc.2016-1488</w:t>
      </w:r>
    </w:p>
    <w:p w14:paraId="24BEF3DA"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23. </w:t>
      </w:r>
      <w:r w:rsidRPr="00E527D9">
        <w:rPr>
          <w:noProof/>
          <w:sz w:val="22"/>
        </w:rPr>
        <w:tab/>
        <w:t xml:space="preserve">Varimo T, Dunkel L, Vaaralahti K, Miettinen PJ, Hero M, Raivio T. Circulating makorin ring finger protein 3 levels decline in boys before the clinical onset of puberty. </w:t>
      </w:r>
      <w:r w:rsidRPr="00E527D9">
        <w:rPr>
          <w:i/>
          <w:iCs/>
          <w:noProof/>
          <w:sz w:val="22"/>
        </w:rPr>
        <w:t>European Journal of Endocrinology</w:t>
      </w:r>
      <w:r w:rsidRPr="00E527D9">
        <w:rPr>
          <w:noProof/>
          <w:sz w:val="22"/>
        </w:rPr>
        <w:t>. [Online] 2016; Available from: doi:10.1530/EJE-15-1193</w:t>
      </w:r>
    </w:p>
    <w:p w14:paraId="4C9DB3A5"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24. </w:t>
      </w:r>
      <w:r w:rsidRPr="00E527D9">
        <w:rPr>
          <w:noProof/>
          <w:sz w:val="22"/>
        </w:rPr>
        <w:tab/>
        <w:t xml:space="preserve">Grandone A, Cirillo G, Sasso M, Capristo C, Tornese G, Marzuillo P, et al. MKRN3 levels in girls with central precocious puberty and correlation with sexual hormone levels: a pilot study. </w:t>
      </w:r>
      <w:r w:rsidRPr="00E527D9">
        <w:rPr>
          <w:i/>
          <w:iCs/>
          <w:noProof/>
          <w:sz w:val="22"/>
        </w:rPr>
        <w:t>Endocrine</w:t>
      </w:r>
      <w:r w:rsidRPr="00E527D9">
        <w:rPr>
          <w:noProof/>
          <w:sz w:val="22"/>
        </w:rPr>
        <w:t>. [Online] 2018; Available from: doi:10.1007/s12020-017-1281-x</w:t>
      </w:r>
    </w:p>
    <w:p w14:paraId="5901A109"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25. </w:t>
      </w:r>
      <w:r w:rsidRPr="00E527D9">
        <w:rPr>
          <w:noProof/>
          <w:sz w:val="22"/>
        </w:rPr>
        <w:tab/>
        <w:t xml:space="preserve">Hagen CP, Sørensen K, Mieritz MG, Johannsen TH, Almstrup K, Juul A. Circulating MKRN3 levels decline prior to pubertal onset and through puberty: A longitudinal study of healthy girls. </w:t>
      </w:r>
      <w:r w:rsidRPr="00E527D9">
        <w:rPr>
          <w:i/>
          <w:iCs/>
          <w:noProof/>
          <w:sz w:val="22"/>
        </w:rPr>
        <w:t>Journal of Clinical Endocrinology and Metabolism</w:t>
      </w:r>
      <w:r w:rsidRPr="00E527D9">
        <w:rPr>
          <w:noProof/>
          <w:sz w:val="22"/>
        </w:rPr>
        <w:t>. [Online] 2015; Available from: doi:10.1210/jc.2014-4462</w:t>
      </w:r>
    </w:p>
    <w:p w14:paraId="2E8BC191"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26. </w:t>
      </w:r>
      <w:r w:rsidRPr="00E527D9">
        <w:rPr>
          <w:noProof/>
          <w:sz w:val="22"/>
        </w:rPr>
        <w:tab/>
        <w:t xml:space="preserve">Ge W, Wang HL, Shao HJ, Liu HW, Xu RY. Evaluation of serum makorin ring finger protein 3 (MKRN3) levels in girls with idiopathic central precocious puberty and premature thelarche. </w:t>
      </w:r>
      <w:r w:rsidRPr="00E527D9">
        <w:rPr>
          <w:i/>
          <w:iCs/>
          <w:noProof/>
          <w:sz w:val="22"/>
        </w:rPr>
        <w:lastRenderedPageBreak/>
        <w:t>Physiological Research</w:t>
      </w:r>
      <w:r w:rsidRPr="00E527D9">
        <w:rPr>
          <w:noProof/>
          <w:sz w:val="22"/>
        </w:rPr>
        <w:t>. [Online] 2020; Available from: doi:10.33549/physiolres.934222</w:t>
      </w:r>
    </w:p>
    <w:p w14:paraId="428DB5B6"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27. </w:t>
      </w:r>
      <w:r w:rsidRPr="00E527D9">
        <w:rPr>
          <w:noProof/>
          <w:sz w:val="22"/>
        </w:rPr>
        <w:tab/>
        <w:t xml:space="preserve">Jeong HR, Lee HJ, Shim YS, Kang MJ, Yang S, Hwang IT. Serum Makorin ring finger protein 3 values for predicting Central precocious puberty in girls. </w:t>
      </w:r>
      <w:r w:rsidRPr="00E527D9">
        <w:rPr>
          <w:i/>
          <w:iCs/>
          <w:noProof/>
          <w:sz w:val="22"/>
        </w:rPr>
        <w:t>Gynecological Endocrinology</w:t>
      </w:r>
      <w:r w:rsidRPr="00E527D9">
        <w:rPr>
          <w:noProof/>
          <w:sz w:val="22"/>
        </w:rPr>
        <w:t>. [Online] 2019; Available from: doi:10.1080/09513590.2019.1576615</w:t>
      </w:r>
    </w:p>
    <w:p w14:paraId="5180DF62"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28. </w:t>
      </w:r>
      <w:r w:rsidRPr="00E527D9">
        <w:rPr>
          <w:noProof/>
          <w:sz w:val="22"/>
        </w:rPr>
        <w:tab/>
        <w:t xml:space="preserve">Grandone A, Cirillo G, Sasso M, Tornese G, Luongo C, Festa A, et al. MKRN3 Levels in Girls with Central Precocious Puberty during GnRHa Treatment: A Longitudinal Study. </w:t>
      </w:r>
      <w:r w:rsidRPr="00E527D9">
        <w:rPr>
          <w:i/>
          <w:iCs/>
          <w:noProof/>
          <w:sz w:val="22"/>
        </w:rPr>
        <w:t>Hormone Research in Paediatrics</w:t>
      </w:r>
      <w:r w:rsidRPr="00E527D9">
        <w:rPr>
          <w:noProof/>
          <w:sz w:val="22"/>
        </w:rPr>
        <w:t>. [Online] 2018; Available from: doi:10.1159/000493134</w:t>
      </w:r>
    </w:p>
    <w:p w14:paraId="58068B64"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29. </w:t>
      </w:r>
      <w:r w:rsidRPr="00E527D9">
        <w:rPr>
          <w:noProof/>
          <w:sz w:val="22"/>
        </w:rPr>
        <w:tab/>
        <w:t xml:space="preserve">Varimo T, Hero M, Känsäkoski J, Vaaralahti K, Matikainen N, Raivio T. </w:t>
      </w:r>
      <w:r w:rsidRPr="00E527D9">
        <w:rPr>
          <w:i/>
          <w:iCs/>
          <w:noProof/>
          <w:sz w:val="22"/>
        </w:rPr>
        <w:t>Circulating makorin ring-finger protein-3 (MKRN3) levels in healthy men and in men with hypogonadotropic hypogonadism</w:t>
      </w:r>
      <w:r w:rsidRPr="00E527D9">
        <w:rPr>
          <w:noProof/>
          <w:sz w:val="22"/>
        </w:rPr>
        <w:t>. [Online] Clinical Endocrinology. 2016. Available from: doi:10.1111/cen.12851</w:t>
      </w:r>
    </w:p>
    <w:p w14:paraId="0E1E5E89"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30. </w:t>
      </w:r>
      <w:r w:rsidRPr="00E527D9">
        <w:rPr>
          <w:noProof/>
          <w:sz w:val="22"/>
        </w:rPr>
        <w:tab/>
        <w:t xml:space="preserve">Heras V, Sangiao-Alvarellos S, Manfredi-Lozano M, Sanchez-Tapia MJ, Ruiz-Pino F, Roa J, et al. Hypothalamic miR-30 regulates puberty onset via repression of the puberty-suppressing factor, Mkrn3. </w:t>
      </w:r>
      <w:r w:rsidRPr="00E527D9">
        <w:rPr>
          <w:i/>
          <w:iCs/>
          <w:noProof/>
          <w:sz w:val="22"/>
        </w:rPr>
        <w:t>PLoS Biology</w:t>
      </w:r>
      <w:r w:rsidRPr="00E527D9">
        <w:rPr>
          <w:noProof/>
          <w:sz w:val="22"/>
        </w:rPr>
        <w:t>. [Online] 2019; Available from: doi:10.1371/journal.pbio.3000532</w:t>
      </w:r>
    </w:p>
    <w:p w14:paraId="3E1D7421" w14:textId="77777777" w:rsidR="00E527D9" w:rsidRPr="00E527D9" w:rsidRDefault="00E527D9" w:rsidP="00E527D9">
      <w:pPr>
        <w:widowControl w:val="0"/>
        <w:autoSpaceDE w:val="0"/>
        <w:autoSpaceDN w:val="0"/>
        <w:adjustRightInd w:val="0"/>
        <w:spacing w:line="480" w:lineRule="auto"/>
        <w:ind w:left="640" w:hanging="640"/>
        <w:rPr>
          <w:noProof/>
          <w:sz w:val="22"/>
        </w:rPr>
      </w:pPr>
      <w:r w:rsidRPr="00E527D9">
        <w:rPr>
          <w:noProof/>
          <w:sz w:val="22"/>
        </w:rPr>
        <w:t xml:space="preserve">31. </w:t>
      </w:r>
      <w:r w:rsidRPr="00E527D9">
        <w:rPr>
          <w:noProof/>
          <w:sz w:val="22"/>
        </w:rPr>
        <w:tab/>
        <w:t xml:space="preserve">Roberts SA, Abreu AP, Navarro VM, Liang JN, Maguire CA, Kim HK, et al. The peripubertal decline in Makorin ring finger protein 3 expression is independent of leptin action. </w:t>
      </w:r>
      <w:r w:rsidRPr="00E527D9">
        <w:rPr>
          <w:i/>
          <w:iCs/>
          <w:noProof/>
          <w:sz w:val="22"/>
        </w:rPr>
        <w:t>Journal of the Endocrine Society</w:t>
      </w:r>
      <w:r w:rsidRPr="00E527D9">
        <w:rPr>
          <w:noProof/>
          <w:sz w:val="22"/>
        </w:rPr>
        <w:t>. [Online]. Available from: doi:10.1210/JENDSO/BVAA059</w:t>
      </w:r>
    </w:p>
    <w:p w14:paraId="1EA72C82" w14:textId="0AFCDEF9" w:rsidR="00197A16" w:rsidRPr="001E7A47" w:rsidRDefault="007D2ECC" w:rsidP="00E527D9">
      <w:pPr>
        <w:widowControl w:val="0"/>
        <w:autoSpaceDE w:val="0"/>
        <w:autoSpaceDN w:val="0"/>
        <w:adjustRightInd w:val="0"/>
        <w:spacing w:line="480" w:lineRule="auto"/>
        <w:ind w:left="640" w:hanging="640"/>
      </w:pPr>
      <w:r>
        <w:rPr>
          <w:sz w:val="22"/>
          <w:szCs w:val="22"/>
        </w:rPr>
        <w:fldChar w:fldCharType="end"/>
      </w:r>
      <w:r>
        <w:br w:type="page"/>
      </w:r>
    </w:p>
    <w:p w14:paraId="1E7C76D5" w14:textId="7E90319B" w:rsidR="00197A16" w:rsidRPr="00197A16" w:rsidRDefault="00197A16" w:rsidP="009874C0">
      <w:pPr>
        <w:rPr>
          <w:b/>
          <w:bCs/>
          <w:sz w:val="22"/>
          <w:szCs w:val="22"/>
        </w:rPr>
      </w:pPr>
    </w:p>
    <w:sectPr w:rsidR="00197A16" w:rsidRPr="00197A16" w:rsidSect="00BD5B60">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43288" w14:textId="77777777" w:rsidR="00B76F7E" w:rsidRDefault="00B76F7E" w:rsidP="00106196">
      <w:r>
        <w:separator/>
      </w:r>
    </w:p>
  </w:endnote>
  <w:endnote w:type="continuationSeparator" w:id="0">
    <w:p w14:paraId="68A753F2" w14:textId="77777777" w:rsidR="00B76F7E" w:rsidRDefault="00B76F7E" w:rsidP="00106196">
      <w:r>
        <w:continuationSeparator/>
      </w:r>
    </w:p>
  </w:endnote>
  <w:endnote w:type="continuationNotice" w:id="1">
    <w:p w14:paraId="68BF9439" w14:textId="77777777" w:rsidR="00B76F7E" w:rsidRDefault="00B76F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951B5E" w14:textId="77777777" w:rsidR="00B76F7E" w:rsidRDefault="00B76F7E" w:rsidP="00106196">
      <w:r>
        <w:separator/>
      </w:r>
    </w:p>
  </w:footnote>
  <w:footnote w:type="continuationSeparator" w:id="0">
    <w:p w14:paraId="73AC2EA0" w14:textId="77777777" w:rsidR="00B76F7E" w:rsidRDefault="00B76F7E" w:rsidP="00106196">
      <w:r>
        <w:continuationSeparator/>
      </w:r>
    </w:p>
  </w:footnote>
  <w:footnote w:type="continuationNotice" w:id="1">
    <w:p w14:paraId="37F82A9C" w14:textId="77777777" w:rsidR="00B76F7E" w:rsidRDefault="00B76F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395434"/>
    <w:multiLevelType w:val="multilevel"/>
    <w:tmpl w:val="1024B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2619C9"/>
    <w:multiLevelType w:val="hybridMultilevel"/>
    <w:tmpl w:val="E7C2B1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064F56"/>
    <w:multiLevelType w:val="multilevel"/>
    <w:tmpl w:val="9794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4A0F9D"/>
    <w:multiLevelType w:val="hybridMultilevel"/>
    <w:tmpl w:val="15A49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C86ACC"/>
    <w:multiLevelType w:val="hybridMultilevel"/>
    <w:tmpl w:val="E3FE1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94A"/>
    <w:rsid w:val="00000CD8"/>
    <w:rsid w:val="00001B5B"/>
    <w:rsid w:val="00003A3F"/>
    <w:rsid w:val="0000406A"/>
    <w:rsid w:val="000051A1"/>
    <w:rsid w:val="000215A7"/>
    <w:rsid w:val="00026572"/>
    <w:rsid w:val="00045B01"/>
    <w:rsid w:val="00046462"/>
    <w:rsid w:val="00050DDF"/>
    <w:rsid w:val="0006194A"/>
    <w:rsid w:val="000647B4"/>
    <w:rsid w:val="00065D37"/>
    <w:rsid w:val="00092298"/>
    <w:rsid w:val="00093F6E"/>
    <w:rsid w:val="000A356D"/>
    <w:rsid w:val="000A69EF"/>
    <w:rsid w:val="000A7499"/>
    <w:rsid w:val="000B26AD"/>
    <w:rsid w:val="000D57D4"/>
    <w:rsid w:val="000D5AE7"/>
    <w:rsid w:val="000E23C8"/>
    <w:rsid w:val="000E34E6"/>
    <w:rsid w:val="00106196"/>
    <w:rsid w:val="001146A4"/>
    <w:rsid w:val="001151C3"/>
    <w:rsid w:val="00117D4F"/>
    <w:rsid w:val="00123EEE"/>
    <w:rsid w:val="001477AE"/>
    <w:rsid w:val="001515CB"/>
    <w:rsid w:val="001532FF"/>
    <w:rsid w:val="00154366"/>
    <w:rsid w:val="00156E35"/>
    <w:rsid w:val="00161068"/>
    <w:rsid w:val="00165E21"/>
    <w:rsid w:val="0016701F"/>
    <w:rsid w:val="00174834"/>
    <w:rsid w:val="00175090"/>
    <w:rsid w:val="0017708D"/>
    <w:rsid w:val="00197A16"/>
    <w:rsid w:val="001A3B87"/>
    <w:rsid w:val="001B0DB4"/>
    <w:rsid w:val="001B7F78"/>
    <w:rsid w:val="001C22E0"/>
    <w:rsid w:val="001C3FE9"/>
    <w:rsid w:val="001C7F93"/>
    <w:rsid w:val="001D3FFF"/>
    <w:rsid w:val="001D40DE"/>
    <w:rsid w:val="001E13DE"/>
    <w:rsid w:val="001E7A47"/>
    <w:rsid w:val="001F2621"/>
    <w:rsid w:val="00203A41"/>
    <w:rsid w:val="002105FB"/>
    <w:rsid w:val="00214822"/>
    <w:rsid w:val="00217C8F"/>
    <w:rsid w:val="00220474"/>
    <w:rsid w:val="00223343"/>
    <w:rsid w:val="00225BF5"/>
    <w:rsid w:val="0022755B"/>
    <w:rsid w:val="0024083E"/>
    <w:rsid w:val="0024092F"/>
    <w:rsid w:val="00250DAD"/>
    <w:rsid w:val="002510B6"/>
    <w:rsid w:val="0025360B"/>
    <w:rsid w:val="00257177"/>
    <w:rsid w:val="00274B6B"/>
    <w:rsid w:val="00280379"/>
    <w:rsid w:val="002808D8"/>
    <w:rsid w:val="00281C37"/>
    <w:rsid w:val="00283091"/>
    <w:rsid w:val="002832F7"/>
    <w:rsid w:val="00294FD6"/>
    <w:rsid w:val="002A160C"/>
    <w:rsid w:val="002B5956"/>
    <w:rsid w:val="002B64BC"/>
    <w:rsid w:val="002C0DE2"/>
    <w:rsid w:val="002E0619"/>
    <w:rsid w:val="002E283A"/>
    <w:rsid w:val="002E5259"/>
    <w:rsid w:val="002F278E"/>
    <w:rsid w:val="003044AA"/>
    <w:rsid w:val="0031270E"/>
    <w:rsid w:val="0033328B"/>
    <w:rsid w:val="003373D1"/>
    <w:rsid w:val="00343021"/>
    <w:rsid w:val="0035042F"/>
    <w:rsid w:val="00353B9F"/>
    <w:rsid w:val="003544F9"/>
    <w:rsid w:val="00354BCE"/>
    <w:rsid w:val="0036253A"/>
    <w:rsid w:val="00364A23"/>
    <w:rsid w:val="00366C80"/>
    <w:rsid w:val="003710FA"/>
    <w:rsid w:val="0037175C"/>
    <w:rsid w:val="00373680"/>
    <w:rsid w:val="00373869"/>
    <w:rsid w:val="0038356E"/>
    <w:rsid w:val="00390BA8"/>
    <w:rsid w:val="003A27DB"/>
    <w:rsid w:val="003B283A"/>
    <w:rsid w:val="003B29F1"/>
    <w:rsid w:val="003B2F44"/>
    <w:rsid w:val="003B546E"/>
    <w:rsid w:val="003B5973"/>
    <w:rsid w:val="003B7C69"/>
    <w:rsid w:val="003D0C5A"/>
    <w:rsid w:val="003D132E"/>
    <w:rsid w:val="003D269E"/>
    <w:rsid w:val="003D412A"/>
    <w:rsid w:val="003D553C"/>
    <w:rsid w:val="003E0D2E"/>
    <w:rsid w:val="003E3A05"/>
    <w:rsid w:val="004064C1"/>
    <w:rsid w:val="00417359"/>
    <w:rsid w:val="0042392F"/>
    <w:rsid w:val="0043137A"/>
    <w:rsid w:val="0043438F"/>
    <w:rsid w:val="0043506F"/>
    <w:rsid w:val="00435AE9"/>
    <w:rsid w:val="00447FE9"/>
    <w:rsid w:val="00461A7E"/>
    <w:rsid w:val="00470FD2"/>
    <w:rsid w:val="004744FC"/>
    <w:rsid w:val="00477554"/>
    <w:rsid w:val="00493BDC"/>
    <w:rsid w:val="004944A3"/>
    <w:rsid w:val="004A30AE"/>
    <w:rsid w:val="004D0675"/>
    <w:rsid w:val="004D7C5F"/>
    <w:rsid w:val="004E0C69"/>
    <w:rsid w:val="004E5416"/>
    <w:rsid w:val="0050008E"/>
    <w:rsid w:val="005001B7"/>
    <w:rsid w:val="00500ED6"/>
    <w:rsid w:val="00517005"/>
    <w:rsid w:val="005243A1"/>
    <w:rsid w:val="00524D74"/>
    <w:rsid w:val="005472B0"/>
    <w:rsid w:val="00547568"/>
    <w:rsid w:val="00551861"/>
    <w:rsid w:val="0056072B"/>
    <w:rsid w:val="00561C38"/>
    <w:rsid w:val="00571657"/>
    <w:rsid w:val="0057783F"/>
    <w:rsid w:val="00596D3E"/>
    <w:rsid w:val="00597D8F"/>
    <w:rsid w:val="005A3E37"/>
    <w:rsid w:val="005A4447"/>
    <w:rsid w:val="005A7905"/>
    <w:rsid w:val="005C121B"/>
    <w:rsid w:val="005D0BC0"/>
    <w:rsid w:val="005D2774"/>
    <w:rsid w:val="005D55CF"/>
    <w:rsid w:val="005E73D5"/>
    <w:rsid w:val="005F3895"/>
    <w:rsid w:val="00600E85"/>
    <w:rsid w:val="00602CFA"/>
    <w:rsid w:val="00605A5A"/>
    <w:rsid w:val="006064EE"/>
    <w:rsid w:val="006126D7"/>
    <w:rsid w:val="006249F7"/>
    <w:rsid w:val="00630CC5"/>
    <w:rsid w:val="00633D55"/>
    <w:rsid w:val="006412A8"/>
    <w:rsid w:val="006418F3"/>
    <w:rsid w:val="00642585"/>
    <w:rsid w:val="00642A6A"/>
    <w:rsid w:val="00650B6C"/>
    <w:rsid w:val="00651B36"/>
    <w:rsid w:val="006570D1"/>
    <w:rsid w:val="00671CCC"/>
    <w:rsid w:val="00680746"/>
    <w:rsid w:val="00685A32"/>
    <w:rsid w:val="00690CE9"/>
    <w:rsid w:val="00692878"/>
    <w:rsid w:val="006A21EF"/>
    <w:rsid w:val="006A504A"/>
    <w:rsid w:val="006A7179"/>
    <w:rsid w:val="006B37E1"/>
    <w:rsid w:val="006B4452"/>
    <w:rsid w:val="006B7676"/>
    <w:rsid w:val="006D2898"/>
    <w:rsid w:val="006E27ED"/>
    <w:rsid w:val="006F72E3"/>
    <w:rsid w:val="00702D2F"/>
    <w:rsid w:val="00707B1F"/>
    <w:rsid w:val="0071072B"/>
    <w:rsid w:val="00714088"/>
    <w:rsid w:val="007149D1"/>
    <w:rsid w:val="007167F2"/>
    <w:rsid w:val="0072120D"/>
    <w:rsid w:val="00733692"/>
    <w:rsid w:val="00745D65"/>
    <w:rsid w:val="007477FE"/>
    <w:rsid w:val="00747A1A"/>
    <w:rsid w:val="00754852"/>
    <w:rsid w:val="00764B7E"/>
    <w:rsid w:val="0077732B"/>
    <w:rsid w:val="00782864"/>
    <w:rsid w:val="0078478A"/>
    <w:rsid w:val="00785935"/>
    <w:rsid w:val="00794FA8"/>
    <w:rsid w:val="007A291C"/>
    <w:rsid w:val="007A3688"/>
    <w:rsid w:val="007B214E"/>
    <w:rsid w:val="007B3ED8"/>
    <w:rsid w:val="007B773A"/>
    <w:rsid w:val="007B7C56"/>
    <w:rsid w:val="007C6F57"/>
    <w:rsid w:val="007C7F37"/>
    <w:rsid w:val="007D2ECC"/>
    <w:rsid w:val="007E31ED"/>
    <w:rsid w:val="007E346E"/>
    <w:rsid w:val="007F307D"/>
    <w:rsid w:val="007F534B"/>
    <w:rsid w:val="00802390"/>
    <w:rsid w:val="00810DBE"/>
    <w:rsid w:val="0082270A"/>
    <w:rsid w:val="0082678D"/>
    <w:rsid w:val="0082740A"/>
    <w:rsid w:val="00835882"/>
    <w:rsid w:val="00840481"/>
    <w:rsid w:val="00842E9E"/>
    <w:rsid w:val="008469C2"/>
    <w:rsid w:val="00847DF1"/>
    <w:rsid w:val="008533B2"/>
    <w:rsid w:val="008729DD"/>
    <w:rsid w:val="00873904"/>
    <w:rsid w:val="00873B47"/>
    <w:rsid w:val="0088179C"/>
    <w:rsid w:val="00882D5A"/>
    <w:rsid w:val="00885B95"/>
    <w:rsid w:val="008927E9"/>
    <w:rsid w:val="00895017"/>
    <w:rsid w:val="008A2222"/>
    <w:rsid w:val="008A3615"/>
    <w:rsid w:val="008A52AC"/>
    <w:rsid w:val="008C3BB1"/>
    <w:rsid w:val="008C531C"/>
    <w:rsid w:val="008C5B9B"/>
    <w:rsid w:val="008C6042"/>
    <w:rsid w:val="008D11AD"/>
    <w:rsid w:val="008D6861"/>
    <w:rsid w:val="008E053B"/>
    <w:rsid w:val="008E5D16"/>
    <w:rsid w:val="008F652B"/>
    <w:rsid w:val="00901549"/>
    <w:rsid w:val="0092075A"/>
    <w:rsid w:val="009341EB"/>
    <w:rsid w:val="009433BE"/>
    <w:rsid w:val="00945B8B"/>
    <w:rsid w:val="00946FFC"/>
    <w:rsid w:val="00952DA4"/>
    <w:rsid w:val="009803AA"/>
    <w:rsid w:val="009817AB"/>
    <w:rsid w:val="009874C0"/>
    <w:rsid w:val="00993199"/>
    <w:rsid w:val="009C2649"/>
    <w:rsid w:val="009C2900"/>
    <w:rsid w:val="009C4F7B"/>
    <w:rsid w:val="009D47FB"/>
    <w:rsid w:val="009D747C"/>
    <w:rsid w:val="009D7900"/>
    <w:rsid w:val="009D7C9E"/>
    <w:rsid w:val="009D7DDE"/>
    <w:rsid w:val="009E28AD"/>
    <w:rsid w:val="009E3E5C"/>
    <w:rsid w:val="009E5393"/>
    <w:rsid w:val="009F7F6F"/>
    <w:rsid w:val="00A16E9B"/>
    <w:rsid w:val="00A178FB"/>
    <w:rsid w:val="00A206FD"/>
    <w:rsid w:val="00A2074E"/>
    <w:rsid w:val="00A2226C"/>
    <w:rsid w:val="00A23B55"/>
    <w:rsid w:val="00A243EE"/>
    <w:rsid w:val="00A25C79"/>
    <w:rsid w:val="00A25FA0"/>
    <w:rsid w:val="00A42541"/>
    <w:rsid w:val="00A448AD"/>
    <w:rsid w:val="00A45F99"/>
    <w:rsid w:val="00A551CB"/>
    <w:rsid w:val="00A67C03"/>
    <w:rsid w:val="00A71C33"/>
    <w:rsid w:val="00A729CE"/>
    <w:rsid w:val="00A8170F"/>
    <w:rsid w:val="00A8647F"/>
    <w:rsid w:val="00A87317"/>
    <w:rsid w:val="00A93D13"/>
    <w:rsid w:val="00AA0DF6"/>
    <w:rsid w:val="00AA2BFF"/>
    <w:rsid w:val="00AC4CFE"/>
    <w:rsid w:val="00AC6094"/>
    <w:rsid w:val="00AC7547"/>
    <w:rsid w:val="00AD317C"/>
    <w:rsid w:val="00AE049A"/>
    <w:rsid w:val="00AE08C8"/>
    <w:rsid w:val="00B00FE2"/>
    <w:rsid w:val="00B01930"/>
    <w:rsid w:val="00B069EC"/>
    <w:rsid w:val="00B21DEA"/>
    <w:rsid w:val="00B21E9D"/>
    <w:rsid w:val="00B22B1F"/>
    <w:rsid w:val="00B23670"/>
    <w:rsid w:val="00B373F6"/>
    <w:rsid w:val="00B416F7"/>
    <w:rsid w:val="00B51913"/>
    <w:rsid w:val="00B530A3"/>
    <w:rsid w:val="00B53F29"/>
    <w:rsid w:val="00B568A2"/>
    <w:rsid w:val="00B60B92"/>
    <w:rsid w:val="00B64900"/>
    <w:rsid w:val="00B65021"/>
    <w:rsid w:val="00B7038E"/>
    <w:rsid w:val="00B76F10"/>
    <w:rsid w:val="00B76F7E"/>
    <w:rsid w:val="00B770FC"/>
    <w:rsid w:val="00B77256"/>
    <w:rsid w:val="00B9691C"/>
    <w:rsid w:val="00BA72C6"/>
    <w:rsid w:val="00BB100E"/>
    <w:rsid w:val="00BC26AF"/>
    <w:rsid w:val="00BC411B"/>
    <w:rsid w:val="00BC7600"/>
    <w:rsid w:val="00BD5B60"/>
    <w:rsid w:val="00BD69EC"/>
    <w:rsid w:val="00BF093E"/>
    <w:rsid w:val="00BF47FA"/>
    <w:rsid w:val="00C07A74"/>
    <w:rsid w:val="00C15C1B"/>
    <w:rsid w:val="00C20F5B"/>
    <w:rsid w:val="00C32A2D"/>
    <w:rsid w:val="00C635BC"/>
    <w:rsid w:val="00C86045"/>
    <w:rsid w:val="00C95927"/>
    <w:rsid w:val="00C9773C"/>
    <w:rsid w:val="00CA0421"/>
    <w:rsid w:val="00CA4C3F"/>
    <w:rsid w:val="00CB09FC"/>
    <w:rsid w:val="00CB3428"/>
    <w:rsid w:val="00CB3750"/>
    <w:rsid w:val="00CB6CC1"/>
    <w:rsid w:val="00CC515F"/>
    <w:rsid w:val="00CC6665"/>
    <w:rsid w:val="00CC6FB2"/>
    <w:rsid w:val="00CD139E"/>
    <w:rsid w:val="00CE03BC"/>
    <w:rsid w:val="00CE15D7"/>
    <w:rsid w:val="00CF4FE9"/>
    <w:rsid w:val="00CF69CF"/>
    <w:rsid w:val="00CF6D66"/>
    <w:rsid w:val="00D05FDC"/>
    <w:rsid w:val="00D10B93"/>
    <w:rsid w:val="00D1242E"/>
    <w:rsid w:val="00D12606"/>
    <w:rsid w:val="00D150E1"/>
    <w:rsid w:val="00D165A1"/>
    <w:rsid w:val="00D3189E"/>
    <w:rsid w:val="00D33046"/>
    <w:rsid w:val="00D36335"/>
    <w:rsid w:val="00D5212C"/>
    <w:rsid w:val="00D613CB"/>
    <w:rsid w:val="00D80029"/>
    <w:rsid w:val="00DB02A4"/>
    <w:rsid w:val="00DB306B"/>
    <w:rsid w:val="00DB43C3"/>
    <w:rsid w:val="00DC2FC0"/>
    <w:rsid w:val="00DD4FC7"/>
    <w:rsid w:val="00DD7682"/>
    <w:rsid w:val="00DE4426"/>
    <w:rsid w:val="00DE542A"/>
    <w:rsid w:val="00DE6F6A"/>
    <w:rsid w:val="00DF3FFF"/>
    <w:rsid w:val="00DF4446"/>
    <w:rsid w:val="00DF7801"/>
    <w:rsid w:val="00E00681"/>
    <w:rsid w:val="00E14842"/>
    <w:rsid w:val="00E448B1"/>
    <w:rsid w:val="00E46EDC"/>
    <w:rsid w:val="00E527D9"/>
    <w:rsid w:val="00E5470A"/>
    <w:rsid w:val="00E64FB5"/>
    <w:rsid w:val="00E65FE3"/>
    <w:rsid w:val="00E7263C"/>
    <w:rsid w:val="00E72D2F"/>
    <w:rsid w:val="00E74BEE"/>
    <w:rsid w:val="00E74DA1"/>
    <w:rsid w:val="00E81461"/>
    <w:rsid w:val="00E81CBE"/>
    <w:rsid w:val="00E938B9"/>
    <w:rsid w:val="00EA1B51"/>
    <w:rsid w:val="00EA2923"/>
    <w:rsid w:val="00EA4DDE"/>
    <w:rsid w:val="00EA5A48"/>
    <w:rsid w:val="00EA7DA1"/>
    <w:rsid w:val="00EB0094"/>
    <w:rsid w:val="00EB2ECE"/>
    <w:rsid w:val="00EB3E64"/>
    <w:rsid w:val="00EC1CE1"/>
    <w:rsid w:val="00EC3311"/>
    <w:rsid w:val="00EC677E"/>
    <w:rsid w:val="00EE4FD4"/>
    <w:rsid w:val="00F00D00"/>
    <w:rsid w:val="00F058C3"/>
    <w:rsid w:val="00F05F51"/>
    <w:rsid w:val="00F079B5"/>
    <w:rsid w:val="00F20BD5"/>
    <w:rsid w:val="00F279E0"/>
    <w:rsid w:val="00F343D8"/>
    <w:rsid w:val="00F40C17"/>
    <w:rsid w:val="00F4491F"/>
    <w:rsid w:val="00F47E67"/>
    <w:rsid w:val="00F57208"/>
    <w:rsid w:val="00F57E90"/>
    <w:rsid w:val="00F738D6"/>
    <w:rsid w:val="00F8143E"/>
    <w:rsid w:val="00FA4203"/>
    <w:rsid w:val="00FA56B3"/>
    <w:rsid w:val="00FA5EF4"/>
    <w:rsid w:val="00FB166A"/>
    <w:rsid w:val="00FB5A65"/>
    <w:rsid w:val="00FB6EC0"/>
    <w:rsid w:val="00FC2C53"/>
    <w:rsid w:val="00FC5E7E"/>
    <w:rsid w:val="00FD1AF7"/>
    <w:rsid w:val="00FF1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A59DB"/>
  <w15:chartTrackingRefBased/>
  <w15:docId w15:val="{BE9FBF80-96B1-D041-90DD-632E0DF8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D2F"/>
    <w:rPr>
      <w:rFonts w:ascii="Times New Roman" w:eastAsia="Times New Roman" w:hAnsi="Times New Roman" w:cs="Times New Roman"/>
      <w:lang w:eastAsia="en-GB"/>
    </w:rPr>
  </w:style>
  <w:style w:type="paragraph" w:styleId="Heading1">
    <w:name w:val="heading 1"/>
    <w:basedOn w:val="Normal"/>
    <w:link w:val="Heading1Char"/>
    <w:uiPriority w:val="9"/>
    <w:qFormat/>
    <w:rsid w:val="004D067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D5B60"/>
  </w:style>
  <w:style w:type="paragraph" w:styleId="ListParagraph">
    <w:name w:val="List Paragraph"/>
    <w:basedOn w:val="Normal"/>
    <w:uiPriority w:val="34"/>
    <w:qFormat/>
    <w:rsid w:val="00BD5B60"/>
    <w:pPr>
      <w:ind w:left="720"/>
      <w:contextualSpacing/>
    </w:pPr>
  </w:style>
  <w:style w:type="character" w:styleId="Hyperlink">
    <w:name w:val="Hyperlink"/>
    <w:basedOn w:val="DefaultParagraphFont"/>
    <w:uiPriority w:val="99"/>
    <w:unhideWhenUsed/>
    <w:rsid w:val="00BD5B60"/>
    <w:rPr>
      <w:color w:val="0563C1" w:themeColor="hyperlink"/>
      <w:u w:val="single"/>
    </w:rPr>
  </w:style>
  <w:style w:type="character" w:styleId="UnresolvedMention">
    <w:name w:val="Unresolved Mention"/>
    <w:basedOn w:val="DefaultParagraphFont"/>
    <w:uiPriority w:val="99"/>
    <w:semiHidden/>
    <w:unhideWhenUsed/>
    <w:rsid w:val="00BD5B60"/>
    <w:rPr>
      <w:color w:val="605E5C"/>
      <w:shd w:val="clear" w:color="auto" w:fill="E1DFDD"/>
    </w:rPr>
  </w:style>
  <w:style w:type="paragraph" w:styleId="NormalWeb">
    <w:name w:val="Normal (Web)"/>
    <w:basedOn w:val="Normal"/>
    <w:uiPriority w:val="99"/>
    <w:semiHidden/>
    <w:unhideWhenUsed/>
    <w:rsid w:val="007167F2"/>
    <w:pPr>
      <w:spacing w:before="100" w:beforeAutospacing="1" w:after="100" w:afterAutospacing="1"/>
    </w:pPr>
  </w:style>
  <w:style w:type="character" w:customStyle="1" w:styleId="apple-converted-space">
    <w:name w:val="apple-converted-space"/>
    <w:basedOn w:val="DefaultParagraphFont"/>
    <w:rsid w:val="007167F2"/>
  </w:style>
  <w:style w:type="paragraph" w:styleId="BalloonText">
    <w:name w:val="Balloon Text"/>
    <w:basedOn w:val="Normal"/>
    <w:link w:val="BalloonTextChar"/>
    <w:uiPriority w:val="99"/>
    <w:semiHidden/>
    <w:unhideWhenUsed/>
    <w:rsid w:val="00294FD6"/>
    <w:rPr>
      <w:sz w:val="18"/>
      <w:szCs w:val="18"/>
    </w:rPr>
  </w:style>
  <w:style w:type="character" w:customStyle="1" w:styleId="BalloonTextChar">
    <w:name w:val="Balloon Text Char"/>
    <w:basedOn w:val="DefaultParagraphFont"/>
    <w:link w:val="BalloonText"/>
    <w:uiPriority w:val="99"/>
    <w:semiHidden/>
    <w:rsid w:val="00294FD6"/>
    <w:rPr>
      <w:rFonts w:ascii="Times New Roman" w:eastAsia="Times New Roman" w:hAnsi="Times New Roman" w:cs="Times New Roman"/>
      <w:sz w:val="18"/>
      <w:szCs w:val="18"/>
      <w:lang w:eastAsia="en-GB"/>
    </w:rPr>
  </w:style>
  <w:style w:type="character" w:customStyle="1" w:styleId="Heading1Char">
    <w:name w:val="Heading 1 Char"/>
    <w:basedOn w:val="DefaultParagraphFont"/>
    <w:link w:val="Heading1"/>
    <w:uiPriority w:val="9"/>
    <w:rsid w:val="004D0675"/>
    <w:rPr>
      <w:rFonts w:ascii="Times New Roman" w:eastAsia="Times New Roman" w:hAnsi="Times New Roman" w:cs="Times New Roman"/>
      <w:b/>
      <w:bCs/>
      <w:kern w:val="36"/>
      <w:sz w:val="48"/>
      <w:szCs w:val="48"/>
      <w:lang w:eastAsia="en-GB"/>
    </w:rPr>
  </w:style>
  <w:style w:type="character" w:customStyle="1" w:styleId="highlight">
    <w:name w:val="highlight"/>
    <w:basedOn w:val="DefaultParagraphFont"/>
    <w:rsid w:val="004D0675"/>
  </w:style>
  <w:style w:type="character" w:customStyle="1" w:styleId="cit">
    <w:name w:val="cit"/>
    <w:basedOn w:val="DefaultParagraphFont"/>
    <w:rsid w:val="00E74DA1"/>
  </w:style>
  <w:style w:type="character" w:customStyle="1" w:styleId="fm-vol-iss-date">
    <w:name w:val="fm-vol-iss-date"/>
    <w:basedOn w:val="DefaultParagraphFont"/>
    <w:rsid w:val="00E74DA1"/>
  </w:style>
  <w:style w:type="character" w:customStyle="1" w:styleId="doi">
    <w:name w:val="doi"/>
    <w:basedOn w:val="DefaultParagraphFont"/>
    <w:rsid w:val="00E74DA1"/>
  </w:style>
  <w:style w:type="character" w:customStyle="1" w:styleId="fm-citation-ids-label">
    <w:name w:val="fm-citation-ids-label"/>
    <w:basedOn w:val="DefaultParagraphFont"/>
    <w:rsid w:val="00E74DA1"/>
  </w:style>
  <w:style w:type="character" w:styleId="Emphasis">
    <w:name w:val="Emphasis"/>
    <w:basedOn w:val="DefaultParagraphFont"/>
    <w:uiPriority w:val="20"/>
    <w:qFormat/>
    <w:rsid w:val="00E74DA1"/>
    <w:rPr>
      <w:i/>
      <w:iCs/>
    </w:rPr>
  </w:style>
  <w:style w:type="character" w:customStyle="1" w:styleId="ref-journal">
    <w:name w:val="ref-journal"/>
    <w:basedOn w:val="DefaultParagraphFont"/>
    <w:rsid w:val="00E74DA1"/>
  </w:style>
  <w:style w:type="character" w:customStyle="1" w:styleId="ref-vol">
    <w:name w:val="ref-vol"/>
    <w:basedOn w:val="DefaultParagraphFont"/>
    <w:rsid w:val="00E74DA1"/>
  </w:style>
  <w:style w:type="paragraph" w:styleId="Header">
    <w:name w:val="header"/>
    <w:basedOn w:val="Normal"/>
    <w:link w:val="HeaderChar"/>
    <w:uiPriority w:val="99"/>
    <w:unhideWhenUsed/>
    <w:rsid w:val="00106196"/>
    <w:pPr>
      <w:tabs>
        <w:tab w:val="center" w:pos="4680"/>
        <w:tab w:val="right" w:pos="9360"/>
      </w:tabs>
    </w:pPr>
  </w:style>
  <w:style w:type="character" w:customStyle="1" w:styleId="HeaderChar">
    <w:name w:val="Header Char"/>
    <w:basedOn w:val="DefaultParagraphFont"/>
    <w:link w:val="Header"/>
    <w:uiPriority w:val="99"/>
    <w:rsid w:val="00106196"/>
    <w:rPr>
      <w:rFonts w:ascii="Times New Roman" w:eastAsia="Times New Roman" w:hAnsi="Times New Roman" w:cs="Times New Roman"/>
      <w:lang w:eastAsia="en-GB"/>
    </w:rPr>
  </w:style>
  <w:style w:type="paragraph" w:styleId="Footer">
    <w:name w:val="footer"/>
    <w:basedOn w:val="Normal"/>
    <w:link w:val="FooterChar"/>
    <w:uiPriority w:val="99"/>
    <w:unhideWhenUsed/>
    <w:rsid w:val="00106196"/>
    <w:pPr>
      <w:tabs>
        <w:tab w:val="center" w:pos="4680"/>
        <w:tab w:val="right" w:pos="9360"/>
      </w:tabs>
    </w:pPr>
  </w:style>
  <w:style w:type="character" w:customStyle="1" w:styleId="FooterChar">
    <w:name w:val="Footer Char"/>
    <w:basedOn w:val="DefaultParagraphFont"/>
    <w:link w:val="Footer"/>
    <w:uiPriority w:val="99"/>
    <w:rsid w:val="00106196"/>
    <w:rPr>
      <w:rFonts w:ascii="Times New Roman" w:eastAsia="Times New Roman" w:hAnsi="Times New Roman" w:cs="Times New Roman"/>
      <w:lang w:eastAsia="en-GB"/>
    </w:rPr>
  </w:style>
  <w:style w:type="character" w:customStyle="1" w:styleId="labs-docsum-authors">
    <w:name w:val="labs-docsum-authors"/>
    <w:basedOn w:val="DefaultParagraphFont"/>
    <w:rsid w:val="00E72D2F"/>
  </w:style>
  <w:style w:type="character" w:customStyle="1" w:styleId="labs-docsum-journal-citation">
    <w:name w:val="labs-docsum-journal-citation"/>
    <w:basedOn w:val="DefaultParagraphFont"/>
    <w:rsid w:val="00E72D2F"/>
  </w:style>
  <w:style w:type="character" w:customStyle="1" w:styleId="citation-part">
    <w:name w:val="citation-part"/>
    <w:basedOn w:val="DefaultParagraphFont"/>
    <w:rsid w:val="00E72D2F"/>
  </w:style>
  <w:style w:type="character" w:customStyle="1" w:styleId="docsum-pmid">
    <w:name w:val="docsum-pmid"/>
    <w:basedOn w:val="DefaultParagraphFont"/>
    <w:rsid w:val="00E72D2F"/>
  </w:style>
  <w:style w:type="character" w:styleId="FollowedHyperlink">
    <w:name w:val="FollowedHyperlink"/>
    <w:basedOn w:val="DefaultParagraphFont"/>
    <w:uiPriority w:val="99"/>
    <w:semiHidden/>
    <w:unhideWhenUsed/>
    <w:rsid w:val="007D2ECC"/>
    <w:rPr>
      <w:color w:val="954F72" w:themeColor="followedHyperlink"/>
      <w:u w:val="single"/>
    </w:rPr>
  </w:style>
  <w:style w:type="character" w:styleId="CommentReference">
    <w:name w:val="annotation reference"/>
    <w:basedOn w:val="DefaultParagraphFont"/>
    <w:uiPriority w:val="99"/>
    <w:semiHidden/>
    <w:unhideWhenUsed/>
    <w:rsid w:val="009C4F7B"/>
    <w:rPr>
      <w:sz w:val="16"/>
      <w:szCs w:val="16"/>
    </w:rPr>
  </w:style>
  <w:style w:type="paragraph" w:styleId="CommentText">
    <w:name w:val="annotation text"/>
    <w:basedOn w:val="Normal"/>
    <w:link w:val="CommentTextChar"/>
    <w:uiPriority w:val="99"/>
    <w:semiHidden/>
    <w:unhideWhenUsed/>
    <w:rsid w:val="009C4F7B"/>
    <w:rPr>
      <w:sz w:val="20"/>
      <w:szCs w:val="20"/>
    </w:rPr>
  </w:style>
  <w:style w:type="character" w:customStyle="1" w:styleId="CommentTextChar">
    <w:name w:val="Comment Text Char"/>
    <w:basedOn w:val="DefaultParagraphFont"/>
    <w:link w:val="CommentText"/>
    <w:uiPriority w:val="99"/>
    <w:semiHidden/>
    <w:rsid w:val="009C4F7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4F7B"/>
    <w:rPr>
      <w:b/>
      <w:bCs/>
    </w:rPr>
  </w:style>
  <w:style w:type="character" w:customStyle="1" w:styleId="CommentSubjectChar">
    <w:name w:val="Comment Subject Char"/>
    <w:basedOn w:val="CommentTextChar"/>
    <w:link w:val="CommentSubject"/>
    <w:uiPriority w:val="99"/>
    <w:semiHidden/>
    <w:rsid w:val="009C4F7B"/>
    <w:rPr>
      <w:rFonts w:ascii="Times New Roman" w:eastAsia="Times New Roman" w:hAnsi="Times New Roman" w:cs="Times New Roman"/>
      <w:b/>
      <w:bCs/>
      <w:sz w:val="20"/>
      <w:szCs w:val="20"/>
      <w:lang w:eastAsia="en-GB"/>
    </w:rPr>
  </w:style>
  <w:style w:type="paragraph" w:styleId="Revision">
    <w:name w:val="Revision"/>
    <w:hidden/>
    <w:uiPriority w:val="99"/>
    <w:semiHidden/>
    <w:rsid w:val="006A21EF"/>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3841">
      <w:bodyDiv w:val="1"/>
      <w:marLeft w:val="0"/>
      <w:marRight w:val="0"/>
      <w:marTop w:val="0"/>
      <w:marBottom w:val="0"/>
      <w:divBdr>
        <w:top w:val="none" w:sz="0" w:space="0" w:color="auto"/>
        <w:left w:val="none" w:sz="0" w:space="0" w:color="auto"/>
        <w:bottom w:val="none" w:sz="0" w:space="0" w:color="auto"/>
        <w:right w:val="none" w:sz="0" w:space="0" w:color="auto"/>
      </w:divBdr>
    </w:div>
    <w:div w:id="95709307">
      <w:bodyDiv w:val="1"/>
      <w:marLeft w:val="0"/>
      <w:marRight w:val="0"/>
      <w:marTop w:val="0"/>
      <w:marBottom w:val="0"/>
      <w:divBdr>
        <w:top w:val="none" w:sz="0" w:space="0" w:color="auto"/>
        <w:left w:val="none" w:sz="0" w:space="0" w:color="auto"/>
        <w:bottom w:val="none" w:sz="0" w:space="0" w:color="auto"/>
        <w:right w:val="none" w:sz="0" w:space="0" w:color="auto"/>
      </w:divBdr>
      <w:divsChild>
        <w:div w:id="771824774">
          <w:marLeft w:val="0"/>
          <w:marRight w:val="0"/>
          <w:marTop w:val="120"/>
          <w:marBottom w:val="0"/>
          <w:divBdr>
            <w:top w:val="none" w:sz="0" w:space="0" w:color="auto"/>
            <w:left w:val="none" w:sz="0" w:space="0" w:color="auto"/>
            <w:bottom w:val="none" w:sz="0" w:space="0" w:color="auto"/>
            <w:right w:val="none" w:sz="0" w:space="0" w:color="auto"/>
          </w:divBdr>
        </w:div>
        <w:div w:id="1260212353">
          <w:marLeft w:val="0"/>
          <w:marRight w:val="0"/>
          <w:marTop w:val="120"/>
          <w:marBottom w:val="0"/>
          <w:divBdr>
            <w:top w:val="none" w:sz="0" w:space="0" w:color="auto"/>
            <w:left w:val="none" w:sz="0" w:space="0" w:color="auto"/>
            <w:bottom w:val="none" w:sz="0" w:space="0" w:color="auto"/>
            <w:right w:val="none" w:sz="0" w:space="0" w:color="auto"/>
          </w:divBdr>
        </w:div>
      </w:divsChild>
    </w:div>
    <w:div w:id="95713257">
      <w:bodyDiv w:val="1"/>
      <w:marLeft w:val="0"/>
      <w:marRight w:val="0"/>
      <w:marTop w:val="0"/>
      <w:marBottom w:val="0"/>
      <w:divBdr>
        <w:top w:val="none" w:sz="0" w:space="0" w:color="auto"/>
        <w:left w:val="none" w:sz="0" w:space="0" w:color="auto"/>
        <w:bottom w:val="none" w:sz="0" w:space="0" w:color="auto"/>
        <w:right w:val="none" w:sz="0" w:space="0" w:color="auto"/>
      </w:divBdr>
      <w:divsChild>
        <w:div w:id="1677884762">
          <w:marLeft w:val="0"/>
          <w:marRight w:val="0"/>
          <w:marTop w:val="0"/>
          <w:marBottom w:val="0"/>
          <w:divBdr>
            <w:top w:val="none" w:sz="0" w:space="0" w:color="auto"/>
            <w:left w:val="none" w:sz="0" w:space="0" w:color="auto"/>
            <w:bottom w:val="none" w:sz="0" w:space="0" w:color="auto"/>
            <w:right w:val="none" w:sz="0" w:space="0" w:color="auto"/>
          </w:divBdr>
          <w:divsChild>
            <w:div w:id="60950888">
              <w:marLeft w:val="0"/>
              <w:marRight w:val="0"/>
              <w:marTop w:val="0"/>
              <w:marBottom w:val="0"/>
              <w:divBdr>
                <w:top w:val="none" w:sz="0" w:space="0" w:color="auto"/>
                <w:left w:val="none" w:sz="0" w:space="0" w:color="auto"/>
                <w:bottom w:val="none" w:sz="0" w:space="0" w:color="auto"/>
                <w:right w:val="none" w:sz="0" w:space="0" w:color="auto"/>
              </w:divBdr>
              <w:divsChild>
                <w:div w:id="2138376459">
                  <w:marLeft w:val="0"/>
                  <w:marRight w:val="0"/>
                  <w:marTop w:val="0"/>
                  <w:marBottom w:val="0"/>
                  <w:divBdr>
                    <w:top w:val="none" w:sz="0" w:space="0" w:color="auto"/>
                    <w:left w:val="none" w:sz="0" w:space="0" w:color="auto"/>
                    <w:bottom w:val="none" w:sz="0" w:space="0" w:color="auto"/>
                    <w:right w:val="none" w:sz="0" w:space="0" w:color="auto"/>
                  </w:divBdr>
                  <w:divsChild>
                    <w:div w:id="38673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765372">
      <w:bodyDiv w:val="1"/>
      <w:marLeft w:val="0"/>
      <w:marRight w:val="0"/>
      <w:marTop w:val="0"/>
      <w:marBottom w:val="0"/>
      <w:divBdr>
        <w:top w:val="none" w:sz="0" w:space="0" w:color="auto"/>
        <w:left w:val="none" w:sz="0" w:space="0" w:color="auto"/>
        <w:bottom w:val="none" w:sz="0" w:space="0" w:color="auto"/>
        <w:right w:val="none" w:sz="0" w:space="0" w:color="auto"/>
      </w:divBdr>
    </w:div>
    <w:div w:id="291449069">
      <w:bodyDiv w:val="1"/>
      <w:marLeft w:val="0"/>
      <w:marRight w:val="0"/>
      <w:marTop w:val="0"/>
      <w:marBottom w:val="0"/>
      <w:divBdr>
        <w:top w:val="none" w:sz="0" w:space="0" w:color="auto"/>
        <w:left w:val="none" w:sz="0" w:space="0" w:color="auto"/>
        <w:bottom w:val="none" w:sz="0" w:space="0" w:color="auto"/>
        <w:right w:val="none" w:sz="0" w:space="0" w:color="auto"/>
      </w:divBdr>
    </w:div>
    <w:div w:id="509491802">
      <w:bodyDiv w:val="1"/>
      <w:marLeft w:val="0"/>
      <w:marRight w:val="0"/>
      <w:marTop w:val="0"/>
      <w:marBottom w:val="0"/>
      <w:divBdr>
        <w:top w:val="none" w:sz="0" w:space="0" w:color="auto"/>
        <w:left w:val="none" w:sz="0" w:space="0" w:color="auto"/>
        <w:bottom w:val="none" w:sz="0" w:space="0" w:color="auto"/>
        <w:right w:val="none" w:sz="0" w:space="0" w:color="auto"/>
      </w:divBdr>
      <w:divsChild>
        <w:div w:id="1385980836">
          <w:marLeft w:val="0"/>
          <w:marRight w:val="0"/>
          <w:marTop w:val="0"/>
          <w:marBottom w:val="0"/>
          <w:divBdr>
            <w:top w:val="none" w:sz="0" w:space="0" w:color="auto"/>
            <w:left w:val="none" w:sz="0" w:space="0" w:color="auto"/>
            <w:bottom w:val="none" w:sz="0" w:space="0" w:color="auto"/>
            <w:right w:val="none" w:sz="0" w:space="0" w:color="auto"/>
          </w:divBdr>
          <w:divsChild>
            <w:div w:id="1979600817">
              <w:marLeft w:val="0"/>
              <w:marRight w:val="0"/>
              <w:marTop w:val="0"/>
              <w:marBottom w:val="0"/>
              <w:divBdr>
                <w:top w:val="none" w:sz="0" w:space="0" w:color="auto"/>
                <w:left w:val="none" w:sz="0" w:space="0" w:color="auto"/>
                <w:bottom w:val="none" w:sz="0" w:space="0" w:color="auto"/>
                <w:right w:val="none" w:sz="0" w:space="0" w:color="auto"/>
              </w:divBdr>
              <w:divsChild>
                <w:div w:id="1275139583">
                  <w:marLeft w:val="0"/>
                  <w:marRight w:val="0"/>
                  <w:marTop w:val="0"/>
                  <w:marBottom w:val="0"/>
                  <w:divBdr>
                    <w:top w:val="none" w:sz="0" w:space="0" w:color="auto"/>
                    <w:left w:val="none" w:sz="0" w:space="0" w:color="auto"/>
                    <w:bottom w:val="none" w:sz="0" w:space="0" w:color="auto"/>
                    <w:right w:val="none" w:sz="0" w:space="0" w:color="auto"/>
                  </w:divBdr>
                  <w:divsChild>
                    <w:div w:id="53539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061091">
      <w:bodyDiv w:val="1"/>
      <w:marLeft w:val="0"/>
      <w:marRight w:val="0"/>
      <w:marTop w:val="0"/>
      <w:marBottom w:val="0"/>
      <w:divBdr>
        <w:top w:val="none" w:sz="0" w:space="0" w:color="auto"/>
        <w:left w:val="none" w:sz="0" w:space="0" w:color="auto"/>
        <w:bottom w:val="none" w:sz="0" w:space="0" w:color="auto"/>
        <w:right w:val="none" w:sz="0" w:space="0" w:color="auto"/>
      </w:divBdr>
      <w:divsChild>
        <w:div w:id="1062486769">
          <w:marLeft w:val="0"/>
          <w:marRight w:val="0"/>
          <w:marTop w:val="120"/>
          <w:marBottom w:val="0"/>
          <w:divBdr>
            <w:top w:val="none" w:sz="0" w:space="0" w:color="auto"/>
            <w:left w:val="none" w:sz="0" w:space="0" w:color="auto"/>
            <w:bottom w:val="none" w:sz="0" w:space="0" w:color="auto"/>
            <w:right w:val="none" w:sz="0" w:space="0" w:color="auto"/>
          </w:divBdr>
        </w:div>
        <w:div w:id="823931822">
          <w:marLeft w:val="0"/>
          <w:marRight w:val="0"/>
          <w:marTop w:val="120"/>
          <w:marBottom w:val="0"/>
          <w:divBdr>
            <w:top w:val="none" w:sz="0" w:space="0" w:color="auto"/>
            <w:left w:val="none" w:sz="0" w:space="0" w:color="auto"/>
            <w:bottom w:val="none" w:sz="0" w:space="0" w:color="auto"/>
            <w:right w:val="none" w:sz="0" w:space="0" w:color="auto"/>
          </w:divBdr>
        </w:div>
      </w:divsChild>
    </w:div>
    <w:div w:id="575674566">
      <w:bodyDiv w:val="1"/>
      <w:marLeft w:val="0"/>
      <w:marRight w:val="0"/>
      <w:marTop w:val="0"/>
      <w:marBottom w:val="0"/>
      <w:divBdr>
        <w:top w:val="none" w:sz="0" w:space="0" w:color="auto"/>
        <w:left w:val="none" w:sz="0" w:space="0" w:color="auto"/>
        <w:bottom w:val="none" w:sz="0" w:space="0" w:color="auto"/>
        <w:right w:val="none" w:sz="0" w:space="0" w:color="auto"/>
      </w:divBdr>
      <w:divsChild>
        <w:div w:id="1238321481">
          <w:marLeft w:val="0"/>
          <w:marRight w:val="0"/>
          <w:marTop w:val="0"/>
          <w:marBottom w:val="0"/>
          <w:divBdr>
            <w:top w:val="none" w:sz="0" w:space="0" w:color="auto"/>
            <w:left w:val="none" w:sz="0" w:space="0" w:color="auto"/>
            <w:bottom w:val="none" w:sz="0" w:space="0" w:color="auto"/>
            <w:right w:val="none" w:sz="0" w:space="0" w:color="auto"/>
          </w:divBdr>
          <w:divsChild>
            <w:div w:id="1170562473">
              <w:marLeft w:val="0"/>
              <w:marRight w:val="0"/>
              <w:marTop w:val="0"/>
              <w:marBottom w:val="0"/>
              <w:divBdr>
                <w:top w:val="none" w:sz="0" w:space="0" w:color="auto"/>
                <w:left w:val="none" w:sz="0" w:space="0" w:color="auto"/>
                <w:bottom w:val="none" w:sz="0" w:space="0" w:color="auto"/>
                <w:right w:val="none" w:sz="0" w:space="0" w:color="auto"/>
              </w:divBdr>
              <w:divsChild>
                <w:div w:id="1191258557">
                  <w:marLeft w:val="0"/>
                  <w:marRight w:val="0"/>
                  <w:marTop w:val="0"/>
                  <w:marBottom w:val="0"/>
                  <w:divBdr>
                    <w:top w:val="none" w:sz="0" w:space="0" w:color="auto"/>
                    <w:left w:val="none" w:sz="0" w:space="0" w:color="auto"/>
                    <w:bottom w:val="none" w:sz="0" w:space="0" w:color="auto"/>
                    <w:right w:val="none" w:sz="0" w:space="0" w:color="auto"/>
                  </w:divBdr>
                  <w:divsChild>
                    <w:div w:id="45641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610517">
      <w:bodyDiv w:val="1"/>
      <w:marLeft w:val="0"/>
      <w:marRight w:val="0"/>
      <w:marTop w:val="0"/>
      <w:marBottom w:val="0"/>
      <w:divBdr>
        <w:top w:val="none" w:sz="0" w:space="0" w:color="auto"/>
        <w:left w:val="none" w:sz="0" w:space="0" w:color="auto"/>
        <w:bottom w:val="none" w:sz="0" w:space="0" w:color="auto"/>
        <w:right w:val="none" w:sz="0" w:space="0" w:color="auto"/>
      </w:divBdr>
    </w:div>
    <w:div w:id="654068023">
      <w:bodyDiv w:val="1"/>
      <w:marLeft w:val="0"/>
      <w:marRight w:val="0"/>
      <w:marTop w:val="0"/>
      <w:marBottom w:val="0"/>
      <w:divBdr>
        <w:top w:val="none" w:sz="0" w:space="0" w:color="auto"/>
        <w:left w:val="none" w:sz="0" w:space="0" w:color="auto"/>
        <w:bottom w:val="none" w:sz="0" w:space="0" w:color="auto"/>
        <w:right w:val="none" w:sz="0" w:space="0" w:color="auto"/>
      </w:divBdr>
    </w:div>
    <w:div w:id="804471309">
      <w:bodyDiv w:val="1"/>
      <w:marLeft w:val="0"/>
      <w:marRight w:val="0"/>
      <w:marTop w:val="0"/>
      <w:marBottom w:val="0"/>
      <w:divBdr>
        <w:top w:val="none" w:sz="0" w:space="0" w:color="auto"/>
        <w:left w:val="none" w:sz="0" w:space="0" w:color="auto"/>
        <w:bottom w:val="none" w:sz="0" w:space="0" w:color="auto"/>
        <w:right w:val="none" w:sz="0" w:space="0" w:color="auto"/>
      </w:divBdr>
    </w:div>
    <w:div w:id="818621166">
      <w:bodyDiv w:val="1"/>
      <w:marLeft w:val="0"/>
      <w:marRight w:val="0"/>
      <w:marTop w:val="0"/>
      <w:marBottom w:val="0"/>
      <w:divBdr>
        <w:top w:val="none" w:sz="0" w:space="0" w:color="auto"/>
        <w:left w:val="none" w:sz="0" w:space="0" w:color="auto"/>
        <w:bottom w:val="none" w:sz="0" w:space="0" w:color="auto"/>
        <w:right w:val="none" w:sz="0" w:space="0" w:color="auto"/>
      </w:divBdr>
    </w:div>
    <w:div w:id="904803834">
      <w:bodyDiv w:val="1"/>
      <w:marLeft w:val="0"/>
      <w:marRight w:val="0"/>
      <w:marTop w:val="0"/>
      <w:marBottom w:val="0"/>
      <w:divBdr>
        <w:top w:val="none" w:sz="0" w:space="0" w:color="auto"/>
        <w:left w:val="none" w:sz="0" w:space="0" w:color="auto"/>
        <w:bottom w:val="none" w:sz="0" w:space="0" w:color="auto"/>
        <w:right w:val="none" w:sz="0" w:space="0" w:color="auto"/>
      </w:divBdr>
    </w:div>
    <w:div w:id="923294660">
      <w:bodyDiv w:val="1"/>
      <w:marLeft w:val="0"/>
      <w:marRight w:val="0"/>
      <w:marTop w:val="0"/>
      <w:marBottom w:val="0"/>
      <w:divBdr>
        <w:top w:val="none" w:sz="0" w:space="0" w:color="auto"/>
        <w:left w:val="none" w:sz="0" w:space="0" w:color="auto"/>
        <w:bottom w:val="none" w:sz="0" w:space="0" w:color="auto"/>
        <w:right w:val="none" w:sz="0" w:space="0" w:color="auto"/>
      </w:divBdr>
      <w:divsChild>
        <w:div w:id="1140614932">
          <w:marLeft w:val="0"/>
          <w:marRight w:val="0"/>
          <w:marTop w:val="0"/>
          <w:marBottom w:val="166"/>
          <w:divBdr>
            <w:top w:val="none" w:sz="0" w:space="0" w:color="auto"/>
            <w:left w:val="none" w:sz="0" w:space="0" w:color="auto"/>
            <w:bottom w:val="none" w:sz="0" w:space="0" w:color="auto"/>
            <w:right w:val="none" w:sz="0" w:space="0" w:color="auto"/>
          </w:divBdr>
          <w:divsChild>
            <w:div w:id="464203157">
              <w:marLeft w:val="0"/>
              <w:marRight w:val="0"/>
              <w:marTop w:val="0"/>
              <w:marBottom w:val="0"/>
              <w:divBdr>
                <w:top w:val="none" w:sz="0" w:space="0" w:color="auto"/>
                <w:left w:val="none" w:sz="0" w:space="0" w:color="auto"/>
                <w:bottom w:val="none" w:sz="0" w:space="0" w:color="auto"/>
                <w:right w:val="none" w:sz="0" w:space="0" w:color="auto"/>
              </w:divBdr>
              <w:divsChild>
                <w:div w:id="859511333">
                  <w:marLeft w:val="240"/>
                  <w:marRight w:val="0"/>
                  <w:marTop w:val="0"/>
                  <w:marBottom w:val="0"/>
                  <w:divBdr>
                    <w:top w:val="none" w:sz="0" w:space="0" w:color="auto"/>
                    <w:left w:val="none" w:sz="0" w:space="0" w:color="auto"/>
                    <w:bottom w:val="none" w:sz="0" w:space="0" w:color="auto"/>
                    <w:right w:val="none" w:sz="0" w:space="0" w:color="auto"/>
                  </w:divBdr>
                  <w:divsChild>
                    <w:div w:id="12391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3716">
              <w:marLeft w:val="0"/>
              <w:marRight w:val="0"/>
              <w:marTop w:val="0"/>
              <w:marBottom w:val="0"/>
              <w:divBdr>
                <w:top w:val="none" w:sz="0" w:space="0" w:color="auto"/>
                <w:left w:val="none" w:sz="0" w:space="0" w:color="auto"/>
                <w:bottom w:val="none" w:sz="0" w:space="0" w:color="auto"/>
                <w:right w:val="none" w:sz="0" w:space="0" w:color="auto"/>
              </w:divBdr>
              <w:divsChild>
                <w:div w:id="1153372110">
                  <w:marLeft w:val="0"/>
                  <w:marRight w:val="0"/>
                  <w:marTop w:val="0"/>
                  <w:marBottom w:val="0"/>
                  <w:divBdr>
                    <w:top w:val="none" w:sz="0" w:space="0" w:color="auto"/>
                    <w:left w:val="none" w:sz="0" w:space="0" w:color="auto"/>
                    <w:bottom w:val="none" w:sz="0" w:space="0" w:color="auto"/>
                    <w:right w:val="none" w:sz="0" w:space="0" w:color="auto"/>
                  </w:divBdr>
                </w:div>
                <w:div w:id="1271157306">
                  <w:marLeft w:val="0"/>
                  <w:marRight w:val="0"/>
                  <w:marTop w:val="0"/>
                  <w:marBottom w:val="0"/>
                  <w:divBdr>
                    <w:top w:val="none" w:sz="0" w:space="0" w:color="auto"/>
                    <w:left w:val="none" w:sz="0" w:space="0" w:color="auto"/>
                    <w:bottom w:val="none" w:sz="0" w:space="0" w:color="auto"/>
                    <w:right w:val="none" w:sz="0" w:space="0" w:color="auto"/>
                  </w:divBdr>
                </w:div>
                <w:div w:id="26083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85233">
          <w:marLeft w:val="0"/>
          <w:marRight w:val="0"/>
          <w:marTop w:val="166"/>
          <w:marBottom w:val="166"/>
          <w:divBdr>
            <w:top w:val="none" w:sz="0" w:space="0" w:color="auto"/>
            <w:left w:val="none" w:sz="0" w:space="0" w:color="auto"/>
            <w:bottom w:val="none" w:sz="0" w:space="0" w:color="auto"/>
            <w:right w:val="none" w:sz="0" w:space="0" w:color="auto"/>
          </w:divBdr>
          <w:divsChild>
            <w:div w:id="7073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33461">
      <w:bodyDiv w:val="1"/>
      <w:marLeft w:val="0"/>
      <w:marRight w:val="0"/>
      <w:marTop w:val="0"/>
      <w:marBottom w:val="0"/>
      <w:divBdr>
        <w:top w:val="none" w:sz="0" w:space="0" w:color="auto"/>
        <w:left w:val="none" w:sz="0" w:space="0" w:color="auto"/>
        <w:bottom w:val="none" w:sz="0" w:space="0" w:color="auto"/>
        <w:right w:val="none" w:sz="0" w:space="0" w:color="auto"/>
      </w:divBdr>
    </w:div>
    <w:div w:id="1108085949">
      <w:bodyDiv w:val="1"/>
      <w:marLeft w:val="0"/>
      <w:marRight w:val="0"/>
      <w:marTop w:val="0"/>
      <w:marBottom w:val="0"/>
      <w:divBdr>
        <w:top w:val="none" w:sz="0" w:space="0" w:color="auto"/>
        <w:left w:val="none" w:sz="0" w:space="0" w:color="auto"/>
        <w:bottom w:val="none" w:sz="0" w:space="0" w:color="auto"/>
        <w:right w:val="none" w:sz="0" w:space="0" w:color="auto"/>
      </w:divBdr>
    </w:div>
    <w:div w:id="1201895639">
      <w:bodyDiv w:val="1"/>
      <w:marLeft w:val="0"/>
      <w:marRight w:val="0"/>
      <w:marTop w:val="0"/>
      <w:marBottom w:val="0"/>
      <w:divBdr>
        <w:top w:val="none" w:sz="0" w:space="0" w:color="auto"/>
        <w:left w:val="none" w:sz="0" w:space="0" w:color="auto"/>
        <w:bottom w:val="none" w:sz="0" w:space="0" w:color="auto"/>
        <w:right w:val="none" w:sz="0" w:space="0" w:color="auto"/>
      </w:divBdr>
      <w:divsChild>
        <w:div w:id="807283914">
          <w:marLeft w:val="0"/>
          <w:marRight w:val="0"/>
          <w:marTop w:val="0"/>
          <w:marBottom w:val="0"/>
          <w:divBdr>
            <w:top w:val="none" w:sz="0" w:space="0" w:color="auto"/>
            <w:left w:val="none" w:sz="0" w:space="0" w:color="auto"/>
            <w:bottom w:val="none" w:sz="0" w:space="0" w:color="auto"/>
            <w:right w:val="none" w:sz="0" w:space="0" w:color="auto"/>
          </w:divBdr>
          <w:divsChild>
            <w:div w:id="1989747342">
              <w:marLeft w:val="0"/>
              <w:marRight w:val="0"/>
              <w:marTop w:val="0"/>
              <w:marBottom w:val="0"/>
              <w:divBdr>
                <w:top w:val="none" w:sz="0" w:space="0" w:color="auto"/>
                <w:left w:val="none" w:sz="0" w:space="0" w:color="auto"/>
                <w:bottom w:val="none" w:sz="0" w:space="0" w:color="auto"/>
                <w:right w:val="none" w:sz="0" w:space="0" w:color="auto"/>
              </w:divBdr>
              <w:divsChild>
                <w:div w:id="540476910">
                  <w:marLeft w:val="0"/>
                  <w:marRight w:val="0"/>
                  <w:marTop w:val="0"/>
                  <w:marBottom w:val="0"/>
                  <w:divBdr>
                    <w:top w:val="none" w:sz="0" w:space="0" w:color="auto"/>
                    <w:left w:val="none" w:sz="0" w:space="0" w:color="auto"/>
                    <w:bottom w:val="none" w:sz="0" w:space="0" w:color="auto"/>
                    <w:right w:val="none" w:sz="0" w:space="0" w:color="auto"/>
                  </w:divBdr>
                  <w:divsChild>
                    <w:div w:id="108661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16032">
          <w:marLeft w:val="0"/>
          <w:marRight w:val="0"/>
          <w:marTop w:val="0"/>
          <w:marBottom w:val="0"/>
          <w:divBdr>
            <w:top w:val="none" w:sz="0" w:space="0" w:color="auto"/>
            <w:left w:val="none" w:sz="0" w:space="0" w:color="auto"/>
            <w:bottom w:val="none" w:sz="0" w:space="0" w:color="auto"/>
            <w:right w:val="none" w:sz="0" w:space="0" w:color="auto"/>
          </w:divBdr>
          <w:divsChild>
            <w:div w:id="467163900">
              <w:marLeft w:val="0"/>
              <w:marRight w:val="0"/>
              <w:marTop w:val="0"/>
              <w:marBottom w:val="0"/>
              <w:divBdr>
                <w:top w:val="none" w:sz="0" w:space="0" w:color="auto"/>
                <w:left w:val="none" w:sz="0" w:space="0" w:color="auto"/>
                <w:bottom w:val="none" w:sz="0" w:space="0" w:color="auto"/>
                <w:right w:val="none" w:sz="0" w:space="0" w:color="auto"/>
              </w:divBdr>
              <w:divsChild>
                <w:div w:id="146087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731509">
          <w:marLeft w:val="0"/>
          <w:marRight w:val="0"/>
          <w:marTop w:val="0"/>
          <w:marBottom w:val="0"/>
          <w:divBdr>
            <w:top w:val="none" w:sz="0" w:space="0" w:color="auto"/>
            <w:left w:val="none" w:sz="0" w:space="0" w:color="auto"/>
            <w:bottom w:val="none" w:sz="0" w:space="0" w:color="auto"/>
            <w:right w:val="none" w:sz="0" w:space="0" w:color="auto"/>
          </w:divBdr>
        </w:div>
      </w:divsChild>
    </w:div>
    <w:div w:id="1246067612">
      <w:bodyDiv w:val="1"/>
      <w:marLeft w:val="0"/>
      <w:marRight w:val="0"/>
      <w:marTop w:val="0"/>
      <w:marBottom w:val="0"/>
      <w:divBdr>
        <w:top w:val="none" w:sz="0" w:space="0" w:color="auto"/>
        <w:left w:val="none" w:sz="0" w:space="0" w:color="auto"/>
        <w:bottom w:val="none" w:sz="0" w:space="0" w:color="auto"/>
        <w:right w:val="none" w:sz="0" w:space="0" w:color="auto"/>
      </w:divBdr>
    </w:div>
    <w:div w:id="1316300529">
      <w:bodyDiv w:val="1"/>
      <w:marLeft w:val="0"/>
      <w:marRight w:val="0"/>
      <w:marTop w:val="0"/>
      <w:marBottom w:val="0"/>
      <w:divBdr>
        <w:top w:val="none" w:sz="0" w:space="0" w:color="auto"/>
        <w:left w:val="none" w:sz="0" w:space="0" w:color="auto"/>
        <w:bottom w:val="none" w:sz="0" w:space="0" w:color="auto"/>
        <w:right w:val="none" w:sz="0" w:space="0" w:color="auto"/>
      </w:divBdr>
    </w:div>
    <w:div w:id="1326129075">
      <w:bodyDiv w:val="1"/>
      <w:marLeft w:val="0"/>
      <w:marRight w:val="0"/>
      <w:marTop w:val="0"/>
      <w:marBottom w:val="0"/>
      <w:divBdr>
        <w:top w:val="none" w:sz="0" w:space="0" w:color="auto"/>
        <w:left w:val="none" w:sz="0" w:space="0" w:color="auto"/>
        <w:bottom w:val="none" w:sz="0" w:space="0" w:color="auto"/>
        <w:right w:val="none" w:sz="0" w:space="0" w:color="auto"/>
      </w:divBdr>
      <w:divsChild>
        <w:div w:id="1908374225">
          <w:marLeft w:val="0"/>
          <w:marRight w:val="0"/>
          <w:marTop w:val="120"/>
          <w:marBottom w:val="0"/>
          <w:divBdr>
            <w:top w:val="none" w:sz="0" w:space="0" w:color="auto"/>
            <w:left w:val="none" w:sz="0" w:space="0" w:color="auto"/>
            <w:bottom w:val="none" w:sz="0" w:space="0" w:color="auto"/>
            <w:right w:val="none" w:sz="0" w:space="0" w:color="auto"/>
          </w:divBdr>
        </w:div>
        <w:div w:id="1587612087">
          <w:marLeft w:val="0"/>
          <w:marRight w:val="0"/>
          <w:marTop w:val="120"/>
          <w:marBottom w:val="0"/>
          <w:divBdr>
            <w:top w:val="none" w:sz="0" w:space="0" w:color="auto"/>
            <w:left w:val="none" w:sz="0" w:space="0" w:color="auto"/>
            <w:bottom w:val="none" w:sz="0" w:space="0" w:color="auto"/>
            <w:right w:val="none" w:sz="0" w:space="0" w:color="auto"/>
          </w:divBdr>
        </w:div>
      </w:divsChild>
    </w:div>
    <w:div w:id="1330015160">
      <w:bodyDiv w:val="1"/>
      <w:marLeft w:val="0"/>
      <w:marRight w:val="0"/>
      <w:marTop w:val="0"/>
      <w:marBottom w:val="0"/>
      <w:divBdr>
        <w:top w:val="none" w:sz="0" w:space="0" w:color="auto"/>
        <w:left w:val="none" w:sz="0" w:space="0" w:color="auto"/>
        <w:bottom w:val="none" w:sz="0" w:space="0" w:color="auto"/>
        <w:right w:val="none" w:sz="0" w:space="0" w:color="auto"/>
      </w:divBdr>
    </w:div>
    <w:div w:id="1382436960">
      <w:bodyDiv w:val="1"/>
      <w:marLeft w:val="0"/>
      <w:marRight w:val="0"/>
      <w:marTop w:val="0"/>
      <w:marBottom w:val="0"/>
      <w:divBdr>
        <w:top w:val="none" w:sz="0" w:space="0" w:color="auto"/>
        <w:left w:val="none" w:sz="0" w:space="0" w:color="auto"/>
        <w:bottom w:val="none" w:sz="0" w:space="0" w:color="auto"/>
        <w:right w:val="none" w:sz="0" w:space="0" w:color="auto"/>
      </w:divBdr>
    </w:div>
    <w:div w:id="1425153191">
      <w:bodyDiv w:val="1"/>
      <w:marLeft w:val="0"/>
      <w:marRight w:val="0"/>
      <w:marTop w:val="0"/>
      <w:marBottom w:val="0"/>
      <w:divBdr>
        <w:top w:val="none" w:sz="0" w:space="0" w:color="auto"/>
        <w:left w:val="none" w:sz="0" w:space="0" w:color="auto"/>
        <w:bottom w:val="none" w:sz="0" w:space="0" w:color="auto"/>
        <w:right w:val="none" w:sz="0" w:space="0" w:color="auto"/>
      </w:divBdr>
    </w:div>
    <w:div w:id="1512646334">
      <w:bodyDiv w:val="1"/>
      <w:marLeft w:val="0"/>
      <w:marRight w:val="0"/>
      <w:marTop w:val="0"/>
      <w:marBottom w:val="0"/>
      <w:divBdr>
        <w:top w:val="none" w:sz="0" w:space="0" w:color="auto"/>
        <w:left w:val="none" w:sz="0" w:space="0" w:color="auto"/>
        <w:bottom w:val="none" w:sz="0" w:space="0" w:color="auto"/>
        <w:right w:val="none" w:sz="0" w:space="0" w:color="auto"/>
      </w:divBdr>
      <w:divsChild>
        <w:div w:id="1620602107">
          <w:marLeft w:val="0"/>
          <w:marRight w:val="0"/>
          <w:marTop w:val="0"/>
          <w:marBottom w:val="0"/>
          <w:divBdr>
            <w:top w:val="none" w:sz="0" w:space="0" w:color="auto"/>
            <w:left w:val="none" w:sz="0" w:space="0" w:color="auto"/>
            <w:bottom w:val="none" w:sz="0" w:space="0" w:color="auto"/>
            <w:right w:val="none" w:sz="0" w:space="0" w:color="auto"/>
          </w:divBdr>
          <w:divsChild>
            <w:div w:id="344332946">
              <w:marLeft w:val="0"/>
              <w:marRight w:val="0"/>
              <w:marTop w:val="0"/>
              <w:marBottom w:val="0"/>
              <w:divBdr>
                <w:top w:val="none" w:sz="0" w:space="0" w:color="auto"/>
                <w:left w:val="none" w:sz="0" w:space="0" w:color="auto"/>
                <w:bottom w:val="none" w:sz="0" w:space="0" w:color="auto"/>
                <w:right w:val="none" w:sz="0" w:space="0" w:color="auto"/>
              </w:divBdr>
              <w:divsChild>
                <w:div w:id="1870725604">
                  <w:marLeft w:val="0"/>
                  <w:marRight w:val="0"/>
                  <w:marTop w:val="0"/>
                  <w:marBottom w:val="0"/>
                  <w:divBdr>
                    <w:top w:val="none" w:sz="0" w:space="0" w:color="auto"/>
                    <w:left w:val="none" w:sz="0" w:space="0" w:color="auto"/>
                    <w:bottom w:val="none" w:sz="0" w:space="0" w:color="auto"/>
                    <w:right w:val="none" w:sz="0" w:space="0" w:color="auto"/>
                  </w:divBdr>
                  <w:divsChild>
                    <w:div w:id="69507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273313">
          <w:marLeft w:val="0"/>
          <w:marRight w:val="0"/>
          <w:marTop w:val="0"/>
          <w:marBottom w:val="0"/>
          <w:divBdr>
            <w:top w:val="none" w:sz="0" w:space="0" w:color="auto"/>
            <w:left w:val="none" w:sz="0" w:space="0" w:color="auto"/>
            <w:bottom w:val="none" w:sz="0" w:space="0" w:color="auto"/>
            <w:right w:val="none" w:sz="0" w:space="0" w:color="auto"/>
          </w:divBdr>
          <w:divsChild>
            <w:div w:id="1598100993">
              <w:marLeft w:val="0"/>
              <w:marRight w:val="0"/>
              <w:marTop w:val="0"/>
              <w:marBottom w:val="0"/>
              <w:divBdr>
                <w:top w:val="none" w:sz="0" w:space="0" w:color="auto"/>
                <w:left w:val="none" w:sz="0" w:space="0" w:color="auto"/>
                <w:bottom w:val="none" w:sz="0" w:space="0" w:color="auto"/>
                <w:right w:val="none" w:sz="0" w:space="0" w:color="auto"/>
              </w:divBdr>
              <w:divsChild>
                <w:div w:id="203372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363263">
          <w:marLeft w:val="0"/>
          <w:marRight w:val="0"/>
          <w:marTop w:val="0"/>
          <w:marBottom w:val="0"/>
          <w:divBdr>
            <w:top w:val="none" w:sz="0" w:space="0" w:color="auto"/>
            <w:left w:val="none" w:sz="0" w:space="0" w:color="auto"/>
            <w:bottom w:val="none" w:sz="0" w:space="0" w:color="auto"/>
            <w:right w:val="none" w:sz="0" w:space="0" w:color="auto"/>
          </w:divBdr>
        </w:div>
      </w:divsChild>
    </w:div>
    <w:div w:id="1610506299">
      <w:bodyDiv w:val="1"/>
      <w:marLeft w:val="0"/>
      <w:marRight w:val="0"/>
      <w:marTop w:val="0"/>
      <w:marBottom w:val="0"/>
      <w:divBdr>
        <w:top w:val="none" w:sz="0" w:space="0" w:color="auto"/>
        <w:left w:val="none" w:sz="0" w:space="0" w:color="auto"/>
        <w:bottom w:val="none" w:sz="0" w:space="0" w:color="auto"/>
        <w:right w:val="none" w:sz="0" w:space="0" w:color="auto"/>
      </w:divBdr>
    </w:div>
    <w:div w:id="1612546035">
      <w:bodyDiv w:val="1"/>
      <w:marLeft w:val="0"/>
      <w:marRight w:val="0"/>
      <w:marTop w:val="0"/>
      <w:marBottom w:val="0"/>
      <w:divBdr>
        <w:top w:val="none" w:sz="0" w:space="0" w:color="auto"/>
        <w:left w:val="none" w:sz="0" w:space="0" w:color="auto"/>
        <w:bottom w:val="none" w:sz="0" w:space="0" w:color="auto"/>
        <w:right w:val="none" w:sz="0" w:space="0" w:color="auto"/>
      </w:divBdr>
    </w:div>
    <w:div w:id="1693068141">
      <w:bodyDiv w:val="1"/>
      <w:marLeft w:val="0"/>
      <w:marRight w:val="0"/>
      <w:marTop w:val="0"/>
      <w:marBottom w:val="0"/>
      <w:divBdr>
        <w:top w:val="none" w:sz="0" w:space="0" w:color="auto"/>
        <w:left w:val="none" w:sz="0" w:space="0" w:color="auto"/>
        <w:bottom w:val="none" w:sz="0" w:space="0" w:color="auto"/>
        <w:right w:val="none" w:sz="0" w:space="0" w:color="auto"/>
      </w:divBdr>
    </w:div>
    <w:div w:id="1720321169">
      <w:bodyDiv w:val="1"/>
      <w:marLeft w:val="0"/>
      <w:marRight w:val="0"/>
      <w:marTop w:val="0"/>
      <w:marBottom w:val="0"/>
      <w:divBdr>
        <w:top w:val="none" w:sz="0" w:space="0" w:color="auto"/>
        <w:left w:val="none" w:sz="0" w:space="0" w:color="auto"/>
        <w:bottom w:val="none" w:sz="0" w:space="0" w:color="auto"/>
        <w:right w:val="none" w:sz="0" w:space="0" w:color="auto"/>
      </w:divBdr>
    </w:div>
    <w:div w:id="1750079328">
      <w:bodyDiv w:val="1"/>
      <w:marLeft w:val="0"/>
      <w:marRight w:val="0"/>
      <w:marTop w:val="0"/>
      <w:marBottom w:val="0"/>
      <w:divBdr>
        <w:top w:val="none" w:sz="0" w:space="0" w:color="auto"/>
        <w:left w:val="none" w:sz="0" w:space="0" w:color="auto"/>
        <w:bottom w:val="none" w:sz="0" w:space="0" w:color="auto"/>
        <w:right w:val="none" w:sz="0" w:space="0" w:color="auto"/>
      </w:divBdr>
    </w:div>
    <w:div w:id="1760517170">
      <w:bodyDiv w:val="1"/>
      <w:marLeft w:val="0"/>
      <w:marRight w:val="0"/>
      <w:marTop w:val="0"/>
      <w:marBottom w:val="0"/>
      <w:divBdr>
        <w:top w:val="none" w:sz="0" w:space="0" w:color="auto"/>
        <w:left w:val="none" w:sz="0" w:space="0" w:color="auto"/>
        <w:bottom w:val="none" w:sz="0" w:space="0" w:color="auto"/>
        <w:right w:val="none" w:sz="0" w:space="0" w:color="auto"/>
      </w:divBdr>
    </w:div>
    <w:div w:id="1831289263">
      <w:bodyDiv w:val="1"/>
      <w:marLeft w:val="0"/>
      <w:marRight w:val="0"/>
      <w:marTop w:val="0"/>
      <w:marBottom w:val="0"/>
      <w:divBdr>
        <w:top w:val="none" w:sz="0" w:space="0" w:color="auto"/>
        <w:left w:val="none" w:sz="0" w:space="0" w:color="auto"/>
        <w:bottom w:val="none" w:sz="0" w:space="0" w:color="auto"/>
        <w:right w:val="none" w:sz="0" w:space="0" w:color="auto"/>
      </w:divBdr>
      <w:divsChild>
        <w:div w:id="1173375078">
          <w:marLeft w:val="0"/>
          <w:marRight w:val="0"/>
          <w:marTop w:val="120"/>
          <w:marBottom w:val="0"/>
          <w:divBdr>
            <w:top w:val="none" w:sz="0" w:space="0" w:color="auto"/>
            <w:left w:val="none" w:sz="0" w:space="0" w:color="auto"/>
            <w:bottom w:val="none" w:sz="0" w:space="0" w:color="auto"/>
            <w:right w:val="none" w:sz="0" w:space="0" w:color="auto"/>
          </w:divBdr>
        </w:div>
        <w:div w:id="223879750">
          <w:marLeft w:val="0"/>
          <w:marRight w:val="0"/>
          <w:marTop w:val="120"/>
          <w:marBottom w:val="0"/>
          <w:divBdr>
            <w:top w:val="none" w:sz="0" w:space="0" w:color="auto"/>
            <w:left w:val="none" w:sz="0" w:space="0" w:color="auto"/>
            <w:bottom w:val="none" w:sz="0" w:space="0" w:color="auto"/>
            <w:right w:val="none" w:sz="0" w:space="0" w:color="auto"/>
          </w:divBdr>
        </w:div>
      </w:divsChild>
    </w:div>
    <w:div w:id="1846432048">
      <w:bodyDiv w:val="1"/>
      <w:marLeft w:val="0"/>
      <w:marRight w:val="0"/>
      <w:marTop w:val="0"/>
      <w:marBottom w:val="0"/>
      <w:divBdr>
        <w:top w:val="none" w:sz="0" w:space="0" w:color="auto"/>
        <w:left w:val="none" w:sz="0" w:space="0" w:color="auto"/>
        <w:bottom w:val="none" w:sz="0" w:space="0" w:color="auto"/>
        <w:right w:val="none" w:sz="0" w:space="0" w:color="auto"/>
      </w:divBdr>
    </w:div>
    <w:div w:id="1873152105">
      <w:bodyDiv w:val="1"/>
      <w:marLeft w:val="0"/>
      <w:marRight w:val="0"/>
      <w:marTop w:val="0"/>
      <w:marBottom w:val="0"/>
      <w:divBdr>
        <w:top w:val="none" w:sz="0" w:space="0" w:color="auto"/>
        <w:left w:val="none" w:sz="0" w:space="0" w:color="auto"/>
        <w:bottom w:val="none" w:sz="0" w:space="0" w:color="auto"/>
        <w:right w:val="none" w:sz="0" w:space="0" w:color="auto"/>
      </w:divBdr>
      <w:divsChild>
        <w:div w:id="1411661151">
          <w:marLeft w:val="336"/>
          <w:marRight w:val="0"/>
          <w:marTop w:val="120"/>
          <w:marBottom w:val="312"/>
          <w:divBdr>
            <w:top w:val="none" w:sz="0" w:space="0" w:color="auto"/>
            <w:left w:val="none" w:sz="0" w:space="0" w:color="auto"/>
            <w:bottom w:val="none" w:sz="0" w:space="0" w:color="auto"/>
            <w:right w:val="none" w:sz="0" w:space="0" w:color="auto"/>
          </w:divBdr>
          <w:divsChild>
            <w:div w:id="115665229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80701992">
      <w:bodyDiv w:val="1"/>
      <w:marLeft w:val="0"/>
      <w:marRight w:val="0"/>
      <w:marTop w:val="0"/>
      <w:marBottom w:val="0"/>
      <w:divBdr>
        <w:top w:val="none" w:sz="0" w:space="0" w:color="auto"/>
        <w:left w:val="none" w:sz="0" w:space="0" w:color="auto"/>
        <w:bottom w:val="none" w:sz="0" w:space="0" w:color="auto"/>
        <w:right w:val="none" w:sz="0" w:space="0" w:color="auto"/>
      </w:divBdr>
      <w:divsChild>
        <w:div w:id="1303729724">
          <w:marLeft w:val="0"/>
          <w:marRight w:val="0"/>
          <w:marTop w:val="0"/>
          <w:marBottom w:val="0"/>
          <w:divBdr>
            <w:top w:val="none" w:sz="0" w:space="0" w:color="auto"/>
            <w:left w:val="none" w:sz="0" w:space="0" w:color="auto"/>
            <w:bottom w:val="none" w:sz="0" w:space="0" w:color="auto"/>
            <w:right w:val="none" w:sz="0" w:space="0" w:color="auto"/>
          </w:divBdr>
          <w:divsChild>
            <w:div w:id="1664435423">
              <w:marLeft w:val="0"/>
              <w:marRight w:val="0"/>
              <w:marTop w:val="0"/>
              <w:marBottom w:val="0"/>
              <w:divBdr>
                <w:top w:val="none" w:sz="0" w:space="0" w:color="auto"/>
                <w:left w:val="none" w:sz="0" w:space="0" w:color="auto"/>
                <w:bottom w:val="none" w:sz="0" w:space="0" w:color="auto"/>
                <w:right w:val="none" w:sz="0" w:space="0" w:color="auto"/>
              </w:divBdr>
              <w:divsChild>
                <w:div w:id="1244685321">
                  <w:marLeft w:val="0"/>
                  <w:marRight w:val="0"/>
                  <w:marTop w:val="0"/>
                  <w:marBottom w:val="0"/>
                  <w:divBdr>
                    <w:top w:val="none" w:sz="0" w:space="0" w:color="auto"/>
                    <w:left w:val="none" w:sz="0" w:space="0" w:color="auto"/>
                    <w:bottom w:val="none" w:sz="0" w:space="0" w:color="auto"/>
                    <w:right w:val="none" w:sz="0" w:space="0" w:color="auto"/>
                  </w:divBdr>
                  <w:divsChild>
                    <w:div w:id="123798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596861">
      <w:bodyDiv w:val="1"/>
      <w:marLeft w:val="0"/>
      <w:marRight w:val="0"/>
      <w:marTop w:val="0"/>
      <w:marBottom w:val="0"/>
      <w:divBdr>
        <w:top w:val="none" w:sz="0" w:space="0" w:color="auto"/>
        <w:left w:val="none" w:sz="0" w:space="0" w:color="auto"/>
        <w:bottom w:val="none" w:sz="0" w:space="0" w:color="auto"/>
        <w:right w:val="none" w:sz="0" w:space="0" w:color="auto"/>
      </w:divBdr>
    </w:div>
    <w:div w:id="2077170077">
      <w:bodyDiv w:val="1"/>
      <w:marLeft w:val="0"/>
      <w:marRight w:val="0"/>
      <w:marTop w:val="0"/>
      <w:marBottom w:val="0"/>
      <w:divBdr>
        <w:top w:val="none" w:sz="0" w:space="0" w:color="auto"/>
        <w:left w:val="none" w:sz="0" w:space="0" w:color="auto"/>
        <w:bottom w:val="none" w:sz="0" w:space="0" w:color="auto"/>
        <w:right w:val="none" w:sz="0" w:space="0" w:color="auto"/>
      </w:divBdr>
    </w:div>
    <w:div w:id="2126148161">
      <w:bodyDiv w:val="1"/>
      <w:marLeft w:val="0"/>
      <w:marRight w:val="0"/>
      <w:marTop w:val="0"/>
      <w:marBottom w:val="0"/>
      <w:divBdr>
        <w:top w:val="none" w:sz="0" w:space="0" w:color="auto"/>
        <w:left w:val="none" w:sz="0" w:space="0" w:color="auto"/>
        <w:bottom w:val="none" w:sz="0" w:space="0" w:color="auto"/>
        <w:right w:val="none" w:sz="0" w:space="0" w:color="auto"/>
      </w:divBdr>
    </w:div>
    <w:div w:id="2142728947">
      <w:bodyDiv w:val="1"/>
      <w:marLeft w:val="0"/>
      <w:marRight w:val="0"/>
      <w:marTop w:val="0"/>
      <w:marBottom w:val="0"/>
      <w:divBdr>
        <w:top w:val="none" w:sz="0" w:space="0" w:color="auto"/>
        <w:left w:val="none" w:sz="0" w:space="0" w:color="auto"/>
        <w:bottom w:val="none" w:sz="0" w:space="0" w:color="auto"/>
        <w:right w:val="none" w:sz="0" w:space="0" w:color="auto"/>
      </w:divBdr>
      <w:divsChild>
        <w:div w:id="1203438732">
          <w:marLeft w:val="0"/>
          <w:marRight w:val="0"/>
          <w:marTop w:val="0"/>
          <w:marBottom w:val="0"/>
          <w:divBdr>
            <w:top w:val="none" w:sz="0" w:space="0" w:color="auto"/>
            <w:left w:val="none" w:sz="0" w:space="0" w:color="auto"/>
            <w:bottom w:val="none" w:sz="0" w:space="0" w:color="auto"/>
            <w:right w:val="none" w:sz="0" w:space="0" w:color="auto"/>
          </w:divBdr>
        </w:div>
      </w:divsChild>
    </w:div>
    <w:div w:id="214711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dhillo@imperia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586DA-4C0B-BD48-9AB0-52016B9E0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31905</Words>
  <Characters>181864</Characters>
  <Application>Microsoft Office Word</Application>
  <DocSecurity>0</DocSecurity>
  <Lines>1515</Lines>
  <Paragraphs>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Abbara, Ali</dc:creator>
  <cp:keywords/>
  <dc:description/>
  <cp:lastModifiedBy>Abbara, Ali</cp:lastModifiedBy>
  <cp:revision>3</cp:revision>
  <dcterms:created xsi:type="dcterms:W3CDTF">2020-09-12T22:42:00Z</dcterms:created>
  <dcterms:modified xsi:type="dcterms:W3CDTF">2020-09-12T22:43:00Z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http://www.zotero.org/styles/apa-old-doi-prefix</vt:lpwstr>
  </property>
  <property fmtid="{D5CDD505-2E9C-101B-9397-08002B2CF9AE}" pid="9" name="Mendeley Recent Style Name 3_1">
    <vt:lpwstr>American Psychological Association 6th edition ("doi:" DOI prefix)</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http://www.zotero.org/styles/vancouver-imperial-college-london</vt:lpwstr>
  </property>
  <property fmtid="{D5CDD505-2E9C-101B-9397-08002B2CF9AE}" pid="15" name="Mendeley Recent Style Name 6_1">
    <vt:lpwstr>Imperial College London - Vancouver</vt:lpwstr>
  </property>
  <property fmtid="{D5CDD505-2E9C-101B-9397-08002B2CF9AE}" pid="16" name="Mendeley Recent Style Id 7_1">
    <vt:lpwstr>http://www.zotero.org/styles/pituitary</vt:lpwstr>
  </property>
  <property fmtid="{D5CDD505-2E9C-101B-9397-08002B2CF9AE}" pid="17" name="Mendeley Recent Style Name 7_1">
    <vt:lpwstr>Pituitary</vt:lpwstr>
  </property>
  <property fmtid="{D5CDD505-2E9C-101B-9397-08002B2CF9AE}" pid="18" name="Mendeley Recent Style Id 8_1">
    <vt:lpwstr>http://www.zotero.org/styles/science</vt:lpwstr>
  </property>
  <property fmtid="{D5CDD505-2E9C-101B-9397-08002B2CF9AE}" pid="19" name="Mendeley Recent Style Name 8_1">
    <vt:lpwstr>Science</vt:lpwstr>
  </property>
  <property fmtid="{D5CDD505-2E9C-101B-9397-08002B2CF9AE}" pid="20" name="Mendeley Recent Style Id 9_1">
    <vt:lpwstr>http://www.zotero.org/styles/the-journal-of-clinical-endocrinology-and-metabolism</vt:lpwstr>
  </property>
  <property fmtid="{D5CDD505-2E9C-101B-9397-08002B2CF9AE}" pid="21" name="Mendeley Recent Style Name 9_1">
    <vt:lpwstr>The Journal of Clinical Endocrinology &amp; Metabolism</vt:lpwstr>
  </property>
  <property fmtid="{D5CDD505-2E9C-101B-9397-08002B2CF9AE}" pid="22" name="Mendeley Document_1">
    <vt:lpwstr>True</vt:lpwstr>
  </property>
  <property fmtid="{D5CDD505-2E9C-101B-9397-08002B2CF9AE}" pid="23" name="Mendeley Unique User Id_1">
    <vt:lpwstr>13310887-ae4c-314c-a2ee-b15539c19bf4</vt:lpwstr>
  </property>
  <property fmtid="{D5CDD505-2E9C-101B-9397-08002B2CF9AE}" pid="24" name="Mendeley Citation Style_1">
    <vt:lpwstr>http://www.zotero.org/styles/vancouver-imperial-college-london</vt:lpwstr>
  </property>
</Properties>
</file>