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2C14" w:rsidRPr="002A3FAD" w:rsidRDefault="009D1F9C" w:rsidP="001A39AE">
      <w:pPr>
        <w:pStyle w:val="ColumnTitle"/>
        <w:rPr>
          <w:color w:val="auto"/>
        </w:rPr>
      </w:pPr>
      <w:r>
        <w:rPr>
          <w:noProof/>
          <w:color w:val="auto"/>
          <w:lang w:val="de-DE" w:eastAsia="de-DE"/>
        </w:rPr>
        <w:pict>
          <v:line id="_x0000_s1096" style="position:absolute;left:0;text-align:left;flip:x;z-index:3" from="109.35pt,9.3pt" to="395.45pt,9.3pt"/>
        </w:pict>
      </w:r>
      <w:r>
        <w:rPr>
          <w:noProof/>
          <w:color w:val="auto"/>
          <w:lang w:val="de-DE" w:eastAsia="de-D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97" type="#_x0000_t75" style="position:absolute;left:0;text-align:left;margin-left:9pt;margin-top:-6.45pt;width:103.5pt;height:26.85pt;z-index:4">
            <v:imagedata r:id="rId7" o:title="" cropright="813f"/>
          </v:shape>
        </w:pict>
      </w:r>
      <w:r w:rsidR="00915FA4" w:rsidRPr="002A3FAD">
        <w:rPr>
          <w:color w:val="auto"/>
        </w:rPr>
        <w:t>FULL PAPER</w:t>
      </w:r>
    </w:p>
    <w:p w:rsidR="00915FA4" w:rsidRPr="002A3FAD" w:rsidRDefault="0042545B" w:rsidP="00232C14">
      <w:pPr>
        <w:pStyle w:val="ManuscriptID"/>
        <w:sectPr w:rsidR="00915FA4" w:rsidRPr="002A3FAD" w:rsidSect="001A39AE">
          <w:footerReference w:type="even" r:id="rId8"/>
          <w:footerReference w:type="default" r:id="rId9"/>
          <w:type w:val="continuous"/>
          <w:pgSz w:w="11906" w:h="16838" w:code="9"/>
          <w:pgMar w:top="1134" w:right="851" w:bottom="1225" w:left="851" w:header="709" w:footer="709" w:gutter="0"/>
          <w:cols w:space="284"/>
          <w:docGrid w:linePitch="360"/>
        </w:sectPr>
      </w:pPr>
      <w:r w:rsidRPr="002A3FAD">
        <w:t>DOI: 10.1002/chem</w:t>
      </w:r>
      <w:r w:rsidR="00915FA4" w:rsidRPr="002A3FAD">
        <w:t>.200</w:t>
      </w:r>
      <w:r w:rsidR="00FC63D2" w:rsidRPr="002A3FAD">
        <w:t>((</w:t>
      </w:r>
      <w:r w:rsidR="00ED7791" w:rsidRPr="002A3FAD">
        <w:t>will be filled in by the editorial staff</w:t>
      </w:r>
      <w:r w:rsidR="00FC63D2" w:rsidRPr="002A3FAD">
        <w:t>))</w:t>
      </w:r>
    </w:p>
    <w:p w:rsidR="006024FD" w:rsidRPr="002A3FAD" w:rsidRDefault="0082567D" w:rsidP="006024FD">
      <w:pPr>
        <w:pStyle w:val="Title1"/>
        <w:rPr>
          <w:lang w:val="en-GB"/>
        </w:rPr>
      </w:pPr>
      <w:r>
        <w:lastRenderedPageBreak/>
        <w:t>N</w:t>
      </w:r>
      <w:r w:rsidR="00DE5193">
        <w:t>ovel</w:t>
      </w:r>
      <w:r>
        <w:t xml:space="preserve"> </w:t>
      </w:r>
      <w:r w:rsidR="009D0757" w:rsidRPr="002A3FAD">
        <w:t>Chiral Zwitterionic Phosphorus Heterocycles: Synthesis, Structure, Properties and Application</w:t>
      </w:r>
      <w:r w:rsidR="002056E5">
        <w:t xml:space="preserve"> as Chiral </w:t>
      </w:r>
      <w:r w:rsidR="00502A76">
        <w:t>Solvating</w:t>
      </w:r>
      <w:r w:rsidR="002056E5">
        <w:t xml:space="preserve"> Agents</w:t>
      </w:r>
    </w:p>
    <w:p w:rsidR="006479FE" w:rsidRPr="002A3FAD" w:rsidRDefault="009D1F9C" w:rsidP="006479FE">
      <w:pPr>
        <w:pStyle w:val="Authors"/>
      </w:pPr>
      <w:r>
        <w:rPr>
          <w:noProof/>
        </w:rPr>
        <w:pict>
          <v:shapetype id="_x0000_t202" coordsize="21600,21600" o:spt="202" path="m,l,21600r21600,l21600,xe">
            <v:stroke joinstyle="miter"/>
            <v:path gradientshapeok="t" o:connecttype="rect"/>
          </v:shapetype>
          <v:shape id="_x0000_s1051" type="#_x0000_t202" style="position:absolute;left:0;text-align:left;margin-left:.75pt;margin-top:561.5pt;width:248.05pt;height:218.7pt;z-index:2;mso-wrap-distance-top:14.2pt;mso-wrap-distance-right:14.2pt;mso-position-vertical-relative:page" stroked="f">
            <v:textbox style="mso-next-textbox:#_x0000_s1051;mso-fit-shape-to-text:t">
              <w:txbxContent>
                <w:p w:rsidR="00665D3C" w:rsidRPr="00FF7048" w:rsidRDefault="00665D3C" w:rsidP="00FF7048">
                  <w:pPr>
                    <w:pStyle w:val="Adress"/>
                    <w:spacing w:line="180" w:lineRule="exact"/>
                    <w:rPr>
                      <w:rFonts w:ascii="Times New Roman" w:hAnsi="Times New Roman"/>
                      <w:sz w:val="14"/>
                      <w:szCs w:val="14"/>
                      <w:lang w:val="en-GB"/>
                    </w:rPr>
                  </w:pPr>
                  <w:r w:rsidRPr="00FF7048">
                    <w:rPr>
                      <w:rFonts w:ascii="Times New Roman" w:hAnsi="Times New Roman"/>
                      <w:sz w:val="14"/>
                      <w:szCs w:val="14"/>
                      <w:lang w:val="en-GB"/>
                    </w:rPr>
                    <w:t>[</w:t>
                  </w:r>
                  <w:r w:rsidRPr="00FC63D2">
                    <w:rPr>
                      <w:rFonts w:ascii="Times New Roman" w:hAnsi="Times New Roman"/>
                      <w:sz w:val="14"/>
                      <w:szCs w:val="14"/>
                      <w:lang w:val="en-GB"/>
                    </w:rPr>
                    <w:t>a</w:t>
                  </w:r>
                  <w:r>
                    <w:rPr>
                      <w:rFonts w:ascii="Times New Roman" w:hAnsi="Times New Roman"/>
                      <w:sz w:val="14"/>
                      <w:szCs w:val="14"/>
                      <w:lang w:val="en-GB"/>
                    </w:rPr>
                    <w:t>]</w:t>
                  </w:r>
                  <w:r>
                    <w:rPr>
                      <w:rFonts w:ascii="Times New Roman" w:hAnsi="Times New Roman"/>
                      <w:sz w:val="14"/>
                      <w:szCs w:val="14"/>
                      <w:lang w:val="en-GB"/>
                    </w:rPr>
                    <w:tab/>
                    <w:t>Dr. A.E. Sheshenev, Dr. E.V. Boltukhina, Dr. K.K. Hii</w:t>
                  </w:r>
                  <w:r>
                    <w:rPr>
                      <w:rFonts w:ascii="Times New Roman" w:hAnsi="Times New Roman"/>
                      <w:sz w:val="14"/>
                      <w:szCs w:val="14"/>
                      <w:lang w:val="en-GB"/>
                    </w:rPr>
                    <w:br/>
                    <w:t>Department of Chemistry</w:t>
                  </w:r>
                  <w:r>
                    <w:rPr>
                      <w:rFonts w:ascii="Times New Roman" w:hAnsi="Times New Roman"/>
                      <w:sz w:val="14"/>
                      <w:szCs w:val="14"/>
                      <w:lang w:val="en-GB"/>
                    </w:rPr>
                    <w:br/>
                    <w:t>Imperial College London</w:t>
                  </w:r>
                  <w:r>
                    <w:rPr>
                      <w:rFonts w:ascii="Times New Roman" w:hAnsi="Times New Roman"/>
                      <w:sz w:val="14"/>
                      <w:szCs w:val="14"/>
                      <w:lang w:val="en-GB"/>
                    </w:rPr>
                    <w:br/>
                    <w:t>Exhibition Road, SW7 2AZ London, United Kingdom</w:t>
                  </w:r>
                  <w:r w:rsidRPr="00FF7048">
                    <w:rPr>
                      <w:rFonts w:ascii="Times New Roman" w:hAnsi="Times New Roman"/>
                      <w:sz w:val="14"/>
                      <w:szCs w:val="14"/>
                      <w:lang w:val="en-GB"/>
                    </w:rPr>
                    <w:br/>
                    <w:t>Fax</w:t>
                  </w:r>
                  <w:r w:rsidRPr="00F764C4">
                    <w:rPr>
                      <w:rFonts w:ascii="Times New Roman" w:hAnsi="Times New Roman"/>
                      <w:sz w:val="14"/>
                      <w:szCs w:val="14"/>
                      <w:lang w:val="en-GB"/>
                    </w:rPr>
                    <w:t xml:space="preserve">: </w:t>
                  </w:r>
                  <w:r w:rsidRPr="00926CA9">
                    <w:rPr>
                      <w:rFonts w:ascii="Times New Roman" w:hAnsi="Times New Roman"/>
                      <w:sz w:val="14"/>
                      <w:szCs w:val="14"/>
                      <w:lang w:val="en-GB"/>
                    </w:rPr>
                    <w:t>+44</w:t>
                  </w:r>
                  <w:r w:rsidRPr="005879C0">
                    <w:rPr>
                      <w:rFonts w:ascii="Times New Roman" w:hAnsi="Times New Roman"/>
                      <w:sz w:val="14"/>
                      <w:szCs w:val="14"/>
                      <w:lang w:val="en-GB"/>
                    </w:rPr>
                    <w:t xml:space="preserve"> </w:t>
                  </w:r>
                  <w:r w:rsidRPr="00926CA9">
                    <w:rPr>
                      <w:rFonts w:ascii="Times New Roman" w:hAnsi="Times New Roman"/>
                      <w:sz w:val="14"/>
                      <w:szCs w:val="14"/>
                      <w:lang w:val="en-GB" w:eastAsia="en-GB"/>
                    </w:rPr>
                    <w:t>2075945804</w:t>
                  </w:r>
                  <w:r w:rsidRPr="005879C0">
                    <w:rPr>
                      <w:rFonts w:ascii="Times New Roman" w:hAnsi="Times New Roman"/>
                      <w:sz w:val="14"/>
                      <w:szCs w:val="14"/>
                      <w:lang w:val="en-GB"/>
                    </w:rPr>
                    <w:br/>
                  </w:r>
                  <w:r w:rsidRPr="00563D64">
                    <w:rPr>
                      <w:rFonts w:ascii="Times New Roman" w:hAnsi="Times New Roman"/>
                      <w:sz w:val="14"/>
                      <w:szCs w:val="14"/>
                      <w:lang w:val="en-US"/>
                    </w:rPr>
                    <w:t>E-</w:t>
                  </w:r>
                  <w:r w:rsidRPr="005879C0">
                    <w:rPr>
                      <w:rFonts w:ascii="Times New Roman" w:hAnsi="Times New Roman"/>
                      <w:sz w:val="14"/>
                      <w:szCs w:val="14"/>
                      <w:lang w:val="en-US"/>
                    </w:rPr>
                    <w:t xml:space="preserve">mail: </w:t>
                  </w:r>
                  <w:r w:rsidRPr="00926CA9">
                    <w:rPr>
                      <w:rFonts w:ascii="Times New Roman" w:hAnsi="Times New Roman"/>
                      <w:sz w:val="14"/>
                      <w:szCs w:val="14"/>
                    </w:rPr>
                    <w:t>mimi.hii@imperial.ac.uk</w:t>
                  </w:r>
                </w:p>
                <w:p w:rsidR="00665D3C" w:rsidRDefault="00665D3C" w:rsidP="00FF7048">
                  <w:pPr>
                    <w:pStyle w:val="Adress"/>
                    <w:spacing w:line="180" w:lineRule="exact"/>
                    <w:rPr>
                      <w:rFonts w:ascii="Times New Roman" w:hAnsi="Times New Roman"/>
                      <w:sz w:val="14"/>
                      <w:szCs w:val="14"/>
                      <w:lang w:val="en-GB"/>
                    </w:rPr>
                  </w:pPr>
                  <w:r w:rsidRPr="00FF7048">
                    <w:rPr>
                      <w:rFonts w:ascii="Times New Roman" w:hAnsi="Times New Roman"/>
                      <w:sz w:val="14"/>
                      <w:szCs w:val="14"/>
                      <w:lang w:val="en-GB"/>
                    </w:rPr>
                    <w:t>[</w:t>
                  </w:r>
                  <w:r>
                    <w:rPr>
                      <w:rFonts w:ascii="Times New Roman" w:hAnsi="Times New Roman"/>
                      <w:sz w:val="14"/>
                      <w:szCs w:val="14"/>
                      <w:lang w:val="en-GB"/>
                    </w:rPr>
                    <w:t>b</w:t>
                  </w:r>
                  <w:r w:rsidRPr="00FF7048">
                    <w:rPr>
                      <w:rFonts w:ascii="Times New Roman" w:hAnsi="Times New Roman"/>
                      <w:sz w:val="14"/>
                      <w:szCs w:val="14"/>
                      <w:lang w:val="en-GB"/>
                    </w:rPr>
                    <w:t>]</w:t>
                  </w:r>
                  <w:r>
                    <w:rPr>
                      <w:rFonts w:ascii="Times New Roman" w:hAnsi="Times New Roman"/>
                      <w:sz w:val="14"/>
                      <w:szCs w:val="14"/>
                      <w:lang w:val="en-GB"/>
                    </w:rPr>
                    <w:tab/>
                    <w:t>A.A. Grishina, Dr. I.M. Lyapkalo</w:t>
                  </w:r>
                  <w:r>
                    <w:rPr>
                      <w:rFonts w:ascii="Times New Roman" w:hAnsi="Times New Roman"/>
                      <w:sz w:val="14"/>
                      <w:szCs w:val="14"/>
                      <w:lang w:val="en-GB"/>
                    </w:rPr>
                    <w:br/>
                    <w:t>Institute of Organic Chemistry and Biochemistry AS CR, v.v.i.</w:t>
                  </w:r>
                  <w:r>
                    <w:rPr>
                      <w:rFonts w:ascii="Times New Roman" w:hAnsi="Times New Roman"/>
                      <w:sz w:val="14"/>
                      <w:szCs w:val="14"/>
                      <w:lang w:val="en-GB"/>
                    </w:rPr>
                    <w:br/>
                    <w:t>Flemingovo nam. 2, 166 10 Prague 6, Czech Republic</w:t>
                  </w:r>
                </w:p>
                <w:p w:rsidR="00665D3C" w:rsidRPr="00FF7048" w:rsidRDefault="00665D3C" w:rsidP="00FF7048">
                  <w:pPr>
                    <w:pStyle w:val="Adress"/>
                    <w:spacing w:line="180" w:lineRule="exact"/>
                    <w:rPr>
                      <w:rFonts w:ascii="Times New Roman" w:hAnsi="Times New Roman"/>
                      <w:sz w:val="14"/>
                      <w:szCs w:val="14"/>
                      <w:lang w:val="en-GB"/>
                    </w:rPr>
                  </w:pPr>
                  <w:r>
                    <w:rPr>
                      <w:rFonts w:ascii="Times New Roman" w:hAnsi="Times New Roman"/>
                      <w:sz w:val="14"/>
                      <w:szCs w:val="14"/>
                      <w:lang w:val="en-GB"/>
                    </w:rPr>
                    <w:t>[c]</w:t>
                  </w:r>
                  <w:r>
                    <w:rPr>
                      <w:rFonts w:ascii="Times New Roman" w:hAnsi="Times New Roman"/>
                      <w:sz w:val="14"/>
                      <w:szCs w:val="14"/>
                      <w:lang w:val="en-GB"/>
                    </w:rPr>
                    <w:tab/>
                    <w:t>Dr. Ivana Cisařova</w:t>
                  </w:r>
                  <w:r>
                    <w:rPr>
                      <w:rFonts w:ascii="Times New Roman" w:hAnsi="Times New Roman"/>
                      <w:sz w:val="14"/>
                      <w:szCs w:val="14"/>
                      <w:lang w:val="en-GB"/>
                    </w:rPr>
                    <w:br/>
                    <w:t>Department of Inorganic Chemistry</w:t>
                  </w:r>
                  <w:r>
                    <w:rPr>
                      <w:rFonts w:ascii="Times New Roman" w:hAnsi="Times New Roman"/>
                      <w:sz w:val="14"/>
                      <w:szCs w:val="14"/>
                      <w:lang w:val="en-GB"/>
                    </w:rPr>
                    <w:br/>
                    <w:t>Charles University</w:t>
                  </w:r>
                  <w:r>
                    <w:rPr>
                      <w:rFonts w:ascii="Times New Roman" w:hAnsi="Times New Roman"/>
                      <w:sz w:val="14"/>
                      <w:szCs w:val="14"/>
                      <w:lang w:val="en-GB"/>
                    </w:rPr>
                    <w:br/>
                    <w:t>Hlavova 2030, 12840 Prague 2, Czech Republic</w:t>
                  </w:r>
                </w:p>
                <w:p w:rsidR="00665D3C" w:rsidRPr="00CA3607" w:rsidRDefault="00665D3C" w:rsidP="00F50082">
                  <w:pPr>
                    <w:pStyle w:val="Footnote"/>
                  </w:pPr>
                  <w:r>
                    <w:tab/>
                  </w:r>
                  <w:r w:rsidRPr="00FF7048">
                    <w:t>Supporting information for this article is available on the WWW under http://www.chemeurj.org/ or from the author.</w:t>
                  </w:r>
                  <w:r>
                    <w:t xml:space="preserve"> </w:t>
                  </w:r>
                  <w:r w:rsidR="003E07AE">
                    <w:t>SI includes d</w:t>
                  </w:r>
                  <w:r w:rsidRPr="0005282B">
                    <w:t xml:space="preserve">ata for new compounds, experimental procedures, crystallographic details, copies of </w:t>
                  </w:r>
                  <w:r w:rsidRPr="0005282B">
                    <w:rPr>
                      <w:vertAlign w:val="superscript"/>
                    </w:rPr>
                    <w:t>1</w:t>
                  </w:r>
                  <w:r w:rsidRPr="0005282B">
                    <w:t xml:space="preserve">H and </w:t>
                  </w:r>
                  <w:r w:rsidRPr="0005282B">
                    <w:rPr>
                      <w:vertAlign w:val="superscript"/>
                    </w:rPr>
                    <w:t>13</w:t>
                  </w:r>
                  <w:r w:rsidRPr="0005282B">
                    <w:t xml:space="preserve">C NMR </w:t>
                  </w:r>
                  <w:r w:rsidRPr="0005282B">
                    <w:rPr>
                      <w:szCs w:val="16"/>
                    </w:rPr>
                    <w:t xml:space="preserve">spectra. </w:t>
                  </w:r>
                  <w:r>
                    <w:rPr>
                      <w:szCs w:val="16"/>
                    </w:rPr>
                    <w:t xml:space="preserve">X-ray crystallographic structures were provided as .cif files, and also the checkpoint file for the calculated structure of compound </w:t>
                  </w:r>
                  <w:r w:rsidRPr="007A407A">
                    <w:rPr>
                      <w:b/>
                      <w:szCs w:val="16"/>
                    </w:rPr>
                    <w:t>4a</w:t>
                  </w:r>
                  <w:r>
                    <w:rPr>
                      <w:szCs w:val="16"/>
                    </w:rPr>
                    <w:t xml:space="preserve">, </w:t>
                  </w:r>
                  <w:r w:rsidRPr="0005282B">
                    <w:t>see DOI: 10.1039/b000000x/.</w:t>
                  </w:r>
                </w:p>
              </w:txbxContent>
            </v:textbox>
            <w10:wrap type="square" side="right" anchory="page"/>
            <w10:anchorlock/>
          </v:shape>
        </w:pict>
      </w:r>
      <w:r w:rsidR="00A53DE2" w:rsidRPr="002A3FAD">
        <w:rPr>
          <w:lang w:val="en-US"/>
        </w:rPr>
        <w:t>Andrey E. Sheshenev,</w:t>
      </w:r>
      <w:r w:rsidR="00A53DE2" w:rsidRPr="002A3FAD">
        <w:rPr>
          <w:vertAlign w:val="superscript"/>
          <w:lang w:val="en-US"/>
        </w:rPr>
        <w:t>[a]</w:t>
      </w:r>
      <w:r w:rsidR="00A53DE2" w:rsidRPr="002A3FAD">
        <w:rPr>
          <w:lang w:val="en-US"/>
        </w:rPr>
        <w:t xml:space="preserve"> Ekaterina V. Boltukhina,</w:t>
      </w:r>
      <w:r w:rsidR="00A53DE2" w:rsidRPr="002A3FAD">
        <w:rPr>
          <w:vertAlign w:val="superscript"/>
          <w:lang w:val="en-US"/>
        </w:rPr>
        <w:t>[a]</w:t>
      </w:r>
      <w:r w:rsidR="00A53DE2" w:rsidRPr="002A3FAD">
        <w:rPr>
          <w:lang w:val="en-US"/>
        </w:rPr>
        <w:t xml:space="preserve"> Anastasiya A. Grishina,</w:t>
      </w:r>
      <w:r w:rsidR="00A53DE2" w:rsidRPr="002A3FAD">
        <w:rPr>
          <w:vertAlign w:val="superscript"/>
          <w:lang w:val="en-US"/>
        </w:rPr>
        <w:t>[b]</w:t>
      </w:r>
      <w:r w:rsidR="00A53DE2" w:rsidRPr="002A3FAD">
        <w:rPr>
          <w:lang w:val="en-US"/>
        </w:rPr>
        <w:t xml:space="preserve"> Ivana Cisařova,</w:t>
      </w:r>
      <w:r w:rsidR="00A53DE2" w:rsidRPr="002A3FAD">
        <w:rPr>
          <w:vertAlign w:val="superscript"/>
          <w:lang w:val="en-US"/>
        </w:rPr>
        <w:t>[c]</w:t>
      </w:r>
      <w:r w:rsidR="00A53DE2" w:rsidRPr="002A3FAD">
        <w:rPr>
          <w:lang w:val="en-US"/>
        </w:rPr>
        <w:t xml:space="preserve"> Ilya M. Lyapkalo</w:t>
      </w:r>
      <w:r w:rsidR="00A53DE2" w:rsidRPr="002A3FAD">
        <w:rPr>
          <w:vertAlign w:val="superscript"/>
          <w:lang w:val="en-US"/>
        </w:rPr>
        <w:t>[b]</w:t>
      </w:r>
      <w:r w:rsidR="00A53DE2" w:rsidRPr="002A3FAD">
        <w:rPr>
          <w:lang w:val="en-US"/>
        </w:rPr>
        <w:t xml:space="preserve"> and King Kuok (Mimi) Hii*</w:t>
      </w:r>
      <w:r w:rsidR="00A53DE2" w:rsidRPr="002A3FAD">
        <w:rPr>
          <w:vertAlign w:val="superscript"/>
          <w:lang w:val="en-US"/>
        </w:rPr>
        <w:t>[a]</w:t>
      </w:r>
    </w:p>
    <w:p w:rsidR="00F608E0" w:rsidRPr="002A3FAD" w:rsidRDefault="009D0757" w:rsidP="00F608E0">
      <w:pPr>
        <w:pStyle w:val="Dedication"/>
        <w:rPr>
          <w:lang w:val="en-GB"/>
        </w:rPr>
      </w:pPr>
      <w:r w:rsidRPr="002A3FAD">
        <w:t>In memory of Dr. Ilya M. Lyapkalo –</w:t>
      </w:r>
      <w:r w:rsidR="00913B7F">
        <w:t xml:space="preserve"> </w:t>
      </w:r>
      <w:r w:rsidRPr="002A3FAD">
        <w:t>an inspiring colleague and friend.</w:t>
      </w:r>
    </w:p>
    <w:p w:rsidR="006479FE" w:rsidRPr="002A3FAD" w:rsidRDefault="006479FE" w:rsidP="006479FE">
      <w:pPr>
        <w:pStyle w:val="Authors"/>
        <w:sectPr w:rsidR="006479FE" w:rsidRPr="002A3FAD" w:rsidSect="001A39AE">
          <w:footerReference w:type="even" r:id="rId10"/>
          <w:footerReference w:type="default" r:id="rId11"/>
          <w:type w:val="continuous"/>
          <w:pgSz w:w="11906" w:h="16838" w:code="9"/>
          <w:pgMar w:top="1134" w:right="851" w:bottom="1225" w:left="851" w:header="709" w:footer="709" w:gutter="0"/>
          <w:cols w:space="284"/>
          <w:docGrid w:linePitch="360"/>
        </w:sectPr>
      </w:pPr>
    </w:p>
    <w:p w:rsidR="00D35F06" w:rsidRPr="002A3FAD" w:rsidRDefault="006479FE" w:rsidP="0018165B">
      <w:pPr>
        <w:pStyle w:val="Abstract"/>
      </w:pPr>
      <w:r w:rsidRPr="002A3FAD">
        <w:rPr>
          <w:b/>
        </w:rPr>
        <w:lastRenderedPageBreak/>
        <w:t>Abstract:</w:t>
      </w:r>
      <w:r w:rsidRPr="002A3FAD">
        <w:t xml:space="preserve"> </w:t>
      </w:r>
      <w:r w:rsidR="00D729EA" w:rsidRPr="002A3FAD">
        <w:t xml:space="preserve">A family of novel chiral zwitterionic phosphorus-containing heterocycles (zPHC) have been derived from methylene-bridged </w:t>
      </w:r>
      <w:r w:rsidR="00D729EA" w:rsidRPr="002A3FAD">
        <w:rPr>
          <w:i/>
        </w:rPr>
        <w:t>bis</w:t>
      </w:r>
      <w:r w:rsidR="00D729EA" w:rsidRPr="002A3FAD">
        <w:t xml:space="preserve">(imidazolines). Their structures were unambiguously determined, including single-crystal X-ray diffraction analysis for two compounds. The stability, acid-base and electronic properties of these </w:t>
      </w:r>
      <w:r w:rsidR="00D729EA" w:rsidRPr="002A3FAD">
        <w:lastRenderedPageBreak/>
        <w:t>dipolar phosphorus heterocycles were subsequently investigated. zPHCs can be successfully employed as a new class of chiral solvating agents for the enantio-differentiation of chiral carboxylic and sulfonic acids by NMR spectroscopy. The stoichiometry and binding constants for the donor-</w:t>
      </w:r>
      <w:r w:rsidR="00D729EA" w:rsidRPr="002A3FAD">
        <w:lastRenderedPageBreak/>
        <w:t>acceptor complexes formed were established by titration methods.</w:t>
      </w:r>
    </w:p>
    <w:p w:rsidR="0018165B" w:rsidRPr="002A3FAD" w:rsidRDefault="00D35F06" w:rsidP="00473EE4">
      <w:pPr>
        <w:pStyle w:val="Keywords"/>
      </w:pPr>
      <w:r w:rsidRPr="002A3FAD">
        <w:rPr>
          <w:b/>
        </w:rPr>
        <w:t>Keywords:</w:t>
      </w:r>
      <w:r w:rsidR="00D729EA" w:rsidRPr="002A3FAD">
        <w:t xml:space="preserve"> phosphorus heterocycles</w:t>
      </w:r>
      <w:r w:rsidRPr="002A3FAD">
        <w:t xml:space="preserve"> </w:t>
      </w:r>
      <w:r w:rsidR="001E1998" w:rsidRPr="002A3FAD">
        <w:t>•</w:t>
      </w:r>
      <w:r w:rsidRPr="002A3FAD">
        <w:t xml:space="preserve"> </w:t>
      </w:r>
      <w:r w:rsidR="00D729EA" w:rsidRPr="002A3FAD">
        <w:t>zwitterions</w:t>
      </w:r>
      <w:r w:rsidRPr="002A3FAD">
        <w:t xml:space="preserve"> </w:t>
      </w:r>
      <w:r w:rsidR="001E1998" w:rsidRPr="002A3FAD">
        <w:t>•</w:t>
      </w:r>
      <w:r w:rsidRPr="002A3FAD">
        <w:t xml:space="preserve"> </w:t>
      </w:r>
      <w:r w:rsidR="00D729EA" w:rsidRPr="002A3FAD">
        <w:t>chiral solvating</w:t>
      </w:r>
      <w:r w:rsidRPr="002A3FAD">
        <w:t xml:space="preserve"> </w:t>
      </w:r>
      <w:r w:rsidR="00D729EA" w:rsidRPr="002A3FAD">
        <w:t>agents •ena</w:t>
      </w:r>
      <w:r w:rsidR="00EC10CB">
        <w:t>n</w:t>
      </w:r>
      <w:r w:rsidR="00D729EA" w:rsidRPr="002A3FAD">
        <w:t>tio-discrimination</w:t>
      </w:r>
      <w:r w:rsidRPr="002A3FAD">
        <w:t xml:space="preserve"> </w:t>
      </w:r>
      <w:r w:rsidR="001E1998" w:rsidRPr="002A3FAD">
        <w:t>•</w:t>
      </w:r>
      <w:r w:rsidRPr="002A3FAD">
        <w:t xml:space="preserve"> </w:t>
      </w:r>
      <w:r w:rsidR="00D729EA" w:rsidRPr="002A3FAD">
        <w:t>NMR titrations • binding constants</w:t>
      </w:r>
    </w:p>
    <w:p w:rsidR="00D35F06" w:rsidRPr="002A3FAD" w:rsidRDefault="00D35F06" w:rsidP="00473EE4">
      <w:pPr>
        <w:pStyle w:val="Keywords"/>
        <w:sectPr w:rsidR="00D35F06" w:rsidRPr="002A3FAD" w:rsidSect="001A39AE">
          <w:type w:val="continuous"/>
          <w:pgSz w:w="11906" w:h="16838" w:code="9"/>
          <w:pgMar w:top="1134" w:right="851" w:bottom="1225" w:left="851" w:header="709" w:footer="709" w:gutter="0"/>
          <w:cols w:num="3" w:space="284"/>
          <w:docGrid w:linePitch="360"/>
        </w:sectPr>
      </w:pPr>
    </w:p>
    <w:p w:rsidR="00D35F06" w:rsidRPr="002A3FAD" w:rsidRDefault="00D35F06" w:rsidP="00D35F06">
      <w:pPr>
        <w:rPr>
          <w:lang w:val="en-GB"/>
        </w:rPr>
      </w:pPr>
    </w:p>
    <w:p w:rsidR="00D35F06" w:rsidRPr="002A3FAD" w:rsidRDefault="00D35F06" w:rsidP="00D35F06">
      <w:pPr>
        <w:rPr>
          <w:lang w:val="en-GB"/>
        </w:rPr>
        <w:sectPr w:rsidR="00D35F06" w:rsidRPr="002A3FAD" w:rsidSect="001A39AE">
          <w:type w:val="continuous"/>
          <w:pgSz w:w="11906" w:h="16838" w:code="9"/>
          <w:pgMar w:top="1134" w:right="851" w:bottom="1225" w:left="851" w:header="709" w:footer="709" w:gutter="0"/>
          <w:cols w:space="284"/>
          <w:docGrid w:linePitch="360"/>
        </w:sectPr>
      </w:pPr>
    </w:p>
    <w:p w:rsidR="0066216C" w:rsidRPr="002A3FAD" w:rsidRDefault="006011C8" w:rsidP="006011C8">
      <w:pPr>
        <w:pStyle w:val="H1"/>
      </w:pPr>
      <w:r w:rsidRPr="002A3FAD">
        <w:lastRenderedPageBreak/>
        <w:t>Introduction</w:t>
      </w:r>
    </w:p>
    <w:p w:rsidR="009F6FBF" w:rsidRPr="002A3FAD" w:rsidRDefault="00D729EA" w:rsidP="002D0B17">
      <w:pPr>
        <w:pStyle w:val="P1withoutIndendation"/>
        <w:rPr>
          <w:lang w:val="en-GB"/>
        </w:rPr>
      </w:pPr>
      <w:r w:rsidRPr="002A3FAD">
        <w:t>Significant advances in asymmetric chemistry have expedited demand for faster methods of analysis for enantiomeric mixtures.</w:t>
      </w:r>
      <w:r w:rsidRPr="002A3FAD">
        <w:rPr>
          <w:vertAlign w:val="superscript"/>
        </w:rPr>
        <w:t>[</w:t>
      </w:r>
      <w:r w:rsidRPr="002A3FAD">
        <w:rPr>
          <w:noProof/>
          <w:vertAlign w:val="superscript"/>
        </w:rPr>
        <w:t>1, 2]</w:t>
      </w:r>
      <w:r w:rsidRPr="002A3FAD">
        <w:t xml:space="preserve"> While chiral chromatography (LC or GC) is the accepted industrial standard for quantifying enantiomeric purity, these methods typically require several minutes, if not hours, and the assignment of the absolute stereochemistry can only be achieved by correlation with known compounds. In contrast, the use of a chiral </w:t>
      </w:r>
      <w:r w:rsidRPr="002A3FAD">
        <w:lastRenderedPageBreak/>
        <w:t xml:space="preserve">derivatizing agent (CDA) or chiral solvating agent (CSA) allows the enantiomeric ratio to be </w:t>
      </w:r>
      <w:r w:rsidR="00FC514D" w:rsidRPr="002A3FAD">
        <w:t xml:space="preserve">determined </w:t>
      </w:r>
      <w:r w:rsidRPr="002A3FAD">
        <w:t xml:space="preserve">in </w:t>
      </w:r>
      <w:r w:rsidR="00D87662">
        <w:t xml:space="preserve">a few </w:t>
      </w:r>
      <w:r w:rsidRPr="002A3FAD">
        <w:t>minutes by NMR spectroscopy</w:t>
      </w:r>
      <w:r w:rsidRPr="002A3FAD">
        <w:rPr>
          <w:vertAlign w:val="superscript"/>
        </w:rPr>
        <w:t>[</w:t>
      </w:r>
      <w:r w:rsidRPr="002A3FAD">
        <w:rPr>
          <w:noProof/>
          <w:vertAlign w:val="superscript"/>
        </w:rPr>
        <w:t>3]</w:t>
      </w:r>
      <w:r w:rsidRPr="002A3FAD">
        <w:t xml:space="preserve"> </w:t>
      </w:r>
      <w:r w:rsidR="00015046" w:rsidRPr="002A3FAD">
        <w:t>–</w:t>
      </w:r>
      <w:r w:rsidRPr="002A3FAD">
        <w:t xml:space="preserve"> an available, automated and high-throughput technique available in modern laboratories. As an added advantage, the absolute stereochemistry of a particular enantiomer can also be </w:t>
      </w:r>
      <w:r w:rsidR="00FC514D" w:rsidRPr="002A3FAD">
        <w:t xml:space="preserve">established </w:t>
      </w:r>
      <w:r w:rsidRPr="002A3FAD">
        <w:t>by further NMR experiments.</w:t>
      </w:r>
      <w:r w:rsidRPr="002A3FAD">
        <w:rPr>
          <w:vertAlign w:val="superscript"/>
        </w:rPr>
        <w:t>[</w:t>
      </w:r>
      <w:r w:rsidRPr="002A3FAD">
        <w:rPr>
          <w:noProof/>
          <w:vertAlign w:val="superscript"/>
        </w:rPr>
        <w:t>4]</w:t>
      </w:r>
    </w:p>
    <w:p w:rsidR="002D0B17" w:rsidRPr="002A3FAD" w:rsidRDefault="00015046" w:rsidP="009F6FBF">
      <w:pPr>
        <w:pStyle w:val="P1withIndendation"/>
      </w:pPr>
      <w:r w:rsidRPr="002A3FAD">
        <w:t xml:space="preserve">CSAs form diastereomeric complexes with chiral analytes </w:t>
      </w:r>
      <w:r w:rsidRPr="002A3FAD">
        <w:rPr>
          <w:i/>
        </w:rPr>
        <w:t>via</w:t>
      </w:r>
      <w:r w:rsidRPr="002A3FAD">
        <w:t xml:space="preserve"> weak intermolecular interactions, which lead to chemical shift inequivalence in analogous nuclei. As the technique is non-destructive, they are inherently more desirable than CDAs, which require the formation of a covalent bond. In general, there are two main types of interactions between a CSA and the analyte: (i) Host-guest interactions that involve the intercalation of the enantiomer </w:t>
      </w:r>
      <w:r w:rsidR="00FC514D">
        <w:t>within</w:t>
      </w:r>
      <w:r w:rsidRPr="002A3FAD">
        <w:t xml:space="preserve"> a </w:t>
      </w:r>
      <w:r w:rsidR="00FC514D">
        <w:t>supramolecular architecture</w:t>
      </w:r>
      <w:r w:rsidRPr="002A3FAD">
        <w:t xml:space="preserve">, such as cyclodextrins, crown ethers, or peptides; and/or (ii) Donor-acceptor interactions, mostly through H-bonding with certain functional groups, </w:t>
      </w:r>
      <w:r w:rsidRPr="002A3FAD">
        <w:rPr>
          <w:i/>
        </w:rPr>
        <w:t>e.g.</w:t>
      </w:r>
      <w:r w:rsidRPr="002A3FAD">
        <w:t xml:space="preserve"> amines, alcohols, acids, and sulfoxides.</w:t>
      </w:r>
    </w:p>
    <w:p w:rsidR="00015046" w:rsidRPr="002A3FAD" w:rsidRDefault="00D93FDE" w:rsidP="00015046">
      <w:pPr>
        <w:spacing w:before="360"/>
        <w:rPr>
          <w:sz w:val="18"/>
          <w:szCs w:val="20"/>
          <w:lang w:val="en-GB"/>
        </w:rPr>
      </w:pPr>
      <w:r w:rsidRPr="002A3FAD">
        <w:object w:dxaOrig="4941" w:dyaOrig="3124">
          <v:shape id="_x0000_i1025" type="#_x0000_t75" style="width:148.5pt;height:94.5pt" o:ole="">
            <v:imagedata r:id="rId12" o:title=""/>
          </v:shape>
          <o:OLEObject Type="Embed" ProgID="ChemDraw.Document.6.0" ShapeID="_x0000_i1025" DrawAspect="Content" ObjectID="_1424876982" r:id="rId13"/>
        </w:object>
      </w:r>
    </w:p>
    <w:p w:rsidR="00015046" w:rsidRPr="002A3FAD" w:rsidRDefault="00015046" w:rsidP="00FC514D">
      <w:pPr>
        <w:pStyle w:val="FigureCaption"/>
      </w:pPr>
      <w:r w:rsidRPr="002A3FAD">
        <w:rPr>
          <w:b/>
        </w:rPr>
        <w:t>Figure 1.</w:t>
      </w:r>
      <w:r w:rsidRPr="002A3FAD">
        <w:t xml:space="preserve"> Chiral zwitterionic imidazolinium sulfonates/sulfamates.</w:t>
      </w:r>
    </w:p>
    <w:p w:rsidR="00543CCA" w:rsidRPr="002A3FAD" w:rsidRDefault="00543CCA" w:rsidP="00543CCA">
      <w:pPr>
        <w:pStyle w:val="P1withIndendation"/>
      </w:pPr>
      <w:r w:rsidRPr="002A3FAD">
        <w:lastRenderedPageBreak/>
        <w:t>To date, there has only been one report of zwitterionic CSAs, comprising of a chiral imidazolinium moiety with a sulfonate or sulfamate counteranion (Figure 1).</w:t>
      </w:r>
      <w:r w:rsidRPr="002A3FAD">
        <w:rPr>
          <w:vertAlign w:val="superscript"/>
        </w:rPr>
        <w:t>[</w:t>
      </w:r>
      <w:r w:rsidRPr="002A3FAD">
        <w:rPr>
          <w:noProof/>
          <w:vertAlign w:val="superscript"/>
        </w:rPr>
        <w:t>5]</w:t>
      </w:r>
      <w:r w:rsidRPr="002A3FAD">
        <w:t xml:space="preserve"> These molecules could provide multiple points of ionic contact for greater chiral recognition. However, as the charges are well-separated, this can limit their solubility in organic solvents, </w:t>
      </w:r>
      <w:r w:rsidRPr="002A3FAD">
        <w:rPr>
          <w:i/>
        </w:rPr>
        <w:t>e.g.</w:t>
      </w:r>
      <w:r w:rsidRPr="002A3FAD">
        <w:t xml:space="preserve"> the best-performing compound </w:t>
      </w:r>
      <w:r w:rsidRPr="002A3FAD">
        <w:rPr>
          <w:b/>
        </w:rPr>
        <w:t>III</w:t>
      </w:r>
      <w:r w:rsidRPr="002A3FAD">
        <w:t xml:space="preserve"> (</w:t>
      </w:r>
      <w:r w:rsidRPr="00D93FDE">
        <w:rPr>
          <w:highlight w:val="yellow"/>
        </w:rPr>
        <w:t>R</w:t>
      </w:r>
      <w:r w:rsidRPr="00D93FDE">
        <w:rPr>
          <w:highlight w:val="yellow"/>
          <w:vertAlign w:val="superscript"/>
        </w:rPr>
        <w:t>1</w:t>
      </w:r>
      <w:r w:rsidRPr="00D93FDE">
        <w:rPr>
          <w:highlight w:val="yellow"/>
        </w:rPr>
        <w:t xml:space="preserve"> = Ph, R</w:t>
      </w:r>
      <w:r w:rsidRPr="00D93FDE">
        <w:rPr>
          <w:highlight w:val="yellow"/>
          <w:vertAlign w:val="superscript"/>
        </w:rPr>
        <w:t>2</w:t>
      </w:r>
      <w:r w:rsidRPr="00D93FDE">
        <w:rPr>
          <w:highlight w:val="yellow"/>
        </w:rPr>
        <w:t xml:space="preserve"> = 2</w:t>
      </w:r>
      <w:r w:rsidRPr="00D87662">
        <w:rPr>
          <w:highlight w:val="yellow"/>
        </w:rPr>
        <w:t>-</w:t>
      </w:r>
      <w:r w:rsidR="00D87662" w:rsidRPr="00D87662">
        <w:rPr>
          <w:highlight w:val="yellow"/>
        </w:rPr>
        <w:t>MeC</w:t>
      </w:r>
      <w:r w:rsidR="00D87662" w:rsidRPr="00D87662">
        <w:rPr>
          <w:highlight w:val="yellow"/>
          <w:vertAlign w:val="subscript"/>
        </w:rPr>
        <w:t>6</w:t>
      </w:r>
      <w:r w:rsidR="00D87662" w:rsidRPr="00D87662">
        <w:rPr>
          <w:highlight w:val="yellow"/>
        </w:rPr>
        <w:t>H</w:t>
      </w:r>
      <w:r w:rsidR="00D87662" w:rsidRPr="00D87662">
        <w:rPr>
          <w:highlight w:val="yellow"/>
          <w:vertAlign w:val="subscript"/>
        </w:rPr>
        <w:t>4</w:t>
      </w:r>
      <w:r w:rsidRPr="002A3FAD">
        <w:t>) is not soluble in toluene.</w:t>
      </w:r>
    </w:p>
    <w:p w:rsidR="00543CCA" w:rsidRPr="002A3FAD" w:rsidRDefault="00543CCA" w:rsidP="00543CCA">
      <w:pPr>
        <w:pStyle w:val="P1withIndendation"/>
      </w:pPr>
      <w:r w:rsidRPr="002A3FAD">
        <w:t xml:space="preserve">Herein, we will disclose the preparation, characterisation and properties of a structurally-novel class of chiral zwitterionic </w:t>
      </w:r>
      <w:r w:rsidRPr="002A3FAD">
        <w:rPr>
          <w:i/>
        </w:rPr>
        <w:t>P</w:t>
      </w:r>
      <w:r w:rsidRPr="002A3FAD">
        <w:t xml:space="preserve">-heterocycles, and their potential applications as CSAs for enantio-discrimination of chiral carboxylic </w:t>
      </w:r>
      <w:r w:rsidR="009304E7">
        <w:t xml:space="preserve">and </w:t>
      </w:r>
      <w:r w:rsidRPr="002A3FAD">
        <w:t>sulfonic acids.</w:t>
      </w:r>
    </w:p>
    <w:p w:rsidR="0066216C" w:rsidRPr="002A3FAD" w:rsidRDefault="00FC63D2" w:rsidP="006011C8">
      <w:pPr>
        <w:pStyle w:val="H1"/>
      </w:pPr>
      <w:r w:rsidRPr="002A3FAD">
        <w:t>Results and Di</w:t>
      </w:r>
      <w:r w:rsidR="006011C8" w:rsidRPr="002A3FAD">
        <w:t>scussion</w:t>
      </w:r>
    </w:p>
    <w:p w:rsidR="00905CB1" w:rsidRPr="002A3FAD" w:rsidRDefault="00905CB1" w:rsidP="00905CB1">
      <w:pPr>
        <w:pStyle w:val="P1withoutIndendation"/>
      </w:pPr>
      <w:r w:rsidRPr="002A3FAD">
        <w:rPr>
          <w:b/>
        </w:rPr>
        <w:t xml:space="preserve">Design of zwitterionic </w:t>
      </w:r>
      <w:r w:rsidRPr="002A3FAD">
        <w:rPr>
          <w:b/>
          <w:i/>
        </w:rPr>
        <w:t>P</w:t>
      </w:r>
      <w:r w:rsidRPr="002A3FAD">
        <w:rPr>
          <w:b/>
        </w:rPr>
        <w:t>-heterocycles</w:t>
      </w:r>
    </w:p>
    <w:p w:rsidR="00905CB1" w:rsidRPr="002A3FAD" w:rsidRDefault="00905CB1" w:rsidP="00905CB1">
      <w:pPr>
        <w:pStyle w:val="P1withIndendation"/>
        <w:ind w:firstLine="0"/>
      </w:pPr>
      <w:r w:rsidRPr="002A3FAD">
        <w:t>Prior to this work, examples of zwitterionic phosphorus compounds, containing a PO</w:t>
      </w:r>
      <w:r w:rsidRPr="002A3FAD">
        <w:rPr>
          <w:vertAlign w:val="subscript"/>
        </w:rPr>
        <w:t>2</w:t>
      </w:r>
      <w:r w:rsidRPr="002A3FAD">
        <w:rPr>
          <w:vertAlign w:val="superscript"/>
        </w:rPr>
        <w:sym w:font="Webdings" w:char="F079"/>
      </w:r>
      <w:r w:rsidRPr="002A3FAD">
        <w:t xml:space="preserve"> fragment with a positively-charged </w:t>
      </w:r>
      <w:r w:rsidRPr="002A3FAD">
        <w:rPr>
          <w:i/>
        </w:rPr>
        <w:t>sp</w:t>
      </w:r>
      <w:r w:rsidRPr="002A3FAD">
        <w:rPr>
          <w:i/>
          <w:vertAlign w:val="superscript"/>
        </w:rPr>
        <w:t>2</w:t>
      </w:r>
      <w:r w:rsidRPr="002A3FAD">
        <w:t>-nitrogen atom, are limited to pyridinium or imidazolium adducts of metaphosphates (Figure 2).</w:t>
      </w:r>
      <w:r w:rsidRPr="002A3FAD">
        <w:rPr>
          <w:vertAlign w:val="superscript"/>
        </w:rPr>
        <w:t>[</w:t>
      </w:r>
      <w:r w:rsidRPr="002A3FAD">
        <w:rPr>
          <w:noProof/>
          <w:vertAlign w:val="superscript"/>
        </w:rPr>
        <w:t>6–8]</w:t>
      </w:r>
      <w:r w:rsidRPr="002A3FAD">
        <w:rPr>
          <w:vertAlign w:val="superscript"/>
        </w:rPr>
        <w:t xml:space="preserve"> </w:t>
      </w:r>
      <w:r w:rsidRPr="002A3FAD">
        <w:t xml:space="preserve">These are found to be stable, crystalline compounds that </w:t>
      </w:r>
      <w:r w:rsidR="00FC514D">
        <w:t>can be</w:t>
      </w:r>
      <w:r w:rsidRPr="002A3FAD">
        <w:t xml:space="preserve"> isolated and fully characterised.</w:t>
      </w:r>
    </w:p>
    <w:p w:rsidR="00543CCA" w:rsidRPr="002A3FAD" w:rsidRDefault="00A57B71" w:rsidP="00543CCA">
      <w:pPr>
        <w:spacing w:before="360"/>
        <w:rPr>
          <w:sz w:val="18"/>
          <w:szCs w:val="20"/>
          <w:lang w:val="en-GB"/>
        </w:rPr>
      </w:pPr>
      <w:r w:rsidRPr="002A3FAD">
        <w:object w:dxaOrig="3909" w:dyaOrig="952">
          <v:shape id="_x0000_i1026" type="#_x0000_t75" style="width:118pt;height:29pt" o:ole="">
            <v:imagedata r:id="rId14" o:title=""/>
          </v:shape>
          <o:OLEObject Type="Embed" ProgID="ChemDraw.Document.6.0" ShapeID="_x0000_i1026" DrawAspect="Content" ObjectID="_1424876983" r:id="rId15"/>
        </w:object>
      </w:r>
    </w:p>
    <w:p w:rsidR="00543CCA" w:rsidRPr="002A3FAD" w:rsidRDefault="00543CCA" w:rsidP="00FC514D">
      <w:pPr>
        <w:pStyle w:val="FigureCaption"/>
      </w:pPr>
      <w:r w:rsidRPr="002A3FAD">
        <w:rPr>
          <w:b/>
        </w:rPr>
        <w:t>Figure 2.</w:t>
      </w:r>
      <w:r w:rsidRPr="002A3FAD">
        <w:t xml:space="preserve"> Known zwitterionic </w:t>
      </w:r>
      <w:r w:rsidRPr="001D0CED">
        <w:rPr>
          <w:highlight w:val="yellow"/>
        </w:rPr>
        <w:t>P</w:t>
      </w:r>
      <w:r w:rsidRPr="001D0CED">
        <w:rPr>
          <w:highlight w:val="yellow"/>
          <w:vertAlign w:val="superscript"/>
        </w:rPr>
        <w:t>V</w:t>
      </w:r>
      <w:r w:rsidRPr="002A3FAD">
        <w:t xml:space="preserve"> compounds.</w:t>
      </w:r>
    </w:p>
    <w:p w:rsidR="00543CCA" w:rsidRPr="002A3FAD" w:rsidRDefault="00AD2E6F" w:rsidP="00543CCA">
      <w:pPr>
        <w:pStyle w:val="P1withIndendation"/>
      </w:pPr>
      <w:r w:rsidRPr="002A3FAD">
        <w:t xml:space="preserve">Chiral </w:t>
      </w:r>
      <w:r w:rsidRPr="002A3FAD">
        <w:rPr>
          <w:i/>
        </w:rPr>
        <w:t>C</w:t>
      </w:r>
      <w:r w:rsidRPr="002A3FAD">
        <w:rPr>
          <w:i/>
          <w:vertAlign w:val="subscript"/>
        </w:rPr>
        <w:t>2</w:t>
      </w:r>
      <w:r w:rsidRPr="002A3FAD">
        <w:t xml:space="preserve">-symmetric </w:t>
      </w:r>
      <w:r w:rsidRPr="002A3FAD">
        <w:rPr>
          <w:i/>
        </w:rPr>
        <w:t>bis</w:t>
      </w:r>
      <w:r w:rsidRPr="002A3FAD">
        <w:t>-oxazoline</w:t>
      </w:r>
      <w:r w:rsidRPr="002A3FAD">
        <w:rPr>
          <w:bCs/>
        </w:rPr>
        <w:t>s</w:t>
      </w:r>
      <w:r w:rsidRPr="002A3FAD">
        <w:rPr>
          <w:b/>
        </w:rPr>
        <w:t xml:space="preserve"> 1</w:t>
      </w:r>
      <w:r w:rsidRPr="002A3FAD">
        <w:t xml:space="preserve"> (BOX, Figure 3) are a unique class of privileged ligands for many metal-catalysed asymmetric reactions.</w:t>
      </w:r>
      <w:r w:rsidR="002316C0" w:rsidRPr="002A3FAD">
        <w:rPr>
          <w:vertAlign w:val="superscript"/>
        </w:rPr>
        <w:t>[</w:t>
      </w:r>
      <w:r w:rsidRPr="002A3FAD">
        <w:rPr>
          <w:noProof/>
          <w:vertAlign w:val="superscript"/>
        </w:rPr>
        <w:t>9</w:t>
      </w:r>
      <w:r w:rsidR="002316C0" w:rsidRPr="002A3FAD">
        <w:rPr>
          <w:noProof/>
          <w:vertAlign w:val="superscript"/>
        </w:rPr>
        <w:t>–</w:t>
      </w:r>
      <w:r w:rsidRPr="002A3FAD">
        <w:rPr>
          <w:noProof/>
          <w:vertAlign w:val="superscript"/>
        </w:rPr>
        <w:t>13</w:t>
      </w:r>
      <w:r w:rsidR="002316C0" w:rsidRPr="002A3FAD">
        <w:rPr>
          <w:noProof/>
          <w:vertAlign w:val="superscript"/>
        </w:rPr>
        <w:t>]</w:t>
      </w:r>
      <w:r w:rsidRPr="002A3FAD">
        <w:t xml:space="preserve"> From these, </w:t>
      </w:r>
      <w:r w:rsidRPr="002A3FAD">
        <w:rPr>
          <w:rStyle w:val="maintitle"/>
        </w:rPr>
        <w:t xml:space="preserve">the class of </w:t>
      </w:r>
      <w:r w:rsidRPr="002A3FAD">
        <w:t>zwitterionic boron-BOXates</w:t>
      </w:r>
      <w:r w:rsidRPr="002A3FAD">
        <w:rPr>
          <w:rStyle w:val="maintitle"/>
        </w:rPr>
        <w:t xml:space="preserve"> </w:t>
      </w:r>
      <w:r w:rsidRPr="009304E7">
        <w:rPr>
          <w:rStyle w:val="maintitle"/>
          <w:b/>
        </w:rPr>
        <w:t>2</w:t>
      </w:r>
      <w:r w:rsidRPr="002A3FAD">
        <w:rPr>
          <w:rStyle w:val="maintitle"/>
        </w:rPr>
        <w:t xml:space="preserve"> were derived in 2006 by Bandini </w:t>
      </w:r>
      <w:r w:rsidRPr="002A3FAD">
        <w:rPr>
          <w:rStyle w:val="maintitle"/>
          <w:i/>
        </w:rPr>
        <w:t>et al</w:t>
      </w:r>
      <w:r w:rsidRPr="002A3FAD">
        <w:rPr>
          <w:rStyle w:val="maintitle"/>
        </w:rPr>
        <w:t xml:space="preserve">, which were </w:t>
      </w:r>
      <w:r w:rsidRPr="002A3FAD">
        <w:t xml:space="preserve">shown to be </w:t>
      </w:r>
      <w:r w:rsidRPr="002A3FAD">
        <w:rPr>
          <w:rStyle w:val="maintitle"/>
        </w:rPr>
        <w:t>moderately successful catalysts for the asymmetric reduction of prochiral ketones</w:t>
      </w:r>
      <w:r w:rsidRPr="002A3FAD">
        <w:t>.</w:t>
      </w:r>
      <w:r w:rsidR="002316C0" w:rsidRPr="002A3FAD">
        <w:rPr>
          <w:vertAlign w:val="superscript"/>
        </w:rPr>
        <w:t>[</w:t>
      </w:r>
      <w:r w:rsidRPr="002A3FAD">
        <w:rPr>
          <w:noProof/>
          <w:vertAlign w:val="superscript"/>
        </w:rPr>
        <w:t>14</w:t>
      </w:r>
      <w:r w:rsidR="002316C0" w:rsidRPr="002A3FAD">
        <w:rPr>
          <w:noProof/>
          <w:vertAlign w:val="superscript"/>
        </w:rPr>
        <w:t>]</w:t>
      </w:r>
    </w:p>
    <w:p w:rsidR="00602A26" w:rsidRPr="002A3FAD" w:rsidRDefault="00913407" w:rsidP="00602A26">
      <w:pPr>
        <w:spacing w:before="360"/>
        <w:rPr>
          <w:sz w:val="18"/>
          <w:szCs w:val="20"/>
          <w:lang w:val="en-GB"/>
        </w:rPr>
      </w:pPr>
      <w:r w:rsidRPr="002A3FAD">
        <w:object w:dxaOrig="4596" w:dyaOrig="3863">
          <v:shape id="_x0000_i1027" type="#_x0000_t75" style="width:138.5pt;height:116pt" o:ole="">
            <v:imagedata r:id="rId16" o:title=""/>
          </v:shape>
          <o:OLEObject Type="Embed" ProgID="ChemDraw.Document.6.0" ShapeID="_x0000_i1027" DrawAspect="Content" ObjectID="_1424876984" r:id="rId17"/>
        </w:object>
      </w:r>
    </w:p>
    <w:p w:rsidR="00602A26" w:rsidRPr="002A3FAD" w:rsidRDefault="00602A26" w:rsidP="00FC514D">
      <w:pPr>
        <w:pStyle w:val="FigureCaption"/>
      </w:pPr>
      <w:r w:rsidRPr="002A3FAD">
        <w:rPr>
          <w:b/>
        </w:rPr>
        <w:t>Figure 3.</w:t>
      </w:r>
      <w:r w:rsidRPr="002A3FAD">
        <w:t xml:space="preserve"> </w:t>
      </w:r>
      <w:r w:rsidRPr="002A3FAD">
        <w:rPr>
          <w:lang w:eastAsia="en-GB"/>
        </w:rPr>
        <w:t xml:space="preserve">Zwitterionic structures derived from </w:t>
      </w:r>
      <w:r w:rsidRPr="002A3FAD">
        <w:t>BOX (</w:t>
      </w:r>
      <w:r w:rsidRPr="002A3FAD">
        <w:rPr>
          <w:b/>
        </w:rPr>
        <w:t>1</w:t>
      </w:r>
      <w:r w:rsidRPr="002A3FAD">
        <w:t>) and MBI (</w:t>
      </w:r>
      <w:r w:rsidRPr="002A3FAD">
        <w:rPr>
          <w:b/>
        </w:rPr>
        <w:t>3</w:t>
      </w:r>
      <w:r w:rsidRPr="002A3FAD">
        <w:t>).</w:t>
      </w:r>
    </w:p>
    <w:p w:rsidR="00543CCA" w:rsidRDefault="00784C3B" w:rsidP="00543CCA">
      <w:pPr>
        <w:pStyle w:val="P1withIndendation"/>
      </w:pPr>
      <w:r w:rsidRPr="002A3FAD">
        <w:t xml:space="preserve">In 2007, methylene-bridged </w:t>
      </w:r>
      <w:r w:rsidRPr="002A3FAD">
        <w:rPr>
          <w:bCs/>
          <w:i/>
        </w:rPr>
        <w:t>bis</w:t>
      </w:r>
      <w:r w:rsidRPr="002A3FAD">
        <w:rPr>
          <w:bCs/>
        </w:rPr>
        <w:t xml:space="preserve">(imidazoline) ligands </w:t>
      </w:r>
      <w:r w:rsidRPr="002A3FAD">
        <w:rPr>
          <w:b/>
          <w:bCs/>
        </w:rPr>
        <w:t>3</w:t>
      </w:r>
      <w:r w:rsidRPr="002A3FAD">
        <w:rPr>
          <w:bCs/>
        </w:rPr>
        <w:t xml:space="preserve"> (MBI) were reported</w:t>
      </w:r>
      <w:r w:rsidRPr="002A3FAD">
        <w:t xml:space="preserve"> as a more flexible analogue of BOX.</w:t>
      </w:r>
      <w:r w:rsidRPr="002A3FAD">
        <w:rPr>
          <w:vertAlign w:val="superscript"/>
        </w:rPr>
        <w:t>[</w:t>
      </w:r>
      <w:r w:rsidRPr="002A3FAD">
        <w:rPr>
          <w:noProof/>
          <w:vertAlign w:val="superscript"/>
        </w:rPr>
        <w:t>15, 16]</w:t>
      </w:r>
      <w:r w:rsidRPr="002A3FAD">
        <w:rPr>
          <w:bCs/>
        </w:rPr>
        <w:t xml:space="preserve"> </w:t>
      </w:r>
      <w:r w:rsidRPr="002A3FAD">
        <w:t>In this project, the MBI scaffold will be employed as a means of providing a rigid, chiral framew</w:t>
      </w:r>
      <w:r w:rsidR="00B267AB">
        <w:t xml:space="preserve">ork to construct zwitterionic </w:t>
      </w:r>
      <w:r w:rsidR="00B267AB" w:rsidRPr="00B267AB">
        <w:rPr>
          <w:highlight w:val="yellow"/>
        </w:rPr>
        <w:t>P</w:t>
      </w:r>
      <w:r w:rsidRPr="00B267AB">
        <w:rPr>
          <w:highlight w:val="yellow"/>
          <w:vertAlign w:val="superscript"/>
        </w:rPr>
        <w:t>V</w:t>
      </w:r>
      <w:r w:rsidRPr="002A3FAD">
        <w:t xml:space="preserve"> heterocycles </w:t>
      </w:r>
      <w:r w:rsidRPr="002A3FAD">
        <w:rPr>
          <w:b/>
        </w:rPr>
        <w:t>4</w:t>
      </w:r>
      <w:r w:rsidRPr="002A3FAD">
        <w:t>, which we abbreviate</w:t>
      </w:r>
      <w:r w:rsidR="00D87662">
        <w:t xml:space="preserve"> herein</w:t>
      </w:r>
      <w:r w:rsidRPr="002A3FAD">
        <w:t xml:space="preserve"> as zPHC (Figure 3).</w:t>
      </w:r>
    </w:p>
    <w:p w:rsidR="00FC514D" w:rsidRPr="002A3FAD" w:rsidRDefault="00FC514D" w:rsidP="00FC514D">
      <w:pPr>
        <w:pStyle w:val="P1withIndendation"/>
      </w:pPr>
      <w:r w:rsidRPr="002A3FAD">
        <w:t>By embedding a negatively-charged PO</w:t>
      </w:r>
      <w:r w:rsidRPr="002A3FAD">
        <w:rPr>
          <w:vertAlign w:val="subscript"/>
        </w:rPr>
        <w:t>2</w:t>
      </w:r>
      <w:r w:rsidRPr="002A3FAD">
        <w:rPr>
          <w:vertAlign w:val="superscript"/>
        </w:rPr>
        <w:sym w:font="Webdings" w:char="F079"/>
      </w:r>
      <w:r w:rsidRPr="002A3FAD">
        <w:t xml:space="preserve"> fragment within a </w:t>
      </w:r>
      <w:r w:rsidRPr="002A3FAD">
        <w:rPr>
          <w:i/>
        </w:rPr>
        <w:t>bis</w:t>
      </w:r>
      <w:r w:rsidRPr="002A3FAD">
        <w:t xml:space="preserve">-amidinium 6-membered ring chelate, the resultant structure may be stabilised by resonance structures </w:t>
      </w:r>
      <w:r w:rsidRPr="002A3FAD">
        <w:rPr>
          <w:b/>
        </w:rPr>
        <w:t>IV</w:t>
      </w:r>
      <w:r w:rsidRPr="002A3FAD">
        <w:t xml:space="preserve"> and </w:t>
      </w:r>
      <w:r w:rsidRPr="002A3FAD">
        <w:rPr>
          <w:b/>
        </w:rPr>
        <w:t>V</w:t>
      </w:r>
      <w:r w:rsidRPr="002A3FAD">
        <w:t xml:space="preserve"> (Figure 4); further fine tuning of the steric and electronic properties can be achieved by modifying </w:t>
      </w:r>
      <w:r w:rsidRPr="002A3FAD">
        <w:rPr>
          <w:i/>
        </w:rPr>
        <w:t>N</w:t>
      </w:r>
      <w:r w:rsidRPr="002A3FAD">
        <w:t>-substituents of the parent MBI.</w:t>
      </w:r>
    </w:p>
    <w:p w:rsidR="00FC514D" w:rsidRPr="002A3FAD" w:rsidRDefault="00FC514D" w:rsidP="00FC514D">
      <w:pPr>
        <w:spacing w:before="360"/>
        <w:rPr>
          <w:sz w:val="18"/>
          <w:szCs w:val="20"/>
          <w:lang w:val="en-GB"/>
        </w:rPr>
      </w:pPr>
      <w:r>
        <w:object w:dxaOrig="6511" w:dyaOrig="1912">
          <v:shape id="_x0000_i1028" type="#_x0000_t75" style="width:196pt;height:57.5pt" o:ole="">
            <v:imagedata r:id="rId18" o:title=""/>
          </v:shape>
          <o:OLEObject Type="Embed" ProgID="ChemDraw.Document.6.0" ShapeID="_x0000_i1028" DrawAspect="Content" ObjectID="_1424876985" r:id="rId19"/>
        </w:object>
      </w:r>
    </w:p>
    <w:p w:rsidR="00FC514D" w:rsidRPr="002A3FAD" w:rsidRDefault="00FC514D" w:rsidP="00FC514D">
      <w:pPr>
        <w:pStyle w:val="FigureCaption"/>
      </w:pPr>
      <w:r w:rsidRPr="002A3FAD">
        <w:rPr>
          <w:b/>
        </w:rPr>
        <w:t>Figure 4.</w:t>
      </w:r>
      <w:r w:rsidRPr="002A3FAD">
        <w:t xml:space="preserve"> Resonance structures of </w:t>
      </w:r>
      <w:r w:rsidRPr="002A3FAD">
        <w:rPr>
          <w:b/>
        </w:rPr>
        <w:t>4</w:t>
      </w:r>
      <w:r w:rsidRPr="002A3FAD">
        <w:t>.</w:t>
      </w:r>
    </w:p>
    <w:p w:rsidR="00905CB1" w:rsidRPr="002A3FAD" w:rsidRDefault="00905CB1" w:rsidP="00905CB1">
      <w:pPr>
        <w:pStyle w:val="P1withoutIndendation"/>
        <w:rPr>
          <w:b/>
        </w:rPr>
      </w:pPr>
      <w:r w:rsidRPr="002A3FAD">
        <w:rPr>
          <w:b/>
        </w:rPr>
        <w:t>Improved synthesis of MBIs</w:t>
      </w:r>
    </w:p>
    <w:p w:rsidR="00543CCA" w:rsidRPr="002A3FAD" w:rsidRDefault="009E5E27" w:rsidP="00905CB1">
      <w:pPr>
        <w:pStyle w:val="P1withIndendation"/>
        <w:ind w:firstLine="0"/>
      </w:pPr>
      <w:r w:rsidRPr="002A3FAD">
        <w:t xml:space="preserve">MBI compounds </w:t>
      </w:r>
      <w:r w:rsidRPr="002A3FAD">
        <w:rPr>
          <w:b/>
        </w:rPr>
        <w:t>3</w:t>
      </w:r>
      <w:r w:rsidRPr="002A3FAD">
        <w:t xml:space="preserve"> were prepared from the commercially-available </w:t>
      </w:r>
      <w:r w:rsidRPr="002A3FAD">
        <w:rPr>
          <w:i/>
        </w:rPr>
        <w:t>N</w:t>
      </w:r>
      <w:r w:rsidRPr="002A3FAD">
        <w:t xml:space="preserve">-Boc protected amino acids, </w:t>
      </w:r>
      <w:r w:rsidRPr="002A3FAD">
        <w:rPr>
          <w:i/>
        </w:rPr>
        <w:t>N</w:t>
      </w:r>
      <w:r w:rsidRPr="002A3FAD">
        <w:t>-Boc-</w:t>
      </w:r>
      <w:r w:rsidRPr="002A3FAD">
        <w:rPr>
          <w:i/>
        </w:rPr>
        <w:t>S</w:t>
      </w:r>
      <w:r w:rsidRPr="002A3FAD">
        <w:t>-valine (</w:t>
      </w:r>
      <w:r w:rsidRPr="002A3FAD">
        <w:rPr>
          <w:b/>
        </w:rPr>
        <w:t>5a</w:t>
      </w:r>
      <w:r w:rsidRPr="002A3FAD">
        <w:t xml:space="preserve">), </w:t>
      </w:r>
      <w:r w:rsidRPr="002A3FAD">
        <w:rPr>
          <w:i/>
        </w:rPr>
        <w:t>N</w:t>
      </w:r>
      <w:r w:rsidRPr="002A3FAD">
        <w:t>-Boc-</w:t>
      </w:r>
      <w:r w:rsidRPr="002A3FAD">
        <w:rPr>
          <w:i/>
        </w:rPr>
        <w:t>S</w:t>
      </w:r>
      <w:r w:rsidRPr="002A3FAD">
        <w:t>-phenylalanine (</w:t>
      </w:r>
      <w:r w:rsidRPr="002A3FAD">
        <w:rPr>
          <w:b/>
        </w:rPr>
        <w:t>5b</w:t>
      </w:r>
      <w:r w:rsidRPr="002A3FAD">
        <w:t xml:space="preserve">) and </w:t>
      </w:r>
      <w:r w:rsidRPr="002A3FAD">
        <w:rPr>
          <w:i/>
        </w:rPr>
        <w:t>N</w:t>
      </w:r>
      <w:r w:rsidRPr="002A3FAD">
        <w:t>-Boc-</w:t>
      </w:r>
      <w:r w:rsidRPr="002A3FAD">
        <w:rPr>
          <w:i/>
        </w:rPr>
        <w:t>R</w:t>
      </w:r>
      <w:r w:rsidRPr="002A3FAD">
        <w:t>-phenylglycine (</w:t>
      </w:r>
      <w:r w:rsidRPr="002A3FAD">
        <w:rPr>
          <w:b/>
        </w:rPr>
        <w:t>5c</w:t>
      </w:r>
      <w:r w:rsidRPr="002A3FAD">
        <w:t>)</w:t>
      </w:r>
      <w:r w:rsidR="00FC514D">
        <w:t>,</w:t>
      </w:r>
      <w:r w:rsidRPr="002A3FAD">
        <w:t xml:space="preserve"> by modifying a four-step procedure previously described by Pfaltz </w:t>
      </w:r>
      <w:r w:rsidRPr="002A3FAD">
        <w:rPr>
          <w:i/>
        </w:rPr>
        <w:t>et al</w:t>
      </w:r>
      <w:r w:rsidRPr="002A3FAD">
        <w:t>.</w:t>
      </w:r>
      <w:r w:rsidRPr="002A3FAD">
        <w:rPr>
          <w:noProof/>
          <w:vertAlign w:val="superscript"/>
        </w:rPr>
        <w:t>15</w:t>
      </w:r>
      <w:r w:rsidRPr="002A3FAD">
        <w:rPr>
          <w:vertAlign w:val="superscript"/>
        </w:rPr>
        <w:t xml:space="preserve"> </w:t>
      </w:r>
      <w:r w:rsidRPr="002A3FAD">
        <w:t xml:space="preserve">(Scheme 1). The </w:t>
      </w:r>
      <w:r w:rsidRPr="002A3FAD">
        <w:rPr>
          <w:i/>
        </w:rPr>
        <w:t>N</w:t>
      </w:r>
      <w:r w:rsidRPr="002A3FAD">
        <w:t xml:space="preserve">-Boc moiety in </w:t>
      </w:r>
      <w:r w:rsidRPr="002A3FAD">
        <w:rPr>
          <w:b/>
        </w:rPr>
        <w:t xml:space="preserve">6 </w:t>
      </w:r>
      <w:r w:rsidRPr="002A3FAD">
        <w:t xml:space="preserve">was first unmasked by using AcCl/MeOH. The resultant hydrochloride salts were then directly employed, without purification, in </w:t>
      </w:r>
      <w:r w:rsidR="00FC514D">
        <w:t>a</w:t>
      </w:r>
      <w:r w:rsidRPr="002A3FAD">
        <w:t xml:space="preserve"> reduction step with LiAlH</w:t>
      </w:r>
      <w:r w:rsidRPr="002A3FAD">
        <w:rPr>
          <w:vertAlign w:val="subscript"/>
        </w:rPr>
        <w:t>4</w:t>
      </w:r>
      <w:r w:rsidRPr="002A3FAD">
        <w:t xml:space="preserve">, leading to an improved yield of 1,2-diamines </w:t>
      </w:r>
      <w:r w:rsidRPr="002A3FAD">
        <w:rPr>
          <w:b/>
        </w:rPr>
        <w:t>7</w:t>
      </w:r>
      <w:r w:rsidRPr="002A3FAD">
        <w:t xml:space="preserve">. Subsequently, the transformation of </w:t>
      </w:r>
      <w:r w:rsidRPr="002A3FAD">
        <w:rPr>
          <w:b/>
        </w:rPr>
        <w:t>7</w:t>
      </w:r>
      <w:r w:rsidRPr="002A3FAD">
        <w:t xml:space="preserve"> into the desired MBIs </w:t>
      </w:r>
      <w:r w:rsidRPr="002A3FAD">
        <w:rPr>
          <w:b/>
        </w:rPr>
        <w:t>3</w:t>
      </w:r>
      <w:r w:rsidRPr="002A3FAD">
        <w:t xml:space="preserve"> was achieved in two steps: the condensation of diamines </w:t>
      </w:r>
      <w:r w:rsidRPr="002A3FAD">
        <w:rPr>
          <w:b/>
        </w:rPr>
        <w:t>7</w:t>
      </w:r>
      <w:r w:rsidRPr="002A3FAD">
        <w:t xml:space="preserve"> with </w:t>
      </w:r>
      <w:r w:rsidRPr="002A3FAD">
        <w:rPr>
          <w:rFonts w:ascii="Times-Roman" w:hAnsi="Times-Roman" w:cs="Times-Roman"/>
        </w:rPr>
        <w:t xml:space="preserve">diethyl malonimidate dihydrochloride </w:t>
      </w:r>
      <w:r w:rsidRPr="002A3FAD">
        <w:rPr>
          <w:rFonts w:ascii="Times-Roman" w:hAnsi="Times-Roman" w:cs="Times-Roman"/>
          <w:b/>
        </w:rPr>
        <w:t>8</w:t>
      </w:r>
      <w:r w:rsidRPr="002A3FAD">
        <w:t xml:space="preserve"> afforded MBI derivatives </w:t>
      </w:r>
      <w:r w:rsidRPr="002A3FAD">
        <w:rPr>
          <w:b/>
        </w:rPr>
        <w:t xml:space="preserve">9 </w:t>
      </w:r>
      <w:r w:rsidRPr="002A3FAD">
        <w:t>as</w:t>
      </w:r>
      <w:r w:rsidRPr="002A3FAD">
        <w:rPr>
          <w:b/>
        </w:rPr>
        <w:t xml:space="preserve"> </w:t>
      </w:r>
      <w:r w:rsidRPr="002A3FAD">
        <w:t xml:space="preserve">HCl salts, isolated in good to excellent yields as easy-to-handle crystalline compounds. From these, the corresponding free MBI bases </w:t>
      </w:r>
      <w:r w:rsidRPr="002A3FAD">
        <w:rPr>
          <w:b/>
        </w:rPr>
        <w:t>3</w:t>
      </w:r>
      <w:r w:rsidRPr="002A3FAD">
        <w:t xml:space="preserve"> can be released quantitatively, by treatment with 10% aq. NaOH, immediately before their deployment in the subsequent reactions.</w:t>
      </w:r>
    </w:p>
    <w:p w:rsidR="00D27890" w:rsidRPr="002A3FAD" w:rsidRDefault="00913407" w:rsidP="00D27890">
      <w:pPr>
        <w:spacing w:before="360"/>
        <w:rPr>
          <w:sz w:val="18"/>
          <w:szCs w:val="20"/>
          <w:lang w:val="en-GB"/>
        </w:rPr>
      </w:pPr>
      <w:r>
        <w:object w:dxaOrig="7622" w:dyaOrig="4857">
          <v:shape id="_x0000_i1029" type="#_x0000_t75" style="width:228.5pt;height:146pt" o:ole="">
            <v:imagedata r:id="rId20" o:title=""/>
          </v:shape>
          <o:OLEObject Type="Embed" ProgID="ChemDraw.Document.6.0" ShapeID="_x0000_i1029" DrawAspect="Content" ObjectID="_1424876986" r:id="rId21"/>
        </w:object>
      </w:r>
    </w:p>
    <w:p w:rsidR="00D27890" w:rsidRPr="002A3FAD" w:rsidRDefault="00D27890" w:rsidP="00D27890">
      <w:pPr>
        <w:pStyle w:val="SchemeCaption"/>
      </w:pPr>
      <w:r w:rsidRPr="002A3FAD">
        <w:rPr>
          <w:b/>
        </w:rPr>
        <w:t>Scheme 1.</w:t>
      </w:r>
      <w:r w:rsidRPr="002A3FAD">
        <w:t xml:space="preserve"> Synthesis of MBI-scaffolds </w:t>
      </w:r>
      <w:r w:rsidRPr="002A3FAD">
        <w:rPr>
          <w:b/>
        </w:rPr>
        <w:t>3</w:t>
      </w:r>
      <w:r w:rsidRPr="002A3FAD">
        <w:t>. (a) NMM, ClCO</w:t>
      </w:r>
      <w:r w:rsidRPr="002A3FAD">
        <w:rPr>
          <w:vertAlign w:val="subscript"/>
        </w:rPr>
        <w:t>2</w:t>
      </w:r>
      <w:r w:rsidRPr="00D93FDE">
        <w:rPr>
          <w:i/>
          <w:highlight w:val="yellow"/>
        </w:rPr>
        <w:t>i</w:t>
      </w:r>
      <w:r w:rsidRPr="00D93FDE">
        <w:rPr>
          <w:highlight w:val="yellow"/>
        </w:rPr>
        <w:t>Bu</w:t>
      </w:r>
      <w:r w:rsidRPr="002A3FAD">
        <w:t>, R'NH</w:t>
      </w:r>
      <w:r w:rsidRPr="002A3FAD">
        <w:rPr>
          <w:vertAlign w:val="subscript"/>
        </w:rPr>
        <w:t>2</w:t>
      </w:r>
      <w:r w:rsidRPr="002A3FAD">
        <w:t xml:space="preserve">; (b) AcCl/MeOH, 0 °C to </w:t>
      </w:r>
      <w:r w:rsidR="00FC514D">
        <w:t>r.t.</w:t>
      </w:r>
      <w:r w:rsidRPr="002A3FAD">
        <w:t>, 24 h; (c) LiAlH</w:t>
      </w:r>
      <w:r w:rsidRPr="002A3FAD">
        <w:rPr>
          <w:vertAlign w:val="subscript"/>
        </w:rPr>
        <w:t>4</w:t>
      </w:r>
      <w:r w:rsidRPr="002A3FAD">
        <w:t>, THF, reflux, 24–48 h; (d) CH</w:t>
      </w:r>
      <w:r w:rsidRPr="002A3FAD">
        <w:rPr>
          <w:vertAlign w:val="subscript"/>
        </w:rPr>
        <w:t>2</w:t>
      </w:r>
      <w:r w:rsidRPr="002A3FAD">
        <w:t>(C(=NH)OEt)</w:t>
      </w:r>
      <w:r w:rsidRPr="002A3FAD">
        <w:rPr>
          <w:vertAlign w:val="subscript"/>
        </w:rPr>
        <w:t>2</w:t>
      </w:r>
      <w:r w:rsidRPr="002A3FAD">
        <w:t>•2HCl (</w:t>
      </w:r>
      <w:r w:rsidRPr="002A3FAD">
        <w:rPr>
          <w:b/>
        </w:rPr>
        <w:t>8</w:t>
      </w:r>
      <w:r w:rsidRPr="002A3FAD">
        <w:t>), CH</w:t>
      </w:r>
      <w:r w:rsidRPr="002A3FAD">
        <w:rPr>
          <w:vertAlign w:val="subscript"/>
        </w:rPr>
        <w:t>2</w:t>
      </w:r>
      <w:r w:rsidRPr="002A3FAD">
        <w:t>Cl</w:t>
      </w:r>
      <w:r w:rsidRPr="002A3FAD">
        <w:rPr>
          <w:vertAlign w:val="subscript"/>
        </w:rPr>
        <w:t>2</w:t>
      </w:r>
      <w:r w:rsidRPr="002A3FAD">
        <w:t xml:space="preserve">, </w:t>
      </w:r>
      <w:r w:rsidR="00FC514D">
        <w:t>r.t.</w:t>
      </w:r>
      <w:r w:rsidRPr="002A3FAD">
        <w:t xml:space="preserve"> to reflux, 24–96 h; (e) NaOH/CH</w:t>
      </w:r>
      <w:r w:rsidRPr="002A3FAD">
        <w:rPr>
          <w:vertAlign w:val="subscript"/>
        </w:rPr>
        <w:t>2</w:t>
      </w:r>
      <w:r w:rsidRPr="002A3FAD">
        <w:t>Cl</w:t>
      </w:r>
      <w:r w:rsidRPr="002A3FAD">
        <w:rPr>
          <w:vertAlign w:val="subscript"/>
        </w:rPr>
        <w:t>2</w:t>
      </w:r>
      <w:r w:rsidRPr="002A3FAD">
        <w:t>/H</w:t>
      </w:r>
      <w:r w:rsidRPr="002A3FAD">
        <w:rPr>
          <w:vertAlign w:val="subscript"/>
        </w:rPr>
        <w:t>2</w:t>
      </w:r>
      <w:r w:rsidRPr="002A3FAD">
        <w:t>O.</w:t>
      </w:r>
    </w:p>
    <w:p w:rsidR="009E5E27" w:rsidRPr="002A3FAD" w:rsidRDefault="009E5E27" w:rsidP="009E5E27">
      <w:pPr>
        <w:pStyle w:val="P1withIndendation"/>
      </w:pPr>
      <w:r w:rsidRPr="002A3FAD">
        <w:t xml:space="preserve">Compound </w:t>
      </w:r>
      <w:r w:rsidRPr="002A3FAD">
        <w:rPr>
          <w:b/>
        </w:rPr>
        <w:t>9f</w:t>
      </w:r>
      <w:r w:rsidRPr="002A3FAD">
        <w:t xml:space="preserve"> was transformed into its tetrafluoroborate salt by ion-exchange with 3</w:t>
      </w:r>
      <w:r w:rsidRPr="00F023A9">
        <w:rPr>
          <w:sz w:val="14"/>
          <w:highlight w:val="yellow"/>
        </w:rPr>
        <w:t>M</w:t>
      </w:r>
      <w:r w:rsidRPr="002A3FAD">
        <w:t xml:space="preserve"> aq. NaBF</w:t>
      </w:r>
      <w:r w:rsidRPr="002A3FAD">
        <w:rPr>
          <w:vertAlign w:val="subscript"/>
        </w:rPr>
        <w:t>4</w:t>
      </w:r>
      <w:r w:rsidRPr="002A3FAD">
        <w:t>, to furnish single crystals suitable for X-ray crystallographic analysis (Figure 5). The molecular structure of (</w:t>
      </w:r>
      <w:r w:rsidRPr="002A3FAD">
        <w:rPr>
          <w:i/>
        </w:rPr>
        <w:t>S,S</w:t>
      </w:r>
      <w:r w:rsidRPr="002A3FAD">
        <w:t>)</w:t>
      </w:r>
      <w:r w:rsidRPr="002A3FAD">
        <w:rPr>
          <w:b/>
        </w:rPr>
        <w:t>-3f</w:t>
      </w:r>
      <w:r w:rsidRPr="002A3FAD">
        <w:t>•HBF</w:t>
      </w:r>
      <w:r w:rsidRPr="002A3FAD">
        <w:rPr>
          <w:vertAlign w:val="subscript"/>
        </w:rPr>
        <w:t>4</w:t>
      </w:r>
      <w:r w:rsidRPr="002A3FAD">
        <w:rPr>
          <w:b/>
        </w:rPr>
        <w:t xml:space="preserve"> </w:t>
      </w:r>
      <w:r w:rsidRPr="002A3FAD">
        <w:t>is largely similar to its unsubstituted analogue of 2,2’-methylene-</w:t>
      </w:r>
      <w:r w:rsidRPr="002A3FAD">
        <w:rPr>
          <w:i/>
        </w:rPr>
        <w:t>bis</w:t>
      </w:r>
      <w:r w:rsidRPr="002A3FAD">
        <w:t>(4,5-dihydro-1H-imidazole) hydrochloride (H-MBI).</w:t>
      </w:r>
      <w:r w:rsidRPr="002A3FAD">
        <w:rPr>
          <w:noProof/>
          <w:vertAlign w:val="superscript"/>
        </w:rPr>
        <w:t>16</w:t>
      </w:r>
      <w:r w:rsidRPr="002A3FAD">
        <w:t xml:space="preserve"> The only significant difference was the dihedral angle, </w:t>
      </w:r>
      <w:r w:rsidRPr="00D93FDE">
        <w:rPr>
          <w:i/>
          <w:highlight w:val="yellow"/>
        </w:rPr>
        <w:t>τ</w:t>
      </w:r>
      <w:r w:rsidRPr="002A3FAD">
        <w:t xml:space="preserve">, between least-square planes of two five-member rings, being 20.09(8)º for the </w:t>
      </w:r>
      <w:r w:rsidRPr="002A3FAD">
        <w:rPr>
          <w:b/>
        </w:rPr>
        <w:t>3f</w:t>
      </w:r>
      <w:r w:rsidRPr="002A3FAD">
        <w:t>•HBF</w:t>
      </w:r>
      <w:r w:rsidRPr="002A3FAD">
        <w:rPr>
          <w:vertAlign w:val="subscript"/>
        </w:rPr>
        <w:t>4</w:t>
      </w:r>
      <w:r w:rsidRPr="002A3FAD">
        <w:t>, compared to 15.69(9)º for H-MBI.</w:t>
      </w:r>
      <w:r w:rsidRPr="002A3FAD">
        <w:rPr>
          <w:b/>
        </w:rPr>
        <w:t xml:space="preserve"> </w:t>
      </w:r>
      <w:r w:rsidRPr="002A3FAD">
        <w:t>Nevertheless, this angle is rather flexible and can be strongly affected by N-H∙∙∙X hydrogen bonds.</w:t>
      </w:r>
    </w:p>
    <w:p w:rsidR="001A2976" w:rsidRPr="002A3FAD" w:rsidRDefault="00FD2606" w:rsidP="001A2976">
      <w:pPr>
        <w:spacing w:before="360"/>
        <w:rPr>
          <w:sz w:val="18"/>
          <w:szCs w:val="20"/>
          <w:lang w:val="en-GB"/>
        </w:rPr>
      </w:pPr>
      <w:r>
        <w:rPr>
          <w:noProof/>
          <w:lang w:val="en-GB" w:eastAsia="en-GB"/>
        </w:rPr>
        <w:lastRenderedPageBreak/>
        <w:pict>
          <v:shape id="Picture 1" o:spid="_x0000_i1030" type="#_x0000_t75" alt="10f" style="width:222pt;height:133pt;visibility:visible;mso-wrap-style:square">
            <v:imagedata r:id="rId22" o:title="10f" grayscale="t"/>
          </v:shape>
        </w:pict>
      </w:r>
    </w:p>
    <w:p w:rsidR="00B41237" w:rsidRPr="002A3FAD" w:rsidRDefault="001A2976" w:rsidP="00FC514D">
      <w:pPr>
        <w:pStyle w:val="FigureCaption"/>
      </w:pPr>
      <w:r w:rsidRPr="002A3FAD">
        <w:rPr>
          <w:b/>
        </w:rPr>
        <w:t>Figure 5.</w:t>
      </w:r>
      <w:r w:rsidRPr="002A3FAD">
        <w:t xml:space="preserve"> ORTEP representation of the molecular structure of (</w:t>
      </w:r>
      <w:r w:rsidRPr="002A3FAD">
        <w:rPr>
          <w:i/>
        </w:rPr>
        <w:t>S,S</w:t>
      </w:r>
      <w:r w:rsidRPr="002A3FAD">
        <w:t>)-</w:t>
      </w:r>
      <w:r w:rsidRPr="002A3FAD">
        <w:rPr>
          <w:b/>
        </w:rPr>
        <w:t>3f</w:t>
      </w:r>
      <w:r w:rsidRPr="009928BA">
        <w:t>•</w:t>
      </w:r>
      <w:r w:rsidRPr="002A3FAD">
        <w:t>HBF</w:t>
      </w:r>
      <w:r w:rsidRPr="002A3FAD">
        <w:rPr>
          <w:vertAlign w:val="subscript"/>
        </w:rPr>
        <w:t>4</w:t>
      </w:r>
      <w:r w:rsidRPr="002A3FAD">
        <w:rPr>
          <w:lang w:val="en-US"/>
        </w:rPr>
        <w:t xml:space="preserve">. The displacement parameters are drawn on 50 % probability level. The selected bond distances and angles [Å, º]: </w:t>
      </w:r>
      <w:r w:rsidRPr="002A3FAD">
        <w:t xml:space="preserve">N1-C2 1.3607(17), N1-C5 1.4797(17), C2-N3 1.3348(17),  N3-C4 1.4617(17), C4-C5 1.537(2), C2-C6 1.4012(18), C6-C8 1.3928(19), N7-C8 1.3562(18), C8-N9 1.3450(16), N9-C10 1.4562(19), N7-C11 1.4754(17), C10-C11 1.522(2); C8-C6-C2 125.97(12). Hydrogen bonds parameters for N1-H1···F1: N1...F1 2.9537(14) </w:t>
      </w:r>
      <w:r w:rsidRPr="002A3FAD">
        <w:rPr>
          <w:lang w:val="en-US"/>
        </w:rPr>
        <w:t>Å</w:t>
      </w:r>
      <w:r w:rsidRPr="002A3FAD">
        <w:t>, angle at H1 151</w:t>
      </w:r>
      <w:r w:rsidRPr="002A3FAD">
        <w:rPr>
          <w:lang w:val="en-US"/>
        </w:rPr>
        <w:t xml:space="preserve">º; for </w:t>
      </w:r>
      <w:r w:rsidRPr="002A3FAD">
        <w:t>N7-H7...F3: N7...F3 2.9309(14)</w:t>
      </w:r>
      <w:r w:rsidRPr="002A3FAD">
        <w:rPr>
          <w:lang w:val="en-US"/>
        </w:rPr>
        <w:t xml:space="preserve"> Å</w:t>
      </w:r>
      <w:r w:rsidRPr="002A3FAD">
        <w:t>, angle at H7 145</w:t>
      </w:r>
      <w:r w:rsidRPr="002A3FAD">
        <w:rPr>
          <w:lang w:val="en-US"/>
        </w:rPr>
        <w:t>º</w:t>
      </w:r>
      <w:r w:rsidRPr="002A3FAD">
        <w:t>.</w:t>
      </w:r>
    </w:p>
    <w:p w:rsidR="00FB5D1A" w:rsidRPr="002A3FAD" w:rsidRDefault="00FB5D1A" w:rsidP="00FB5D1A">
      <w:pPr>
        <w:pStyle w:val="P1withIndendation"/>
      </w:pPr>
      <w:r w:rsidRPr="002A3FAD">
        <w:t xml:space="preserve">Free MBI bases </w:t>
      </w:r>
      <w:r w:rsidRPr="002A3FAD">
        <w:rPr>
          <w:b/>
        </w:rPr>
        <w:t>3</w:t>
      </w:r>
      <w:r w:rsidRPr="002A3FAD">
        <w:t xml:space="preserve"> exist as either one of two possible tautomeric forms in solution, </w:t>
      </w:r>
      <w:r w:rsidR="00D87662" w:rsidRPr="00D87662">
        <w:rPr>
          <w:highlight w:val="yellow"/>
        </w:rPr>
        <w:t>which are</w:t>
      </w:r>
      <w:r w:rsidR="00D87662">
        <w:t xml:space="preserve"> </w:t>
      </w:r>
      <w:r w:rsidRPr="002A3FAD">
        <w:t>strongly dependent upon the solvent</w:t>
      </w:r>
      <w:r w:rsidR="00D87662">
        <w:t>. This was</w:t>
      </w:r>
      <w:r w:rsidRPr="002A3FAD">
        <w:t xml:space="preserve"> demonstrated by </w:t>
      </w:r>
      <w:r w:rsidR="00D87662" w:rsidRPr="00D87662">
        <w:rPr>
          <w:highlight w:val="yellow"/>
        </w:rPr>
        <w:t>recording</w:t>
      </w:r>
      <w:r w:rsidR="00D87662">
        <w:t xml:space="preserve"> </w:t>
      </w:r>
      <w:r w:rsidRPr="002A3FAD">
        <w:t xml:space="preserve">a series of </w:t>
      </w:r>
      <w:r w:rsidRPr="002A3FAD">
        <w:rPr>
          <w:vertAlign w:val="superscript"/>
        </w:rPr>
        <w:t>1</w:t>
      </w:r>
      <w:r w:rsidRPr="002A3FAD">
        <w:t xml:space="preserve">H NMR spectra of </w:t>
      </w:r>
      <w:r w:rsidRPr="002A3FAD">
        <w:rPr>
          <w:b/>
        </w:rPr>
        <w:t>3f</w:t>
      </w:r>
      <w:r w:rsidRPr="002A3FAD">
        <w:t xml:space="preserve"> in seven different solvents </w:t>
      </w:r>
      <w:r w:rsidR="00C02BAB">
        <w:t xml:space="preserve">at 23 </w:t>
      </w:r>
      <w:r w:rsidR="00C02BAB" w:rsidRPr="002A3FAD">
        <w:t xml:space="preserve">ºC </w:t>
      </w:r>
      <w:r w:rsidRPr="002A3FAD">
        <w:t>(Table 1). In all cases, the conjugated tautomer (</w:t>
      </w:r>
      <w:r w:rsidRPr="002A3FAD">
        <w:rPr>
          <w:b/>
        </w:rPr>
        <w:t>A</w:t>
      </w:r>
      <w:r w:rsidRPr="002A3FAD">
        <w:t>) was thermodynamically more favourable than the unconjugated tautomer (</w:t>
      </w:r>
      <w:r w:rsidRPr="002A3FAD">
        <w:rPr>
          <w:b/>
        </w:rPr>
        <w:t>B</w:t>
      </w:r>
      <w:r w:rsidRPr="002A3FAD">
        <w:t xml:space="preserve">). The greatest stabilisation was provided by </w:t>
      </w:r>
      <w:r w:rsidRPr="007D5D75">
        <w:t xml:space="preserve">polar aprotic media, such as </w:t>
      </w:r>
      <w:r w:rsidR="007D5D75" w:rsidRPr="007D5D75">
        <w:t>[D</w:t>
      </w:r>
      <w:r w:rsidR="007D5D75" w:rsidRPr="007D5D75">
        <w:rPr>
          <w:vertAlign w:val="subscript"/>
        </w:rPr>
        <w:t>6</w:t>
      </w:r>
      <w:r w:rsidR="007D5D75" w:rsidRPr="007D5D75">
        <w:t>]DMSO</w:t>
      </w:r>
      <w:r w:rsidRPr="007D5D75">
        <w:t xml:space="preserve"> and </w:t>
      </w:r>
      <w:r w:rsidR="007D5D75" w:rsidRPr="007D5D75">
        <w:t>[D</w:t>
      </w:r>
      <w:r w:rsidR="007D5D75" w:rsidRPr="007D5D75">
        <w:rPr>
          <w:vertAlign w:val="subscript"/>
        </w:rPr>
        <w:t>6</w:t>
      </w:r>
      <w:r w:rsidR="007D5D75" w:rsidRPr="007D5D75">
        <w:t>]</w:t>
      </w:r>
      <w:r w:rsidRPr="007D5D75">
        <w:t>acetone, whe</w:t>
      </w:r>
      <w:r w:rsidRPr="002A3FAD">
        <w:t xml:space="preserve">re </w:t>
      </w:r>
      <w:r w:rsidRPr="00F626B6">
        <w:rPr>
          <w:highlight w:val="yellow"/>
        </w:rPr>
        <w:t>ratio</w:t>
      </w:r>
      <w:r w:rsidR="00F626B6" w:rsidRPr="00F626B6">
        <w:rPr>
          <w:highlight w:val="yellow"/>
        </w:rPr>
        <w:t>s</w:t>
      </w:r>
      <w:r w:rsidRPr="00F626B6">
        <w:rPr>
          <w:highlight w:val="yellow"/>
        </w:rPr>
        <w:t xml:space="preserve"> of </w:t>
      </w:r>
      <w:r w:rsidR="00F626B6" w:rsidRPr="00F626B6">
        <w:rPr>
          <w:highlight w:val="yellow"/>
        </w:rPr>
        <w:t xml:space="preserve">13:1 and </w:t>
      </w:r>
      <w:r w:rsidRPr="00F626B6">
        <w:rPr>
          <w:highlight w:val="yellow"/>
        </w:rPr>
        <w:t xml:space="preserve">14:1 </w:t>
      </w:r>
      <w:r w:rsidR="00F626B6" w:rsidRPr="00F626B6">
        <w:rPr>
          <w:highlight w:val="yellow"/>
        </w:rPr>
        <w:t>were</w:t>
      </w:r>
      <w:r w:rsidRPr="002A3FAD">
        <w:t xml:space="preserve"> observed, corresponding to a relative stabilisation energy of </w:t>
      </w:r>
      <w:r w:rsidRPr="002A3FAD">
        <w:rPr>
          <w:i/>
        </w:rPr>
        <w:t>ca</w:t>
      </w:r>
      <w:r w:rsidRPr="002A3FAD">
        <w:t xml:space="preserve">. 6.5 </w:t>
      </w:r>
      <w:r w:rsidRPr="00F023A9">
        <w:rPr>
          <w:highlight w:val="yellow"/>
        </w:rPr>
        <w:t>kJ</w:t>
      </w:r>
      <w:r w:rsidR="00F023A9" w:rsidRPr="00F023A9">
        <w:rPr>
          <w:highlight w:val="yellow"/>
        </w:rPr>
        <w:t xml:space="preserve"> </w:t>
      </w:r>
      <w:r w:rsidRPr="00F023A9">
        <w:rPr>
          <w:highlight w:val="yellow"/>
        </w:rPr>
        <w:t>mol</w:t>
      </w:r>
      <w:r w:rsidR="00F023A9" w:rsidRPr="00F023A9">
        <w:rPr>
          <w:highlight w:val="yellow"/>
          <w:vertAlign w:val="superscript"/>
        </w:rPr>
        <w:t>-1</w:t>
      </w:r>
      <w:r w:rsidRPr="002A3FAD">
        <w:t>. On the other hand, the lowest ratio of 3:2 was observed in CDCl</w:t>
      </w:r>
      <w:r w:rsidRPr="002A3FAD">
        <w:rPr>
          <w:vertAlign w:val="subscript"/>
        </w:rPr>
        <w:t xml:space="preserve">3 </w:t>
      </w:r>
      <w:r w:rsidRPr="002A3FAD">
        <w:t>(</w:t>
      </w:r>
      <w:r w:rsidRPr="002A3FAD">
        <w:rPr>
          <w:i/>
        </w:rPr>
        <w:t>ca</w:t>
      </w:r>
      <w:r w:rsidRPr="002A3FAD">
        <w:t xml:space="preserve">.1 </w:t>
      </w:r>
      <w:r w:rsidR="00F023A9" w:rsidRPr="00F023A9">
        <w:rPr>
          <w:highlight w:val="yellow"/>
        </w:rPr>
        <w:t>kJ mol</w:t>
      </w:r>
      <w:r w:rsidR="00F023A9" w:rsidRPr="00F023A9">
        <w:rPr>
          <w:highlight w:val="yellow"/>
          <w:vertAlign w:val="superscript"/>
        </w:rPr>
        <w:t>-1</w:t>
      </w:r>
      <w:r w:rsidRPr="002A3FAD">
        <w:t>).</w:t>
      </w:r>
    </w:p>
    <w:p w:rsidR="008D7FA9" w:rsidRPr="002A3FAD" w:rsidRDefault="008D7FA9" w:rsidP="008D7FA9">
      <w:pPr>
        <w:pStyle w:val="TableCaption"/>
      </w:pPr>
      <w:r w:rsidRPr="002A3FAD">
        <w:rPr>
          <w:b/>
        </w:rPr>
        <w:t>Table 1.</w:t>
      </w:r>
      <w:r w:rsidRPr="002A3FAD">
        <w:t xml:space="preserve"> Solvent-dependant tautomerisation of </w:t>
      </w:r>
      <w:r w:rsidRPr="002A3FAD">
        <w:rPr>
          <w:b/>
        </w:rPr>
        <w:t>3f</w:t>
      </w:r>
      <w:r w:rsidR="00A91E36">
        <w:rPr>
          <w:b/>
        </w:rPr>
        <w:t xml:space="preserve"> </w:t>
      </w:r>
      <w:r w:rsidR="00A91E36" w:rsidRPr="00A91E36">
        <w:t>at 23</w:t>
      </w:r>
      <w:r w:rsidR="00A91E36">
        <w:t xml:space="preserve"> </w:t>
      </w:r>
      <w:r w:rsidR="00A91E36" w:rsidRPr="002A3FAD">
        <w:t>ºC</w:t>
      </w:r>
      <w:r w:rsidRPr="002A3FAD">
        <w:t>.</w:t>
      </w:r>
    </w:p>
    <w:p w:rsidR="008D7FA9" w:rsidRPr="002A3FAD" w:rsidRDefault="009D645C" w:rsidP="004A34EB">
      <w:pPr>
        <w:spacing w:before="360"/>
        <w:jc w:val="center"/>
      </w:pPr>
      <w:r w:rsidRPr="002A3FAD">
        <w:object w:dxaOrig="6206" w:dyaOrig="2231">
          <v:shape id="_x0000_i1031" type="#_x0000_t75" style="width:186pt;height:66.5pt" o:ole="">
            <v:imagedata r:id="rId23" o:title=""/>
          </v:shape>
          <o:OLEObject Type="Embed" ProgID="ChemDraw.Document.6.0" ShapeID="_x0000_i1031" DrawAspect="Content" ObjectID="_1424876987" r:id="rId24"/>
        </w:object>
      </w:r>
    </w:p>
    <w:tbl>
      <w:tblPr>
        <w:tblW w:w="5239" w:type="dxa"/>
        <w:tblLook w:val="01E0" w:firstRow="1" w:lastRow="1" w:firstColumn="1" w:lastColumn="1" w:noHBand="0" w:noVBand="0"/>
      </w:tblPr>
      <w:tblGrid>
        <w:gridCol w:w="557"/>
        <w:gridCol w:w="789"/>
        <w:gridCol w:w="773"/>
        <w:gridCol w:w="740"/>
        <w:gridCol w:w="501"/>
        <w:gridCol w:w="633"/>
        <w:gridCol w:w="658"/>
        <w:gridCol w:w="588"/>
      </w:tblGrid>
      <w:tr w:rsidR="002A3FAD" w:rsidRPr="002A3FAD" w:rsidTr="001100D5">
        <w:tc>
          <w:tcPr>
            <w:tcW w:w="0" w:type="auto"/>
            <w:tcBorders>
              <w:top w:val="single" w:sz="4" w:space="0" w:color="000000"/>
              <w:bottom w:val="single" w:sz="4" w:space="0" w:color="000000"/>
            </w:tcBorders>
            <w:shd w:val="clear" w:color="auto" w:fill="auto"/>
          </w:tcPr>
          <w:p w:rsidR="004A34EB" w:rsidRPr="002A3FAD" w:rsidRDefault="004A34EB" w:rsidP="00B76B58">
            <w:pPr>
              <w:pStyle w:val="TableHead"/>
            </w:pPr>
            <w:r w:rsidRPr="002A3FAD">
              <w:t>Sol</w:t>
            </w:r>
            <w:r w:rsidR="001F637F" w:rsidRPr="002A3FAD">
              <w:softHyphen/>
            </w:r>
            <w:r w:rsidRPr="002A3FAD">
              <w:t>vent</w:t>
            </w:r>
          </w:p>
        </w:tc>
        <w:tc>
          <w:tcPr>
            <w:tcW w:w="0" w:type="auto"/>
            <w:tcBorders>
              <w:top w:val="single" w:sz="4" w:space="0" w:color="000000"/>
              <w:bottom w:val="single" w:sz="4" w:space="0" w:color="000000"/>
            </w:tcBorders>
            <w:shd w:val="clear" w:color="auto" w:fill="auto"/>
          </w:tcPr>
          <w:p w:rsidR="004A34EB" w:rsidRPr="002A3FAD" w:rsidRDefault="004A34EB" w:rsidP="00B76B58">
            <w:pPr>
              <w:pStyle w:val="TableHead"/>
            </w:pPr>
            <w:r w:rsidRPr="002A3FAD">
              <w:t>(CD</w:t>
            </w:r>
            <w:r w:rsidRPr="002A3FAD">
              <w:rPr>
                <w:vertAlign w:val="subscript"/>
              </w:rPr>
              <w:t>3</w:t>
            </w:r>
            <w:r w:rsidRPr="002A3FAD">
              <w:t>)</w:t>
            </w:r>
            <w:r w:rsidRPr="002A3FAD">
              <w:rPr>
                <w:vertAlign w:val="subscript"/>
              </w:rPr>
              <w:t>2</w:t>
            </w:r>
            <w:r w:rsidRPr="002A3FAD">
              <w:t>CO</w:t>
            </w:r>
          </w:p>
        </w:tc>
        <w:tc>
          <w:tcPr>
            <w:tcW w:w="0" w:type="auto"/>
            <w:tcBorders>
              <w:top w:val="single" w:sz="4" w:space="0" w:color="000000"/>
              <w:bottom w:val="single" w:sz="4" w:space="0" w:color="000000"/>
            </w:tcBorders>
            <w:shd w:val="clear" w:color="auto" w:fill="auto"/>
          </w:tcPr>
          <w:p w:rsidR="004A34EB" w:rsidRPr="002A3FAD" w:rsidRDefault="004A34EB" w:rsidP="00B76B58">
            <w:pPr>
              <w:pStyle w:val="TableHead"/>
            </w:pPr>
            <w:r w:rsidRPr="002A3FAD">
              <w:t>(CD</w:t>
            </w:r>
            <w:r w:rsidRPr="002A3FAD">
              <w:rPr>
                <w:vertAlign w:val="subscript"/>
              </w:rPr>
              <w:t>3</w:t>
            </w:r>
            <w:r w:rsidRPr="002A3FAD">
              <w:t>)</w:t>
            </w:r>
            <w:r w:rsidRPr="002A3FAD">
              <w:rPr>
                <w:vertAlign w:val="subscript"/>
              </w:rPr>
              <w:t>2</w:t>
            </w:r>
            <w:r w:rsidRPr="002A3FAD">
              <w:t>SO</w:t>
            </w:r>
          </w:p>
        </w:tc>
        <w:tc>
          <w:tcPr>
            <w:tcW w:w="0" w:type="auto"/>
            <w:tcBorders>
              <w:top w:val="single" w:sz="4" w:space="0" w:color="000000"/>
              <w:bottom w:val="single" w:sz="4" w:space="0" w:color="000000"/>
            </w:tcBorders>
            <w:shd w:val="clear" w:color="auto" w:fill="auto"/>
          </w:tcPr>
          <w:p w:rsidR="004A34EB" w:rsidRPr="002A3FAD" w:rsidRDefault="004A34EB" w:rsidP="00B76B58">
            <w:pPr>
              <w:pStyle w:val="TableHead"/>
            </w:pPr>
            <w:r w:rsidRPr="002A3FAD">
              <w:t>C</w:t>
            </w:r>
            <w:r w:rsidRPr="002A3FAD">
              <w:rPr>
                <w:vertAlign w:val="subscript"/>
              </w:rPr>
              <w:t>6</w:t>
            </w:r>
            <w:r w:rsidRPr="002A3FAD">
              <w:t>D</w:t>
            </w:r>
            <w:r w:rsidRPr="002A3FAD">
              <w:rPr>
                <w:vertAlign w:val="subscript"/>
              </w:rPr>
              <w:t>5</w:t>
            </w:r>
            <w:r w:rsidRPr="002A3FAD">
              <w:t>CD</w:t>
            </w:r>
            <w:r w:rsidRPr="002A3FAD">
              <w:rPr>
                <w:vertAlign w:val="subscript"/>
              </w:rPr>
              <w:t>3</w:t>
            </w:r>
          </w:p>
        </w:tc>
        <w:tc>
          <w:tcPr>
            <w:tcW w:w="0" w:type="auto"/>
            <w:tcBorders>
              <w:top w:val="single" w:sz="4" w:space="0" w:color="000000"/>
              <w:bottom w:val="single" w:sz="4" w:space="0" w:color="000000"/>
            </w:tcBorders>
            <w:shd w:val="clear" w:color="auto" w:fill="auto"/>
          </w:tcPr>
          <w:p w:rsidR="004A34EB" w:rsidRPr="002A3FAD" w:rsidRDefault="004A34EB" w:rsidP="00B76B58">
            <w:pPr>
              <w:pStyle w:val="TableHead"/>
            </w:pPr>
            <w:r w:rsidRPr="002A3FAD">
              <w:t>C</w:t>
            </w:r>
            <w:r w:rsidRPr="002A3FAD">
              <w:rPr>
                <w:vertAlign w:val="subscript"/>
              </w:rPr>
              <w:t>6</w:t>
            </w:r>
            <w:r w:rsidRPr="002A3FAD">
              <w:t>D</w:t>
            </w:r>
            <w:r w:rsidRPr="002A3FAD">
              <w:rPr>
                <w:vertAlign w:val="subscript"/>
              </w:rPr>
              <w:t>6</w:t>
            </w:r>
          </w:p>
        </w:tc>
        <w:tc>
          <w:tcPr>
            <w:tcW w:w="0" w:type="auto"/>
            <w:tcBorders>
              <w:top w:val="single" w:sz="4" w:space="0" w:color="000000"/>
              <w:bottom w:val="single" w:sz="4" w:space="0" w:color="000000"/>
            </w:tcBorders>
            <w:shd w:val="clear" w:color="auto" w:fill="auto"/>
          </w:tcPr>
          <w:p w:rsidR="004A34EB" w:rsidRPr="002A3FAD" w:rsidRDefault="004A34EB" w:rsidP="00B76B58">
            <w:pPr>
              <w:pStyle w:val="TableHead"/>
            </w:pPr>
            <w:r w:rsidRPr="002A3FAD">
              <w:t>CD</w:t>
            </w:r>
            <w:r w:rsidRPr="002A3FAD">
              <w:rPr>
                <w:vertAlign w:val="subscript"/>
              </w:rPr>
              <w:t>2</w:t>
            </w:r>
            <w:r w:rsidRPr="002A3FAD">
              <w:t>Cl</w:t>
            </w:r>
            <w:r w:rsidRPr="002A3FAD">
              <w:rPr>
                <w:vertAlign w:val="subscript"/>
              </w:rPr>
              <w:t>2</w:t>
            </w:r>
          </w:p>
        </w:tc>
        <w:tc>
          <w:tcPr>
            <w:tcW w:w="0" w:type="auto"/>
            <w:tcBorders>
              <w:top w:val="single" w:sz="4" w:space="0" w:color="000000"/>
              <w:bottom w:val="single" w:sz="4" w:space="0" w:color="000000"/>
            </w:tcBorders>
            <w:shd w:val="clear" w:color="auto" w:fill="auto"/>
          </w:tcPr>
          <w:p w:rsidR="004A34EB" w:rsidRPr="002A3FAD" w:rsidRDefault="004A34EB" w:rsidP="00B76B58">
            <w:pPr>
              <w:pStyle w:val="TableHead"/>
            </w:pPr>
            <w:r w:rsidRPr="002A3FAD">
              <w:t>CD</w:t>
            </w:r>
            <w:r w:rsidRPr="002A3FAD">
              <w:rPr>
                <w:vertAlign w:val="subscript"/>
              </w:rPr>
              <w:t>3</w:t>
            </w:r>
            <w:r w:rsidRPr="002A3FAD">
              <w:t>OD</w:t>
            </w:r>
          </w:p>
        </w:tc>
        <w:tc>
          <w:tcPr>
            <w:tcW w:w="0" w:type="auto"/>
            <w:tcBorders>
              <w:top w:val="single" w:sz="4" w:space="0" w:color="000000"/>
              <w:bottom w:val="single" w:sz="4" w:space="0" w:color="000000"/>
            </w:tcBorders>
            <w:shd w:val="clear" w:color="auto" w:fill="auto"/>
          </w:tcPr>
          <w:p w:rsidR="004A34EB" w:rsidRPr="002A3FAD" w:rsidRDefault="004A34EB" w:rsidP="00B76B58">
            <w:pPr>
              <w:pStyle w:val="TableHead"/>
            </w:pPr>
            <w:r w:rsidRPr="002A3FAD">
              <w:t>CDCl</w:t>
            </w:r>
            <w:r w:rsidRPr="002A3FAD">
              <w:rPr>
                <w:vertAlign w:val="subscript"/>
              </w:rPr>
              <w:t>3</w:t>
            </w:r>
          </w:p>
        </w:tc>
      </w:tr>
      <w:tr w:rsidR="002A3FAD" w:rsidRPr="002A3FAD" w:rsidTr="001100D5">
        <w:tc>
          <w:tcPr>
            <w:tcW w:w="0" w:type="auto"/>
            <w:tcBorders>
              <w:top w:val="single" w:sz="4" w:space="0" w:color="000000"/>
              <w:bottom w:val="single" w:sz="4" w:space="0" w:color="auto"/>
            </w:tcBorders>
            <w:shd w:val="clear" w:color="auto" w:fill="auto"/>
          </w:tcPr>
          <w:p w:rsidR="004A34EB" w:rsidRPr="002A3FAD" w:rsidRDefault="004A34EB" w:rsidP="00665D3C">
            <w:pPr>
              <w:pStyle w:val="TableBody"/>
              <w:rPr>
                <w:rFonts w:ascii="Times New Roman" w:hAnsi="Times New Roman"/>
                <w:sz w:val="14"/>
                <w:szCs w:val="14"/>
                <w:lang w:val="en-GB"/>
              </w:rPr>
            </w:pPr>
            <w:r w:rsidRPr="002A3FAD">
              <w:rPr>
                <w:rFonts w:ascii="Times New Roman" w:hAnsi="Times New Roman"/>
                <w:b/>
                <w:sz w:val="14"/>
                <w:szCs w:val="14"/>
                <w:lang w:val="en-GB"/>
              </w:rPr>
              <w:t>A:B</w:t>
            </w:r>
            <w:r w:rsidRPr="002A3FAD">
              <w:rPr>
                <w:rFonts w:ascii="Times New Roman" w:hAnsi="Times New Roman"/>
                <w:sz w:val="14"/>
                <w:szCs w:val="14"/>
                <w:vertAlign w:val="superscript"/>
                <w:lang w:val="en-GB"/>
              </w:rPr>
              <w:t>[a]</w:t>
            </w:r>
          </w:p>
        </w:tc>
        <w:tc>
          <w:tcPr>
            <w:tcW w:w="0" w:type="auto"/>
            <w:tcBorders>
              <w:top w:val="single" w:sz="4" w:space="0" w:color="000000"/>
              <w:bottom w:val="single" w:sz="4" w:space="0" w:color="auto"/>
            </w:tcBorders>
            <w:shd w:val="clear" w:color="auto" w:fill="auto"/>
          </w:tcPr>
          <w:p w:rsidR="004A34EB" w:rsidRPr="002A3FAD" w:rsidRDefault="004A34EB" w:rsidP="00665D3C">
            <w:pPr>
              <w:pStyle w:val="TableBody"/>
              <w:rPr>
                <w:rFonts w:ascii="Times New Roman" w:hAnsi="Times New Roman"/>
                <w:sz w:val="14"/>
                <w:szCs w:val="14"/>
                <w:lang w:val="en-GB"/>
              </w:rPr>
            </w:pPr>
            <w:r w:rsidRPr="002A3FAD">
              <w:rPr>
                <w:rFonts w:ascii="Times New Roman" w:hAnsi="Times New Roman"/>
                <w:sz w:val="14"/>
                <w:szCs w:val="14"/>
              </w:rPr>
              <w:t>14:1</w:t>
            </w:r>
          </w:p>
        </w:tc>
        <w:tc>
          <w:tcPr>
            <w:tcW w:w="0" w:type="auto"/>
            <w:tcBorders>
              <w:top w:val="single" w:sz="4" w:space="0" w:color="000000"/>
              <w:bottom w:val="single" w:sz="4" w:space="0" w:color="auto"/>
            </w:tcBorders>
            <w:shd w:val="clear" w:color="auto" w:fill="auto"/>
          </w:tcPr>
          <w:p w:rsidR="004A34EB" w:rsidRPr="002A3FAD" w:rsidRDefault="004A34EB" w:rsidP="00665D3C">
            <w:pPr>
              <w:pStyle w:val="TableBody"/>
              <w:rPr>
                <w:rFonts w:ascii="Times New Roman" w:hAnsi="Times New Roman"/>
                <w:sz w:val="14"/>
                <w:szCs w:val="14"/>
                <w:lang w:val="en-GB"/>
              </w:rPr>
            </w:pPr>
            <w:r w:rsidRPr="002A3FAD">
              <w:rPr>
                <w:rFonts w:ascii="Times New Roman" w:hAnsi="Times New Roman"/>
                <w:sz w:val="14"/>
                <w:szCs w:val="14"/>
              </w:rPr>
              <w:t>13:1</w:t>
            </w:r>
          </w:p>
        </w:tc>
        <w:tc>
          <w:tcPr>
            <w:tcW w:w="0" w:type="auto"/>
            <w:tcBorders>
              <w:top w:val="single" w:sz="4" w:space="0" w:color="000000"/>
              <w:bottom w:val="single" w:sz="4" w:space="0" w:color="auto"/>
            </w:tcBorders>
            <w:shd w:val="clear" w:color="auto" w:fill="auto"/>
          </w:tcPr>
          <w:p w:rsidR="004A34EB" w:rsidRPr="002A3FAD" w:rsidRDefault="004A34EB" w:rsidP="00665D3C">
            <w:pPr>
              <w:pStyle w:val="TableBody"/>
              <w:rPr>
                <w:rFonts w:ascii="Times New Roman" w:hAnsi="Times New Roman"/>
                <w:sz w:val="14"/>
                <w:szCs w:val="14"/>
                <w:lang w:val="en-GB"/>
              </w:rPr>
            </w:pPr>
            <w:r w:rsidRPr="002A3FAD">
              <w:rPr>
                <w:rFonts w:ascii="Times New Roman" w:hAnsi="Times New Roman"/>
                <w:sz w:val="14"/>
                <w:szCs w:val="14"/>
              </w:rPr>
              <w:t>12:1</w:t>
            </w:r>
          </w:p>
        </w:tc>
        <w:tc>
          <w:tcPr>
            <w:tcW w:w="0" w:type="auto"/>
            <w:tcBorders>
              <w:top w:val="single" w:sz="4" w:space="0" w:color="000000"/>
              <w:bottom w:val="single" w:sz="4" w:space="0" w:color="auto"/>
            </w:tcBorders>
            <w:shd w:val="clear" w:color="auto" w:fill="auto"/>
          </w:tcPr>
          <w:p w:rsidR="004A34EB" w:rsidRPr="002A3FAD" w:rsidRDefault="004A34EB" w:rsidP="00665D3C">
            <w:pPr>
              <w:pStyle w:val="TableBody"/>
              <w:rPr>
                <w:rFonts w:ascii="Times New Roman" w:hAnsi="Times New Roman"/>
                <w:sz w:val="14"/>
                <w:szCs w:val="14"/>
                <w:lang w:val="en-GB"/>
              </w:rPr>
            </w:pPr>
            <w:r w:rsidRPr="002A3FAD">
              <w:rPr>
                <w:rFonts w:ascii="Times New Roman" w:hAnsi="Times New Roman"/>
                <w:sz w:val="14"/>
                <w:szCs w:val="14"/>
              </w:rPr>
              <w:t>9:1</w:t>
            </w:r>
          </w:p>
        </w:tc>
        <w:tc>
          <w:tcPr>
            <w:tcW w:w="0" w:type="auto"/>
            <w:tcBorders>
              <w:top w:val="single" w:sz="4" w:space="0" w:color="000000"/>
              <w:bottom w:val="single" w:sz="4" w:space="0" w:color="auto"/>
            </w:tcBorders>
            <w:shd w:val="clear" w:color="auto" w:fill="auto"/>
          </w:tcPr>
          <w:p w:rsidR="004A34EB" w:rsidRPr="002A3FAD" w:rsidRDefault="004A34EB" w:rsidP="00665D3C">
            <w:pPr>
              <w:pStyle w:val="TableBody"/>
              <w:rPr>
                <w:rFonts w:ascii="Times New Roman" w:hAnsi="Times New Roman"/>
                <w:sz w:val="14"/>
                <w:szCs w:val="14"/>
                <w:lang w:val="en-GB"/>
              </w:rPr>
            </w:pPr>
            <w:r w:rsidRPr="002A3FAD">
              <w:rPr>
                <w:rFonts w:ascii="Times New Roman" w:hAnsi="Times New Roman"/>
                <w:sz w:val="14"/>
                <w:szCs w:val="14"/>
              </w:rPr>
              <w:t>6:1</w:t>
            </w:r>
          </w:p>
        </w:tc>
        <w:tc>
          <w:tcPr>
            <w:tcW w:w="0" w:type="auto"/>
            <w:tcBorders>
              <w:top w:val="single" w:sz="4" w:space="0" w:color="000000"/>
              <w:bottom w:val="single" w:sz="4" w:space="0" w:color="auto"/>
            </w:tcBorders>
            <w:shd w:val="clear" w:color="auto" w:fill="auto"/>
          </w:tcPr>
          <w:p w:rsidR="004A34EB" w:rsidRPr="002A3FAD" w:rsidRDefault="004A34EB" w:rsidP="00665D3C">
            <w:pPr>
              <w:pStyle w:val="TableBody"/>
              <w:rPr>
                <w:rFonts w:ascii="Times New Roman" w:hAnsi="Times New Roman"/>
                <w:sz w:val="14"/>
                <w:szCs w:val="14"/>
                <w:lang w:val="en-GB"/>
              </w:rPr>
            </w:pPr>
            <w:r w:rsidRPr="002A3FAD">
              <w:rPr>
                <w:rFonts w:ascii="Times New Roman" w:hAnsi="Times New Roman"/>
                <w:sz w:val="14"/>
                <w:szCs w:val="14"/>
              </w:rPr>
              <w:t>3:1</w:t>
            </w:r>
          </w:p>
        </w:tc>
        <w:tc>
          <w:tcPr>
            <w:tcW w:w="0" w:type="auto"/>
            <w:tcBorders>
              <w:top w:val="single" w:sz="4" w:space="0" w:color="000000"/>
              <w:bottom w:val="single" w:sz="4" w:space="0" w:color="auto"/>
            </w:tcBorders>
            <w:shd w:val="clear" w:color="auto" w:fill="auto"/>
          </w:tcPr>
          <w:p w:rsidR="004A34EB" w:rsidRPr="002A3FAD" w:rsidRDefault="004A34EB" w:rsidP="00665D3C">
            <w:pPr>
              <w:pStyle w:val="TableBody"/>
              <w:rPr>
                <w:rFonts w:ascii="Times New Roman" w:hAnsi="Times New Roman"/>
                <w:sz w:val="14"/>
                <w:szCs w:val="14"/>
                <w:lang w:val="en-GB"/>
              </w:rPr>
            </w:pPr>
            <w:r w:rsidRPr="002A3FAD">
              <w:rPr>
                <w:rFonts w:ascii="Times New Roman" w:hAnsi="Times New Roman"/>
                <w:sz w:val="14"/>
                <w:szCs w:val="14"/>
              </w:rPr>
              <w:t>3:2</w:t>
            </w:r>
          </w:p>
        </w:tc>
      </w:tr>
    </w:tbl>
    <w:p w:rsidR="008D7FA9" w:rsidRPr="002A3FAD" w:rsidRDefault="008D7FA9" w:rsidP="008D7FA9">
      <w:pPr>
        <w:pStyle w:val="TableFoot"/>
      </w:pPr>
      <w:r w:rsidRPr="002A3FAD">
        <w:t xml:space="preserve">[a] </w:t>
      </w:r>
      <w:r w:rsidR="004A34EB" w:rsidRPr="002A3FAD">
        <w:t xml:space="preserve">Determined by comparison of </w:t>
      </w:r>
      <w:r w:rsidR="004A34EB" w:rsidRPr="002A3FAD">
        <w:rPr>
          <w:vertAlign w:val="superscript"/>
        </w:rPr>
        <w:t>1</w:t>
      </w:r>
      <w:r w:rsidR="004A34EB" w:rsidRPr="002A3FAD">
        <w:t>H NMR integrals of N-</w:t>
      </w:r>
      <w:r w:rsidR="004A34EB" w:rsidRPr="002A3FAD">
        <w:rPr>
          <w:i/>
        </w:rPr>
        <w:t>CH</w:t>
      </w:r>
      <w:r w:rsidR="004A34EB" w:rsidRPr="002A3FAD">
        <w:rPr>
          <w:i/>
          <w:vertAlign w:val="subscript"/>
        </w:rPr>
        <w:t>3</w:t>
      </w:r>
      <w:r w:rsidR="004A34EB" w:rsidRPr="002A3FAD">
        <w:rPr>
          <w:i/>
        </w:rPr>
        <w:t xml:space="preserve"> </w:t>
      </w:r>
      <w:r w:rsidR="004A34EB" w:rsidRPr="002A3FAD">
        <w:t>or BnC</w:t>
      </w:r>
      <w:r w:rsidR="004A34EB" w:rsidRPr="002A3FAD">
        <w:rPr>
          <w:i/>
        </w:rPr>
        <w:t>H</w:t>
      </w:r>
      <w:r w:rsidR="004A34EB" w:rsidRPr="002A3FAD">
        <w:t>N signals.</w:t>
      </w:r>
    </w:p>
    <w:p w:rsidR="00830E63" w:rsidRPr="002A3FAD" w:rsidRDefault="00830E63" w:rsidP="00830E63">
      <w:pPr>
        <w:pStyle w:val="P1withoutIndendation"/>
        <w:rPr>
          <w:b/>
        </w:rPr>
      </w:pPr>
      <w:r w:rsidRPr="002A3FAD">
        <w:rPr>
          <w:b/>
        </w:rPr>
        <w:t>Synthesis of zPHCs</w:t>
      </w:r>
    </w:p>
    <w:p w:rsidR="00830E63" w:rsidRPr="002A3FAD" w:rsidRDefault="00830E63" w:rsidP="00830E63">
      <w:pPr>
        <w:pStyle w:val="P1withIndendation"/>
        <w:ind w:firstLine="0"/>
      </w:pPr>
      <w:r w:rsidRPr="002A3FAD">
        <w:t>The phosphorus heterocycle was formed by the reaction between MBI and phosphorus oxychloride (POCl</w:t>
      </w:r>
      <w:r w:rsidRPr="002A3FAD">
        <w:rPr>
          <w:vertAlign w:val="subscript"/>
        </w:rPr>
        <w:t>3</w:t>
      </w:r>
      <w:r w:rsidRPr="002A3FAD">
        <w:t xml:space="preserve">), performed at </w:t>
      </w:r>
      <w:r w:rsidR="00FC514D">
        <w:t>room temperature</w:t>
      </w:r>
      <w:r w:rsidRPr="002A3FAD">
        <w:t xml:space="preserve"> in dry CH</w:t>
      </w:r>
      <w:r w:rsidRPr="002A3FAD">
        <w:rPr>
          <w:vertAlign w:val="subscript"/>
        </w:rPr>
        <w:t>2</w:t>
      </w:r>
      <w:r w:rsidRPr="002A3FAD">
        <w:t>Cl</w:t>
      </w:r>
      <w:r w:rsidRPr="002A3FAD">
        <w:rPr>
          <w:vertAlign w:val="subscript"/>
        </w:rPr>
        <w:t>2</w:t>
      </w:r>
      <w:r w:rsidRPr="002A3FAD">
        <w:t xml:space="preserve"> or THF</w:t>
      </w:r>
      <w:r w:rsidR="00FC514D">
        <w:t>,</w:t>
      </w:r>
      <w:r w:rsidRPr="002A3FAD">
        <w:t xml:space="preserve"> </w:t>
      </w:r>
      <w:r w:rsidR="00FC514D">
        <w:t>and</w:t>
      </w:r>
      <w:r w:rsidRPr="002A3FAD">
        <w:t xml:space="preserve"> the presence of NEt</w:t>
      </w:r>
      <w:r w:rsidRPr="002A3FAD">
        <w:rPr>
          <w:vertAlign w:val="subscript"/>
        </w:rPr>
        <w:t>3</w:t>
      </w:r>
      <w:r w:rsidRPr="002A3FAD">
        <w:t xml:space="preserve"> (Scheme 2). The reaction proceeded smoothly to afford the target zPHCs </w:t>
      </w:r>
      <w:r w:rsidRPr="002A3FAD">
        <w:rPr>
          <w:b/>
        </w:rPr>
        <w:t>4a-j</w:t>
      </w:r>
      <w:r w:rsidRPr="002A3FAD">
        <w:t xml:space="preserve"> within 24 h. Monitoring the progress of the reaction by </w:t>
      </w:r>
      <w:r w:rsidRPr="002A3FAD">
        <w:rPr>
          <w:vertAlign w:val="superscript"/>
        </w:rPr>
        <w:t>31</w:t>
      </w:r>
      <w:r w:rsidRPr="002A3FAD">
        <w:t xml:space="preserve">P NMR spectroscopy, the formation of the ionic intermediate </w:t>
      </w:r>
      <w:r w:rsidRPr="002A3FAD">
        <w:rPr>
          <w:b/>
        </w:rPr>
        <w:t>10</w:t>
      </w:r>
      <w:r w:rsidRPr="002A3FAD">
        <w:t xml:space="preserve"> can be detected in the crude reaction mixture, indicated by a distinct singlet resonance between –1 to –3 ppm. Upon treatment with a basic solution, the hydrolysis of </w:t>
      </w:r>
      <w:r w:rsidRPr="002A3FAD">
        <w:rPr>
          <w:b/>
        </w:rPr>
        <w:t>10</w:t>
      </w:r>
      <w:r w:rsidRPr="002A3FAD">
        <w:t xml:space="preserve"> to the inner salt </w:t>
      </w:r>
      <w:r w:rsidRPr="002A3FAD">
        <w:rPr>
          <w:b/>
        </w:rPr>
        <w:t>4</w:t>
      </w:r>
      <w:r w:rsidRPr="002A3FAD">
        <w:t xml:space="preserve"> was denoted by an upfield shift to between –13 to –15 ppm.</w:t>
      </w:r>
    </w:p>
    <w:p w:rsidR="005A5780" w:rsidRPr="002A3FAD" w:rsidRDefault="00A52241" w:rsidP="005A5780">
      <w:pPr>
        <w:spacing w:before="360"/>
        <w:rPr>
          <w:sz w:val="18"/>
          <w:szCs w:val="20"/>
          <w:lang w:val="en-GB"/>
        </w:rPr>
      </w:pPr>
      <w:r>
        <w:object w:dxaOrig="5968" w:dyaOrig="4752">
          <v:shape id="_x0000_i1032" type="#_x0000_t75" style="width:179.5pt;height:142.5pt" o:ole="">
            <v:imagedata r:id="rId25" o:title=""/>
          </v:shape>
          <o:OLEObject Type="Embed" ProgID="ChemDraw.Document.6.0" ShapeID="_x0000_i1032" DrawAspect="Content" ObjectID="_1424876988" r:id="rId26"/>
        </w:object>
      </w:r>
    </w:p>
    <w:p w:rsidR="005A5780" w:rsidRPr="002A3FAD" w:rsidRDefault="005A5780" w:rsidP="005A5780">
      <w:pPr>
        <w:pStyle w:val="SchemeCaption"/>
      </w:pPr>
      <w:r w:rsidRPr="002A3FAD">
        <w:rPr>
          <w:b/>
        </w:rPr>
        <w:t>Scheme 2.</w:t>
      </w:r>
      <w:r w:rsidRPr="002A3FAD">
        <w:t xml:space="preserve"> Synthesis of zPHC </w:t>
      </w:r>
      <w:r w:rsidRPr="002A3FAD">
        <w:rPr>
          <w:b/>
        </w:rPr>
        <w:t>4</w:t>
      </w:r>
      <w:r w:rsidRPr="002A3FAD">
        <w:t>. (a) POCl</w:t>
      </w:r>
      <w:r w:rsidRPr="002A3FAD">
        <w:rPr>
          <w:vertAlign w:val="subscript"/>
        </w:rPr>
        <w:t>3</w:t>
      </w:r>
      <w:r w:rsidRPr="002A3FAD">
        <w:t>, NEt</w:t>
      </w:r>
      <w:r w:rsidRPr="002A3FAD">
        <w:rPr>
          <w:vertAlign w:val="subscript"/>
        </w:rPr>
        <w:t>3</w:t>
      </w:r>
      <w:r w:rsidRPr="002A3FAD">
        <w:t>, CH</w:t>
      </w:r>
      <w:r w:rsidRPr="002A3FAD">
        <w:rPr>
          <w:vertAlign w:val="subscript"/>
        </w:rPr>
        <w:t>2</w:t>
      </w:r>
      <w:r w:rsidRPr="002A3FAD">
        <w:t>Cl</w:t>
      </w:r>
      <w:r w:rsidRPr="002A3FAD">
        <w:rPr>
          <w:vertAlign w:val="subscript"/>
        </w:rPr>
        <w:t>2</w:t>
      </w:r>
      <w:r w:rsidRPr="002A3FAD">
        <w:t xml:space="preserve">, 0 °C to </w:t>
      </w:r>
      <w:r w:rsidR="00FC514D">
        <w:t>r.t.</w:t>
      </w:r>
      <w:r w:rsidRPr="002A3FAD">
        <w:t xml:space="preserve">, 24 h; (b) 10% aq. NaOH, </w:t>
      </w:r>
      <w:r w:rsidR="00FC514D">
        <w:t>r.t.</w:t>
      </w:r>
      <w:r w:rsidR="00636D03">
        <w:t>.</w:t>
      </w:r>
    </w:p>
    <w:p w:rsidR="00BB4401" w:rsidRPr="002A3FAD" w:rsidRDefault="00BB4401" w:rsidP="00BB4401">
      <w:pPr>
        <w:pStyle w:val="P1withIndendation"/>
      </w:pPr>
      <w:r w:rsidRPr="002A3FAD">
        <w:t>The method was applied to the synthesis of a family of ten zPHCs (</w:t>
      </w:r>
      <w:r w:rsidRPr="002A3FAD">
        <w:rPr>
          <w:b/>
        </w:rPr>
        <w:t>4a–j</w:t>
      </w:r>
      <w:r w:rsidRPr="002A3FAD">
        <w:t xml:space="preserve">), which were isolated in good to excellent yields (74–94%). The zwitterionic products were fully characterised (ESI), and further confirmation was provided by single-crystal X-ray analysis of compounds </w:t>
      </w:r>
      <w:r w:rsidRPr="002A3FAD">
        <w:rPr>
          <w:b/>
        </w:rPr>
        <w:t>4a</w:t>
      </w:r>
      <w:r w:rsidRPr="002A3FAD">
        <w:t xml:space="preserve"> and </w:t>
      </w:r>
      <w:r w:rsidRPr="002A3FAD">
        <w:rPr>
          <w:b/>
        </w:rPr>
        <w:t>4f</w:t>
      </w:r>
      <w:r w:rsidRPr="002A3FAD">
        <w:t xml:space="preserve"> (Figures 6 and 7). Both molecules contain two-fold symmetry, with the </w:t>
      </w:r>
      <w:r w:rsidRPr="00DF6786">
        <w:rPr>
          <w:i/>
          <w:highlight w:val="yellow"/>
        </w:rPr>
        <w:t>C</w:t>
      </w:r>
      <w:r w:rsidRPr="00DF6786">
        <w:rPr>
          <w:i/>
          <w:highlight w:val="yellow"/>
          <w:vertAlign w:val="subscript"/>
        </w:rPr>
        <w:t>2</w:t>
      </w:r>
      <w:r w:rsidRPr="002A3FAD">
        <w:t xml:space="preserve"> axis dissecting the central methine carbon and phosphorus atom. It is interesting to note that the central six-member rings are not quite planar. Comparing the structure of these zPHC molecules with the parent MBI (Figure 5), the incorporation of PO</w:t>
      </w:r>
      <w:r w:rsidRPr="002A3FAD">
        <w:rPr>
          <w:vertAlign w:val="subscript"/>
        </w:rPr>
        <w:t>2</w:t>
      </w:r>
      <w:r w:rsidRPr="002A3FAD">
        <w:t xml:space="preserve"> moiety does not appear to affect the conjugation within imidazolines rings, as the bond distances found in </w:t>
      </w:r>
      <w:r w:rsidRPr="002A3FAD">
        <w:rPr>
          <w:b/>
        </w:rPr>
        <w:t>4a</w:t>
      </w:r>
      <w:r w:rsidRPr="002A3FAD">
        <w:t xml:space="preserve"> and </w:t>
      </w:r>
      <w:r w:rsidRPr="002A3FAD">
        <w:rPr>
          <w:b/>
        </w:rPr>
        <w:t xml:space="preserve">4f </w:t>
      </w:r>
      <w:r w:rsidRPr="002A3FAD">
        <w:t>are</w:t>
      </w:r>
      <w:r w:rsidRPr="002A3FAD">
        <w:rPr>
          <w:b/>
        </w:rPr>
        <w:t xml:space="preserve"> </w:t>
      </w:r>
      <w:r w:rsidRPr="002A3FAD">
        <w:t>almost identical with respective distances of (</w:t>
      </w:r>
      <w:r w:rsidRPr="002A3FAD">
        <w:rPr>
          <w:i/>
        </w:rPr>
        <w:t>S,S</w:t>
      </w:r>
      <w:r w:rsidRPr="002A3FAD">
        <w:t>)</w:t>
      </w:r>
      <w:r w:rsidRPr="002A3FAD">
        <w:rPr>
          <w:b/>
        </w:rPr>
        <w:t>-3f</w:t>
      </w:r>
      <w:r w:rsidRPr="002A3FAD">
        <w:t>•HBF</w:t>
      </w:r>
      <w:r w:rsidRPr="002A3FAD">
        <w:rPr>
          <w:vertAlign w:val="subscript"/>
        </w:rPr>
        <w:t>4</w:t>
      </w:r>
      <w:r w:rsidRPr="002A3FAD">
        <w:t xml:space="preserve">, with the exception of a more acute angle at the central methine carbon, being 118.8º and 118.6º for </w:t>
      </w:r>
      <w:r w:rsidRPr="002A3FAD">
        <w:rPr>
          <w:b/>
        </w:rPr>
        <w:t>4a</w:t>
      </w:r>
      <w:r w:rsidRPr="002A3FAD">
        <w:t xml:space="preserve"> and </w:t>
      </w:r>
      <w:r w:rsidRPr="002A3FAD">
        <w:rPr>
          <w:b/>
        </w:rPr>
        <w:t>4f</w:t>
      </w:r>
      <w:r w:rsidRPr="002A3FAD">
        <w:t>,</w:t>
      </w:r>
      <w:r w:rsidRPr="002A3FAD">
        <w:rPr>
          <w:b/>
        </w:rPr>
        <w:t xml:space="preserve"> </w:t>
      </w:r>
      <w:r w:rsidRPr="002A3FAD">
        <w:t xml:space="preserve">respectively, compared to 125.6º in </w:t>
      </w:r>
      <w:r w:rsidRPr="002A3FAD">
        <w:rPr>
          <w:b/>
        </w:rPr>
        <w:t>3f</w:t>
      </w:r>
      <w:r w:rsidRPr="002A3FAD">
        <w:t>.</w:t>
      </w:r>
    </w:p>
    <w:p w:rsidR="00BB4401" w:rsidRPr="002A3FAD" w:rsidRDefault="00FD2606" w:rsidP="00BB4401">
      <w:pPr>
        <w:spacing w:before="360"/>
        <w:rPr>
          <w:sz w:val="18"/>
          <w:szCs w:val="20"/>
          <w:lang w:val="en-GB"/>
        </w:rPr>
      </w:pPr>
      <w:r>
        <w:rPr>
          <w:noProof/>
          <w:lang w:val="en-GB" w:eastAsia="en-GB"/>
        </w:rPr>
        <w:pict>
          <v:shape id="Picture 2" o:spid="_x0000_i1033" type="#_x0000_t75" alt="4a" style="width:187.5pt;height:110.5pt;visibility:visible;mso-wrap-style:square">
            <v:imagedata r:id="rId27" o:title="4a" grayscale="t"/>
          </v:shape>
        </w:pict>
      </w:r>
    </w:p>
    <w:p w:rsidR="00BB4401" w:rsidRPr="002A3FAD" w:rsidRDefault="00BB4401" w:rsidP="00FC514D">
      <w:pPr>
        <w:pStyle w:val="FigureCaption"/>
      </w:pPr>
      <w:r w:rsidRPr="002A3FAD">
        <w:rPr>
          <w:b/>
        </w:rPr>
        <w:t>Figure 6.</w:t>
      </w:r>
      <w:r w:rsidRPr="002A3FAD">
        <w:t xml:space="preserve"> ORTEP representation of the molecular structure of</w:t>
      </w:r>
      <w:r w:rsidRPr="002A3FAD">
        <w:rPr>
          <w:lang w:val="en-US"/>
        </w:rPr>
        <w:t xml:space="preserve"> (</w:t>
      </w:r>
      <w:r w:rsidRPr="002A3FAD">
        <w:rPr>
          <w:i/>
          <w:lang w:val="en-US"/>
        </w:rPr>
        <w:t>S,S</w:t>
      </w:r>
      <w:r w:rsidRPr="002A3FAD">
        <w:rPr>
          <w:lang w:val="en-US"/>
        </w:rPr>
        <w:t>)-</w:t>
      </w:r>
      <w:r w:rsidRPr="002A3FAD">
        <w:rPr>
          <w:b/>
          <w:lang w:val="en-US"/>
        </w:rPr>
        <w:t xml:space="preserve">4a. </w:t>
      </w:r>
      <w:r w:rsidRPr="002A3FAD">
        <w:rPr>
          <w:lang w:val="en-US"/>
        </w:rPr>
        <w:t xml:space="preserve">The displacement parameters are drawn on 50 % probability level. The selected bond distances and angles [Å, º]: </w:t>
      </w:r>
      <w:r w:rsidRPr="002A3FAD">
        <w:t>P1-O1 1.4761(14), P1-N1 1.7116(16), N1-C2 1.359(2), N1-C5 1.492(2), C2-N3 1.345(2), N3-C4 1.453(3), C4-C5 1.536(3), C2-C6 1.387(2), C2-C6-C2</w:t>
      </w:r>
      <w:r w:rsidRPr="002A3FAD">
        <w:rPr>
          <w:vertAlign w:val="superscript"/>
        </w:rPr>
        <w:t xml:space="preserve">i </w:t>
      </w:r>
      <w:r w:rsidRPr="002A3FAD">
        <w:t>118.8(2). Symmetry codes: (i) −</w:t>
      </w:r>
      <w:r w:rsidRPr="002A3FAD">
        <w:rPr>
          <w:i/>
          <w:iCs/>
        </w:rPr>
        <w:t>x</w:t>
      </w:r>
      <w:r w:rsidRPr="002A3FAD">
        <w:t>+2, −</w:t>
      </w:r>
      <w:r w:rsidRPr="002A3FAD">
        <w:rPr>
          <w:i/>
          <w:iCs/>
        </w:rPr>
        <w:t>y</w:t>
      </w:r>
      <w:r w:rsidRPr="002A3FAD">
        <w:t xml:space="preserve">, </w:t>
      </w:r>
      <w:r w:rsidRPr="002A3FAD">
        <w:rPr>
          <w:i/>
          <w:iCs/>
        </w:rPr>
        <w:t>z</w:t>
      </w:r>
      <w:r w:rsidRPr="002A3FAD">
        <w:t>.</w:t>
      </w:r>
    </w:p>
    <w:p w:rsidR="00BB4401" w:rsidRPr="002A3FAD" w:rsidRDefault="00FD2606" w:rsidP="00BB4401">
      <w:pPr>
        <w:spacing w:before="360"/>
        <w:rPr>
          <w:sz w:val="18"/>
          <w:szCs w:val="20"/>
          <w:lang w:val="en-GB"/>
        </w:rPr>
      </w:pPr>
      <w:r>
        <w:rPr>
          <w:noProof/>
          <w:lang w:val="en-GB" w:eastAsia="en-GB"/>
        </w:rPr>
        <w:pict>
          <v:shape id="Picture 3" o:spid="_x0000_i1034" type="#_x0000_t75" alt="4f" style="width:238.5pt;height:102pt;visibility:visible;mso-wrap-style:square">
            <v:imagedata r:id="rId28" o:title="4f" grayscale="t"/>
          </v:shape>
        </w:pict>
      </w:r>
    </w:p>
    <w:p w:rsidR="00BB4401" w:rsidRPr="002A3FAD" w:rsidRDefault="00BB4401" w:rsidP="00FC514D">
      <w:pPr>
        <w:pStyle w:val="FigureCaption"/>
        <w:rPr>
          <w:i/>
          <w:iCs/>
        </w:rPr>
      </w:pPr>
      <w:r w:rsidRPr="002A3FAD">
        <w:rPr>
          <w:b/>
        </w:rPr>
        <w:t xml:space="preserve">Figure </w:t>
      </w:r>
      <w:r w:rsidR="00436A28" w:rsidRPr="002A3FAD">
        <w:rPr>
          <w:b/>
        </w:rPr>
        <w:t>7</w:t>
      </w:r>
      <w:r w:rsidRPr="002A3FAD">
        <w:rPr>
          <w:b/>
        </w:rPr>
        <w:t>.</w:t>
      </w:r>
      <w:r w:rsidRPr="002A3FAD">
        <w:t xml:space="preserve"> </w:t>
      </w:r>
      <w:r w:rsidR="00436A28" w:rsidRPr="002A3FAD">
        <w:t>ORTEP representation of the molecular structure of</w:t>
      </w:r>
      <w:r w:rsidR="00436A28" w:rsidRPr="002A3FAD">
        <w:rPr>
          <w:lang w:val="en-US"/>
        </w:rPr>
        <w:t xml:space="preserve"> (</w:t>
      </w:r>
      <w:r w:rsidR="00436A28" w:rsidRPr="002A3FAD">
        <w:rPr>
          <w:i/>
          <w:lang w:val="en-US"/>
        </w:rPr>
        <w:t>S,S</w:t>
      </w:r>
      <w:r w:rsidR="00436A28" w:rsidRPr="002A3FAD">
        <w:rPr>
          <w:lang w:val="en-US"/>
        </w:rPr>
        <w:t>)-</w:t>
      </w:r>
      <w:r w:rsidR="00436A28" w:rsidRPr="002A3FAD">
        <w:rPr>
          <w:b/>
          <w:lang w:val="en-US"/>
        </w:rPr>
        <w:t xml:space="preserve">4f. </w:t>
      </w:r>
      <w:r w:rsidR="00436A28" w:rsidRPr="002A3FAD">
        <w:rPr>
          <w:lang w:val="en-US"/>
        </w:rPr>
        <w:t xml:space="preserve">The displacement parameters are drawn on 50 % probability level. The selected bond distances and angles [Å, º]: </w:t>
      </w:r>
      <w:r w:rsidR="00436A28" w:rsidRPr="002A3FAD">
        <w:t>P1-O1 1.4737(19), P1-N1 1.711(2), N1-C2 1.359(3), N1-C5 1.483(3), C2-N3 1.347(3), N3-C4 1.454(3), C4-C5 1.536(4), C2-C6 1.391(3), C2-C6-C2</w:t>
      </w:r>
      <w:r w:rsidR="00436A28" w:rsidRPr="002A3FAD">
        <w:rPr>
          <w:vertAlign w:val="superscript"/>
        </w:rPr>
        <w:t>i</w:t>
      </w:r>
      <w:r w:rsidR="00436A28" w:rsidRPr="002A3FAD">
        <w:t xml:space="preserve"> 118.6(3). Symmetry codes: (i) −</w:t>
      </w:r>
      <w:r w:rsidR="00436A28" w:rsidRPr="002A3FAD">
        <w:rPr>
          <w:i/>
          <w:iCs/>
        </w:rPr>
        <w:t>x</w:t>
      </w:r>
      <w:r w:rsidR="00436A28" w:rsidRPr="002A3FAD">
        <w:t>+2, −</w:t>
      </w:r>
      <w:r w:rsidR="00436A28" w:rsidRPr="002A3FAD">
        <w:rPr>
          <w:i/>
          <w:iCs/>
        </w:rPr>
        <w:t>y</w:t>
      </w:r>
      <w:r w:rsidR="00436A28" w:rsidRPr="002A3FAD">
        <w:t xml:space="preserve">+2, </w:t>
      </w:r>
      <w:r w:rsidR="00436A28" w:rsidRPr="002A3FAD">
        <w:rPr>
          <w:i/>
          <w:iCs/>
        </w:rPr>
        <w:t>z.</w:t>
      </w:r>
    </w:p>
    <w:p w:rsidR="00BB4401" w:rsidRPr="002A3FAD" w:rsidRDefault="0096304E" w:rsidP="00BB4401">
      <w:pPr>
        <w:pStyle w:val="P1withIndendation"/>
      </w:pPr>
      <w:r w:rsidRPr="002A3FAD">
        <w:lastRenderedPageBreak/>
        <w:t xml:space="preserve">The electronic properties of the zPHC compounds were investigated by performing DFT calculation of the distribution of charges in </w:t>
      </w:r>
      <w:r w:rsidRPr="002A3FAD">
        <w:rPr>
          <w:b/>
        </w:rPr>
        <w:t xml:space="preserve">4a </w:t>
      </w:r>
      <w:r w:rsidRPr="002A3FAD">
        <w:t xml:space="preserve">(Figure 8), which showed that the molecule possesses a </w:t>
      </w:r>
      <w:r w:rsidR="00814356">
        <w:t>sizeable</w:t>
      </w:r>
      <w:r w:rsidRPr="002A3FAD">
        <w:t xml:space="preserve"> dipole moment of 12 D along the </w:t>
      </w:r>
      <w:r w:rsidRPr="003B44BA">
        <w:rPr>
          <w:i/>
          <w:highlight w:val="yellow"/>
        </w:rPr>
        <w:t>C</w:t>
      </w:r>
      <w:r w:rsidRPr="003B44BA">
        <w:rPr>
          <w:i/>
          <w:highlight w:val="yellow"/>
          <w:vertAlign w:val="subscript"/>
        </w:rPr>
        <w:t>2</w:t>
      </w:r>
      <w:r w:rsidRPr="002A3FAD">
        <w:t xml:space="preserve"> axis. Interestingly, while the negative charge is localised on the oxygen atoms, the positive charge is distributed extensively over the MBI framework.</w:t>
      </w:r>
    </w:p>
    <w:p w:rsidR="0096304E" w:rsidRPr="002A3FAD" w:rsidRDefault="00FD2606" w:rsidP="0096304E">
      <w:pPr>
        <w:spacing w:before="360"/>
        <w:rPr>
          <w:sz w:val="18"/>
          <w:szCs w:val="20"/>
          <w:lang w:val="en-GB"/>
        </w:rPr>
      </w:pPr>
      <w:r>
        <w:rPr>
          <w:noProof/>
          <w:lang w:val="en-GB" w:eastAsia="en-GB"/>
        </w:rPr>
        <w:pict>
          <v:shape id="Picture 5" o:spid="_x0000_i1035" type="#_x0000_t75" style="width:175.5pt;height:157pt;visibility:visible;mso-wrap-style:square">
            <v:imagedata r:id="rId29" o:title="" croptop="8728f" cropbottom="3373f" cropleft="10043f" cropright="12232f"/>
          </v:shape>
        </w:pict>
      </w:r>
    </w:p>
    <w:p w:rsidR="0096304E" w:rsidRPr="002A3FAD" w:rsidRDefault="0096304E" w:rsidP="00FC514D">
      <w:pPr>
        <w:pStyle w:val="FigureCaption"/>
        <w:rPr>
          <w:lang w:eastAsia="en-GB"/>
        </w:rPr>
      </w:pPr>
      <w:r w:rsidRPr="002A3FAD">
        <w:rPr>
          <w:b/>
        </w:rPr>
        <w:t xml:space="preserve">Figure 8. </w:t>
      </w:r>
      <w:r w:rsidRPr="002A3FAD">
        <w:rPr>
          <w:lang w:eastAsia="en-GB"/>
        </w:rPr>
        <w:t xml:space="preserve">Electrostatic potential map of compound </w:t>
      </w:r>
      <w:r w:rsidRPr="002A3FAD">
        <w:rPr>
          <w:b/>
          <w:lang w:eastAsia="en-GB"/>
        </w:rPr>
        <w:t>4a</w:t>
      </w:r>
      <w:r w:rsidRPr="002A3FAD">
        <w:rPr>
          <w:lang w:eastAsia="en-GB"/>
        </w:rPr>
        <w:t>, as determined by DFT calculation. Negative, neutral and positive potentials are represented in red, green and blue, respectively.</w:t>
      </w:r>
    </w:p>
    <w:p w:rsidR="00C173DF" w:rsidRPr="002A3FAD" w:rsidRDefault="00C173DF" w:rsidP="00C173DF">
      <w:pPr>
        <w:pStyle w:val="P1withoutIndendation"/>
        <w:rPr>
          <w:b/>
        </w:rPr>
      </w:pPr>
      <w:r w:rsidRPr="002A3FAD">
        <w:rPr>
          <w:b/>
        </w:rPr>
        <w:t xml:space="preserve">Properties of the </w:t>
      </w:r>
      <w:r w:rsidRPr="002A3FAD">
        <w:rPr>
          <w:b/>
          <w:i/>
        </w:rPr>
        <w:t>P</w:t>
      </w:r>
      <w:r w:rsidRPr="002A3FAD">
        <w:rPr>
          <w:b/>
        </w:rPr>
        <w:t>-heterocycles 4</w:t>
      </w:r>
    </w:p>
    <w:p w:rsidR="00C173DF" w:rsidRPr="002A3FAD" w:rsidRDefault="00C173DF" w:rsidP="00C173DF">
      <w:pPr>
        <w:pStyle w:val="P1withIndendation"/>
        <w:ind w:firstLine="0"/>
      </w:pPr>
      <w:r w:rsidRPr="002A3FAD">
        <w:t xml:space="preserve">The zPHC compounds </w:t>
      </w:r>
      <w:r w:rsidRPr="002A3FAD">
        <w:rPr>
          <w:b/>
        </w:rPr>
        <w:t>4</w:t>
      </w:r>
      <w:r w:rsidRPr="002A3FAD">
        <w:t xml:space="preserve"> are stable as solids, which can be kept at ambient temperature for at least a year without decomposition. They are soluble in common organic solven</w:t>
      </w:r>
      <w:r w:rsidR="00BD4F83">
        <w:t>ts and, in the case of R’ = Me,</w:t>
      </w:r>
      <w:r w:rsidRPr="002A3FAD">
        <w:t xml:space="preserve"> water. The stability of three zPHC compounds </w:t>
      </w:r>
      <w:r w:rsidRPr="002A3FAD">
        <w:rPr>
          <w:b/>
        </w:rPr>
        <w:t>4a</w:t>
      </w:r>
      <w:r w:rsidRPr="002A3FAD">
        <w:t xml:space="preserve">, </w:t>
      </w:r>
      <w:r w:rsidRPr="002A3FAD">
        <w:rPr>
          <w:b/>
        </w:rPr>
        <w:t>4f</w:t>
      </w:r>
      <w:r w:rsidRPr="002A3FAD">
        <w:t xml:space="preserve"> and </w:t>
      </w:r>
      <w:r w:rsidRPr="002A3FAD">
        <w:rPr>
          <w:b/>
        </w:rPr>
        <w:t>4h</w:t>
      </w:r>
      <w:r w:rsidRPr="002A3FAD">
        <w:t xml:space="preserve"> was also evaluated under neutral or basic solutions in DMSO, at ambient and elevated temperatures (Table 2). All three compounds were hydrolytically stable in a mixture of H</w:t>
      </w:r>
      <w:r w:rsidRPr="002A3FAD">
        <w:rPr>
          <w:vertAlign w:val="subscript"/>
        </w:rPr>
        <w:t>2</w:t>
      </w:r>
      <w:r w:rsidRPr="002A3FAD">
        <w:t>O</w:t>
      </w:r>
      <w:r w:rsidR="000C0818">
        <w:t>-</w:t>
      </w:r>
      <w:r w:rsidRPr="002A3FAD">
        <w:t xml:space="preserve">DMSO at neutral </w:t>
      </w:r>
      <w:r w:rsidRPr="008C7904">
        <w:rPr>
          <w:i/>
          <w:highlight w:val="yellow"/>
        </w:rPr>
        <w:t>pH</w:t>
      </w:r>
      <w:r w:rsidR="00BD4F83">
        <w:t xml:space="preserve"> up to</w:t>
      </w:r>
      <w:r w:rsidRPr="002A3FAD">
        <w:t xml:space="preserve"> 100 °C. Upon addition of a hydroxide base, however, slow decomposition of the phenyl-substituted zPHC </w:t>
      </w:r>
      <w:r w:rsidRPr="002A3FAD">
        <w:rPr>
          <w:b/>
        </w:rPr>
        <w:t>4h</w:t>
      </w:r>
      <w:r w:rsidRPr="002A3FAD">
        <w:t xml:space="preserve"> was detected at </w:t>
      </w:r>
      <w:r w:rsidR="00FC514D">
        <w:t>room temperature</w:t>
      </w:r>
      <w:r w:rsidRPr="002A3FAD">
        <w:t xml:space="preserve">, which was accelerated at 100 ºC to form an intractable mixture of compounds. In contrast, zPHC analogues </w:t>
      </w:r>
      <w:r w:rsidRPr="002A3FAD">
        <w:rPr>
          <w:b/>
        </w:rPr>
        <w:t>4a</w:t>
      </w:r>
      <w:r w:rsidRPr="002A3FAD">
        <w:t xml:space="preserve"> and </w:t>
      </w:r>
      <w:r w:rsidRPr="002A3FAD">
        <w:rPr>
          <w:b/>
        </w:rPr>
        <w:t>4f</w:t>
      </w:r>
      <w:r w:rsidRPr="002A3FAD">
        <w:t xml:space="preserve">, bearing isopropyl and benzyl substituents, respectively, were stable in the alkaline media at 100 ºC for up to 24 h, </w:t>
      </w:r>
      <w:r w:rsidRPr="002A3FAD">
        <w:rPr>
          <w:i/>
        </w:rPr>
        <w:t>i.e.</w:t>
      </w:r>
      <w:r w:rsidRPr="002A3FAD">
        <w:t xml:space="preserve"> the substituent</w:t>
      </w:r>
      <w:r w:rsidR="000C0818">
        <w:t>s</w:t>
      </w:r>
      <w:r w:rsidRPr="002A3FAD">
        <w:t xml:space="preserve"> at the stereogenic C-</w:t>
      </w:r>
      <w:r w:rsidR="000C0818">
        <w:t>3</w:t>
      </w:r>
      <w:r w:rsidR="00BD4F83">
        <w:t xml:space="preserve"> and C-</w:t>
      </w:r>
      <w:r w:rsidR="000C0818">
        <w:t>7</w:t>
      </w:r>
      <w:r w:rsidRPr="002A3FAD">
        <w:t xml:space="preserve"> ha</w:t>
      </w:r>
      <w:r w:rsidR="000C0818">
        <w:t>ve</w:t>
      </w:r>
      <w:r w:rsidRPr="002A3FAD">
        <w:t xml:space="preserve"> a major effect on the stability of these molecules.</w:t>
      </w:r>
    </w:p>
    <w:p w:rsidR="00337467" w:rsidRPr="002A3FAD" w:rsidRDefault="00337467" w:rsidP="00337467">
      <w:pPr>
        <w:pStyle w:val="TableCaption"/>
      </w:pPr>
      <w:r w:rsidRPr="00C1457D">
        <w:rPr>
          <w:b/>
        </w:rPr>
        <w:t>Table 2</w:t>
      </w:r>
      <w:r w:rsidRPr="00C1457D">
        <w:t xml:space="preserve">. Stability of compounds </w:t>
      </w:r>
      <w:r w:rsidRPr="00C1457D">
        <w:rPr>
          <w:b/>
        </w:rPr>
        <w:t>4a, f, h</w:t>
      </w:r>
      <w:r w:rsidRPr="00C1457D">
        <w:t xml:space="preserve"> (R’ = Me) in neutral and basic solutions of</w:t>
      </w:r>
      <w:r w:rsidRPr="002A3FAD">
        <w:t xml:space="preserve"> </w:t>
      </w:r>
      <w:r w:rsidR="007D5D75" w:rsidRPr="007D5D75">
        <w:t>[D</w:t>
      </w:r>
      <w:r w:rsidR="007D5D75" w:rsidRPr="007D5D75">
        <w:rPr>
          <w:vertAlign w:val="subscript"/>
        </w:rPr>
        <w:t>6</w:t>
      </w:r>
      <w:r w:rsidR="007D5D75" w:rsidRPr="007D5D75">
        <w:t>]DMSO</w:t>
      </w:r>
      <w:r w:rsidRPr="002A3FAD">
        <w:t>/H</w:t>
      </w:r>
      <w:r w:rsidRPr="002A3FAD">
        <w:rPr>
          <w:vertAlign w:val="subscript"/>
        </w:rPr>
        <w:t>2</w:t>
      </w:r>
      <w:r w:rsidRPr="002A3FAD">
        <w:t>O (10:1 v/v).</w:t>
      </w:r>
      <w:r w:rsidRPr="002A3FAD">
        <w:rPr>
          <w:vertAlign w:val="superscript"/>
        </w:rPr>
        <w:t>[a]</w:t>
      </w:r>
    </w:p>
    <w:tbl>
      <w:tblPr>
        <w:tblW w:w="0" w:type="auto"/>
        <w:tblLook w:val="01E0" w:firstRow="1" w:lastRow="1" w:firstColumn="1" w:lastColumn="1" w:noHBand="0" w:noVBand="0"/>
      </w:tblPr>
      <w:tblGrid>
        <w:gridCol w:w="967"/>
        <w:gridCol w:w="974"/>
        <w:gridCol w:w="966"/>
        <w:gridCol w:w="1010"/>
        <w:gridCol w:w="1259"/>
      </w:tblGrid>
      <w:tr w:rsidR="002A3FAD" w:rsidRPr="002A3FAD" w:rsidTr="00F626B6">
        <w:tc>
          <w:tcPr>
            <w:tcW w:w="967" w:type="dxa"/>
            <w:tcBorders>
              <w:top w:val="single" w:sz="4" w:space="0" w:color="000000"/>
              <w:bottom w:val="single" w:sz="4" w:space="0" w:color="000000"/>
            </w:tcBorders>
            <w:shd w:val="clear" w:color="auto" w:fill="auto"/>
          </w:tcPr>
          <w:p w:rsidR="00337467" w:rsidRPr="00B76B58" w:rsidRDefault="00337467" w:rsidP="00B76B58">
            <w:pPr>
              <w:pStyle w:val="TableHead"/>
            </w:pPr>
            <w:r w:rsidRPr="00B76B58">
              <w:t>zPHC</w:t>
            </w:r>
          </w:p>
        </w:tc>
        <w:tc>
          <w:tcPr>
            <w:tcW w:w="974" w:type="dxa"/>
            <w:tcBorders>
              <w:top w:val="single" w:sz="4" w:space="0" w:color="000000"/>
              <w:bottom w:val="single" w:sz="4" w:space="0" w:color="000000"/>
            </w:tcBorders>
            <w:shd w:val="clear" w:color="auto" w:fill="auto"/>
          </w:tcPr>
          <w:p w:rsidR="00337467" w:rsidRPr="00B76B58" w:rsidRDefault="00337467" w:rsidP="00B76B58">
            <w:pPr>
              <w:pStyle w:val="TableHead"/>
            </w:pPr>
            <w:r w:rsidRPr="00B76B58">
              <w:rPr>
                <w:i/>
                <w:highlight w:val="yellow"/>
              </w:rPr>
              <w:t>p</w:t>
            </w:r>
            <w:r w:rsidR="00B76B58">
              <w:rPr>
                <w:i/>
                <w:highlight w:val="yellow"/>
              </w:rPr>
              <w:t>H</w:t>
            </w:r>
          </w:p>
        </w:tc>
        <w:tc>
          <w:tcPr>
            <w:tcW w:w="966" w:type="dxa"/>
            <w:tcBorders>
              <w:top w:val="single" w:sz="4" w:space="0" w:color="000000"/>
              <w:bottom w:val="single" w:sz="4" w:space="0" w:color="000000"/>
            </w:tcBorders>
            <w:shd w:val="clear" w:color="auto" w:fill="auto"/>
          </w:tcPr>
          <w:p w:rsidR="00337467" w:rsidRPr="002A3FAD" w:rsidRDefault="00337467" w:rsidP="00B76B58">
            <w:pPr>
              <w:pStyle w:val="TableHead"/>
            </w:pPr>
            <w:r w:rsidRPr="002A3FAD">
              <w:t>Time, h</w:t>
            </w:r>
          </w:p>
        </w:tc>
        <w:tc>
          <w:tcPr>
            <w:tcW w:w="1010" w:type="dxa"/>
            <w:tcBorders>
              <w:top w:val="single" w:sz="4" w:space="0" w:color="000000"/>
              <w:bottom w:val="single" w:sz="4" w:space="0" w:color="000000"/>
            </w:tcBorders>
            <w:shd w:val="clear" w:color="auto" w:fill="auto"/>
          </w:tcPr>
          <w:p w:rsidR="00337467" w:rsidRPr="002A3FAD" w:rsidRDefault="00337467" w:rsidP="00B76B58">
            <w:pPr>
              <w:pStyle w:val="TableHead"/>
            </w:pPr>
            <w:r w:rsidRPr="002A3FAD">
              <w:t>Temperature</w:t>
            </w:r>
          </w:p>
        </w:tc>
        <w:tc>
          <w:tcPr>
            <w:tcW w:w="1259" w:type="dxa"/>
            <w:tcBorders>
              <w:top w:val="single" w:sz="4" w:space="0" w:color="000000"/>
              <w:bottom w:val="single" w:sz="4" w:space="0" w:color="000000"/>
            </w:tcBorders>
            <w:shd w:val="clear" w:color="auto" w:fill="auto"/>
          </w:tcPr>
          <w:p w:rsidR="00337467" w:rsidRPr="002A3FAD" w:rsidRDefault="00337467" w:rsidP="00B76B58">
            <w:pPr>
              <w:pStyle w:val="TableHead"/>
            </w:pPr>
            <w:r w:rsidRPr="002A3FAD">
              <w:t>Decomposition, %</w:t>
            </w:r>
          </w:p>
        </w:tc>
      </w:tr>
      <w:tr w:rsidR="002A3FAD" w:rsidRPr="002A3FAD" w:rsidTr="00F626B6">
        <w:tc>
          <w:tcPr>
            <w:tcW w:w="967" w:type="dxa"/>
            <w:tcBorders>
              <w:top w:val="single" w:sz="4" w:space="0" w:color="000000"/>
              <w:bottom w:val="single" w:sz="4" w:space="0" w:color="auto"/>
            </w:tcBorders>
            <w:shd w:val="clear" w:color="auto" w:fill="auto"/>
          </w:tcPr>
          <w:p w:rsidR="00337467" w:rsidRPr="006D68CF" w:rsidRDefault="00337467" w:rsidP="00665D3C">
            <w:pPr>
              <w:pStyle w:val="TableBody"/>
              <w:rPr>
                <w:rFonts w:ascii="Times New Roman" w:hAnsi="Times New Roman"/>
                <w:sz w:val="14"/>
                <w:szCs w:val="14"/>
                <w:lang w:val="en-GB"/>
              </w:rPr>
            </w:pPr>
            <w:r w:rsidRPr="006D68CF">
              <w:rPr>
                <w:rFonts w:ascii="Times New Roman" w:hAnsi="Times New Roman"/>
                <w:b/>
                <w:sz w:val="14"/>
                <w:szCs w:val="14"/>
              </w:rPr>
              <w:t>4a, f, h</w:t>
            </w:r>
          </w:p>
        </w:tc>
        <w:tc>
          <w:tcPr>
            <w:tcW w:w="974" w:type="dxa"/>
            <w:tcBorders>
              <w:top w:val="single" w:sz="4" w:space="0" w:color="000000"/>
              <w:bottom w:val="single" w:sz="4" w:space="0" w:color="auto"/>
            </w:tcBorders>
            <w:shd w:val="clear" w:color="auto" w:fill="auto"/>
          </w:tcPr>
          <w:p w:rsidR="00337467" w:rsidRPr="006D68CF" w:rsidRDefault="00337467" w:rsidP="00665D3C">
            <w:pPr>
              <w:pStyle w:val="TableBody"/>
              <w:rPr>
                <w:rFonts w:ascii="Times New Roman" w:hAnsi="Times New Roman"/>
                <w:sz w:val="14"/>
                <w:szCs w:val="14"/>
                <w:lang w:val="en-GB"/>
              </w:rPr>
            </w:pPr>
            <w:r w:rsidRPr="006D68CF">
              <w:rPr>
                <w:rFonts w:ascii="Times New Roman" w:hAnsi="Times New Roman"/>
                <w:sz w:val="14"/>
                <w:szCs w:val="14"/>
              </w:rPr>
              <w:t>neutral</w:t>
            </w:r>
          </w:p>
        </w:tc>
        <w:tc>
          <w:tcPr>
            <w:tcW w:w="966" w:type="dxa"/>
            <w:tcBorders>
              <w:top w:val="single" w:sz="4" w:space="0" w:color="000000"/>
              <w:bottom w:val="single" w:sz="4" w:space="0" w:color="auto"/>
            </w:tcBorders>
            <w:shd w:val="clear" w:color="auto" w:fill="auto"/>
          </w:tcPr>
          <w:p w:rsidR="00337467" w:rsidRPr="006D68CF" w:rsidRDefault="00337467" w:rsidP="00665D3C">
            <w:pPr>
              <w:pStyle w:val="G4bTableBody"/>
              <w:rPr>
                <w:sz w:val="14"/>
                <w:szCs w:val="14"/>
              </w:rPr>
            </w:pPr>
            <w:r w:rsidRPr="006D68CF">
              <w:rPr>
                <w:sz w:val="14"/>
                <w:szCs w:val="14"/>
              </w:rPr>
              <w:t>24</w:t>
            </w:r>
          </w:p>
          <w:p w:rsidR="00337467" w:rsidRPr="006D68CF" w:rsidRDefault="00337467" w:rsidP="00665D3C">
            <w:pPr>
              <w:pStyle w:val="G4bTableBody"/>
              <w:rPr>
                <w:sz w:val="14"/>
                <w:szCs w:val="14"/>
              </w:rPr>
            </w:pPr>
            <w:r w:rsidRPr="006D68CF">
              <w:rPr>
                <w:sz w:val="14"/>
                <w:szCs w:val="14"/>
              </w:rPr>
              <w:t>1</w:t>
            </w:r>
          </w:p>
          <w:p w:rsidR="00337467" w:rsidRPr="006D68CF" w:rsidRDefault="00337467" w:rsidP="00665D3C">
            <w:pPr>
              <w:pStyle w:val="G4bTableBody"/>
              <w:rPr>
                <w:sz w:val="14"/>
                <w:szCs w:val="14"/>
              </w:rPr>
            </w:pPr>
            <w:r w:rsidRPr="006D68CF">
              <w:rPr>
                <w:sz w:val="14"/>
                <w:szCs w:val="14"/>
              </w:rPr>
              <w:t>24</w:t>
            </w:r>
          </w:p>
        </w:tc>
        <w:tc>
          <w:tcPr>
            <w:tcW w:w="1010" w:type="dxa"/>
            <w:tcBorders>
              <w:top w:val="single" w:sz="4" w:space="0" w:color="000000"/>
              <w:bottom w:val="single" w:sz="4" w:space="0" w:color="auto"/>
            </w:tcBorders>
            <w:shd w:val="clear" w:color="auto" w:fill="auto"/>
          </w:tcPr>
          <w:p w:rsidR="00337467" w:rsidRPr="006D68CF" w:rsidRDefault="00FC514D" w:rsidP="00665D3C">
            <w:pPr>
              <w:pStyle w:val="G4bTableBody"/>
              <w:rPr>
                <w:sz w:val="14"/>
                <w:szCs w:val="14"/>
              </w:rPr>
            </w:pPr>
            <w:r w:rsidRPr="006D68CF">
              <w:rPr>
                <w:sz w:val="14"/>
                <w:szCs w:val="14"/>
              </w:rPr>
              <w:t>r.t.</w:t>
            </w:r>
          </w:p>
          <w:p w:rsidR="00337467" w:rsidRPr="006D68CF" w:rsidRDefault="00337467" w:rsidP="00665D3C">
            <w:pPr>
              <w:pStyle w:val="G4bTableBody"/>
              <w:rPr>
                <w:sz w:val="14"/>
                <w:szCs w:val="14"/>
              </w:rPr>
            </w:pPr>
            <w:r w:rsidRPr="006D68CF">
              <w:rPr>
                <w:sz w:val="14"/>
                <w:szCs w:val="14"/>
              </w:rPr>
              <w:t>100 °C</w:t>
            </w:r>
          </w:p>
          <w:p w:rsidR="00337467" w:rsidRPr="006D68CF" w:rsidRDefault="00337467" w:rsidP="00665D3C">
            <w:pPr>
              <w:pStyle w:val="G4bTableBody"/>
              <w:rPr>
                <w:sz w:val="14"/>
                <w:szCs w:val="14"/>
              </w:rPr>
            </w:pPr>
            <w:r w:rsidRPr="006D68CF">
              <w:rPr>
                <w:sz w:val="14"/>
                <w:szCs w:val="14"/>
              </w:rPr>
              <w:t>100 °C</w:t>
            </w:r>
          </w:p>
        </w:tc>
        <w:tc>
          <w:tcPr>
            <w:tcW w:w="1259" w:type="dxa"/>
            <w:tcBorders>
              <w:top w:val="single" w:sz="4" w:space="0" w:color="000000"/>
              <w:bottom w:val="single" w:sz="4" w:space="0" w:color="auto"/>
            </w:tcBorders>
            <w:shd w:val="clear" w:color="auto" w:fill="auto"/>
          </w:tcPr>
          <w:p w:rsidR="00337467" w:rsidRPr="006D68CF" w:rsidRDefault="00337467" w:rsidP="00665D3C">
            <w:pPr>
              <w:pStyle w:val="G4bTableBody"/>
              <w:rPr>
                <w:sz w:val="14"/>
                <w:szCs w:val="14"/>
                <w:vertAlign w:val="superscript"/>
              </w:rPr>
            </w:pPr>
            <w:r w:rsidRPr="006D68CF">
              <w:rPr>
                <w:sz w:val="14"/>
                <w:szCs w:val="14"/>
              </w:rPr>
              <w:t>–</w:t>
            </w:r>
            <w:r w:rsidRPr="006D68CF">
              <w:rPr>
                <w:sz w:val="14"/>
                <w:szCs w:val="14"/>
                <w:vertAlign w:val="superscript"/>
              </w:rPr>
              <w:t>[c]</w:t>
            </w:r>
          </w:p>
          <w:p w:rsidR="00337467" w:rsidRPr="006D68CF" w:rsidRDefault="00337467" w:rsidP="00665D3C">
            <w:pPr>
              <w:pStyle w:val="G4bTableBody"/>
              <w:rPr>
                <w:sz w:val="14"/>
                <w:szCs w:val="14"/>
                <w:vertAlign w:val="superscript"/>
              </w:rPr>
            </w:pPr>
            <w:r w:rsidRPr="006D68CF">
              <w:rPr>
                <w:sz w:val="14"/>
                <w:szCs w:val="14"/>
              </w:rPr>
              <w:t>–</w:t>
            </w:r>
            <w:r w:rsidRPr="006D68CF">
              <w:rPr>
                <w:sz w:val="14"/>
                <w:szCs w:val="14"/>
                <w:vertAlign w:val="superscript"/>
              </w:rPr>
              <w:t>[c]</w:t>
            </w:r>
          </w:p>
          <w:p w:rsidR="00337467" w:rsidRPr="006D68CF" w:rsidRDefault="00337467" w:rsidP="001100D5">
            <w:pPr>
              <w:pStyle w:val="G4bTableBody"/>
              <w:rPr>
                <w:sz w:val="14"/>
                <w:szCs w:val="14"/>
              </w:rPr>
            </w:pPr>
            <w:r w:rsidRPr="006D68CF">
              <w:rPr>
                <w:sz w:val="14"/>
                <w:szCs w:val="14"/>
              </w:rPr>
              <w:t>–</w:t>
            </w:r>
            <w:r w:rsidRPr="006D68CF">
              <w:rPr>
                <w:sz w:val="14"/>
                <w:szCs w:val="14"/>
                <w:vertAlign w:val="superscript"/>
              </w:rPr>
              <w:t>[c]</w:t>
            </w:r>
          </w:p>
        </w:tc>
      </w:tr>
      <w:tr w:rsidR="002A3FAD" w:rsidRPr="002A3FAD" w:rsidTr="00F626B6">
        <w:tc>
          <w:tcPr>
            <w:tcW w:w="967" w:type="dxa"/>
            <w:tcBorders>
              <w:top w:val="single" w:sz="4" w:space="0" w:color="auto"/>
              <w:bottom w:val="single" w:sz="4" w:space="0" w:color="auto"/>
            </w:tcBorders>
            <w:shd w:val="clear" w:color="auto" w:fill="auto"/>
          </w:tcPr>
          <w:p w:rsidR="00337467" w:rsidRPr="006D68CF" w:rsidRDefault="00337467" w:rsidP="00665D3C">
            <w:pPr>
              <w:pStyle w:val="TableBody"/>
              <w:rPr>
                <w:rFonts w:ascii="Times New Roman" w:hAnsi="Times New Roman"/>
                <w:sz w:val="14"/>
                <w:szCs w:val="14"/>
                <w:lang w:val="en-GB"/>
              </w:rPr>
            </w:pPr>
            <w:r w:rsidRPr="006D68CF">
              <w:rPr>
                <w:rFonts w:ascii="Times New Roman" w:hAnsi="Times New Roman"/>
                <w:b/>
                <w:sz w:val="14"/>
                <w:szCs w:val="14"/>
              </w:rPr>
              <w:t>4a, f</w:t>
            </w:r>
          </w:p>
        </w:tc>
        <w:tc>
          <w:tcPr>
            <w:tcW w:w="974" w:type="dxa"/>
            <w:tcBorders>
              <w:top w:val="single" w:sz="4" w:space="0" w:color="auto"/>
              <w:bottom w:val="single" w:sz="4" w:space="0" w:color="auto"/>
            </w:tcBorders>
            <w:shd w:val="clear" w:color="auto" w:fill="auto"/>
          </w:tcPr>
          <w:p w:rsidR="00337467" w:rsidRPr="006D68CF" w:rsidRDefault="00337467" w:rsidP="00665D3C">
            <w:pPr>
              <w:pStyle w:val="TableBody"/>
              <w:rPr>
                <w:rFonts w:ascii="Times New Roman" w:hAnsi="Times New Roman"/>
                <w:sz w:val="14"/>
                <w:szCs w:val="14"/>
                <w:lang w:val="en-GB"/>
              </w:rPr>
            </w:pPr>
            <w:r w:rsidRPr="006D68CF">
              <w:rPr>
                <w:rFonts w:ascii="Times New Roman" w:hAnsi="Times New Roman"/>
                <w:sz w:val="14"/>
                <w:szCs w:val="14"/>
              </w:rPr>
              <w:t>basic</w:t>
            </w:r>
            <w:r w:rsidRPr="006D68CF">
              <w:rPr>
                <w:rFonts w:ascii="Times New Roman" w:hAnsi="Times New Roman"/>
                <w:sz w:val="14"/>
                <w:szCs w:val="14"/>
                <w:vertAlign w:val="superscript"/>
              </w:rPr>
              <w:t>[b]</w:t>
            </w:r>
          </w:p>
        </w:tc>
        <w:tc>
          <w:tcPr>
            <w:tcW w:w="966" w:type="dxa"/>
            <w:tcBorders>
              <w:top w:val="single" w:sz="4" w:space="0" w:color="auto"/>
              <w:bottom w:val="single" w:sz="4" w:space="0" w:color="auto"/>
            </w:tcBorders>
            <w:shd w:val="clear" w:color="auto" w:fill="auto"/>
          </w:tcPr>
          <w:p w:rsidR="00337467" w:rsidRPr="006D68CF" w:rsidRDefault="00337467" w:rsidP="00665D3C">
            <w:pPr>
              <w:pStyle w:val="G4bTableBody"/>
              <w:rPr>
                <w:sz w:val="14"/>
                <w:szCs w:val="14"/>
              </w:rPr>
            </w:pPr>
            <w:r w:rsidRPr="006D68CF">
              <w:rPr>
                <w:sz w:val="14"/>
                <w:szCs w:val="14"/>
              </w:rPr>
              <w:t>24</w:t>
            </w:r>
          </w:p>
          <w:p w:rsidR="00337467" w:rsidRPr="006D68CF" w:rsidRDefault="00337467" w:rsidP="00665D3C">
            <w:pPr>
              <w:pStyle w:val="G4bTableBody"/>
              <w:rPr>
                <w:sz w:val="14"/>
                <w:szCs w:val="14"/>
              </w:rPr>
            </w:pPr>
            <w:r w:rsidRPr="006D68CF">
              <w:rPr>
                <w:sz w:val="14"/>
                <w:szCs w:val="14"/>
              </w:rPr>
              <w:t>1</w:t>
            </w:r>
          </w:p>
          <w:p w:rsidR="00337467" w:rsidRPr="006D68CF" w:rsidRDefault="00337467" w:rsidP="00665D3C">
            <w:pPr>
              <w:pStyle w:val="G4bTableBody"/>
              <w:rPr>
                <w:sz w:val="14"/>
                <w:szCs w:val="14"/>
              </w:rPr>
            </w:pPr>
            <w:r w:rsidRPr="006D68CF">
              <w:rPr>
                <w:sz w:val="14"/>
                <w:szCs w:val="14"/>
              </w:rPr>
              <w:t>24</w:t>
            </w:r>
          </w:p>
        </w:tc>
        <w:tc>
          <w:tcPr>
            <w:tcW w:w="1010" w:type="dxa"/>
            <w:tcBorders>
              <w:top w:val="single" w:sz="4" w:space="0" w:color="auto"/>
              <w:bottom w:val="single" w:sz="4" w:space="0" w:color="auto"/>
            </w:tcBorders>
            <w:shd w:val="clear" w:color="auto" w:fill="auto"/>
          </w:tcPr>
          <w:p w:rsidR="00337467" w:rsidRPr="006D68CF" w:rsidRDefault="00FC514D" w:rsidP="00665D3C">
            <w:pPr>
              <w:pStyle w:val="G4bTableBody"/>
              <w:rPr>
                <w:sz w:val="14"/>
                <w:szCs w:val="14"/>
              </w:rPr>
            </w:pPr>
            <w:r w:rsidRPr="006D68CF">
              <w:rPr>
                <w:sz w:val="14"/>
                <w:szCs w:val="14"/>
              </w:rPr>
              <w:t>r.t.</w:t>
            </w:r>
          </w:p>
          <w:p w:rsidR="00337467" w:rsidRPr="006D68CF" w:rsidRDefault="00337467" w:rsidP="00665D3C">
            <w:pPr>
              <w:pStyle w:val="G4bTableBody"/>
              <w:rPr>
                <w:sz w:val="14"/>
                <w:szCs w:val="14"/>
              </w:rPr>
            </w:pPr>
            <w:r w:rsidRPr="006D68CF">
              <w:rPr>
                <w:sz w:val="14"/>
                <w:szCs w:val="14"/>
              </w:rPr>
              <w:t>100 °C</w:t>
            </w:r>
          </w:p>
          <w:p w:rsidR="00337467" w:rsidRPr="006D68CF" w:rsidRDefault="00337467" w:rsidP="00665D3C">
            <w:pPr>
              <w:pStyle w:val="G4bTableBody"/>
              <w:rPr>
                <w:sz w:val="14"/>
                <w:szCs w:val="14"/>
              </w:rPr>
            </w:pPr>
            <w:r w:rsidRPr="006D68CF">
              <w:rPr>
                <w:sz w:val="14"/>
                <w:szCs w:val="14"/>
              </w:rPr>
              <w:t>100 °C</w:t>
            </w:r>
          </w:p>
        </w:tc>
        <w:tc>
          <w:tcPr>
            <w:tcW w:w="1259" w:type="dxa"/>
            <w:tcBorders>
              <w:top w:val="single" w:sz="4" w:space="0" w:color="auto"/>
              <w:bottom w:val="single" w:sz="4" w:space="0" w:color="auto"/>
            </w:tcBorders>
            <w:shd w:val="clear" w:color="auto" w:fill="auto"/>
          </w:tcPr>
          <w:p w:rsidR="00337467" w:rsidRPr="006D68CF" w:rsidRDefault="00337467" w:rsidP="00337467">
            <w:pPr>
              <w:pStyle w:val="G4bTableBody"/>
              <w:rPr>
                <w:sz w:val="14"/>
                <w:szCs w:val="14"/>
                <w:vertAlign w:val="superscript"/>
              </w:rPr>
            </w:pPr>
            <w:r w:rsidRPr="006D68CF">
              <w:rPr>
                <w:sz w:val="14"/>
                <w:szCs w:val="14"/>
              </w:rPr>
              <w:t>–</w:t>
            </w:r>
            <w:r w:rsidRPr="006D68CF">
              <w:rPr>
                <w:sz w:val="14"/>
                <w:szCs w:val="14"/>
                <w:vertAlign w:val="superscript"/>
              </w:rPr>
              <w:t>[c]</w:t>
            </w:r>
          </w:p>
          <w:p w:rsidR="00337467" w:rsidRPr="006D68CF" w:rsidRDefault="00337467" w:rsidP="00337467">
            <w:pPr>
              <w:pStyle w:val="G4bTableBody"/>
              <w:rPr>
                <w:sz w:val="14"/>
                <w:szCs w:val="14"/>
                <w:vertAlign w:val="superscript"/>
              </w:rPr>
            </w:pPr>
            <w:r w:rsidRPr="006D68CF">
              <w:rPr>
                <w:sz w:val="14"/>
                <w:szCs w:val="14"/>
              </w:rPr>
              <w:t>–</w:t>
            </w:r>
            <w:r w:rsidRPr="006D68CF">
              <w:rPr>
                <w:sz w:val="14"/>
                <w:szCs w:val="14"/>
                <w:vertAlign w:val="superscript"/>
              </w:rPr>
              <w:t>[c]</w:t>
            </w:r>
          </w:p>
          <w:p w:rsidR="00337467" w:rsidRPr="006D68CF" w:rsidRDefault="00337467" w:rsidP="001100D5">
            <w:pPr>
              <w:pStyle w:val="G4bTableBody"/>
              <w:rPr>
                <w:sz w:val="14"/>
                <w:szCs w:val="14"/>
              </w:rPr>
            </w:pPr>
            <w:r w:rsidRPr="006D68CF">
              <w:rPr>
                <w:sz w:val="14"/>
                <w:szCs w:val="14"/>
              </w:rPr>
              <w:t>–</w:t>
            </w:r>
            <w:r w:rsidRPr="006D68CF">
              <w:rPr>
                <w:sz w:val="14"/>
                <w:szCs w:val="14"/>
                <w:vertAlign w:val="superscript"/>
              </w:rPr>
              <w:t>[c]</w:t>
            </w:r>
          </w:p>
        </w:tc>
      </w:tr>
      <w:tr w:rsidR="002A3FAD" w:rsidRPr="002A3FAD" w:rsidTr="00F626B6">
        <w:tc>
          <w:tcPr>
            <w:tcW w:w="967" w:type="dxa"/>
            <w:tcBorders>
              <w:top w:val="single" w:sz="4" w:space="0" w:color="auto"/>
              <w:bottom w:val="single" w:sz="4" w:space="0" w:color="000000"/>
            </w:tcBorders>
            <w:shd w:val="clear" w:color="auto" w:fill="auto"/>
          </w:tcPr>
          <w:p w:rsidR="00337467" w:rsidRPr="006D68CF" w:rsidRDefault="00337467" w:rsidP="00665D3C">
            <w:pPr>
              <w:pStyle w:val="TableBody"/>
              <w:rPr>
                <w:rFonts w:ascii="Times New Roman" w:hAnsi="Times New Roman"/>
                <w:sz w:val="14"/>
                <w:szCs w:val="14"/>
                <w:lang w:val="en-GB"/>
              </w:rPr>
            </w:pPr>
            <w:r w:rsidRPr="006D68CF">
              <w:rPr>
                <w:rFonts w:ascii="Times New Roman" w:hAnsi="Times New Roman"/>
                <w:b/>
                <w:sz w:val="14"/>
                <w:szCs w:val="14"/>
              </w:rPr>
              <w:t>4h</w:t>
            </w:r>
          </w:p>
        </w:tc>
        <w:tc>
          <w:tcPr>
            <w:tcW w:w="974" w:type="dxa"/>
            <w:tcBorders>
              <w:top w:val="single" w:sz="4" w:space="0" w:color="auto"/>
              <w:bottom w:val="single" w:sz="4" w:space="0" w:color="000000"/>
            </w:tcBorders>
            <w:shd w:val="clear" w:color="auto" w:fill="auto"/>
          </w:tcPr>
          <w:p w:rsidR="00337467" w:rsidRPr="006D68CF" w:rsidRDefault="00337467" w:rsidP="00665D3C">
            <w:pPr>
              <w:pStyle w:val="TableBody"/>
              <w:rPr>
                <w:rFonts w:ascii="Times New Roman" w:hAnsi="Times New Roman"/>
                <w:sz w:val="14"/>
                <w:szCs w:val="14"/>
                <w:lang w:val="en-GB"/>
              </w:rPr>
            </w:pPr>
            <w:r w:rsidRPr="006D68CF">
              <w:rPr>
                <w:rFonts w:ascii="Times New Roman" w:hAnsi="Times New Roman"/>
                <w:sz w:val="14"/>
                <w:szCs w:val="14"/>
              </w:rPr>
              <w:t>basic</w:t>
            </w:r>
            <w:r w:rsidRPr="006D68CF">
              <w:rPr>
                <w:rFonts w:ascii="Times New Roman" w:hAnsi="Times New Roman"/>
                <w:sz w:val="14"/>
                <w:szCs w:val="14"/>
                <w:vertAlign w:val="superscript"/>
              </w:rPr>
              <w:t>[b]</w:t>
            </w:r>
          </w:p>
        </w:tc>
        <w:tc>
          <w:tcPr>
            <w:tcW w:w="966" w:type="dxa"/>
            <w:tcBorders>
              <w:top w:val="single" w:sz="4" w:space="0" w:color="auto"/>
              <w:bottom w:val="single" w:sz="4" w:space="0" w:color="000000"/>
            </w:tcBorders>
            <w:shd w:val="clear" w:color="auto" w:fill="auto"/>
          </w:tcPr>
          <w:p w:rsidR="00337467" w:rsidRPr="006D68CF" w:rsidRDefault="00337467" w:rsidP="00665D3C">
            <w:pPr>
              <w:pStyle w:val="G4bTableBody"/>
              <w:rPr>
                <w:sz w:val="14"/>
                <w:szCs w:val="14"/>
              </w:rPr>
            </w:pPr>
            <w:r w:rsidRPr="006D68CF">
              <w:rPr>
                <w:sz w:val="14"/>
                <w:szCs w:val="14"/>
              </w:rPr>
              <w:t>24</w:t>
            </w:r>
          </w:p>
          <w:p w:rsidR="00337467" w:rsidRPr="006D68CF" w:rsidRDefault="00337467" w:rsidP="00665D3C">
            <w:pPr>
              <w:pStyle w:val="G4bTableBody"/>
              <w:rPr>
                <w:sz w:val="14"/>
                <w:szCs w:val="14"/>
              </w:rPr>
            </w:pPr>
            <w:r w:rsidRPr="006D68CF">
              <w:rPr>
                <w:sz w:val="14"/>
                <w:szCs w:val="14"/>
              </w:rPr>
              <w:t>1</w:t>
            </w:r>
          </w:p>
          <w:p w:rsidR="00337467" w:rsidRPr="006D68CF" w:rsidRDefault="00337467" w:rsidP="00665D3C">
            <w:pPr>
              <w:pStyle w:val="G4bTableBody"/>
              <w:rPr>
                <w:sz w:val="14"/>
                <w:szCs w:val="14"/>
              </w:rPr>
            </w:pPr>
            <w:r w:rsidRPr="006D68CF">
              <w:rPr>
                <w:sz w:val="14"/>
                <w:szCs w:val="14"/>
              </w:rPr>
              <w:t>24</w:t>
            </w:r>
          </w:p>
        </w:tc>
        <w:tc>
          <w:tcPr>
            <w:tcW w:w="1010" w:type="dxa"/>
            <w:tcBorders>
              <w:top w:val="single" w:sz="4" w:space="0" w:color="auto"/>
              <w:bottom w:val="single" w:sz="4" w:space="0" w:color="000000"/>
            </w:tcBorders>
            <w:shd w:val="clear" w:color="auto" w:fill="auto"/>
          </w:tcPr>
          <w:p w:rsidR="00337467" w:rsidRPr="006D68CF" w:rsidRDefault="00FC514D" w:rsidP="00665D3C">
            <w:pPr>
              <w:pStyle w:val="G4bTableBody"/>
              <w:rPr>
                <w:sz w:val="14"/>
                <w:szCs w:val="14"/>
              </w:rPr>
            </w:pPr>
            <w:r w:rsidRPr="006D68CF">
              <w:rPr>
                <w:sz w:val="14"/>
                <w:szCs w:val="14"/>
              </w:rPr>
              <w:t>r.t.</w:t>
            </w:r>
          </w:p>
          <w:p w:rsidR="00337467" w:rsidRPr="006D68CF" w:rsidRDefault="00337467" w:rsidP="00665D3C">
            <w:pPr>
              <w:pStyle w:val="G4bTableBody"/>
              <w:rPr>
                <w:sz w:val="14"/>
                <w:szCs w:val="14"/>
              </w:rPr>
            </w:pPr>
            <w:r w:rsidRPr="006D68CF">
              <w:rPr>
                <w:sz w:val="14"/>
                <w:szCs w:val="14"/>
              </w:rPr>
              <w:t>100 °C</w:t>
            </w:r>
          </w:p>
          <w:p w:rsidR="00337467" w:rsidRPr="006D68CF" w:rsidRDefault="00337467" w:rsidP="00665D3C">
            <w:pPr>
              <w:pStyle w:val="G4bTableBody"/>
              <w:rPr>
                <w:sz w:val="14"/>
                <w:szCs w:val="14"/>
              </w:rPr>
            </w:pPr>
            <w:r w:rsidRPr="006D68CF">
              <w:rPr>
                <w:sz w:val="14"/>
                <w:szCs w:val="14"/>
              </w:rPr>
              <w:t>100 °C</w:t>
            </w:r>
          </w:p>
        </w:tc>
        <w:tc>
          <w:tcPr>
            <w:tcW w:w="1259" w:type="dxa"/>
            <w:tcBorders>
              <w:top w:val="single" w:sz="4" w:space="0" w:color="auto"/>
              <w:bottom w:val="single" w:sz="4" w:space="0" w:color="000000"/>
            </w:tcBorders>
            <w:shd w:val="clear" w:color="auto" w:fill="auto"/>
          </w:tcPr>
          <w:p w:rsidR="00337467" w:rsidRPr="006D68CF" w:rsidRDefault="00337467" w:rsidP="00665D3C">
            <w:pPr>
              <w:pStyle w:val="G4bTableBody"/>
              <w:rPr>
                <w:sz w:val="14"/>
                <w:szCs w:val="14"/>
              </w:rPr>
            </w:pPr>
            <w:r w:rsidRPr="006D68CF">
              <w:rPr>
                <w:sz w:val="14"/>
                <w:szCs w:val="14"/>
              </w:rPr>
              <w:t>5</w:t>
            </w:r>
          </w:p>
          <w:p w:rsidR="00337467" w:rsidRPr="006D68CF" w:rsidRDefault="00337467" w:rsidP="00665D3C">
            <w:pPr>
              <w:pStyle w:val="G4bTableBody"/>
              <w:rPr>
                <w:sz w:val="14"/>
                <w:szCs w:val="14"/>
              </w:rPr>
            </w:pPr>
            <w:r w:rsidRPr="006D68CF">
              <w:rPr>
                <w:sz w:val="14"/>
                <w:szCs w:val="14"/>
              </w:rPr>
              <w:t>15</w:t>
            </w:r>
          </w:p>
          <w:p w:rsidR="00337467" w:rsidRPr="006D68CF" w:rsidRDefault="00337467" w:rsidP="00665D3C">
            <w:pPr>
              <w:pStyle w:val="G4bTableBody"/>
              <w:rPr>
                <w:sz w:val="14"/>
                <w:szCs w:val="14"/>
              </w:rPr>
            </w:pPr>
            <w:r w:rsidRPr="006D68CF">
              <w:rPr>
                <w:sz w:val="14"/>
                <w:szCs w:val="14"/>
              </w:rPr>
              <w:t>50</w:t>
            </w:r>
          </w:p>
        </w:tc>
      </w:tr>
    </w:tbl>
    <w:p w:rsidR="00337467" w:rsidRPr="002A3FAD" w:rsidRDefault="00337467" w:rsidP="00337467">
      <w:pPr>
        <w:pStyle w:val="TableFoot"/>
      </w:pPr>
      <w:r w:rsidRPr="002A3FAD">
        <w:t xml:space="preserve">[a] Monitored by </w:t>
      </w:r>
      <w:r w:rsidRPr="002A3FAD">
        <w:rPr>
          <w:vertAlign w:val="superscript"/>
        </w:rPr>
        <w:t>1</w:t>
      </w:r>
      <w:r w:rsidRPr="002A3FAD">
        <w:t xml:space="preserve">H NMR spectroscopy. The amount of decomposition was measured by integrating the Me (R’) signal against an internal standard (anisole). [b] </w:t>
      </w:r>
      <w:r w:rsidRPr="007D5D75">
        <w:t>[</w:t>
      </w:r>
      <w:r w:rsidR="007D5D75" w:rsidRPr="007D5D75">
        <w:t>D</w:t>
      </w:r>
      <w:r w:rsidRPr="007D5D75">
        <w:rPr>
          <w:vertAlign w:val="subscript"/>
        </w:rPr>
        <w:t>6</w:t>
      </w:r>
      <w:r w:rsidRPr="007D5D75">
        <w:t>]DMSO/H</w:t>
      </w:r>
      <w:r w:rsidRPr="007D5D75">
        <w:rPr>
          <w:vertAlign w:val="subscript"/>
        </w:rPr>
        <w:t>2</w:t>
      </w:r>
      <w:r w:rsidRPr="007D5D75">
        <w:t>O</w:t>
      </w:r>
      <w:r w:rsidRPr="002A3FAD">
        <w:t>/50% aq. KOH (10:1:1, v/v/v). [c] No decomposition observed within the detection limit.</w:t>
      </w:r>
    </w:p>
    <w:p w:rsidR="00B22F1E" w:rsidRPr="002A3FAD" w:rsidRDefault="00B22F1E" w:rsidP="00B22F1E">
      <w:pPr>
        <w:pStyle w:val="P1withIndendation"/>
      </w:pPr>
      <w:r w:rsidRPr="002A3FAD">
        <w:t>The inherent nucleophilicity of the P–O</w:t>
      </w:r>
      <w:r w:rsidRPr="002A3FAD">
        <w:rPr>
          <w:kern w:val="16"/>
          <w:vertAlign w:val="superscript"/>
        </w:rPr>
        <w:t>–</w:t>
      </w:r>
      <w:r w:rsidRPr="002A3FAD">
        <w:t xml:space="preserve"> bond was examined by the reaction of </w:t>
      </w:r>
      <w:r w:rsidRPr="002A3FAD">
        <w:rPr>
          <w:b/>
        </w:rPr>
        <w:t>4a</w:t>
      </w:r>
      <w:r w:rsidRPr="002A3FAD">
        <w:t xml:space="preserve"> with a number of alkylating agents: BnBr, MeI, </w:t>
      </w:r>
      <w:r w:rsidRPr="002A3FAD">
        <w:lastRenderedPageBreak/>
        <w:t xml:space="preserve">TBSOTf, and MeOTf. The formation of the phosphoric acid ester </w:t>
      </w:r>
      <w:r w:rsidRPr="002A3FAD">
        <w:rPr>
          <w:b/>
        </w:rPr>
        <w:t>11</w:t>
      </w:r>
      <w:r w:rsidRPr="002A3FAD">
        <w:t xml:space="preserve"> was only successful by using MeOTf (Scheme 3), showing that the molecule to be weakly nucleophilic. Conversely, compound </w:t>
      </w:r>
      <w:r w:rsidRPr="002A3FAD">
        <w:rPr>
          <w:b/>
        </w:rPr>
        <w:t>11</w:t>
      </w:r>
      <w:r w:rsidRPr="002A3FAD">
        <w:t xml:space="preserve"> is prone to hydrolysis, reverting to the</w:t>
      </w:r>
      <w:r w:rsidR="00BD4F83">
        <w:t xml:space="preserve"> zPHC</w:t>
      </w:r>
      <w:r w:rsidRPr="002A3FAD">
        <w:t xml:space="preserve"> </w:t>
      </w:r>
      <w:r w:rsidRPr="002A3FAD">
        <w:rPr>
          <w:b/>
        </w:rPr>
        <w:t>4a</w:t>
      </w:r>
      <w:r w:rsidRPr="002A3FAD">
        <w:t xml:space="preserve"> upon exposure to 10% aq. NaOH or KOH under ambient conditions. Thus, the cation-anion interaction between the ion pair of </w:t>
      </w:r>
      <w:r w:rsidRPr="002A3FAD">
        <w:rPr>
          <w:b/>
        </w:rPr>
        <w:t xml:space="preserve">11 </w:t>
      </w:r>
      <w:r w:rsidRPr="002A3FAD">
        <w:t xml:space="preserve">is weaker than that found in the inner salt </w:t>
      </w:r>
      <w:r w:rsidRPr="002A3FAD">
        <w:rPr>
          <w:b/>
        </w:rPr>
        <w:t>4a</w:t>
      </w:r>
      <w:r w:rsidRPr="002A3FAD">
        <w:t>.</w:t>
      </w:r>
    </w:p>
    <w:p w:rsidR="00B22F1E" w:rsidRPr="002A3FAD" w:rsidRDefault="00B37604" w:rsidP="00B22F1E">
      <w:pPr>
        <w:spacing w:before="360"/>
        <w:rPr>
          <w:sz w:val="18"/>
          <w:szCs w:val="20"/>
          <w:lang w:val="en-GB"/>
        </w:rPr>
      </w:pPr>
      <w:r>
        <w:object w:dxaOrig="6587" w:dyaOrig="1862">
          <v:shape id="_x0000_i1036" type="#_x0000_t75" style="width:197pt;height:56.5pt" o:ole="">
            <v:imagedata r:id="rId30" o:title=""/>
          </v:shape>
          <o:OLEObject Type="Embed" ProgID="ChemDraw.Document.6.0" ShapeID="_x0000_i1036" DrawAspect="Content" ObjectID="_1424876989" r:id="rId31"/>
        </w:object>
      </w:r>
    </w:p>
    <w:p w:rsidR="00B22F1E" w:rsidRPr="002A3FAD" w:rsidRDefault="00B22F1E" w:rsidP="00B22F1E">
      <w:pPr>
        <w:pStyle w:val="SchemeCaption"/>
        <w:rPr>
          <w:lang w:eastAsia="en-GB"/>
        </w:rPr>
      </w:pPr>
      <w:r w:rsidRPr="002A3FAD">
        <w:rPr>
          <w:b/>
        </w:rPr>
        <w:t>Scheme 3.</w:t>
      </w:r>
      <w:r w:rsidRPr="002A3FAD">
        <w:t xml:space="preserve"> </w:t>
      </w:r>
      <w:r w:rsidRPr="002A3FAD">
        <w:rPr>
          <w:lang w:eastAsia="en-GB"/>
        </w:rPr>
        <w:t>Methylation of zPHC</w:t>
      </w:r>
      <w:r w:rsidR="00CC1637">
        <w:rPr>
          <w:lang w:eastAsia="en-GB"/>
        </w:rPr>
        <w:t xml:space="preserve"> </w:t>
      </w:r>
      <w:r w:rsidR="00CC1637" w:rsidRPr="00CC1637">
        <w:rPr>
          <w:b/>
          <w:lang w:eastAsia="en-GB"/>
        </w:rPr>
        <w:t>4a</w:t>
      </w:r>
      <w:r w:rsidRPr="002A3FAD">
        <w:rPr>
          <w:lang w:eastAsia="en-GB"/>
        </w:rPr>
        <w:t>.</w:t>
      </w:r>
    </w:p>
    <w:p w:rsidR="003F581E" w:rsidRPr="002A3FAD" w:rsidRDefault="003F581E" w:rsidP="003F581E">
      <w:pPr>
        <w:pStyle w:val="P1withoutIndendation"/>
        <w:rPr>
          <w:b/>
        </w:rPr>
      </w:pPr>
      <w:r w:rsidRPr="002A3FAD">
        <w:rPr>
          <w:b/>
        </w:rPr>
        <w:t>Applications of zPHC 4 as CSAs</w:t>
      </w:r>
    </w:p>
    <w:p w:rsidR="003F581E" w:rsidRPr="002A3FAD" w:rsidRDefault="003F581E" w:rsidP="003F581E">
      <w:pPr>
        <w:pStyle w:val="P1withIndendation"/>
        <w:ind w:firstLine="0"/>
        <w:rPr>
          <w:noProof/>
        </w:rPr>
      </w:pPr>
      <w:r w:rsidRPr="002A3FAD">
        <w:t>Chiral carboxylic acids can be found in many biologically active natural products, and constitute a class of important chiral building blocks in the development of agrochemical and pharmaceutical products. For chiral HPLC and GC to be deployed for %</w:t>
      </w:r>
      <w:r w:rsidRPr="002A3FAD">
        <w:rPr>
          <w:i/>
        </w:rPr>
        <w:t>ee</w:t>
      </w:r>
      <w:r w:rsidRPr="002A3FAD">
        <w:t xml:space="preserve"> determination, the presence of a CO</w:t>
      </w:r>
      <w:r w:rsidRPr="002A3FAD">
        <w:rPr>
          <w:vertAlign w:val="subscript"/>
        </w:rPr>
        <w:t>2</w:t>
      </w:r>
      <w:r w:rsidRPr="002A3FAD">
        <w:t>H moiety in the analyte often requires derivatization into the ester or amide, to alter its polarity and/or volatility for analysis. This can be potentially problematic, particularly if the carboxylic acid has an intrinsically low reactivity due to steric or electronic effects, as incomplete derivati</w:t>
      </w:r>
      <w:r w:rsidR="00864AEC">
        <w:t>z</w:t>
      </w:r>
      <w:r w:rsidRPr="002A3FAD">
        <w:t>ation can lead to errors in analysis. Consequently, the development of CSAs for the analysis of chiral carboxylic acids is a highly topical research area. Commercially-available chiral amines, such as phenethylamine and (pseudo)ephedrines are generally not effective for acids due to the formation of ammonium carboxylate salts, which may not be soluble in the NMR solvent.</w:t>
      </w:r>
      <w:r w:rsidRPr="002A3FAD">
        <w:rPr>
          <w:vertAlign w:val="superscript"/>
        </w:rPr>
        <w:t>[</w:t>
      </w:r>
      <w:r w:rsidRPr="002A3FAD">
        <w:rPr>
          <w:noProof/>
          <w:vertAlign w:val="superscript"/>
        </w:rPr>
        <w:t>17]</w:t>
      </w:r>
      <w:r w:rsidRPr="002A3FAD">
        <w:t xml:space="preserve"> Apart from macrocyclic receptors,</w:t>
      </w:r>
      <w:r w:rsidR="002A3FAD">
        <w:rPr>
          <w:vertAlign w:val="superscript"/>
        </w:rPr>
        <w:t>[</w:t>
      </w:r>
      <w:r w:rsidRPr="002A3FAD">
        <w:rPr>
          <w:noProof/>
          <w:vertAlign w:val="superscript"/>
        </w:rPr>
        <w:t>18, 19</w:t>
      </w:r>
      <w:r w:rsidR="002A3FAD">
        <w:rPr>
          <w:noProof/>
          <w:vertAlign w:val="superscript"/>
        </w:rPr>
        <w:t>]</w:t>
      </w:r>
      <w:r w:rsidRPr="002A3FAD">
        <w:t xml:space="preserve"> recent development of small-molecule CSAs are dominated by diamine and/or amide derivatives.</w:t>
      </w:r>
      <w:r w:rsidRPr="002A3FAD">
        <w:rPr>
          <w:vertAlign w:val="superscript"/>
        </w:rPr>
        <w:t>[</w:t>
      </w:r>
      <w:r w:rsidRPr="002A3FAD">
        <w:rPr>
          <w:noProof/>
          <w:vertAlign w:val="superscript"/>
        </w:rPr>
        <w:t>20-29]</w:t>
      </w:r>
    </w:p>
    <w:p w:rsidR="00CB7080" w:rsidRPr="002A3FAD" w:rsidRDefault="00CB7080" w:rsidP="00CB7080">
      <w:pPr>
        <w:pStyle w:val="P1withIndendation"/>
      </w:pPr>
      <w:r w:rsidRPr="002A3FAD">
        <w:t>Potentially, the</w:t>
      </w:r>
      <w:r w:rsidR="00FC514D">
        <w:t xml:space="preserve"> </w:t>
      </w:r>
      <w:r w:rsidRPr="002A3FAD">
        <w:t xml:space="preserve">zPHC scaffold could provide multiple sites for </w:t>
      </w:r>
      <w:r w:rsidRPr="004D28A7">
        <w:t xml:space="preserve">dipole-dipole, hydrogen-bonding and </w:t>
      </w:r>
      <w:r w:rsidRPr="004D28A7">
        <w:rPr>
          <w:rFonts w:ascii="Symbol" w:hAnsi="Symbol"/>
        </w:rPr>
        <w:t></w:t>
      </w:r>
      <w:r w:rsidRPr="004D28A7">
        <w:rPr>
          <w:rFonts w:ascii="Symbol" w:hAnsi="Symbol"/>
        </w:rPr>
        <w:t></w:t>
      </w:r>
      <w:r w:rsidRPr="004D28A7">
        <w:rPr>
          <w:rFonts w:ascii="Symbol" w:hAnsi="Symbol"/>
        </w:rPr>
        <w:t></w:t>
      </w:r>
      <w:r w:rsidRPr="004D28A7">
        <w:t xml:space="preserve"> interactions, as suggested by the electron distribution shown in Figure 8. </w:t>
      </w:r>
      <w:r w:rsidR="002A3FAD" w:rsidRPr="004D28A7">
        <w:t xml:space="preserve">In a </w:t>
      </w:r>
      <w:r w:rsidR="002A3FAD" w:rsidRPr="000B30FD">
        <w:rPr>
          <w:highlight w:val="yellow"/>
        </w:rPr>
        <w:t>pre</w:t>
      </w:r>
      <w:r w:rsidR="000B30FD" w:rsidRPr="000B30FD">
        <w:rPr>
          <w:highlight w:val="yellow"/>
        </w:rPr>
        <w:t>vious</w:t>
      </w:r>
      <w:r w:rsidR="000B30FD">
        <w:t xml:space="preserve"> </w:t>
      </w:r>
      <w:r w:rsidR="002A3FAD" w:rsidRPr="004D28A7">
        <w:t>study,</w:t>
      </w:r>
      <w:r w:rsidR="002A3FAD" w:rsidRPr="004D28A7">
        <w:rPr>
          <w:vertAlign w:val="superscript"/>
        </w:rPr>
        <w:t>[30]</w:t>
      </w:r>
      <w:r w:rsidR="002A3FAD" w:rsidRPr="004D28A7">
        <w:t xml:space="preserve"> we have shown that heterocycles of type </w:t>
      </w:r>
      <w:r w:rsidR="002A3FAD" w:rsidRPr="004D28A7">
        <w:rPr>
          <w:b/>
        </w:rPr>
        <w:t>4</w:t>
      </w:r>
      <w:r w:rsidR="002A3FAD" w:rsidRPr="004D28A7">
        <w:t xml:space="preserve"> possess</w:t>
      </w:r>
      <w:r w:rsidR="002900A3">
        <w:t xml:space="preserve"> </w:t>
      </w:r>
      <w:r w:rsidR="002900A3" w:rsidRPr="002900A3">
        <w:rPr>
          <w:highlight w:val="yellow"/>
        </w:rPr>
        <w:t>certain</w:t>
      </w:r>
      <w:r w:rsidR="002A3FAD" w:rsidRPr="004D28A7">
        <w:t xml:space="preserve"> basic character. </w:t>
      </w:r>
      <w:r w:rsidRPr="004D28A7">
        <w:t>With this in mind, the application of these compounds as CSAs for chiral</w:t>
      </w:r>
      <w:r w:rsidRPr="002A3FAD">
        <w:t xml:space="preserve"> acids was examined</w:t>
      </w:r>
      <w:r w:rsidR="00FC514D">
        <w:t xml:space="preserve"> in this work</w:t>
      </w:r>
      <w:r w:rsidRPr="002A3FAD">
        <w:t xml:space="preserve">. The initial study was carried out by recording </w:t>
      </w:r>
      <w:r w:rsidRPr="002A3FAD">
        <w:rPr>
          <w:vertAlign w:val="superscript"/>
        </w:rPr>
        <w:t>1</w:t>
      </w:r>
      <w:r w:rsidRPr="002A3FAD">
        <w:t xml:space="preserve">H NMR spectroscopy (400 MHz) of equimolar mixtures of racemic mandelic acid (MA) as a model analyte, with </w:t>
      </w:r>
      <w:r w:rsidRPr="002A3FAD">
        <w:rPr>
          <w:b/>
        </w:rPr>
        <w:t>4a</w:t>
      </w:r>
      <w:r w:rsidRPr="002A3FAD">
        <w:t xml:space="preserve">, </w:t>
      </w:r>
      <w:r w:rsidRPr="002A3FAD">
        <w:rPr>
          <w:b/>
        </w:rPr>
        <w:t>4f</w:t>
      </w:r>
      <w:r w:rsidRPr="002A3FAD">
        <w:t xml:space="preserve">, </w:t>
      </w:r>
      <w:r w:rsidRPr="002A3FAD">
        <w:rPr>
          <w:b/>
        </w:rPr>
        <w:t>4h</w:t>
      </w:r>
      <w:r w:rsidRPr="002A3FAD">
        <w:t xml:space="preserve"> or </w:t>
      </w:r>
      <w:r w:rsidRPr="002A3FAD">
        <w:rPr>
          <w:b/>
        </w:rPr>
        <w:t>4j</w:t>
      </w:r>
      <w:r w:rsidRPr="002A3FAD">
        <w:t xml:space="preserve"> at 23 ºC. The addition of a solution of receptor </w:t>
      </w:r>
      <w:r w:rsidRPr="002A3FAD">
        <w:rPr>
          <w:b/>
        </w:rPr>
        <w:t>4h</w:t>
      </w:r>
      <w:r w:rsidRPr="002A3FAD">
        <w:t xml:space="preserve"> (26.3 mM) to a solution of racemic MA (26.3 mM) in CDCl</w:t>
      </w:r>
      <w:r w:rsidRPr="002A3FAD">
        <w:rPr>
          <w:vertAlign w:val="subscript"/>
        </w:rPr>
        <w:t>3</w:t>
      </w:r>
      <w:r w:rsidRPr="002A3FAD">
        <w:t xml:space="preserve"> caused the stereogenic C−H signal of the </w:t>
      </w:r>
      <w:r w:rsidRPr="002A3FAD">
        <w:rPr>
          <w:rFonts w:ascii="Symbol" w:hAnsi="Symbol"/>
        </w:rPr>
        <w:t></w:t>
      </w:r>
      <w:r w:rsidRPr="002A3FAD">
        <w:t xml:space="preserve">-chiral acid to shift upfield and split into two equally intense singlets. Variation of the </w:t>
      </w:r>
      <w:r w:rsidRPr="002A3FAD">
        <w:rPr>
          <w:i/>
        </w:rPr>
        <w:t>N</w:t>
      </w:r>
      <w:r w:rsidRPr="002A3FAD">
        <w:t xml:space="preserve">-Me substituent in </w:t>
      </w:r>
      <w:r w:rsidRPr="002A3FAD">
        <w:rPr>
          <w:b/>
        </w:rPr>
        <w:t>4h</w:t>
      </w:r>
      <w:r w:rsidRPr="002A3FAD">
        <w:t xml:space="preserve"> to a bulky </w:t>
      </w:r>
      <w:r w:rsidRPr="002A3FAD">
        <w:rPr>
          <w:i/>
        </w:rPr>
        <w:t>N</w:t>
      </w:r>
      <w:r w:rsidRPr="002A3FAD">
        <w:t xml:space="preserve">-neopentyl in </w:t>
      </w:r>
      <w:r w:rsidRPr="002A3FAD">
        <w:rPr>
          <w:b/>
        </w:rPr>
        <w:t>4j</w:t>
      </w:r>
      <w:r w:rsidRPr="002A3FAD">
        <w:t xml:space="preserve"> did not induce significant changes in the enantio-discrimination (</w:t>
      </w:r>
      <w:r w:rsidRPr="00EA29CD">
        <w:rPr>
          <w:highlight w:val="yellow"/>
        </w:rPr>
        <w:t>Fig</w:t>
      </w:r>
      <w:r w:rsidR="00EA29CD" w:rsidRPr="00EA29CD">
        <w:rPr>
          <w:highlight w:val="yellow"/>
        </w:rPr>
        <w:t>ure</w:t>
      </w:r>
      <w:r w:rsidRPr="002A3FAD">
        <w:t xml:space="preserve"> S1, ESI). Conversely, the isopropyl- and benzyl-substituted derivatives, </w:t>
      </w:r>
      <w:r w:rsidRPr="002A3FAD">
        <w:rPr>
          <w:b/>
        </w:rPr>
        <w:t>4a</w:t>
      </w:r>
      <w:r w:rsidRPr="002A3FAD">
        <w:t xml:space="preserve"> and </w:t>
      </w:r>
      <w:r w:rsidRPr="002A3FAD">
        <w:rPr>
          <w:b/>
        </w:rPr>
        <w:t>4f</w:t>
      </w:r>
      <w:r w:rsidRPr="002A3FAD">
        <w:t>, respectively, were ineffective CSAs.</w:t>
      </w:r>
    </w:p>
    <w:p w:rsidR="00CB7080" w:rsidRPr="002A3FAD" w:rsidRDefault="00CB7080" w:rsidP="00CB7080">
      <w:pPr>
        <w:pStyle w:val="P1withIndendation"/>
      </w:pPr>
      <w:r w:rsidRPr="002A3FAD">
        <w:t xml:space="preserve">To define the binding interactions, NMR titration experiments were performed using compounds </w:t>
      </w:r>
      <w:r w:rsidRPr="002A3FAD">
        <w:rPr>
          <w:b/>
        </w:rPr>
        <w:t>4h</w:t>
      </w:r>
      <w:r w:rsidRPr="002A3FAD">
        <w:t xml:space="preserve"> and </w:t>
      </w:r>
      <w:r w:rsidRPr="002A3FAD">
        <w:rPr>
          <w:b/>
        </w:rPr>
        <w:t>4j</w:t>
      </w:r>
      <w:r w:rsidRPr="002A3FAD">
        <w:t>.</w:t>
      </w:r>
      <w:r w:rsidR="002A3FAD">
        <w:rPr>
          <w:vertAlign w:val="superscript"/>
        </w:rPr>
        <w:t>[</w:t>
      </w:r>
      <w:r w:rsidR="002A3FAD">
        <w:rPr>
          <w:noProof/>
          <w:vertAlign w:val="superscript"/>
        </w:rPr>
        <w:t>31, 32]</w:t>
      </w:r>
      <w:r w:rsidRPr="002A3FAD">
        <w:t xml:space="preserve"> The effect of concentration on the chemical shift differences (</w:t>
      </w:r>
      <w:r w:rsidRPr="00C1457D">
        <w:rPr>
          <w:rFonts w:ascii="Symbol" w:hAnsi="Symbol"/>
          <w:i/>
        </w:rPr>
        <w:t></w:t>
      </w:r>
      <w:r w:rsidRPr="00C1457D">
        <w:rPr>
          <w:rFonts w:ascii="Symbol" w:hAnsi="Symbol"/>
          <w:i/>
        </w:rPr>
        <w:t></w:t>
      </w:r>
      <w:r w:rsidRPr="00C1457D">
        <w:rPr>
          <w:rFonts w:ascii="Symbol" w:hAnsi="Symbol"/>
          <w:i/>
        </w:rPr>
        <w:t></w:t>
      </w:r>
      <w:r w:rsidRPr="002A3FAD">
        <w:rPr>
          <w:rFonts w:ascii="Symbol" w:hAnsi="Symbol"/>
        </w:rPr>
        <w:t></w:t>
      </w:r>
      <w:r w:rsidRPr="002A3FAD">
        <w:rPr>
          <w:rFonts w:ascii="Symbol" w:hAnsi="Symbol"/>
        </w:rPr>
        <w:t></w:t>
      </w:r>
      <w:r w:rsidRPr="002A3FAD">
        <w:t xml:space="preserve">was examined by the addition of </w:t>
      </w:r>
      <w:r w:rsidRPr="002A3FAD">
        <w:rPr>
          <w:b/>
        </w:rPr>
        <w:t>4h</w:t>
      </w:r>
      <w:r w:rsidRPr="002A3FAD">
        <w:t xml:space="preserve"> to a solution of (</w:t>
      </w:r>
      <w:r w:rsidRPr="002A3FAD">
        <w:rPr>
          <w:i/>
        </w:rPr>
        <w:t>rac</w:t>
      </w:r>
      <w:r w:rsidRPr="002A3FAD">
        <w:t>)-MA (Figure 9). Baseline resolution is achieved over a considerably wide concentration ratio of [</w:t>
      </w:r>
      <w:r w:rsidRPr="002A3FAD">
        <w:rPr>
          <w:b/>
        </w:rPr>
        <w:t>4</w:t>
      </w:r>
      <w:r w:rsidRPr="002A3FAD">
        <w:t>]/[(</w:t>
      </w:r>
      <w:r w:rsidRPr="002A3FAD">
        <w:rPr>
          <w:i/>
        </w:rPr>
        <w:t>rac</w:t>
      </w:r>
      <w:r w:rsidRPr="002A3FAD">
        <w:t>)-MA] (</w:t>
      </w:r>
      <w:r w:rsidRPr="002A3FAD">
        <w:rPr>
          <w:i/>
        </w:rPr>
        <w:t>ca.</w:t>
      </w:r>
      <w:r w:rsidRPr="002A3FAD">
        <w:t xml:space="preserve"> 0.25−9.0), with (</w:t>
      </w:r>
      <w:r w:rsidRPr="002A3FAD">
        <w:rPr>
          <w:i/>
        </w:rPr>
        <w:t>S</w:t>
      </w:r>
      <w:r w:rsidRPr="002A3FAD">
        <w:t>)-MA undergoing the larger upfield shift.</w:t>
      </w:r>
    </w:p>
    <w:p w:rsidR="00CB7080" w:rsidRPr="002A3FAD" w:rsidRDefault="00CB7080" w:rsidP="00CB7080">
      <w:pPr>
        <w:spacing w:before="360"/>
        <w:jc w:val="center"/>
      </w:pPr>
      <w:r w:rsidRPr="002A3FAD">
        <w:object w:dxaOrig="4259" w:dyaOrig="1643">
          <v:shape id="_x0000_i1037" type="#_x0000_t75" style="width:126.5pt;height:49pt" o:ole="">
            <v:imagedata r:id="rId32" o:title=""/>
          </v:shape>
          <o:OLEObject Type="Embed" ProgID="ChemDraw.Document.6.0" ShapeID="_x0000_i1037" DrawAspect="Content" ObjectID="_1424876990" r:id="rId33"/>
        </w:object>
      </w:r>
    </w:p>
    <w:p w:rsidR="00CB7080" w:rsidRPr="002A3FAD" w:rsidRDefault="00FD2606" w:rsidP="00CB7080">
      <w:pPr>
        <w:spacing w:before="360"/>
        <w:rPr>
          <w:sz w:val="18"/>
          <w:szCs w:val="20"/>
          <w:lang w:val="en-GB"/>
        </w:rPr>
      </w:pPr>
      <w:r>
        <w:rPr>
          <w:noProof/>
          <w:lang w:val="en-GB" w:eastAsia="en-GB"/>
        </w:rPr>
        <w:pict>
          <v:shape id="_x0000_i1038" type="#_x0000_t75" style="width:248.5pt;height:323.5pt">
            <v:imagedata r:id="rId34" o:title=""/>
          </v:shape>
        </w:pict>
      </w:r>
    </w:p>
    <w:p w:rsidR="00CB7080" w:rsidRPr="002A3FAD" w:rsidRDefault="00CB7080" w:rsidP="00FC514D">
      <w:pPr>
        <w:pStyle w:val="FigureCaption"/>
      </w:pPr>
      <w:r w:rsidRPr="002A3FAD">
        <w:rPr>
          <w:b/>
        </w:rPr>
        <w:t>Figure 9.</w:t>
      </w:r>
      <w:r w:rsidRPr="002A3FAD">
        <w:t xml:space="preserve"> Variation with concentration of </w:t>
      </w:r>
      <w:r w:rsidRPr="008C7904">
        <w:rPr>
          <w:rFonts w:ascii="Symbol" w:hAnsi="Symbol"/>
          <w:i/>
          <w:highlight w:val="yellow"/>
        </w:rPr>
        <w:t></w:t>
      </w:r>
      <w:r w:rsidRPr="008C7904">
        <w:rPr>
          <w:rFonts w:ascii="Symbol" w:hAnsi="Symbol"/>
          <w:i/>
          <w:highlight w:val="yellow"/>
        </w:rPr>
        <w:t></w:t>
      </w:r>
      <w:r w:rsidRPr="008C7904">
        <w:rPr>
          <w:rFonts w:ascii="Symbol" w:hAnsi="Symbol"/>
          <w:i/>
          <w:highlight w:val="yellow"/>
        </w:rPr>
        <w:t></w:t>
      </w:r>
      <w:r w:rsidRPr="002A3FAD">
        <w:t xml:space="preserve"> for (</w:t>
      </w:r>
      <w:r w:rsidRPr="002A3FAD">
        <w:rPr>
          <w:i/>
        </w:rPr>
        <w:t>rac</w:t>
      </w:r>
      <w:r w:rsidRPr="002A3FAD">
        <w:t xml:space="preserve">)-MA (26.3 mM) in the presence of </w:t>
      </w:r>
      <w:r w:rsidRPr="002A3FAD">
        <w:rPr>
          <w:b/>
        </w:rPr>
        <w:t>4h</w:t>
      </w:r>
      <w:r w:rsidRPr="002A3FAD">
        <w:t xml:space="preserve"> (CDCl</w:t>
      </w:r>
      <w:r w:rsidRPr="002A3FAD">
        <w:rPr>
          <w:vertAlign w:val="subscript"/>
        </w:rPr>
        <w:t>3</w:t>
      </w:r>
      <w:r w:rsidRPr="002A3FAD">
        <w:rPr>
          <w:vertAlign w:val="subscript"/>
        </w:rPr>
        <w:softHyphen/>
        <w:t xml:space="preserve">, </w:t>
      </w:r>
      <w:r w:rsidRPr="002A3FAD">
        <w:t>400 MHz, 23 ºC).</w:t>
      </w:r>
    </w:p>
    <w:p w:rsidR="00D0083E" w:rsidRPr="002A3FAD" w:rsidRDefault="00D0083E" w:rsidP="00D0083E">
      <w:pPr>
        <w:pStyle w:val="P1withIndendation"/>
      </w:pPr>
      <w:r w:rsidRPr="002A3FAD">
        <w:t>Figure 10 represents changes in the chemical shift non-equivalence (</w:t>
      </w:r>
      <w:r w:rsidRPr="008C7904">
        <w:rPr>
          <w:i/>
          <w:highlight w:val="yellow"/>
        </w:rPr>
        <w:t>Δ</w:t>
      </w:r>
      <w:r w:rsidRPr="008C7904">
        <w:rPr>
          <w:rFonts w:ascii="Symbol" w:hAnsi="Symbol"/>
          <w:i/>
          <w:highlight w:val="yellow"/>
        </w:rPr>
        <w:t></w:t>
      </w:r>
      <w:r w:rsidRPr="008C7904">
        <w:rPr>
          <w:i/>
          <w:highlight w:val="yellow"/>
        </w:rPr>
        <w:t>δ</w:t>
      </w:r>
      <w:r w:rsidRPr="002A3FAD">
        <w:t>) observed for the interaction of (</w:t>
      </w:r>
      <w:r w:rsidRPr="002A3FAD">
        <w:rPr>
          <w:i/>
        </w:rPr>
        <w:t>rac</w:t>
      </w:r>
      <w:r w:rsidRPr="002A3FAD">
        <w:t xml:space="preserve">)-MA in the presence of increasing amounts of </w:t>
      </w:r>
      <w:r w:rsidRPr="002A3FAD">
        <w:rPr>
          <w:b/>
        </w:rPr>
        <w:t>4h</w:t>
      </w:r>
      <w:r w:rsidRPr="002A3FAD">
        <w:t xml:space="preserve"> and </w:t>
      </w:r>
      <w:r w:rsidRPr="002A3FAD">
        <w:rPr>
          <w:b/>
        </w:rPr>
        <w:t>4j</w:t>
      </w:r>
      <w:r w:rsidRPr="002A3FAD">
        <w:t xml:space="preserve">. In both cases, the enantiomeric separation increased sharply and maximum </w:t>
      </w:r>
      <w:r w:rsidRPr="008C7904">
        <w:rPr>
          <w:rFonts w:ascii="Symbol" w:hAnsi="Symbol"/>
          <w:i/>
          <w:highlight w:val="yellow"/>
        </w:rPr>
        <w:t></w:t>
      </w:r>
      <w:r w:rsidRPr="008C7904">
        <w:rPr>
          <w:rFonts w:ascii="Symbol" w:hAnsi="Symbol"/>
          <w:i/>
          <w:highlight w:val="yellow"/>
        </w:rPr>
        <w:t></w:t>
      </w:r>
      <w:r w:rsidRPr="008C7904">
        <w:rPr>
          <w:rFonts w:ascii="Symbol" w:hAnsi="Symbol"/>
          <w:i/>
          <w:highlight w:val="yellow"/>
        </w:rPr>
        <w:t></w:t>
      </w:r>
      <w:r w:rsidRPr="002A3FAD">
        <w:t xml:space="preserve"> values of 0.052 ppm (21 Hz) and 0.057 ppm (23 Hz) were observed for </w:t>
      </w:r>
      <w:r w:rsidRPr="002A3FAD">
        <w:rPr>
          <w:b/>
        </w:rPr>
        <w:t xml:space="preserve">4h </w:t>
      </w:r>
      <w:r w:rsidRPr="002A3FAD">
        <w:t>and</w:t>
      </w:r>
      <w:r w:rsidRPr="002A3FAD">
        <w:rPr>
          <w:b/>
        </w:rPr>
        <w:t xml:space="preserve"> 4j</w:t>
      </w:r>
      <w:r w:rsidRPr="002A3FAD">
        <w:t>, respectively, near [</w:t>
      </w:r>
      <w:r w:rsidRPr="002A3FAD">
        <w:rPr>
          <w:b/>
        </w:rPr>
        <w:t>4</w:t>
      </w:r>
      <w:r w:rsidRPr="002A3FAD">
        <w:t>]/[(</w:t>
      </w:r>
      <w:r w:rsidRPr="002A3FAD">
        <w:rPr>
          <w:i/>
        </w:rPr>
        <w:t>rac</w:t>
      </w:r>
      <w:r w:rsidRPr="002A3FAD">
        <w:t>)-MA] = 2.</w:t>
      </w:r>
    </w:p>
    <w:p w:rsidR="00D0083E" w:rsidRPr="002A3FAD" w:rsidRDefault="00FD2606" w:rsidP="00D0083E">
      <w:pPr>
        <w:spacing w:before="360"/>
        <w:rPr>
          <w:sz w:val="18"/>
          <w:szCs w:val="20"/>
          <w:lang w:val="en-GB"/>
        </w:rPr>
      </w:pPr>
      <w:r>
        <w:rPr>
          <w:noProof/>
          <w:lang w:val="en-GB" w:eastAsia="en-GB"/>
        </w:rPr>
        <w:pict>
          <v:shape id="_x0000_i1039" type="#_x0000_t75" style="width:247.5pt;height:200pt">
            <v:imagedata r:id="rId35" o:title=""/>
          </v:shape>
        </w:pict>
      </w:r>
    </w:p>
    <w:p w:rsidR="00D0083E" w:rsidRPr="002A3FAD" w:rsidRDefault="00D0083E" w:rsidP="00FC514D">
      <w:pPr>
        <w:pStyle w:val="FigureCaption"/>
      </w:pPr>
      <w:r w:rsidRPr="002A3FAD">
        <w:rPr>
          <w:b/>
        </w:rPr>
        <w:lastRenderedPageBreak/>
        <w:t>Figure 10.</w:t>
      </w:r>
      <w:r w:rsidRPr="002A3FAD">
        <w:t xml:space="preserve"> Chemical shift non-equivalencies (</w:t>
      </w:r>
      <w:r w:rsidRPr="008C7904">
        <w:rPr>
          <w:i/>
          <w:highlight w:val="yellow"/>
        </w:rPr>
        <w:t>ΔΔδ</w:t>
      </w:r>
      <w:r w:rsidRPr="002A3FAD">
        <w:t>) of the enantiomeric α-H signals of (</w:t>
      </w:r>
      <w:r w:rsidRPr="002A3FAD">
        <w:rPr>
          <w:i/>
        </w:rPr>
        <w:t>rac</w:t>
      </w:r>
      <w:r w:rsidRPr="002A3FAD">
        <w:t>)-MA (26.3 mM in CDCl</w:t>
      </w:r>
      <w:r w:rsidRPr="002A3FAD">
        <w:rPr>
          <w:vertAlign w:val="subscript"/>
        </w:rPr>
        <w:t>3</w:t>
      </w:r>
      <w:r w:rsidRPr="002A3FAD">
        <w:t xml:space="preserve">; spectra collected at 23 ºC) as a function of molar ratio for the receptors </w:t>
      </w:r>
      <w:r w:rsidRPr="002A3FAD">
        <w:rPr>
          <w:b/>
        </w:rPr>
        <w:t>4h</w:t>
      </w:r>
      <w:r w:rsidRPr="002A3FAD">
        <w:t xml:space="preserve"> and </w:t>
      </w:r>
      <w:r w:rsidRPr="002A3FAD">
        <w:rPr>
          <w:b/>
        </w:rPr>
        <w:t>4j</w:t>
      </w:r>
      <w:r w:rsidRPr="002A3FAD">
        <w:t>.</w:t>
      </w:r>
    </w:p>
    <w:p w:rsidR="00CA6944" w:rsidRPr="002A3FAD" w:rsidRDefault="00CA6944" w:rsidP="00CA6944">
      <w:pPr>
        <w:pStyle w:val="P1withIndendation"/>
        <w:rPr>
          <w:noProof/>
        </w:rPr>
      </w:pPr>
      <w:r w:rsidRPr="002A3FAD">
        <w:t>The stoichiometry of the donor-acceptor complex was established by using Job’s plots (Figure S3, ESI). Keeping the total concentration of [</w:t>
      </w:r>
      <w:r w:rsidRPr="002A3FAD">
        <w:rPr>
          <w:b/>
        </w:rPr>
        <w:t>4h</w:t>
      </w:r>
      <w:r w:rsidRPr="002A3FAD">
        <w:t xml:space="preserve">]+[MA] constant at 20.3 mM, the plot of </w:t>
      </w:r>
      <w:r w:rsidR="00912021" w:rsidRPr="00912021">
        <w:rPr>
          <w:i/>
          <w:highlight w:val="yellow"/>
        </w:rPr>
        <w:sym w:font="Symbol" w:char="F044"/>
      </w:r>
      <w:r w:rsidRPr="00912021">
        <w:rPr>
          <w:i/>
          <w:highlight w:val="yellow"/>
        </w:rPr>
        <w:t>δ</w:t>
      </w:r>
      <w:r w:rsidRPr="002A3FAD">
        <w:t xml:space="preserve"> versus the mole fraction of (</w:t>
      </w:r>
      <w:r w:rsidRPr="002A3FAD">
        <w:rPr>
          <w:i/>
        </w:rPr>
        <w:t>R</w:t>
      </w:r>
      <w:r w:rsidRPr="002A3FAD">
        <w:t>)- or (</w:t>
      </w:r>
      <w:r w:rsidRPr="002A3FAD">
        <w:rPr>
          <w:i/>
        </w:rPr>
        <w:t>S</w:t>
      </w:r>
      <w:r w:rsidRPr="002A3FAD">
        <w:t>)-MAs (</w:t>
      </w:r>
      <w:r w:rsidRPr="002A3FAD">
        <w:rPr>
          <w:i/>
        </w:rPr>
        <w:t>X</w:t>
      </w:r>
      <w:r w:rsidRPr="002A3FAD">
        <w:t xml:space="preserve">) showed a maximum at </w:t>
      </w:r>
      <w:r w:rsidRPr="002A3FAD">
        <w:rPr>
          <w:i/>
        </w:rPr>
        <w:t>X</w:t>
      </w:r>
      <w:r w:rsidRPr="002A3FAD">
        <w:t xml:space="preserve"> = 0.67, providing the evidence that both enantiomers of MA form 2:1 complexes with zPHC. The binding constants of </w:t>
      </w:r>
      <w:r w:rsidRPr="002A3FAD">
        <w:rPr>
          <w:b/>
        </w:rPr>
        <w:t>4h</w:t>
      </w:r>
      <w:r w:rsidRPr="002A3FAD">
        <w:t xml:space="preserve"> for MA were subsequently determined quantitatively, by varying the concentration of single enantiomers of MA in the presence of a constant concentration of </w:t>
      </w:r>
      <w:r w:rsidRPr="002A3FAD">
        <w:rPr>
          <w:b/>
        </w:rPr>
        <w:t>4h</w:t>
      </w:r>
      <w:r w:rsidRPr="002A3FAD">
        <w:t xml:space="preserve"> (Figure 11). Using the established 1:2 complex stoichiometry, </w:t>
      </w:r>
      <w:r w:rsidR="002900A3">
        <w:t>nonlinear least-squares fitting</w:t>
      </w:r>
      <w:r w:rsidRPr="002A3FAD">
        <w:rPr>
          <w:vertAlign w:val="superscript"/>
        </w:rPr>
        <w:t>[</w:t>
      </w:r>
      <w:r w:rsidRPr="002A3FAD">
        <w:rPr>
          <w:noProof/>
          <w:vertAlign w:val="superscript"/>
        </w:rPr>
        <w:t>3</w:t>
      </w:r>
      <w:r w:rsidR="002A3FAD">
        <w:rPr>
          <w:noProof/>
          <w:vertAlign w:val="superscript"/>
        </w:rPr>
        <w:t>3</w:t>
      </w:r>
      <w:r w:rsidRPr="002A3FAD">
        <w:rPr>
          <w:noProof/>
          <w:vertAlign w:val="superscript"/>
        </w:rPr>
        <w:t>]</w:t>
      </w:r>
      <w:r w:rsidRPr="002A3FAD">
        <w:t xml:space="preserve"> revealed </w:t>
      </w:r>
      <w:r w:rsidRPr="002A3FAD">
        <w:rPr>
          <w:i/>
        </w:rPr>
        <w:t>K</w:t>
      </w:r>
      <w:r w:rsidRPr="002A3FAD">
        <w:t>(</w:t>
      </w:r>
      <w:r w:rsidRPr="002A3FAD">
        <w:rPr>
          <w:i/>
        </w:rPr>
        <w:t>S</w:t>
      </w:r>
      <w:r w:rsidRPr="002A3FAD">
        <w:t>) = 341 ± 11 M</w:t>
      </w:r>
      <w:r w:rsidRPr="002A3FAD">
        <w:rPr>
          <w:vertAlign w:val="superscript"/>
        </w:rPr>
        <w:t>-1</w:t>
      </w:r>
      <w:r w:rsidRPr="002A3FAD">
        <w:t xml:space="preserve">, and </w:t>
      </w:r>
      <w:r w:rsidRPr="002A3FAD">
        <w:rPr>
          <w:i/>
        </w:rPr>
        <w:t>K</w:t>
      </w:r>
      <w:r w:rsidRPr="002A3FAD">
        <w:t>(</w:t>
      </w:r>
      <w:r w:rsidRPr="002A3FAD">
        <w:rPr>
          <w:i/>
        </w:rPr>
        <w:t>R</w:t>
      </w:r>
      <w:r w:rsidRPr="002A3FAD">
        <w:t>) = 176 ± 5 M</w:t>
      </w:r>
      <w:r w:rsidRPr="002A3FAD">
        <w:rPr>
          <w:vertAlign w:val="superscript"/>
        </w:rPr>
        <w:t>-1</w:t>
      </w:r>
      <w:r w:rsidRPr="002A3FAD">
        <w:t xml:space="preserve">, corresponding to a chiral recognition energy </w:t>
      </w:r>
      <w:r w:rsidRPr="00D93FDE">
        <w:rPr>
          <w:highlight w:val="yellow"/>
        </w:rPr>
        <w:t>(</w:t>
      </w:r>
      <w:r w:rsidRPr="00D93FDE">
        <w:rPr>
          <w:rFonts w:ascii="Symbol" w:hAnsi="Symbol"/>
          <w:i/>
          <w:highlight w:val="yellow"/>
        </w:rPr>
        <w:t></w:t>
      </w:r>
      <w:r w:rsidRPr="00D93FDE">
        <w:rPr>
          <w:rFonts w:ascii="Symbol" w:hAnsi="Symbol"/>
          <w:i/>
          <w:highlight w:val="yellow"/>
        </w:rPr>
        <w:t></w:t>
      </w:r>
      <w:r w:rsidRPr="00D93FDE">
        <w:rPr>
          <w:i/>
          <w:highlight w:val="yellow"/>
        </w:rPr>
        <w:t>G</w:t>
      </w:r>
      <w:r w:rsidRPr="00B01D2C">
        <w:rPr>
          <w:i/>
        </w:rPr>
        <w:t>º</w:t>
      </w:r>
      <w:r w:rsidRPr="002A3FAD">
        <w:t xml:space="preserve">) of –0.39 </w:t>
      </w:r>
      <w:r w:rsidRPr="00EA29CD">
        <w:rPr>
          <w:highlight w:val="yellow"/>
        </w:rPr>
        <w:t>kcal</w:t>
      </w:r>
      <w:r w:rsidR="00EA29CD" w:rsidRPr="00EA29CD">
        <w:rPr>
          <w:highlight w:val="yellow"/>
        </w:rPr>
        <w:t xml:space="preserve"> </w:t>
      </w:r>
      <w:r w:rsidRPr="00EA29CD">
        <w:rPr>
          <w:highlight w:val="yellow"/>
        </w:rPr>
        <w:t>mol</w:t>
      </w:r>
      <w:r w:rsidR="00EA29CD" w:rsidRPr="00EA29CD">
        <w:rPr>
          <w:highlight w:val="yellow"/>
          <w:vertAlign w:val="superscript"/>
        </w:rPr>
        <w:t>-1</w:t>
      </w:r>
      <w:r w:rsidRPr="002A3FAD">
        <w:t>.</w:t>
      </w:r>
      <w:r w:rsidRPr="002A3FAD">
        <w:rPr>
          <w:vertAlign w:val="superscript"/>
        </w:rPr>
        <w:t>[</w:t>
      </w:r>
      <w:r w:rsidRPr="002A3FAD">
        <w:rPr>
          <w:noProof/>
          <w:vertAlign w:val="superscript"/>
        </w:rPr>
        <w:t>3</w:t>
      </w:r>
      <w:r w:rsidR="002A3FAD">
        <w:rPr>
          <w:noProof/>
          <w:vertAlign w:val="superscript"/>
        </w:rPr>
        <w:t>4</w:t>
      </w:r>
      <w:r w:rsidRPr="002A3FAD">
        <w:rPr>
          <w:noProof/>
          <w:vertAlign w:val="superscript"/>
        </w:rPr>
        <w:t>]</w:t>
      </w:r>
    </w:p>
    <w:p w:rsidR="0065573C" w:rsidRPr="002A3FAD" w:rsidRDefault="00FD2606" w:rsidP="0065573C">
      <w:pPr>
        <w:spacing w:before="360"/>
        <w:rPr>
          <w:sz w:val="18"/>
          <w:szCs w:val="20"/>
          <w:lang w:val="en-GB"/>
        </w:rPr>
      </w:pPr>
      <w:r>
        <w:rPr>
          <w:b/>
          <w:noProof/>
          <w:lang w:val="en-GB" w:eastAsia="en-GB"/>
        </w:rPr>
        <w:pict>
          <v:shape id="_x0000_i1040" type="#_x0000_t75" style="width:248.5pt;height:178pt">
            <v:imagedata r:id="rId36" o:title=""/>
          </v:shape>
        </w:pict>
      </w:r>
    </w:p>
    <w:p w:rsidR="0065573C" w:rsidRPr="002A3FAD" w:rsidRDefault="0065573C" w:rsidP="00FC514D">
      <w:pPr>
        <w:pStyle w:val="FigureCaption"/>
      </w:pPr>
      <w:r w:rsidRPr="002A3FAD">
        <w:rPr>
          <w:b/>
        </w:rPr>
        <w:t>Figure 11.</w:t>
      </w:r>
      <w:r w:rsidRPr="002A3FAD">
        <w:t xml:space="preserve"> Plots of </w:t>
      </w:r>
      <w:r w:rsidR="00912021">
        <w:rPr>
          <w:i/>
          <w:highlight w:val="yellow"/>
        </w:rPr>
        <w:sym w:font="Symbol" w:char="F044"/>
      </w:r>
      <w:r w:rsidRPr="00912021">
        <w:rPr>
          <w:i/>
          <w:highlight w:val="yellow"/>
        </w:rPr>
        <w:t>δ</w:t>
      </w:r>
      <w:r w:rsidRPr="002A3FAD">
        <w:t xml:space="preserve"> for the N-</w:t>
      </w:r>
      <w:r w:rsidRPr="002A3FAD">
        <w:rPr>
          <w:i/>
        </w:rPr>
        <w:t>Me</w:t>
      </w:r>
      <w:r w:rsidRPr="002A3FAD">
        <w:t xml:space="preserve"> signal of </w:t>
      </w:r>
      <w:r w:rsidRPr="002A3FAD">
        <w:rPr>
          <w:b/>
        </w:rPr>
        <w:t>4h</w:t>
      </w:r>
      <w:r w:rsidRPr="002A3FAD">
        <w:t xml:space="preserve"> (5.07 mM) as a function of [MA]/[</w:t>
      </w:r>
      <w:r w:rsidRPr="002A3FAD">
        <w:rPr>
          <w:b/>
        </w:rPr>
        <w:t>4h</w:t>
      </w:r>
      <w:r w:rsidRPr="002A3FAD">
        <w:t>] ratio (CDCl</w:t>
      </w:r>
      <w:r w:rsidRPr="002A3FAD">
        <w:rPr>
          <w:vertAlign w:val="subscript"/>
        </w:rPr>
        <w:t>3</w:t>
      </w:r>
      <w:r w:rsidRPr="002A3FAD">
        <w:t xml:space="preserve">, 400 MHz, 23 °C). ● = binding with </w:t>
      </w:r>
      <w:r w:rsidRPr="002A3FAD">
        <w:rPr>
          <w:i/>
        </w:rPr>
        <w:t>S</w:t>
      </w:r>
      <w:r w:rsidRPr="002A3FAD">
        <w:t xml:space="preserve">-MA and ○ = binding with </w:t>
      </w:r>
      <w:r w:rsidRPr="002A3FAD">
        <w:rPr>
          <w:i/>
        </w:rPr>
        <w:t>R</w:t>
      </w:r>
      <w:r w:rsidRPr="002A3FAD">
        <w:t>-MA.</w:t>
      </w:r>
    </w:p>
    <w:p w:rsidR="005A1C97" w:rsidRPr="002A3FAD" w:rsidRDefault="005A1C97" w:rsidP="005A1C97">
      <w:pPr>
        <w:pStyle w:val="P1withIndendation"/>
      </w:pPr>
      <w:r w:rsidRPr="002A3FAD">
        <w:t xml:space="preserve">Last but not least, excellent correlation between prepared and observed </w:t>
      </w:r>
      <w:r w:rsidRPr="002A3FAD">
        <w:rPr>
          <w:i/>
        </w:rPr>
        <w:t>ee</w:t>
      </w:r>
      <w:r w:rsidRPr="002A3FAD">
        <w:t xml:space="preserve"> values (%</w:t>
      </w:r>
      <w:r w:rsidRPr="002A3FAD">
        <w:rPr>
          <w:i/>
        </w:rPr>
        <w:t>ee</w:t>
      </w:r>
      <w:r w:rsidRPr="002A3FAD">
        <w:t xml:space="preserve">) was established by integration of the α-proton signal of mandelic acid </w:t>
      </w:r>
      <w:r w:rsidR="002900A3" w:rsidRPr="002900A3">
        <w:rPr>
          <w:highlight w:val="yellow"/>
        </w:rPr>
        <w:t>(</w:t>
      </w:r>
      <w:r w:rsidR="002900A3" w:rsidRPr="002900A3">
        <w:rPr>
          <w:i/>
          <w:highlight w:val="yellow"/>
        </w:rPr>
        <w:t>ee</w:t>
      </w:r>
      <w:r w:rsidR="002900A3" w:rsidRPr="002900A3">
        <w:rPr>
          <w:highlight w:val="yellow"/>
        </w:rPr>
        <w:t>’s between –85 to 85%</w:t>
      </w:r>
      <w:r w:rsidR="002900A3" w:rsidRPr="002900A3">
        <w:rPr>
          <w:highlight w:val="yellow"/>
        </w:rPr>
        <w:t>)</w:t>
      </w:r>
      <w:r w:rsidR="002900A3" w:rsidRPr="002900A3">
        <w:rPr>
          <w:highlight w:val="yellow"/>
        </w:rPr>
        <w:t xml:space="preserve"> </w:t>
      </w:r>
      <w:r w:rsidRPr="002900A3">
        <w:rPr>
          <w:highlight w:val="yellow"/>
        </w:rPr>
        <w:t>in the presence of</w:t>
      </w:r>
      <w:r w:rsidR="002900A3" w:rsidRPr="002900A3">
        <w:rPr>
          <w:highlight w:val="yellow"/>
        </w:rPr>
        <w:t xml:space="preserve"> </w:t>
      </w:r>
      <w:r w:rsidR="002900A3" w:rsidRPr="002900A3">
        <w:rPr>
          <w:highlight w:val="yellow"/>
        </w:rPr>
        <w:t>2 equi</w:t>
      </w:r>
      <w:r w:rsidR="002900A3" w:rsidRPr="002900A3">
        <w:rPr>
          <w:highlight w:val="yellow"/>
        </w:rPr>
        <w:t>valents of</w:t>
      </w:r>
      <w:r w:rsidRPr="002900A3">
        <w:rPr>
          <w:highlight w:val="yellow"/>
        </w:rPr>
        <w:t xml:space="preserve"> </w:t>
      </w:r>
      <w:r w:rsidRPr="002900A3">
        <w:rPr>
          <w:b/>
          <w:highlight w:val="yellow"/>
        </w:rPr>
        <w:t>4h</w:t>
      </w:r>
      <w:r w:rsidRPr="002A3FAD">
        <w:t xml:space="preserve"> (Figure 12 and Figure S6, ESI). Th</w:t>
      </w:r>
      <w:r w:rsidR="005556E2">
        <w:t xml:space="preserve">e </w:t>
      </w:r>
      <w:r w:rsidR="005556E2" w:rsidRPr="005556E2">
        <w:rPr>
          <w:highlight w:val="yellow"/>
        </w:rPr>
        <w:t>excellent linearity fit</w:t>
      </w:r>
      <w:r w:rsidRPr="002A3FAD">
        <w:t xml:space="preserve"> showed that the method can be used to determine the enantiopurity of mandelic acid with a high level of accuracy.</w:t>
      </w:r>
    </w:p>
    <w:p w:rsidR="005A1C97" w:rsidRPr="002A3FAD" w:rsidRDefault="00FD2606" w:rsidP="005A1C97">
      <w:pPr>
        <w:spacing w:before="360"/>
        <w:rPr>
          <w:sz w:val="18"/>
          <w:szCs w:val="20"/>
          <w:lang w:val="en-GB"/>
        </w:rPr>
      </w:pPr>
      <w:r>
        <w:rPr>
          <w:noProof/>
          <w:lang w:val="en-GB" w:eastAsia="en-GB"/>
        </w:rPr>
        <w:pict>
          <v:shape id="_x0000_i1041" type="#_x0000_t75" style="width:247.5pt;height:152.5pt">
            <v:imagedata r:id="rId37" o:title=""/>
          </v:shape>
        </w:pict>
      </w:r>
    </w:p>
    <w:p w:rsidR="005A1C97" w:rsidRPr="002A3FAD" w:rsidRDefault="005A1C97" w:rsidP="00FC514D">
      <w:pPr>
        <w:pStyle w:val="FigureCaption"/>
      </w:pPr>
      <w:r w:rsidRPr="00D735E9">
        <w:rPr>
          <w:b/>
        </w:rPr>
        <w:t>Figure 12</w:t>
      </w:r>
      <w:r w:rsidRPr="002A3FAD">
        <w:t>. Correlation between the prepared and observed %</w:t>
      </w:r>
      <w:r w:rsidRPr="002A3FAD">
        <w:rPr>
          <w:i/>
        </w:rPr>
        <w:t>ee</w:t>
      </w:r>
      <w:r w:rsidRPr="002A3FAD">
        <w:t xml:space="preserve"> values.</w:t>
      </w:r>
    </w:p>
    <w:p w:rsidR="00F56384" w:rsidRPr="002A3FAD" w:rsidRDefault="00F56384" w:rsidP="00F56384">
      <w:pPr>
        <w:pStyle w:val="P1withIndendation"/>
      </w:pPr>
      <w:r w:rsidRPr="002A3FAD">
        <w:lastRenderedPageBreak/>
        <w:t xml:space="preserve">In a preliminary study, </w:t>
      </w:r>
      <w:r w:rsidRPr="002A3FAD">
        <w:rPr>
          <w:b/>
        </w:rPr>
        <w:t>4h</w:t>
      </w:r>
      <w:r w:rsidRPr="002A3FAD">
        <w:t xml:space="preserve"> was also employed for the enantio-discrimination of other types of chiral acids. We were particularly i</w:t>
      </w:r>
      <w:r w:rsidR="00192523">
        <w:t>nterested in dibenzoyltartaric (</w:t>
      </w:r>
      <w:r w:rsidR="00192523" w:rsidRPr="00192523">
        <w:rPr>
          <w:highlight w:val="yellow"/>
        </w:rPr>
        <w:t>or tartaric acid dibenzoate,</w:t>
      </w:r>
      <w:r w:rsidR="00192523">
        <w:t xml:space="preserve"> </w:t>
      </w:r>
      <w:r w:rsidR="00192523" w:rsidRPr="00D93FDE">
        <w:rPr>
          <w:i/>
          <w:highlight w:val="yellow"/>
        </w:rPr>
        <w:t>pKa</w:t>
      </w:r>
      <w:r w:rsidR="00192523">
        <w:t xml:space="preserve"> = 1.85)</w:t>
      </w:r>
      <w:r w:rsidRPr="002A3FAD">
        <w:t xml:space="preserve"> and camphorsulfonic (</w:t>
      </w:r>
      <w:r w:rsidRPr="00D93FDE">
        <w:rPr>
          <w:i/>
          <w:highlight w:val="yellow"/>
        </w:rPr>
        <w:t>pKa</w:t>
      </w:r>
      <w:r w:rsidRPr="002A3FAD">
        <w:t xml:space="preserve"> = 1.2) acids, which are substantially more acidic than MA (</w:t>
      </w:r>
      <w:r w:rsidRPr="00D93FDE">
        <w:rPr>
          <w:i/>
          <w:highlight w:val="yellow"/>
        </w:rPr>
        <w:t>pKa</w:t>
      </w:r>
      <w:r w:rsidRPr="002A3FAD">
        <w:t xml:space="preserve"> = 3.41). Consequently, they present a considerable challenge for CSAs that contain Brønsted basic sites (</w:t>
      </w:r>
      <w:r w:rsidRPr="002A3FAD">
        <w:rPr>
          <w:i/>
        </w:rPr>
        <w:t>e.g.</w:t>
      </w:r>
      <w:r w:rsidRPr="002A3FAD">
        <w:t xml:space="preserve"> chiral amine derivatives), which can form insoluble salts</w:t>
      </w:r>
      <w:r w:rsidR="00A369A5">
        <w:t xml:space="preserve"> with these analytes</w:t>
      </w:r>
      <w:r w:rsidRPr="002A3FAD">
        <w:t>.</w:t>
      </w:r>
    </w:p>
    <w:p w:rsidR="00FC514D" w:rsidRPr="00FC514D" w:rsidRDefault="00FC514D" w:rsidP="00FC514D">
      <w:pPr>
        <w:pStyle w:val="P1withIndendation"/>
        <w:rPr>
          <w:noProof/>
          <w:vertAlign w:val="superscript"/>
        </w:rPr>
      </w:pPr>
      <w:bookmarkStart w:id="0" w:name="OLE_LINK1"/>
      <w:r>
        <w:t>A</w:t>
      </w:r>
      <w:r w:rsidR="00F56384" w:rsidRPr="002A3FAD">
        <w:t xml:space="preserve">ddition of an equimolar of </w:t>
      </w:r>
      <w:r w:rsidR="00F56384" w:rsidRPr="002A3FAD">
        <w:rPr>
          <w:b/>
        </w:rPr>
        <w:t>4h</w:t>
      </w:r>
      <w:r w:rsidR="00F56384" w:rsidRPr="002A3FAD">
        <w:t xml:space="preserve"> to dibenzoyltarta</w:t>
      </w:r>
      <w:r>
        <w:t>ric acid</w:t>
      </w:r>
      <w:r w:rsidR="00F56384" w:rsidRPr="002A3FAD">
        <w:t xml:space="preserve"> induced an upfield shift of the methine protons (Figure 13). In this case, the protons remained chemically equivalent in each complex, </w:t>
      </w:r>
      <w:r w:rsidR="00F56384" w:rsidRPr="002A3FAD">
        <w:rPr>
          <w:i/>
        </w:rPr>
        <w:t>i.e.</w:t>
      </w:r>
      <w:r w:rsidR="00F56384" w:rsidRPr="002A3FAD">
        <w:t xml:space="preserve"> the C</w:t>
      </w:r>
      <w:r w:rsidR="00F56384" w:rsidRPr="00F00C27">
        <w:rPr>
          <w:vertAlign w:val="subscript"/>
        </w:rPr>
        <w:t>2</w:t>
      </w:r>
      <w:r w:rsidR="00F56384" w:rsidRPr="002A3FAD">
        <w:t xml:space="preserve"> symmetry appeared to be retained, at least on the NMR timescale. A chemical shift difference of </w:t>
      </w:r>
      <w:r w:rsidR="00F56384" w:rsidRPr="00912021">
        <w:rPr>
          <w:rFonts w:ascii="Symbol" w:hAnsi="Symbol"/>
          <w:i/>
          <w:highlight w:val="yellow"/>
        </w:rPr>
        <w:t></w:t>
      </w:r>
      <w:r w:rsidR="00F56384" w:rsidRPr="00912021">
        <w:rPr>
          <w:rFonts w:ascii="Symbol" w:hAnsi="Symbol"/>
          <w:i/>
          <w:highlight w:val="yellow"/>
        </w:rPr>
        <w:t></w:t>
      </w:r>
      <w:r w:rsidR="00F56384" w:rsidRPr="00912021">
        <w:rPr>
          <w:rFonts w:ascii="Symbol" w:hAnsi="Symbol"/>
          <w:i/>
          <w:highlight w:val="yellow"/>
        </w:rPr>
        <w:t></w:t>
      </w:r>
      <w:r w:rsidR="00F56384" w:rsidRPr="002A3FAD">
        <w:t xml:space="preserve"> = 0.12 ppm (48 Hz)</w:t>
      </w:r>
      <w:r w:rsidR="00F56384" w:rsidRPr="002A3FAD">
        <w:rPr>
          <w:rFonts w:ascii="Symbol" w:hAnsi="Symbol"/>
        </w:rPr>
        <w:t></w:t>
      </w:r>
      <w:r w:rsidR="00F56384" w:rsidRPr="002A3FAD">
        <w:t>was subsequently recorded, which is significantly larger than that reported with other CSAs derived from chiral amines.</w:t>
      </w:r>
      <w:r w:rsidR="00F56384" w:rsidRPr="002A3FAD">
        <w:rPr>
          <w:vertAlign w:val="superscript"/>
        </w:rPr>
        <w:t>[</w:t>
      </w:r>
      <w:r w:rsidR="00F56384" w:rsidRPr="002A3FAD">
        <w:rPr>
          <w:noProof/>
          <w:vertAlign w:val="superscript"/>
        </w:rPr>
        <w:t>22, 23, 25]</w:t>
      </w:r>
      <w:r>
        <w:rPr>
          <w:noProof/>
          <w:vertAlign w:val="superscript"/>
        </w:rPr>
        <w:t xml:space="preserve"> </w:t>
      </w:r>
      <w:r w:rsidRPr="002A3FAD">
        <w:t>To date, there is only one CSA reported for the enantio-discrimination of a chiral sulfonic acid.</w:t>
      </w:r>
      <w:r w:rsidRPr="002A3FAD">
        <w:rPr>
          <w:vertAlign w:val="superscript"/>
        </w:rPr>
        <w:t>[</w:t>
      </w:r>
      <w:r w:rsidRPr="002A3FAD">
        <w:rPr>
          <w:noProof/>
          <w:vertAlign w:val="superscript"/>
        </w:rPr>
        <w:t>21]</w:t>
      </w:r>
      <w:r w:rsidRPr="002A3FAD">
        <w:t xml:space="preserve"> Thus, we were delighted to find that </w:t>
      </w:r>
      <w:r w:rsidRPr="002A3FAD">
        <w:rPr>
          <w:b/>
        </w:rPr>
        <w:t>4h</w:t>
      </w:r>
      <w:r w:rsidRPr="002A3FAD">
        <w:t xml:space="preserve"> can induce splitting in the C8 and C9 methyl resonances of 10-</w:t>
      </w:r>
      <w:r>
        <w:t>camphorsulfonic acid (Figure 14</w:t>
      </w:r>
      <w:r w:rsidRPr="002A3FAD">
        <w:t xml:space="preserve">). In this case, </w:t>
      </w:r>
      <w:r w:rsidRPr="00912021">
        <w:rPr>
          <w:rFonts w:ascii="Symbol" w:hAnsi="Symbol"/>
          <w:i/>
          <w:highlight w:val="yellow"/>
        </w:rPr>
        <w:t></w:t>
      </w:r>
      <w:r w:rsidRPr="00912021">
        <w:rPr>
          <w:rFonts w:ascii="Symbol" w:hAnsi="Symbol"/>
          <w:i/>
          <w:highlight w:val="yellow"/>
        </w:rPr>
        <w:t></w:t>
      </w:r>
      <w:r w:rsidRPr="00912021">
        <w:rPr>
          <w:rFonts w:ascii="Symbol" w:hAnsi="Symbol"/>
          <w:i/>
          <w:highlight w:val="yellow"/>
        </w:rPr>
        <w:t></w:t>
      </w:r>
      <w:r w:rsidRPr="00912021">
        <w:rPr>
          <w:rFonts w:ascii="Symbol" w:hAnsi="Symbol"/>
          <w:highlight w:val="yellow"/>
        </w:rPr>
        <w:t></w:t>
      </w:r>
      <w:r w:rsidRPr="002A3FAD">
        <w:t>of 0.0195 (7.8 Hz) and 0.0215 (8.6 Hz) ppm were recorded when [acid/</w:t>
      </w:r>
      <w:r w:rsidRPr="002A3FAD">
        <w:rPr>
          <w:b/>
        </w:rPr>
        <w:t>4h</w:t>
      </w:r>
      <w:r w:rsidRPr="002A3FAD">
        <w:t>] = 1:1, while 0.0214 (8.5 Hz) and 0.0223 (8.9 Hz) ppm were observed when the ratio was changed to 2:1.</w:t>
      </w:r>
    </w:p>
    <w:p w:rsidR="00962F91" w:rsidRPr="002A3FAD" w:rsidRDefault="00D735E9" w:rsidP="00962F91">
      <w:pPr>
        <w:spacing w:before="360"/>
        <w:jc w:val="center"/>
        <w:rPr>
          <w:sz w:val="18"/>
          <w:szCs w:val="20"/>
          <w:lang w:val="en-GB"/>
        </w:rPr>
      </w:pPr>
      <w:r w:rsidRPr="002A3FAD">
        <w:object w:dxaOrig="5412" w:dyaOrig="1471">
          <v:shape id="_x0000_i1042" type="#_x0000_t75" style="width:163.5pt;height:44pt" o:ole="">
            <v:imagedata r:id="rId38" o:title=""/>
          </v:shape>
          <o:OLEObject Type="Embed" ProgID="ChemDraw.Document.6.0" ShapeID="_x0000_i1042" DrawAspect="Content" ObjectID="_1424876991" r:id="rId39"/>
        </w:object>
      </w:r>
    </w:p>
    <w:p w:rsidR="00962F91" w:rsidRPr="002A3FAD" w:rsidRDefault="00FD2606" w:rsidP="00FC514D">
      <w:pPr>
        <w:rPr>
          <w:sz w:val="18"/>
          <w:szCs w:val="20"/>
          <w:lang w:val="en-GB"/>
        </w:rPr>
      </w:pPr>
      <w:r>
        <w:rPr>
          <w:noProof/>
          <w:lang w:val="en-GB" w:eastAsia="en-GB"/>
        </w:rPr>
        <w:pict>
          <v:shape id="_x0000_i1043" type="#_x0000_t75" style="width:248pt;height:171pt">
            <v:imagedata r:id="rId40" o:title=""/>
          </v:shape>
        </w:pict>
      </w:r>
    </w:p>
    <w:p w:rsidR="00962F91" w:rsidRPr="002A3FAD" w:rsidRDefault="00962F91" w:rsidP="00FC514D">
      <w:pPr>
        <w:pStyle w:val="FigureCaption"/>
      </w:pPr>
      <w:r w:rsidRPr="002A3FAD">
        <w:rPr>
          <w:b/>
        </w:rPr>
        <w:t>Figure 1</w:t>
      </w:r>
      <w:r w:rsidR="001A62E6" w:rsidRPr="002A3FAD">
        <w:rPr>
          <w:b/>
        </w:rPr>
        <w:t>3</w:t>
      </w:r>
      <w:r w:rsidRPr="002A3FAD">
        <w:rPr>
          <w:b/>
        </w:rPr>
        <w:t>.</w:t>
      </w:r>
      <w:r w:rsidRPr="002A3FAD">
        <w:t xml:space="preserve"> </w:t>
      </w:r>
      <w:r w:rsidR="001A62E6" w:rsidRPr="002A3FAD">
        <w:t xml:space="preserve">Resolution of dibenzoyltartaric acid by the addition of </w:t>
      </w:r>
      <w:r w:rsidR="001A62E6" w:rsidRPr="002A3FAD">
        <w:rPr>
          <w:b/>
        </w:rPr>
        <w:t>4h</w:t>
      </w:r>
      <w:r w:rsidR="001A62E6" w:rsidRPr="002A3FAD">
        <w:t xml:space="preserve"> (</w:t>
      </w:r>
      <w:r w:rsidR="00FC514D">
        <w:t xml:space="preserve">20 mM in </w:t>
      </w:r>
      <w:r w:rsidR="001A62E6" w:rsidRPr="002A3FAD">
        <w:t>CDCl</w:t>
      </w:r>
      <w:r w:rsidR="001A62E6" w:rsidRPr="002A3FAD">
        <w:rPr>
          <w:vertAlign w:val="subscript"/>
        </w:rPr>
        <w:t>3</w:t>
      </w:r>
      <w:r w:rsidR="001A62E6" w:rsidRPr="002A3FAD">
        <w:t xml:space="preserve">, 400 MHz, 23 ºC). Signals corresponding to the methine protons are presented. A) Racemic acid; B) </w:t>
      </w:r>
      <w:r w:rsidR="001A62E6" w:rsidRPr="002A3FAD">
        <w:rPr>
          <w:b/>
        </w:rPr>
        <w:t>4h</w:t>
      </w:r>
      <w:r w:rsidR="001A62E6" w:rsidRPr="002A3FAD">
        <w:t>+</w:t>
      </w:r>
      <w:r w:rsidR="001A62E6" w:rsidRPr="008C1E3E">
        <w:rPr>
          <w:sz w:val="10"/>
          <w:szCs w:val="10"/>
          <w:highlight w:val="yellow"/>
        </w:rPr>
        <w:t>L</w:t>
      </w:r>
      <w:r w:rsidR="001A62E6" w:rsidRPr="002A3FAD">
        <w:t>-acid (100 %</w:t>
      </w:r>
      <w:r w:rsidR="001A62E6" w:rsidRPr="002A3FAD">
        <w:rPr>
          <w:i/>
        </w:rPr>
        <w:t>ee</w:t>
      </w:r>
      <w:r w:rsidR="001A62E6" w:rsidRPr="002A3FAD">
        <w:t xml:space="preserve">); C) </w:t>
      </w:r>
      <w:r w:rsidR="001A62E6" w:rsidRPr="002A3FAD">
        <w:rPr>
          <w:b/>
        </w:rPr>
        <w:t>4h</w:t>
      </w:r>
      <w:r w:rsidR="001A62E6" w:rsidRPr="002A3FAD">
        <w:t>+</w:t>
      </w:r>
      <w:r w:rsidR="001A62E6" w:rsidRPr="008C1E3E">
        <w:rPr>
          <w:sz w:val="10"/>
          <w:szCs w:val="10"/>
          <w:highlight w:val="yellow"/>
        </w:rPr>
        <w:t>D</w:t>
      </w:r>
      <w:r w:rsidR="001A62E6" w:rsidRPr="002A3FAD">
        <w:t>-acid (100 %</w:t>
      </w:r>
      <w:r w:rsidR="001A62E6" w:rsidRPr="002A3FAD">
        <w:rPr>
          <w:i/>
        </w:rPr>
        <w:t>ee</w:t>
      </w:r>
      <w:r w:rsidR="001A62E6" w:rsidRPr="002A3FAD">
        <w:t xml:space="preserve">); D) </w:t>
      </w:r>
      <w:r w:rsidR="001A62E6" w:rsidRPr="002A3FAD">
        <w:rPr>
          <w:b/>
        </w:rPr>
        <w:t>4h</w:t>
      </w:r>
      <w:r w:rsidR="001A62E6" w:rsidRPr="002A3FAD">
        <w:t>+racemic acid.</w:t>
      </w:r>
    </w:p>
    <w:p w:rsidR="00CA08FA" w:rsidRPr="002A3FAD" w:rsidRDefault="00D20931" w:rsidP="00D20931">
      <w:pPr>
        <w:spacing w:before="360"/>
        <w:jc w:val="center"/>
        <w:rPr>
          <w:sz w:val="18"/>
          <w:szCs w:val="20"/>
          <w:lang w:val="en-GB"/>
        </w:rPr>
      </w:pPr>
      <w:r w:rsidRPr="002A3FAD">
        <w:object w:dxaOrig="7327" w:dyaOrig="2320">
          <v:shape id="_x0000_i1044" type="#_x0000_t75" style="width:220.5pt;height:70.5pt" o:ole="">
            <v:imagedata r:id="rId41" o:title=""/>
          </v:shape>
          <o:OLEObject Type="Embed" ProgID="ChemDraw.Document.6.0" ShapeID="_x0000_i1044" DrawAspect="Content" ObjectID="_1424876992" r:id="rId42"/>
        </w:object>
      </w:r>
    </w:p>
    <w:p w:rsidR="00CA08FA" w:rsidRPr="002A3FAD" w:rsidRDefault="00FD2606" w:rsidP="00FC514D">
      <w:pPr>
        <w:rPr>
          <w:sz w:val="18"/>
          <w:szCs w:val="20"/>
          <w:lang w:val="en-GB"/>
        </w:rPr>
      </w:pPr>
      <w:r>
        <w:rPr>
          <w:noProof/>
          <w:lang w:val="en-GB" w:eastAsia="en-GB"/>
        </w:rPr>
        <w:lastRenderedPageBreak/>
        <w:pict>
          <v:shape id="_x0000_i1045" type="#_x0000_t75" style="width:247.5pt;height:179pt">
            <v:imagedata r:id="rId43" o:title=""/>
          </v:shape>
        </w:pict>
      </w:r>
    </w:p>
    <w:p w:rsidR="00CA08FA" w:rsidRPr="002A3FAD" w:rsidRDefault="00CA08FA" w:rsidP="00FC514D">
      <w:pPr>
        <w:pStyle w:val="FigureCaption"/>
      </w:pPr>
      <w:r w:rsidRPr="002A3FAD">
        <w:rPr>
          <w:b/>
        </w:rPr>
        <w:t>Figure 1</w:t>
      </w:r>
      <w:r w:rsidR="00D20931" w:rsidRPr="002A3FAD">
        <w:rPr>
          <w:b/>
        </w:rPr>
        <w:t>4</w:t>
      </w:r>
      <w:r w:rsidRPr="002A3FAD">
        <w:rPr>
          <w:b/>
        </w:rPr>
        <w:t>.</w:t>
      </w:r>
      <w:r w:rsidRPr="002A3FAD">
        <w:t xml:space="preserve"> </w:t>
      </w:r>
      <w:r w:rsidR="00D20931" w:rsidRPr="002A3FAD">
        <w:t>Resolution of camphor-10-sulfonic acid (</w:t>
      </w:r>
      <w:r w:rsidR="00FC514D">
        <w:t xml:space="preserve">17.2 mM in </w:t>
      </w:r>
      <w:r w:rsidR="00D20931" w:rsidRPr="002A3FAD">
        <w:t>C</w:t>
      </w:r>
      <w:r w:rsidR="00D20931" w:rsidRPr="002A3FAD">
        <w:rPr>
          <w:vertAlign w:val="subscript"/>
        </w:rPr>
        <w:t>6</w:t>
      </w:r>
      <w:r w:rsidR="00D20931" w:rsidRPr="002A3FAD">
        <w:t>D</w:t>
      </w:r>
      <w:r w:rsidR="00D20931" w:rsidRPr="002A3FAD">
        <w:rPr>
          <w:vertAlign w:val="subscript"/>
        </w:rPr>
        <w:t>6</w:t>
      </w:r>
      <w:r w:rsidR="00D20931" w:rsidRPr="002A3FAD">
        <w:t xml:space="preserve">; 400 MHz; 23 ºC). Resonances corresponding to C8 and C9 methyl groups are presented. A) Racemic acid; B) </w:t>
      </w:r>
      <w:r w:rsidR="00D20931" w:rsidRPr="002A3FAD">
        <w:rPr>
          <w:b/>
        </w:rPr>
        <w:t>4h</w:t>
      </w:r>
      <w:r w:rsidR="00D20931" w:rsidRPr="002A3FAD">
        <w:t>+racemic</w:t>
      </w:r>
      <w:r w:rsidR="00D20931" w:rsidRPr="002A3FAD">
        <w:rPr>
          <w:i/>
        </w:rPr>
        <w:t xml:space="preserve"> </w:t>
      </w:r>
      <w:r w:rsidR="00D20931" w:rsidRPr="002A3FAD">
        <w:t xml:space="preserve">acid; C) </w:t>
      </w:r>
      <w:r w:rsidR="00D20931" w:rsidRPr="002A3FAD">
        <w:rPr>
          <w:b/>
        </w:rPr>
        <w:t>4h</w:t>
      </w:r>
      <w:r w:rsidR="00D20931" w:rsidRPr="002A3FAD">
        <w:t>+</w:t>
      </w:r>
      <w:r w:rsidR="00D20931" w:rsidRPr="002A3FAD">
        <w:rPr>
          <w:i/>
        </w:rPr>
        <w:t>R</w:t>
      </w:r>
      <w:r w:rsidR="00D20931" w:rsidRPr="002A3FAD">
        <w:t>-acid (100 %</w:t>
      </w:r>
      <w:r w:rsidR="00D20931" w:rsidRPr="002A3FAD">
        <w:rPr>
          <w:i/>
        </w:rPr>
        <w:t>ee</w:t>
      </w:r>
      <w:r w:rsidR="00D20931" w:rsidRPr="002A3FAD">
        <w:t xml:space="preserve">); D) </w:t>
      </w:r>
      <w:r w:rsidR="00D20931" w:rsidRPr="002A3FAD">
        <w:rPr>
          <w:b/>
        </w:rPr>
        <w:t>4h</w:t>
      </w:r>
      <w:r w:rsidR="00D20931" w:rsidRPr="002A3FAD">
        <w:t>+</w:t>
      </w:r>
      <w:r w:rsidR="00D20931" w:rsidRPr="002A3FAD">
        <w:rPr>
          <w:i/>
        </w:rPr>
        <w:t>R</w:t>
      </w:r>
      <w:r w:rsidR="00D20931" w:rsidRPr="002A3FAD">
        <w:t>-acid (35 %</w:t>
      </w:r>
      <w:r w:rsidR="00D20931" w:rsidRPr="002A3FAD">
        <w:rPr>
          <w:i/>
        </w:rPr>
        <w:t>ee</w:t>
      </w:r>
      <w:r w:rsidR="00D20931" w:rsidRPr="002A3FAD">
        <w:t>).</w:t>
      </w:r>
      <w:r w:rsidR="00192523">
        <w:t xml:space="preserve"> </w:t>
      </w:r>
      <w:r w:rsidR="00192523" w:rsidRPr="00192523">
        <w:rPr>
          <w:highlight w:val="yellow"/>
        </w:rPr>
        <w:t xml:space="preserve">The signals at </w:t>
      </w:r>
      <w:r w:rsidR="007F0336">
        <w:rPr>
          <w:i/>
          <w:highlight w:val="yellow"/>
        </w:rPr>
        <w:t xml:space="preserve">ca. </w:t>
      </w:r>
      <w:r w:rsidR="00192523" w:rsidRPr="00192523">
        <w:rPr>
          <w:highlight w:val="yellow"/>
        </w:rPr>
        <w:t xml:space="preserve">0.4 ppm </w:t>
      </w:r>
      <w:r w:rsidR="00B37785">
        <w:rPr>
          <w:highlight w:val="yellow"/>
        </w:rPr>
        <w:t>is due</w:t>
      </w:r>
      <w:r w:rsidR="00192523" w:rsidRPr="00192523">
        <w:rPr>
          <w:highlight w:val="yellow"/>
        </w:rPr>
        <w:t xml:space="preserve"> to </w:t>
      </w:r>
      <w:r w:rsidR="00B37785">
        <w:rPr>
          <w:highlight w:val="yellow"/>
        </w:rPr>
        <w:t xml:space="preserve">residual </w:t>
      </w:r>
      <w:r w:rsidR="00192523" w:rsidRPr="00192523">
        <w:rPr>
          <w:highlight w:val="yellow"/>
        </w:rPr>
        <w:t xml:space="preserve">water; other signals belong to </w:t>
      </w:r>
      <w:r w:rsidR="00E21482">
        <w:rPr>
          <w:highlight w:val="yellow"/>
        </w:rPr>
        <w:t>the analyte</w:t>
      </w:r>
      <w:r w:rsidR="00192523" w:rsidRPr="00192523">
        <w:rPr>
          <w:highlight w:val="yellow"/>
        </w:rPr>
        <w:t>.</w:t>
      </w:r>
    </w:p>
    <w:bookmarkEnd w:id="0"/>
    <w:p w:rsidR="00BE114C" w:rsidRPr="002A3FAD" w:rsidRDefault="00BE114C" w:rsidP="00BE114C">
      <w:pPr>
        <w:pStyle w:val="H1"/>
      </w:pPr>
      <w:r w:rsidRPr="002A3FAD">
        <w:t>Conclusion</w:t>
      </w:r>
    </w:p>
    <w:p w:rsidR="000D2947" w:rsidRDefault="00D20931" w:rsidP="00D20931">
      <w:pPr>
        <w:pStyle w:val="P1withoutIndendation"/>
      </w:pPr>
      <w:r w:rsidRPr="002A3FAD">
        <w:t>A family of chiral zwitterionic phosphorous-containing heterocycles (zPHC)</w:t>
      </w:r>
      <w:r w:rsidRPr="002A3FAD">
        <w:rPr>
          <w:b/>
        </w:rPr>
        <w:t xml:space="preserve"> </w:t>
      </w:r>
      <w:r w:rsidRPr="002A3FAD">
        <w:t>have been</w:t>
      </w:r>
      <w:r w:rsidRPr="002A3FAD">
        <w:rPr>
          <w:b/>
        </w:rPr>
        <w:t xml:space="preserve"> </w:t>
      </w:r>
      <w:r w:rsidRPr="002A3FAD">
        <w:t xml:space="preserve">designed, synthesised and characterised. X-ray structural analysis and DFT calculation suggest that these zPHCs are highly polar molecules, combining a concentration of electron density on the </w:t>
      </w:r>
      <w:r w:rsidR="00F00C27" w:rsidRPr="002A3FAD">
        <w:t>PO</w:t>
      </w:r>
      <w:r w:rsidR="00F00C27" w:rsidRPr="002A3FAD">
        <w:rPr>
          <w:vertAlign w:val="subscript"/>
        </w:rPr>
        <w:t>2</w:t>
      </w:r>
      <w:r w:rsidR="00F00C27" w:rsidRPr="002A3FAD">
        <w:rPr>
          <w:vertAlign w:val="superscript"/>
        </w:rPr>
        <w:sym w:font="Webdings" w:char="F079"/>
      </w:r>
      <w:r w:rsidRPr="002A3FAD">
        <w:t xml:space="preserve"> moiety, with a </w:t>
      </w:r>
      <w:r w:rsidR="00B37785">
        <w:t xml:space="preserve">highly </w:t>
      </w:r>
      <w:r w:rsidRPr="002A3FAD">
        <w:t xml:space="preserve">diffused cation within the </w:t>
      </w:r>
      <w:r w:rsidR="00FC514D" w:rsidRPr="00FC514D">
        <w:rPr>
          <w:i/>
        </w:rPr>
        <w:t>bis</w:t>
      </w:r>
      <w:r w:rsidR="00FC514D">
        <w:t>-</w:t>
      </w:r>
      <w:r w:rsidRPr="002A3FAD">
        <w:t xml:space="preserve">imidazoline framework. These special qualities were exploited in their application as </w:t>
      </w:r>
      <w:r w:rsidR="00B37785" w:rsidRPr="002A3FAD">
        <w:t xml:space="preserve">structurally-novel </w:t>
      </w:r>
      <w:r w:rsidRPr="002A3FAD">
        <w:t xml:space="preserve">chiral solvating agents, in resolving a wider range of analytes. Our preliminary studies showed that they can be used to resolve an </w:t>
      </w:r>
      <w:r w:rsidRPr="002A3FAD">
        <w:rPr>
          <w:rFonts w:ascii="Symbol" w:hAnsi="Symbol"/>
        </w:rPr>
        <w:t></w:t>
      </w:r>
      <w:r w:rsidRPr="002A3FAD">
        <w:t>-hydroxyl acid, a diacid, and a sulfonic acid. Examples of such broad applicability of a CSA across different types of chiral acids are rare. The nature of the binding will be examined in our future work, including potential applications in asymmetric synthesis.</w:t>
      </w:r>
    </w:p>
    <w:p w:rsidR="009E6670" w:rsidRPr="00530284" w:rsidRDefault="009E6670" w:rsidP="009E6670">
      <w:pPr>
        <w:pStyle w:val="HExperimentalSection"/>
        <w:rPr>
          <w:lang w:val="en-GB"/>
        </w:rPr>
      </w:pPr>
      <w:r>
        <w:rPr>
          <w:lang w:val="en-GB"/>
        </w:rPr>
        <w:t>Experimental Section</w:t>
      </w:r>
    </w:p>
    <w:p w:rsidR="009E6670" w:rsidRDefault="009E6670" w:rsidP="009E6670">
      <w:pPr>
        <w:pStyle w:val="ExperimentalSection"/>
        <w:rPr>
          <w:lang w:eastAsia="en-GB"/>
        </w:rPr>
      </w:pPr>
      <w:r w:rsidRPr="00337D59">
        <w:rPr>
          <w:b/>
        </w:rPr>
        <w:t>General</w:t>
      </w:r>
      <w:r>
        <w:rPr>
          <w:b/>
        </w:rPr>
        <w:t xml:space="preserve">: </w:t>
      </w:r>
      <w:r w:rsidRPr="00FA4A17">
        <w:rPr>
          <w:lang w:eastAsia="en-GB"/>
        </w:rPr>
        <w:t xml:space="preserve">Solvents were dried by passing through columns of molecular sieves in a solvent purification system </w:t>
      </w:r>
      <w:r w:rsidRPr="00FA4A17">
        <w:rPr>
          <w:bCs/>
        </w:rPr>
        <w:t>(Innovative Technology Inc)</w:t>
      </w:r>
      <w:r w:rsidRPr="00FA4A17">
        <w:t xml:space="preserve">. Unless otherwise stated, materials obtained from commercial suppliers were used without further purification. Preparative separations were performed by silica gel gravity column chromatography. </w:t>
      </w:r>
      <w:r w:rsidRPr="00FA4A17">
        <w:rPr>
          <w:lang w:eastAsia="en-GB"/>
        </w:rPr>
        <w:t xml:space="preserve">TLCs were visualized with molybdate dip or UV light. </w:t>
      </w:r>
      <w:r w:rsidRPr="00FA4A17">
        <w:rPr>
          <w:vertAlign w:val="superscript"/>
        </w:rPr>
        <w:t>1</w:t>
      </w:r>
      <w:r w:rsidRPr="00FA4A17">
        <w:t xml:space="preserve">H NMR (400 MHz), </w:t>
      </w:r>
      <w:r w:rsidRPr="00FA4A17">
        <w:rPr>
          <w:vertAlign w:val="superscript"/>
        </w:rPr>
        <w:t>13</w:t>
      </w:r>
      <w:r w:rsidRPr="00FA4A17">
        <w:t xml:space="preserve">C NMR (100 MHz), </w:t>
      </w:r>
      <w:r w:rsidRPr="00FA4A17">
        <w:rPr>
          <w:vertAlign w:val="superscript"/>
        </w:rPr>
        <w:t>31</w:t>
      </w:r>
      <w:r w:rsidRPr="00FA4A17">
        <w:t xml:space="preserve">P NMR (162 MHz) and </w:t>
      </w:r>
      <w:r w:rsidRPr="00FA4A17">
        <w:rPr>
          <w:vertAlign w:val="superscript"/>
        </w:rPr>
        <w:t>19</w:t>
      </w:r>
      <w:r w:rsidRPr="00FA4A17">
        <w:t>F NMR (377 MHz) spectra were recorded at 25 °C on Bruker Avance 400 MHz spectrometers. Chemical shifts (</w:t>
      </w:r>
      <w:r w:rsidRPr="00912021">
        <w:rPr>
          <w:rFonts w:ascii="Symbol" w:hAnsi="Symbol"/>
          <w:i/>
          <w:highlight w:val="yellow"/>
        </w:rPr>
        <w:t></w:t>
      </w:r>
      <w:r w:rsidRPr="00FA4A17">
        <w:t xml:space="preserve">) were reported in ppm relative to </w:t>
      </w:r>
      <w:r w:rsidR="00A4308A">
        <w:t xml:space="preserve">residual </w:t>
      </w:r>
      <w:r w:rsidRPr="00FA4A17">
        <w:t>C</w:t>
      </w:r>
      <w:r w:rsidR="00A4308A">
        <w:t>H</w:t>
      </w:r>
      <w:r w:rsidRPr="00FA4A17">
        <w:t>Cl</w:t>
      </w:r>
      <w:r w:rsidRPr="00FA4A17">
        <w:rPr>
          <w:vertAlign w:val="subscript"/>
        </w:rPr>
        <w:t>3</w:t>
      </w:r>
      <w:r w:rsidRPr="00FA4A17">
        <w:t xml:space="preserve"> (</w:t>
      </w:r>
      <w:r w:rsidRPr="00FA4A17">
        <w:rPr>
          <w:i/>
        </w:rPr>
        <w:t>δ</w:t>
      </w:r>
      <w:r w:rsidRPr="00FA4A17">
        <w:t xml:space="preserve"> = 7.26) or </w:t>
      </w:r>
      <w:r w:rsidR="00DE072F" w:rsidRPr="00FA4A17">
        <w:t xml:space="preserve">DMSO </w:t>
      </w:r>
      <w:r w:rsidRPr="00FA4A17">
        <w:t>(</w:t>
      </w:r>
      <w:r w:rsidRPr="00FA4A17">
        <w:rPr>
          <w:i/>
        </w:rPr>
        <w:t>δ</w:t>
      </w:r>
      <w:r w:rsidRPr="00FA4A17">
        <w:t xml:space="preserve"> = 2.50) for </w:t>
      </w:r>
      <w:r w:rsidRPr="00FA4A17">
        <w:rPr>
          <w:vertAlign w:val="superscript"/>
        </w:rPr>
        <w:t>1</w:t>
      </w:r>
      <w:r w:rsidRPr="00FA4A17">
        <w:t>H NMR and CDCl</w:t>
      </w:r>
      <w:r w:rsidRPr="00FA4A17">
        <w:rPr>
          <w:vertAlign w:val="subscript"/>
        </w:rPr>
        <w:t>3</w:t>
      </w:r>
      <w:r w:rsidRPr="00FA4A17">
        <w:t xml:space="preserve"> (</w:t>
      </w:r>
      <w:r w:rsidRPr="00FA4A17">
        <w:rPr>
          <w:i/>
        </w:rPr>
        <w:t>δ</w:t>
      </w:r>
      <w:r w:rsidRPr="00FA4A17">
        <w:t xml:space="preserve"> = 77.00) or </w:t>
      </w:r>
      <w:r w:rsidR="00DE072F">
        <w:t>[D</w:t>
      </w:r>
      <w:r w:rsidR="00DE072F" w:rsidRPr="00DE072F">
        <w:rPr>
          <w:vertAlign w:val="subscript"/>
        </w:rPr>
        <w:t>6</w:t>
      </w:r>
      <w:r w:rsidR="00DE072F">
        <w:t>]</w:t>
      </w:r>
      <w:r w:rsidRPr="00FA4A17">
        <w:t>DMSO (</w:t>
      </w:r>
      <w:r w:rsidRPr="00FA4A17">
        <w:rPr>
          <w:i/>
        </w:rPr>
        <w:t>δ</w:t>
      </w:r>
      <w:r w:rsidRPr="00FA4A17">
        <w:t xml:space="preserve"> = 39.52) for </w:t>
      </w:r>
      <w:r w:rsidRPr="00FA4A17">
        <w:rPr>
          <w:vertAlign w:val="superscript"/>
        </w:rPr>
        <w:t>13</w:t>
      </w:r>
      <w:r w:rsidRPr="00FA4A17">
        <w:t>C NMR. (MeO)</w:t>
      </w:r>
      <w:r w:rsidRPr="00FA4A17">
        <w:rPr>
          <w:vertAlign w:val="subscript"/>
        </w:rPr>
        <w:t>3</w:t>
      </w:r>
      <w:r w:rsidRPr="00FA4A17">
        <w:t>P=O (</w:t>
      </w:r>
      <w:r w:rsidRPr="00FA4A17">
        <w:rPr>
          <w:i/>
        </w:rPr>
        <w:t>δ</w:t>
      </w:r>
      <w:r w:rsidRPr="00FA4A17">
        <w:t xml:space="preserve"> = 3.0 ppm in CDCl</w:t>
      </w:r>
      <w:r w:rsidRPr="00FA4A17">
        <w:rPr>
          <w:vertAlign w:val="subscript"/>
        </w:rPr>
        <w:t>3</w:t>
      </w:r>
      <w:r w:rsidRPr="00FA4A17">
        <w:t xml:space="preserve">) was used as internal standard for </w:t>
      </w:r>
      <w:r w:rsidRPr="00FA4A17">
        <w:rPr>
          <w:vertAlign w:val="superscript"/>
        </w:rPr>
        <w:t>31</w:t>
      </w:r>
      <w:r w:rsidRPr="00FA4A17">
        <w:t xml:space="preserve">P NMR spectra. IR spectra were recorded on </w:t>
      </w:r>
      <w:r w:rsidRPr="00FA4A17">
        <w:rPr>
          <w:bCs/>
        </w:rPr>
        <w:t>FTIR spectrometers</w:t>
      </w:r>
      <w:r w:rsidRPr="00FA4A17">
        <w:t xml:space="preserve"> Bruker Equinox 55 or </w:t>
      </w:r>
      <w:r w:rsidRPr="00FA4A17">
        <w:rPr>
          <w:lang w:eastAsia="en-GB"/>
        </w:rPr>
        <w:t xml:space="preserve">Perkin Elmer Spectrum 100 </w:t>
      </w:r>
      <w:r w:rsidR="00A4308A">
        <w:t>as</w:t>
      </w:r>
      <w:bookmarkStart w:id="1" w:name="_GoBack"/>
      <w:bookmarkEnd w:id="1"/>
      <w:r w:rsidRPr="00FA4A17">
        <w:t xml:space="preserve"> neat samples or as solutions in CHCl</w:t>
      </w:r>
      <w:r w:rsidRPr="00FA4A17">
        <w:rPr>
          <w:vertAlign w:val="subscript"/>
        </w:rPr>
        <w:t>3</w:t>
      </w:r>
      <w:r w:rsidRPr="00FA4A17">
        <w:t xml:space="preserve">. High-resolution mass spectra were recorded on GTC Premier, LTQ Orbitrap XL, </w:t>
      </w:r>
      <w:r w:rsidRPr="00FA4A17">
        <w:rPr>
          <w:lang w:eastAsia="en-GB"/>
        </w:rPr>
        <w:t>Micromass Autospec Premier, Micromass LCT Premier, or VG Platform II</w:t>
      </w:r>
      <w:r w:rsidRPr="00FA4A17">
        <w:t xml:space="preserve"> spectrometers using EI or ESI ionization methods in methanol, acetonitrile or chloroform. Optical rotation was measured on </w:t>
      </w:r>
      <w:r w:rsidRPr="00FA4A17">
        <w:rPr>
          <w:bCs/>
        </w:rPr>
        <w:t xml:space="preserve">Autopol IV </w:t>
      </w:r>
      <w:r w:rsidRPr="00FA4A17">
        <w:t xml:space="preserve">polarimeter. Elemental analysis was performed using </w:t>
      </w:r>
      <w:r w:rsidRPr="00FA4A17">
        <w:rPr>
          <w:bCs/>
        </w:rPr>
        <w:t>PE 2400 Series II CHNS/O</w:t>
      </w:r>
      <w:r w:rsidRPr="00FA4A17">
        <w:t xml:space="preserve"> elemental analyzer. </w:t>
      </w:r>
      <w:r w:rsidRPr="00FA4A17">
        <w:rPr>
          <w:lang w:eastAsia="en-GB"/>
        </w:rPr>
        <w:t>Melting points were determined using an Electrothermal Gallenhamp apparatus fitted with a calibrated thermometer with an error of ±2 °C. HPLC analyses were performed on Hewlett Packard</w:t>
      </w:r>
      <w:r>
        <w:rPr>
          <w:lang w:eastAsia="en-GB"/>
        </w:rPr>
        <w:t xml:space="preserve"> 1050</w:t>
      </w:r>
      <w:r w:rsidRPr="00FA4A17">
        <w:rPr>
          <w:lang w:eastAsia="en-GB"/>
        </w:rPr>
        <w:t xml:space="preserve"> HPLC machines using CHIRACEL OD and OD-H columns.</w:t>
      </w:r>
    </w:p>
    <w:p w:rsidR="009E6670" w:rsidRDefault="00F626B6" w:rsidP="009E6670">
      <w:pPr>
        <w:pStyle w:val="ExperimentalSection"/>
        <w:rPr>
          <w:lang w:eastAsia="en-GB"/>
        </w:rPr>
      </w:pPr>
      <w:r w:rsidRPr="00F626B6">
        <w:rPr>
          <w:highlight w:val="yellow"/>
          <w:lang w:eastAsia="en-GB"/>
        </w:rPr>
        <w:t>Mu</w:t>
      </w:r>
      <w:r w:rsidR="009E6670" w:rsidRPr="00F626B6">
        <w:rPr>
          <w:highlight w:val="yellow"/>
          <w:lang w:eastAsia="en-GB"/>
        </w:rPr>
        <w:t>lliken</w:t>
      </w:r>
      <w:r w:rsidR="009E6670" w:rsidRPr="00FA4A17">
        <w:rPr>
          <w:lang w:eastAsia="en-GB"/>
        </w:rPr>
        <w:t xml:space="preserve"> partial charges and electrostatic potential surfaces </w:t>
      </w:r>
      <w:r w:rsidR="009E6670">
        <w:rPr>
          <w:lang w:eastAsia="en-GB"/>
        </w:rPr>
        <w:t xml:space="preserve">for compound </w:t>
      </w:r>
      <w:r w:rsidR="009E6670" w:rsidRPr="00DF102C">
        <w:rPr>
          <w:b/>
          <w:lang w:eastAsia="en-GB"/>
        </w:rPr>
        <w:t>4a</w:t>
      </w:r>
      <w:r w:rsidR="009E6670">
        <w:rPr>
          <w:lang w:eastAsia="en-GB"/>
        </w:rPr>
        <w:t xml:space="preserve"> </w:t>
      </w:r>
      <w:r w:rsidR="009E6670" w:rsidRPr="00FA4A17">
        <w:rPr>
          <w:lang w:eastAsia="en-GB"/>
        </w:rPr>
        <w:t>were calculated by DFT using Gaussian 09 and GaussView 5.0 software, employing a B3LYP/6-311G(d,p) basis set.</w:t>
      </w:r>
    </w:p>
    <w:p w:rsidR="009E6670" w:rsidRPr="009E6670" w:rsidRDefault="009E6670" w:rsidP="009E6670">
      <w:pPr>
        <w:pStyle w:val="ExperimentalSection"/>
        <w:rPr>
          <w:lang w:eastAsia="en-GB"/>
        </w:rPr>
      </w:pPr>
      <w:r w:rsidRPr="00FA4A17">
        <w:t xml:space="preserve">X-ray Structure determination: </w:t>
      </w:r>
      <w:r w:rsidRPr="00FA4A17">
        <w:rPr>
          <w:color w:val="000000"/>
          <w:lang w:eastAsia="ru-RU"/>
        </w:rPr>
        <w:t>Crystallographic data for the investigated compounds have been deposited with the Cambridge Crystallographic Data Center, CCDC 900435 (</w:t>
      </w:r>
      <w:r>
        <w:rPr>
          <w:b/>
          <w:color w:val="000000"/>
          <w:lang w:eastAsia="ru-RU"/>
        </w:rPr>
        <w:t>3</w:t>
      </w:r>
      <w:r w:rsidRPr="00FA4A17">
        <w:rPr>
          <w:b/>
          <w:color w:val="000000"/>
          <w:lang w:eastAsia="ru-RU"/>
        </w:rPr>
        <w:t>f</w:t>
      </w:r>
      <w:r w:rsidRPr="00FA4A17">
        <w:rPr>
          <w:color w:val="000000"/>
          <w:lang w:eastAsia="ru-RU"/>
        </w:rPr>
        <w:t>•HBF</w:t>
      </w:r>
      <w:r w:rsidRPr="00FA4A17">
        <w:rPr>
          <w:color w:val="000000"/>
          <w:vertAlign w:val="subscript"/>
          <w:lang w:eastAsia="ru-RU"/>
        </w:rPr>
        <w:t>4</w:t>
      </w:r>
      <w:r w:rsidRPr="00FA4A17">
        <w:rPr>
          <w:color w:val="000000"/>
          <w:lang w:eastAsia="ru-RU"/>
        </w:rPr>
        <w:t>), 900436 (</w:t>
      </w:r>
      <w:r w:rsidRPr="00FA4A17">
        <w:rPr>
          <w:b/>
          <w:color w:val="000000"/>
          <w:lang w:eastAsia="ru-RU"/>
        </w:rPr>
        <w:t>4a</w:t>
      </w:r>
      <w:r w:rsidRPr="00FA4A17">
        <w:rPr>
          <w:color w:val="000000"/>
          <w:lang w:eastAsia="ru-RU"/>
        </w:rPr>
        <w:t>),</w:t>
      </w:r>
      <w:r w:rsidR="00FC514D">
        <w:rPr>
          <w:color w:val="000000"/>
          <w:lang w:eastAsia="ru-RU"/>
        </w:rPr>
        <w:t xml:space="preserve"> and</w:t>
      </w:r>
      <w:r w:rsidRPr="00FA4A17">
        <w:rPr>
          <w:color w:val="000000"/>
          <w:lang w:eastAsia="ru-RU"/>
        </w:rPr>
        <w:t xml:space="preserve"> 900437 (</w:t>
      </w:r>
      <w:r w:rsidRPr="00FA4A17">
        <w:rPr>
          <w:b/>
          <w:color w:val="000000"/>
          <w:lang w:eastAsia="ru-RU"/>
        </w:rPr>
        <w:t>4f</w:t>
      </w:r>
      <w:r w:rsidRPr="00FA4A17">
        <w:rPr>
          <w:color w:val="000000"/>
          <w:lang w:eastAsia="ru-RU"/>
        </w:rPr>
        <w:t xml:space="preserve">). Copies of this information may be obtained </w:t>
      </w:r>
      <w:r w:rsidRPr="00FA4A17">
        <w:rPr>
          <w:color w:val="000000"/>
          <w:lang w:eastAsia="ru-RU"/>
        </w:rPr>
        <w:lastRenderedPageBreak/>
        <w:t xml:space="preserve">free of charge from the Director, CCDC, 12 Union Road, Cambridge CB2 1EZ, UK </w:t>
      </w:r>
      <w:r w:rsidRPr="009E6670">
        <w:rPr>
          <w:lang w:eastAsia="ru-RU"/>
        </w:rPr>
        <w:t xml:space="preserve">(fax: +44 1223 336033; e-mail: deposit@ccdc.cam.ac.uk or </w:t>
      </w:r>
      <w:hyperlink r:id="rId44" w:history="1">
        <w:r w:rsidRPr="009E6670">
          <w:rPr>
            <w:rStyle w:val="Hyperlink"/>
            <w:color w:val="auto"/>
            <w:u w:val="none"/>
            <w:lang w:eastAsia="ru-RU"/>
          </w:rPr>
          <w:t>www.ccdc.cam.ac.uk</w:t>
        </w:r>
      </w:hyperlink>
      <w:r w:rsidRPr="009E6670">
        <w:rPr>
          <w:lang w:eastAsia="ru-RU"/>
        </w:rPr>
        <w:t>).</w:t>
      </w:r>
    </w:p>
    <w:p w:rsidR="009E6670" w:rsidRDefault="009E6670" w:rsidP="009E6670">
      <w:pPr>
        <w:pStyle w:val="ExperimentalSection"/>
      </w:pPr>
      <w:r>
        <w:rPr>
          <w:b/>
        </w:rPr>
        <w:t xml:space="preserve">Synthesis of phosphorus zwitterionic heterocycles 4: </w:t>
      </w:r>
      <w:r>
        <w:rPr>
          <w:i/>
        </w:rPr>
        <w:t xml:space="preserve">General procedure: </w:t>
      </w:r>
      <w:r w:rsidRPr="00FA4A17">
        <w:t xml:space="preserve">A mixture of the corresponding salt </w:t>
      </w:r>
      <w:r>
        <w:rPr>
          <w:b/>
        </w:rPr>
        <w:t>9</w:t>
      </w:r>
      <w:r w:rsidRPr="00FA4A17">
        <w:t xml:space="preserve"> (1 mol equiv.) and 10% aq. NaOH (15 mol equiv.) in CH</w:t>
      </w:r>
      <w:r w:rsidRPr="00FA4A17">
        <w:rPr>
          <w:vertAlign w:val="subscript"/>
        </w:rPr>
        <w:t>2</w:t>
      </w:r>
      <w:r w:rsidRPr="00FA4A17">
        <w:t>Cl</w:t>
      </w:r>
      <w:r w:rsidRPr="00FA4A17">
        <w:rPr>
          <w:vertAlign w:val="subscript"/>
        </w:rPr>
        <w:t>2</w:t>
      </w:r>
      <w:r w:rsidRPr="00FA4A17">
        <w:t xml:space="preserve"> (15 mL per 1 mmol of </w:t>
      </w:r>
      <w:r>
        <w:rPr>
          <w:b/>
        </w:rPr>
        <w:t>9</w:t>
      </w:r>
      <w:r w:rsidRPr="00FA4A17">
        <w:t xml:space="preserve">) was </w:t>
      </w:r>
      <w:r>
        <w:t>vigorously</w:t>
      </w:r>
      <w:r w:rsidRPr="00FA4A17">
        <w:t xml:space="preserve"> shaken in a separatory funnel for 5 min. The organic phase was separated; the aqueous phase was extracted with CH</w:t>
      </w:r>
      <w:r w:rsidRPr="00FA4A17">
        <w:rPr>
          <w:vertAlign w:val="subscript"/>
        </w:rPr>
        <w:t>2</w:t>
      </w:r>
      <w:r w:rsidRPr="00FA4A17">
        <w:t>Cl</w:t>
      </w:r>
      <w:r w:rsidRPr="00FA4A17">
        <w:rPr>
          <w:vertAlign w:val="subscript"/>
        </w:rPr>
        <w:t>2</w:t>
      </w:r>
      <w:r w:rsidRPr="00FA4A17">
        <w:t xml:space="preserve"> (30 mL). The combined organic phases were washed with water (20 mL), dried over MgSO</w:t>
      </w:r>
      <w:r w:rsidRPr="00FA4A17">
        <w:rPr>
          <w:vertAlign w:val="subscript"/>
        </w:rPr>
        <w:t>4</w:t>
      </w:r>
      <w:r w:rsidRPr="00FA4A17">
        <w:t xml:space="preserve"> and concentrated to dryness under reduced pressure to provide the corresponding free base </w:t>
      </w:r>
      <w:r>
        <w:rPr>
          <w:b/>
        </w:rPr>
        <w:t>3</w:t>
      </w:r>
      <w:r w:rsidRPr="00FA4A17">
        <w:t xml:space="preserve"> quantitative</w:t>
      </w:r>
      <w:r>
        <w:t>ly</w:t>
      </w:r>
      <w:r w:rsidRPr="00FA4A17">
        <w:t xml:space="preserve"> as </w:t>
      </w:r>
      <w:r>
        <w:t xml:space="preserve">a </w:t>
      </w:r>
      <w:r w:rsidRPr="00FA4A17">
        <w:t xml:space="preserve">white solid. The free MBI base </w:t>
      </w:r>
      <w:r>
        <w:rPr>
          <w:b/>
        </w:rPr>
        <w:t>3</w:t>
      </w:r>
      <w:r w:rsidRPr="00FA4A17">
        <w:t xml:space="preserve"> was then dissolved in dry CH</w:t>
      </w:r>
      <w:r w:rsidRPr="00FA4A17">
        <w:rPr>
          <w:vertAlign w:val="subscript"/>
        </w:rPr>
        <w:t>2</w:t>
      </w:r>
      <w:r w:rsidRPr="00FA4A17">
        <w:t>Cl</w:t>
      </w:r>
      <w:r w:rsidRPr="00FA4A17">
        <w:rPr>
          <w:vertAlign w:val="subscript"/>
        </w:rPr>
        <w:t>2</w:t>
      </w:r>
      <w:r w:rsidRPr="00FA4A17">
        <w:t xml:space="preserve"> (5 mL per 1 mmol of salt </w:t>
      </w:r>
      <w:r>
        <w:rPr>
          <w:b/>
        </w:rPr>
        <w:t>9</w:t>
      </w:r>
      <w:r w:rsidRPr="00FA4A17">
        <w:t xml:space="preserve">), the resulting solution was cooled to 0 °C followed by the dropwise addition of phosphorous oxychloride (1 mol equiv.) and triethylamine (2 mol equiv.) under the atmosphere of dry argon. The reaction mixture was stirred for 24 h at </w:t>
      </w:r>
      <w:r w:rsidR="00FC514D">
        <w:t>r.t.</w:t>
      </w:r>
      <w:r w:rsidRPr="00FA4A17">
        <w:t>, concentrated to dryness under reduce</w:t>
      </w:r>
      <w:r>
        <w:t>d pressure and quenched with 10</w:t>
      </w:r>
      <w:r w:rsidRPr="00FA4A17">
        <w:t xml:space="preserve">% aq. NaOH (10 mol equiv.). After 12 h of stirring at </w:t>
      </w:r>
      <w:r w:rsidR="00FC514D">
        <w:t>r.t.</w:t>
      </w:r>
      <w:r>
        <w:t>,</w:t>
      </w:r>
      <w:r w:rsidRPr="00FA4A17">
        <w:t xml:space="preserve"> the reaction mixture was extracted with CH</w:t>
      </w:r>
      <w:r w:rsidRPr="00FA4A17">
        <w:rPr>
          <w:vertAlign w:val="subscript"/>
        </w:rPr>
        <w:t>2</w:t>
      </w:r>
      <w:r w:rsidRPr="00FA4A17">
        <w:t>Cl</w:t>
      </w:r>
      <w:r w:rsidRPr="00FA4A17">
        <w:rPr>
          <w:vertAlign w:val="subscript"/>
        </w:rPr>
        <w:t>2</w:t>
      </w:r>
      <w:r w:rsidRPr="00FA4A17">
        <w:t xml:space="preserve"> (3×50 mL), the combined organic phases were washed with water (20 mL), dried over MgSO</w:t>
      </w:r>
      <w:r w:rsidRPr="00FA4A17">
        <w:rPr>
          <w:vertAlign w:val="subscript"/>
        </w:rPr>
        <w:t>4</w:t>
      </w:r>
      <w:r w:rsidRPr="00FA4A17">
        <w:t xml:space="preserve"> and concentrated to afford pure inner salts </w:t>
      </w:r>
      <w:r w:rsidRPr="00FA4A17">
        <w:rPr>
          <w:b/>
        </w:rPr>
        <w:t>4</w:t>
      </w:r>
      <w:r w:rsidRPr="00FA4A17">
        <w:t xml:space="preserve"> as white or</w:t>
      </w:r>
      <w:r>
        <w:t xml:space="preserve"> pale yellow</w:t>
      </w:r>
      <w:r w:rsidRPr="00FA4A17">
        <w:t xml:space="preserve"> solids. Analytical samples of </w:t>
      </w:r>
      <w:r w:rsidRPr="00FA4A17">
        <w:rPr>
          <w:b/>
        </w:rPr>
        <w:t>4</w:t>
      </w:r>
      <w:r w:rsidRPr="00FA4A17">
        <w:t xml:space="preserve"> </w:t>
      </w:r>
      <w:r>
        <w:t>were</w:t>
      </w:r>
      <w:r w:rsidRPr="00FA4A17">
        <w:t xml:space="preserve"> prepared by recrystallization from a suitable solvent.</w:t>
      </w:r>
      <w:r w:rsidR="002B451A">
        <w:t xml:space="preserve"> See ESI for further details.</w:t>
      </w:r>
    </w:p>
    <w:p w:rsidR="00184380" w:rsidRPr="002A3FAD" w:rsidRDefault="00184380" w:rsidP="00184380">
      <w:pPr>
        <w:pStyle w:val="H1"/>
      </w:pPr>
      <w:r w:rsidRPr="002A3FAD">
        <w:t>Acknowledgements</w:t>
      </w:r>
    </w:p>
    <w:p w:rsidR="00184380" w:rsidRPr="002A3FAD" w:rsidRDefault="003621B5" w:rsidP="00390DD7">
      <w:pPr>
        <w:pStyle w:val="ExperimentalSection"/>
      </w:pPr>
      <w:r w:rsidRPr="002A3FAD">
        <w:t xml:space="preserve">AES was supported by a Marie Curie Intra-European Fellowship within the 7th European Community Framework Programme (FP7, project number: 252247). </w:t>
      </w:r>
      <w:r w:rsidRPr="002A3FAD">
        <w:rPr>
          <w:szCs w:val="16"/>
        </w:rPr>
        <w:t xml:space="preserve">IML </w:t>
      </w:r>
      <w:r w:rsidRPr="002A3FAD">
        <w:rPr>
          <w:szCs w:val="15"/>
        </w:rPr>
        <w:t xml:space="preserve">was supported </w:t>
      </w:r>
      <w:r w:rsidRPr="002A3FAD">
        <w:rPr>
          <w:szCs w:val="16"/>
        </w:rPr>
        <w:t xml:space="preserve">by IOCB (grant no. Z40550506) and </w:t>
      </w:r>
      <w:r w:rsidRPr="002A3FAD">
        <w:rPr>
          <w:szCs w:val="15"/>
        </w:rPr>
        <w:t>IC by the Ministry of Education of the Czech Republic (grant no. MSM0021620857</w:t>
      </w:r>
      <w:r w:rsidRPr="002A3FAD">
        <w:t>). EVB is grateful to Dr Klaus Hellgardt (ICL) for support.</w:t>
      </w:r>
    </w:p>
    <w:p w:rsidR="00366547" w:rsidRPr="002A3FAD" w:rsidRDefault="00626CC9" w:rsidP="00DE072F">
      <w:pPr>
        <w:pStyle w:val="References"/>
      </w:pPr>
      <w:bookmarkStart w:id="2" w:name="_ENREF_1"/>
      <w:r>
        <w:t>[1]</w:t>
      </w:r>
      <w:r>
        <w:tab/>
      </w:r>
      <w:r w:rsidR="00366547" w:rsidRPr="002A3FAD">
        <w:t>Y.-C. Yip, S.-K. Wong</w:t>
      </w:r>
      <w:r w:rsidR="008471F6" w:rsidRPr="002A3FAD">
        <w:t>,</w:t>
      </w:r>
      <w:r w:rsidR="00366547" w:rsidRPr="002A3FAD">
        <w:t xml:space="preserve"> S.-M. Choi, </w:t>
      </w:r>
      <w:r w:rsidR="00366547" w:rsidRPr="002A3FAD">
        <w:rPr>
          <w:i/>
        </w:rPr>
        <w:t>TrAC, Trends Anal. Chem.</w:t>
      </w:r>
      <w:r w:rsidR="00366547" w:rsidRPr="002A3FAD">
        <w:t xml:space="preserve"> </w:t>
      </w:r>
      <w:r w:rsidR="00366547" w:rsidRPr="002A3FAD">
        <w:rPr>
          <w:b/>
        </w:rPr>
        <w:t>2011</w:t>
      </w:r>
      <w:r w:rsidR="00366547" w:rsidRPr="002A3FAD">
        <w:t xml:space="preserve">, </w:t>
      </w:r>
      <w:r w:rsidR="00366547" w:rsidRPr="002A3FAD">
        <w:rPr>
          <w:i/>
        </w:rPr>
        <w:t>30</w:t>
      </w:r>
      <w:r w:rsidR="00366547" w:rsidRPr="00626CC9">
        <w:t>, 628</w:t>
      </w:r>
      <w:r w:rsidRPr="00626CC9">
        <w:t>–</w:t>
      </w:r>
      <w:r>
        <w:t>640</w:t>
      </w:r>
      <w:r w:rsidR="00366547" w:rsidRPr="002A3FAD">
        <w:t>.</w:t>
      </w:r>
      <w:bookmarkEnd w:id="2"/>
    </w:p>
    <w:p w:rsidR="00366547" w:rsidRPr="002A3FAD" w:rsidRDefault="008471F6" w:rsidP="00366547">
      <w:pPr>
        <w:pStyle w:val="N3References"/>
        <w:spacing w:after="120" w:line="180" w:lineRule="exact"/>
        <w:rPr>
          <w:sz w:val="14"/>
          <w:szCs w:val="14"/>
        </w:rPr>
      </w:pPr>
      <w:bookmarkStart w:id="3" w:name="_ENREF_2"/>
      <w:r w:rsidRPr="002A3FAD">
        <w:rPr>
          <w:sz w:val="14"/>
          <w:szCs w:val="14"/>
        </w:rPr>
        <w:t>[</w:t>
      </w:r>
      <w:r w:rsidR="00366547" w:rsidRPr="002A3FAD">
        <w:rPr>
          <w:sz w:val="14"/>
          <w:szCs w:val="14"/>
        </w:rPr>
        <w:t>2</w:t>
      </w:r>
      <w:r w:rsidRPr="002A3FAD">
        <w:rPr>
          <w:sz w:val="14"/>
          <w:szCs w:val="14"/>
        </w:rPr>
        <w:t>]</w:t>
      </w:r>
      <w:r w:rsidR="00626CC9">
        <w:rPr>
          <w:sz w:val="14"/>
          <w:szCs w:val="14"/>
        </w:rPr>
        <w:tab/>
      </w:r>
      <w:r w:rsidR="00366547" w:rsidRPr="002A3FAD">
        <w:rPr>
          <w:sz w:val="14"/>
          <w:szCs w:val="14"/>
        </w:rPr>
        <w:t>A. P. Kumar, D. Jin</w:t>
      </w:r>
      <w:r w:rsidRPr="002A3FAD">
        <w:rPr>
          <w:sz w:val="14"/>
          <w:szCs w:val="14"/>
        </w:rPr>
        <w:t>,</w:t>
      </w:r>
      <w:r w:rsidR="00366547" w:rsidRPr="002A3FAD">
        <w:rPr>
          <w:sz w:val="14"/>
          <w:szCs w:val="14"/>
        </w:rPr>
        <w:t xml:space="preserve"> Y.-I. Lee, </w:t>
      </w:r>
      <w:r w:rsidR="00366547" w:rsidRPr="002A3FAD">
        <w:rPr>
          <w:i/>
          <w:sz w:val="14"/>
          <w:szCs w:val="14"/>
        </w:rPr>
        <w:t>Appl. Spectrosc. Rev.</w:t>
      </w:r>
      <w:r w:rsidR="00366547" w:rsidRPr="002A3FAD">
        <w:rPr>
          <w:sz w:val="14"/>
          <w:szCs w:val="14"/>
        </w:rPr>
        <w:t xml:space="preserve"> </w:t>
      </w:r>
      <w:r w:rsidR="00366547" w:rsidRPr="002A3FAD">
        <w:rPr>
          <w:b/>
          <w:sz w:val="14"/>
          <w:szCs w:val="14"/>
        </w:rPr>
        <w:t>2009</w:t>
      </w:r>
      <w:r w:rsidR="00366547" w:rsidRPr="002A3FAD">
        <w:rPr>
          <w:sz w:val="14"/>
          <w:szCs w:val="14"/>
        </w:rPr>
        <w:t xml:space="preserve">, </w:t>
      </w:r>
      <w:r w:rsidR="00366547" w:rsidRPr="002A3FAD">
        <w:rPr>
          <w:i/>
          <w:sz w:val="14"/>
          <w:szCs w:val="14"/>
        </w:rPr>
        <w:t>44</w:t>
      </w:r>
      <w:r w:rsidR="00366547" w:rsidRPr="00483637">
        <w:rPr>
          <w:sz w:val="14"/>
          <w:szCs w:val="14"/>
        </w:rPr>
        <w:t>, 267</w:t>
      </w:r>
      <w:r w:rsidR="00483637" w:rsidRPr="00483637">
        <w:rPr>
          <w:sz w:val="14"/>
          <w:szCs w:val="14"/>
        </w:rPr>
        <w:t>–316</w:t>
      </w:r>
      <w:r w:rsidR="00366547" w:rsidRPr="002A3FAD">
        <w:rPr>
          <w:sz w:val="14"/>
          <w:szCs w:val="14"/>
        </w:rPr>
        <w:t>.</w:t>
      </w:r>
      <w:bookmarkEnd w:id="3"/>
    </w:p>
    <w:p w:rsidR="00366547" w:rsidRPr="002A3FAD" w:rsidRDefault="008471F6" w:rsidP="00366547">
      <w:pPr>
        <w:pStyle w:val="N3References"/>
        <w:spacing w:after="120" w:line="180" w:lineRule="exact"/>
        <w:rPr>
          <w:sz w:val="14"/>
          <w:szCs w:val="14"/>
        </w:rPr>
      </w:pPr>
      <w:bookmarkStart w:id="4" w:name="_ENREF_3"/>
      <w:r w:rsidRPr="002A3FAD">
        <w:rPr>
          <w:sz w:val="14"/>
          <w:szCs w:val="14"/>
        </w:rPr>
        <w:t>[</w:t>
      </w:r>
      <w:r w:rsidR="00366547" w:rsidRPr="002A3FAD">
        <w:rPr>
          <w:sz w:val="14"/>
          <w:szCs w:val="14"/>
        </w:rPr>
        <w:t>3</w:t>
      </w:r>
      <w:r w:rsidRPr="002A3FAD">
        <w:rPr>
          <w:sz w:val="14"/>
          <w:szCs w:val="14"/>
        </w:rPr>
        <w:t>]</w:t>
      </w:r>
      <w:r w:rsidR="00366547" w:rsidRPr="002A3FAD">
        <w:rPr>
          <w:sz w:val="14"/>
          <w:szCs w:val="14"/>
        </w:rPr>
        <w:tab/>
        <w:t xml:space="preserve">D. Parker, </w:t>
      </w:r>
      <w:r w:rsidR="00366547" w:rsidRPr="002A3FAD">
        <w:rPr>
          <w:i/>
          <w:sz w:val="14"/>
          <w:szCs w:val="14"/>
        </w:rPr>
        <w:t>Chem. Rev.</w:t>
      </w:r>
      <w:r w:rsidR="00366547" w:rsidRPr="002A3FAD">
        <w:rPr>
          <w:sz w:val="14"/>
          <w:szCs w:val="14"/>
        </w:rPr>
        <w:t xml:space="preserve"> </w:t>
      </w:r>
      <w:r w:rsidR="00366547" w:rsidRPr="002A3FAD">
        <w:rPr>
          <w:b/>
          <w:sz w:val="14"/>
          <w:szCs w:val="14"/>
        </w:rPr>
        <w:t>1991</w:t>
      </w:r>
      <w:r w:rsidR="00366547" w:rsidRPr="002A3FAD">
        <w:rPr>
          <w:sz w:val="14"/>
          <w:szCs w:val="14"/>
        </w:rPr>
        <w:t xml:space="preserve">, </w:t>
      </w:r>
      <w:r w:rsidR="00366547" w:rsidRPr="002A3FAD">
        <w:rPr>
          <w:i/>
          <w:sz w:val="14"/>
          <w:szCs w:val="14"/>
        </w:rPr>
        <w:t>91</w:t>
      </w:r>
      <w:r w:rsidR="00366547" w:rsidRPr="002A3FAD">
        <w:rPr>
          <w:sz w:val="14"/>
          <w:szCs w:val="14"/>
        </w:rPr>
        <w:t>, 1441</w:t>
      </w:r>
      <w:r w:rsidR="00346EE4" w:rsidRPr="002A3FAD">
        <w:rPr>
          <w:rFonts w:eastAsia="MS Mincho"/>
          <w:sz w:val="14"/>
          <w:szCs w:val="14"/>
        </w:rPr>
        <w:t>–1457</w:t>
      </w:r>
      <w:r w:rsidR="00366547" w:rsidRPr="002A3FAD">
        <w:rPr>
          <w:sz w:val="14"/>
          <w:szCs w:val="14"/>
        </w:rPr>
        <w:t>.</w:t>
      </w:r>
      <w:bookmarkEnd w:id="4"/>
    </w:p>
    <w:p w:rsidR="00366547" w:rsidRPr="002A3FAD" w:rsidRDefault="008471F6" w:rsidP="00366547">
      <w:pPr>
        <w:pStyle w:val="N3References"/>
        <w:spacing w:after="120" w:line="180" w:lineRule="exact"/>
        <w:rPr>
          <w:sz w:val="14"/>
          <w:szCs w:val="14"/>
        </w:rPr>
      </w:pPr>
      <w:bookmarkStart w:id="5" w:name="_ENREF_4"/>
      <w:r w:rsidRPr="002A3FAD">
        <w:rPr>
          <w:sz w:val="14"/>
          <w:szCs w:val="14"/>
        </w:rPr>
        <w:t>[4]</w:t>
      </w:r>
      <w:r w:rsidRPr="002A3FAD">
        <w:rPr>
          <w:sz w:val="14"/>
          <w:szCs w:val="14"/>
        </w:rPr>
        <w:tab/>
      </w:r>
      <w:r w:rsidR="000C7BC6">
        <w:rPr>
          <w:sz w:val="14"/>
          <w:szCs w:val="14"/>
        </w:rPr>
        <w:t xml:space="preserve">a) </w:t>
      </w:r>
      <w:r w:rsidRPr="002A3FAD">
        <w:rPr>
          <w:sz w:val="14"/>
          <w:szCs w:val="14"/>
        </w:rPr>
        <w:t xml:space="preserve">T. J. Wenzel, </w:t>
      </w:r>
      <w:r w:rsidR="00366547" w:rsidRPr="002A3FAD">
        <w:rPr>
          <w:sz w:val="14"/>
          <w:szCs w:val="14"/>
        </w:rPr>
        <w:t xml:space="preserve">C. D. Chisholm, </w:t>
      </w:r>
      <w:r w:rsidR="00366547" w:rsidRPr="002A3FAD">
        <w:rPr>
          <w:i/>
          <w:sz w:val="14"/>
          <w:szCs w:val="14"/>
        </w:rPr>
        <w:t>Prog. Nucl. Magn. Reson. Spectrosc.</w:t>
      </w:r>
      <w:r w:rsidR="00366547" w:rsidRPr="002A3FAD">
        <w:rPr>
          <w:sz w:val="14"/>
          <w:szCs w:val="14"/>
        </w:rPr>
        <w:t xml:space="preserve"> </w:t>
      </w:r>
      <w:r w:rsidR="00366547" w:rsidRPr="002A3FAD">
        <w:rPr>
          <w:b/>
          <w:sz w:val="14"/>
          <w:szCs w:val="14"/>
        </w:rPr>
        <w:t>2011</w:t>
      </w:r>
      <w:r w:rsidR="00366547" w:rsidRPr="002A3FAD">
        <w:rPr>
          <w:sz w:val="14"/>
          <w:szCs w:val="14"/>
        </w:rPr>
        <w:t xml:space="preserve">, </w:t>
      </w:r>
      <w:r w:rsidR="00366547" w:rsidRPr="002A3FAD">
        <w:rPr>
          <w:i/>
          <w:sz w:val="14"/>
          <w:szCs w:val="14"/>
        </w:rPr>
        <w:t>59</w:t>
      </w:r>
      <w:r w:rsidR="00366547" w:rsidRPr="00385063">
        <w:rPr>
          <w:sz w:val="14"/>
          <w:szCs w:val="14"/>
        </w:rPr>
        <w:t>, 1</w:t>
      </w:r>
      <w:r w:rsidR="00385063" w:rsidRPr="00385063">
        <w:rPr>
          <w:sz w:val="14"/>
          <w:szCs w:val="14"/>
        </w:rPr>
        <w:t>–63</w:t>
      </w:r>
      <w:bookmarkEnd w:id="5"/>
      <w:r w:rsidR="000C7BC6" w:rsidRPr="000C7BC6">
        <w:rPr>
          <w:sz w:val="14"/>
          <w:szCs w:val="14"/>
          <w:highlight w:val="yellow"/>
        </w:rPr>
        <w:t>; b) N</w:t>
      </w:r>
      <w:r w:rsidR="000C7BC6">
        <w:rPr>
          <w:sz w:val="14"/>
          <w:szCs w:val="14"/>
          <w:highlight w:val="yellow"/>
        </w:rPr>
        <w:t>.</w:t>
      </w:r>
      <w:r w:rsidR="000C7BC6" w:rsidRPr="000C7BC6">
        <w:rPr>
          <w:sz w:val="14"/>
          <w:szCs w:val="14"/>
          <w:highlight w:val="yellow"/>
        </w:rPr>
        <w:t xml:space="preserve"> Harada, </w:t>
      </w:r>
      <w:r w:rsidR="000C7BC6" w:rsidRPr="000C7BC6">
        <w:rPr>
          <w:i/>
          <w:sz w:val="14"/>
          <w:szCs w:val="14"/>
          <w:highlight w:val="yellow"/>
        </w:rPr>
        <w:t>Chiralit</w:t>
      </w:r>
      <w:r w:rsidR="000C7BC6" w:rsidRPr="000C7BC6">
        <w:rPr>
          <w:sz w:val="14"/>
          <w:szCs w:val="14"/>
          <w:highlight w:val="yellow"/>
        </w:rPr>
        <w:t xml:space="preserve">y </w:t>
      </w:r>
      <w:r w:rsidR="000C7BC6" w:rsidRPr="000C7BC6">
        <w:rPr>
          <w:b/>
          <w:sz w:val="14"/>
          <w:szCs w:val="14"/>
          <w:highlight w:val="yellow"/>
        </w:rPr>
        <w:t>2008</w:t>
      </w:r>
      <w:r w:rsidR="000C7BC6" w:rsidRPr="000C7BC6">
        <w:rPr>
          <w:sz w:val="14"/>
          <w:szCs w:val="14"/>
          <w:highlight w:val="yellow"/>
        </w:rPr>
        <w:t xml:space="preserve">, </w:t>
      </w:r>
      <w:r w:rsidR="000C7BC6" w:rsidRPr="000C7BC6">
        <w:rPr>
          <w:i/>
          <w:sz w:val="14"/>
          <w:szCs w:val="14"/>
          <w:highlight w:val="yellow"/>
        </w:rPr>
        <w:t>20</w:t>
      </w:r>
      <w:r w:rsidR="000C7BC6" w:rsidRPr="000C7BC6">
        <w:rPr>
          <w:sz w:val="14"/>
          <w:szCs w:val="14"/>
          <w:highlight w:val="yellow"/>
        </w:rPr>
        <w:t>, 691–723.</w:t>
      </w:r>
    </w:p>
    <w:p w:rsidR="00366547" w:rsidRPr="002A3FAD" w:rsidRDefault="008471F6" w:rsidP="00DE072F">
      <w:pPr>
        <w:pStyle w:val="N3References"/>
        <w:tabs>
          <w:tab w:val="clear" w:pos="284"/>
          <w:tab w:val="left" w:pos="142"/>
        </w:tabs>
        <w:spacing w:after="120" w:line="180" w:lineRule="exact"/>
        <w:rPr>
          <w:sz w:val="14"/>
          <w:szCs w:val="14"/>
        </w:rPr>
      </w:pPr>
      <w:bookmarkStart w:id="6" w:name="_ENREF_5"/>
      <w:r w:rsidRPr="002A3FAD">
        <w:rPr>
          <w:sz w:val="14"/>
          <w:szCs w:val="14"/>
        </w:rPr>
        <w:t>[</w:t>
      </w:r>
      <w:r w:rsidR="00366547" w:rsidRPr="002A3FAD">
        <w:rPr>
          <w:sz w:val="14"/>
          <w:szCs w:val="14"/>
        </w:rPr>
        <w:t>5</w:t>
      </w:r>
      <w:r w:rsidRPr="002A3FAD">
        <w:rPr>
          <w:sz w:val="14"/>
          <w:szCs w:val="14"/>
        </w:rPr>
        <w:t>]</w:t>
      </w:r>
      <w:r w:rsidR="00366547" w:rsidRPr="002A3FAD">
        <w:rPr>
          <w:sz w:val="14"/>
          <w:szCs w:val="14"/>
        </w:rPr>
        <w:tab/>
        <w:t>S. Tabassum, M. A. Gilani</w:t>
      </w:r>
      <w:r w:rsidRPr="002A3FAD">
        <w:rPr>
          <w:sz w:val="14"/>
          <w:szCs w:val="14"/>
        </w:rPr>
        <w:t>,</w:t>
      </w:r>
      <w:r w:rsidR="00366547" w:rsidRPr="002A3FAD">
        <w:rPr>
          <w:sz w:val="14"/>
          <w:szCs w:val="14"/>
        </w:rPr>
        <w:t xml:space="preserve"> R. Wilhelm, </w:t>
      </w:r>
      <w:r w:rsidR="00366547" w:rsidRPr="002A3FAD">
        <w:rPr>
          <w:i/>
          <w:sz w:val="14"/>
          <w:szCs w:val="14"/>
        </w:rPr>
        <w:t>Tetrahedron: Asymmetry</w:t>
      </w:r>
      <w:r w:rsidR="00366547" w:rsidRPr="002A3FAD">
        <w:rPr>
          <w:sz w:val="14"/>
          <w:szCs w:val="14"/>
        </w:rPr>
        <w:t xml:space="preserve"> </w:t>
      </w:r>
      <w:r w:rsidR="00366547" w:rsidRPr="002A3FAD">
        <w:rPr>
          <w:b/>
          <w:sz w:val="14"/>
          <w:szCs w:val="14"/>
        </w:rPr>
        <w:t>2011</w:t>
      </w:r>
      <w:r w:rsidR="00366547" w:rsidRPr="002A3FAD">
        <w:rPr>
          <w:sz w:val="14"/>
          <w:szCs w:val="14"/>
        </w:rPr>
        <w:t xml:space="preserve">, </w:t>
      </w:r>
      <w:r w:rsidR="00366547" w:rsidRPr="00816018">
        <w:rPr>
          <w:i/>
          <w:sz w:val="14"/>
          <w:szCs w:val="14"/>
        </w:rPr>
        <w:t>22</w:t>
      </w:r>
      <w:r w:rsidR="00366547" w:rsidRPr="00816018">
        <w:rPr>
          <w:sz w:val="14"/>
          <w:szCs w:val="14"/>
        </w:rPr>
        <w:t>, 1632</w:t>
      </w:r>
      <w:r w:rsidR="00816018" w:rsidRPr="00816018">
        <w:rPr>
          <w:sz w:val="14"/>
          <w:szCs w:val="14"/>
        </w:rPr>
        <w:t>–</w:t>
      </w:r>
      <w:r w:rsidR="00816018">
        <w:rPr>
          <w:sz w:val="14"/>
          <w:szCs w:val="14"/>
        </w:rPr>
        <w:t>1639</w:t>
      </w:r>
      <w:r w:rsidR="00366547" w:rsidRPr="002A3FAD">
        <w:rPr>
          <w:sz w:val="14"/>
          <w:szCs w:val="14"/>
        </w:rPr>
        <w:t>.</w:t>
      </w:r>
      <w:bookmarkEnd w:id="6"/>
    </w:p>
    <w:p w:rsidR="00366547" w:rsidRPr="002A3FAD" w:rsidRDefault="008471F6" w:rsidP="00366547">
      <w:pPr>
        <w:pStyle w:val="N3References"/>
        <w:spacing w:after="120" w:line="180" w:lineRule="exact"/>
        <w:rPr>
          <w:sz w:val="14"/>
          <w:szCs w:val="14"/>
        </w:rPr>
      </w:pPr>
      <w:bookmarkStart w:id="7" w:name="_ENREF_6"/>
      <w:r w:rsidRPr="002A3FAD">
        <w:rPr>
          <w:sz w:val="14"/>
          <w:szCs w:val="14"/>
        </w:rPr>
        <w:t>[</w:t>
      </w:r>
      <w:r w:rsidR="00366547" w:rsidRPr="002A3FAD">
        <w:rPr>
          <w:sz w:val="14"/>
          <w:szCs w:val="14"/>
        </w:rPr>
        <w:t>6</w:t>
      </w:r>
      <w:r w:rsidRPr="002A3FAD">
        <w:rPr>
          <w:sz w:val="14"/>
          <w:szCs w:val="14"/>
        </w:rPr>
        <w:t>]</w:t>
      </w:r>
      <w:r w:rsidRPr="002A3FAD">
        <w:rPr>
          <w:sz w:val="14"/>
          <w:szCs w:val="14"/>
        </w:rPr>
        <w:tab/>
        <w:t xml:space="preserve">P. A. Bartlett, F. R. Green, </w:t>
      </w:r>
      <w:r w:rsidR="00366547" w:rsidRPr="002A3FAD">
        <w:rPr>
          <w:sz w:val="14"/>
          <w:szCs w:val="14"/>
        </w:rPr>
        <w:t xml:space="preserve">E. H. Rose, </w:t>
      </w:r>
      <w:r w:rsidR="00366547" w:rsidRPr="002A3FAD">
        <w:rPr>
          <w:i/>
          <w:sz w:val="14"/>
          <w:szCs w:val="14"/>
        </w:rPr>
        <w:t>J. Am. Chem. Soc.</w:t>
      </w:r>
      <w:r w:rsidR="00366547" w:rsidRPr="002A3FAD">
        <w:rPr>
          <w:sz w:val="14"/>
          <w:szCs w:val="14"/>
        </w:rPr>
        <w:t xml:space="preserve"> </w:t>
      </w:r>
      <w:r w:rsidR="00366547" w:rsidRPr="002A3FAD">
        <w:rPr>
          <w:b/>
          <w:sz w:val="14"/>
          <w:szCs w:val="14"/>
        </w:rPr>
        <w:t>1978</w:t>
      </w:r>
      <w:r w:rsidR="00366547" w:rsidRPr="002A3FAD">
        <w:rPr>
          <w:sz w:val="14"/>
          <w:szCs w:val="14"/>
        </w:rPr>
        <w:t xml:space="preserve">, </w:t>
      </w:r>
      <w:r w:rsidR="00366547" w:rsidRPr="002A3FAD">
        <w:rPr>
          <w:i/>
          <w:sz w:val="14"/>
          <w:szCs w:val="14"/>
        </w:rPr>
        <w:t>100</w:t>
      </w:r>
      <w:r w:rsidR="00366547" w:rsidRPr="002A3FAD">
        <w:rPr>
          <w:sz w:val="14"/>
          <w:szCs w:val="14"/>
        </w:rPr>
        <w:t>, 4852</w:t>
      </w:r>
      <w:r w:rsidR="00346EE4" w:rsidRPr="002A3FAD">
        <w:rPr>
          <w:sz w:val="14"/>
          <w:szCs w:val="14"/>
        </w:rPr>
        <w:t>–4858</w:t>
      </w:r>
      <w:r w:rsidR="00366547" w:rsidRPr="002A3FAD">
        <w:rPr>
          <w:sz w:val="14"/>
          <w:szCs w:val="14"/>
        </w:rPr>
        <w:t>.</w:t>
      </w:r>
      <w:bookmarkEnd w:id="7"/>
    </w:p>
    <w:p w:rsidR="00366547" w:rsidRPr="002A3FAD" w:rsidRDefault="008471F6" w:rsidP="00366547">
      <w:pPr>
        <w:pStyle w:val="N3References"/>
        <w:spacing w:after="120" w:line="180" w:lineRule="exact"/>
        <w:rPr>
          <w:sz w:val="14"/>
          <w:szCs w:val="14"/>
        </w:rPr>
      </w:pPr>
      <w:bookmarkStart w:id="8" w:name="_ENREF_7"/>
      <w:r w:rsidRPr="002A3FAD">
        <w:rPr>
          <w:sz w:val="14"/>
          <w:szCs w:val="14"/>
        </w:rPr>
        <w:t>[</w:t>
      </w:r>
      <w:r w:rsidR="00366547" w:rsidRPr="002A3FAD">
        <w:rPr>
          <w:sz w:val="14"/>
          <w:szCs w:val="14"/>
        </w:rPr>
        <w:t>7</w:t>
      </w:r>
      <w:r w:rsidRPr="002A3FAD">
        <w:rPr>
          <w:sz w:val="14"/>
          <w:szCs w:val="14"/>
        </w:rPr>
        <w:t>]</w:t>
      </w:r>
      <w:r w:rsidRPr="002A3FAD">
        <w:rPr>
          <w:sz w:val="14"/>
          <w:szCs w:val="14"/>
        </w:rPr>
        <w:tab/>
        <w:t xml:space="preserve">T. V. Maltseva, </w:t>
      </w:r>
      <w:r w:rsidR="00366547" w:rsidRPr="002A3FAD">
        <w:rPr>
          <w:sz w:val="14"/>
          <w:szCs w:val="14"/>
        </w:rPr>
        <w:t xml:space="preserve">A. A. Voityuk, </w:t>
      </w:r>
      <w:r w:rsidR="00366547" w:rsidRPr="002A3FAD">
        <w:rPr>
          <w:i/>
          <w:sz w:val="14"/>
          <w:szCs w:val="14"/>
        </w:rPr>
        <w:t>Bull. Acad. Sci. USSR</w:t>
      </w:r>
      <w:r w:rsidR="00366547" w:rsidRPr="002A3FAD">
        <w:rPr>
          <w:sz w:val="14"/>
          <w:szCs w:val="14"/>
        </w:rPr>
        <w:t xml:space="preserve"> </w:t>
      </w:r>
      <w:r w:rsidR="00366547" w:rsidRPr="002A3FAD">
        <w:rPr>
          <w:b/>
          <w:sz w:val="14"/>
          <w:szCs w:val="14"/>
        </w:rPr>
        <w:t>1989</w:t>
      </w:r>
      <w:r w:rsidR="00366547" w:rsidRPr="002A3FAD">
        <w:rPr>
          <w:sz w:val="14"/>
          <w:szCs w:val="14"/>
        </w:rPr>
        <w:t xml:space="preserve">, </w:t>
      </w:r>
      <w:r w:rsidR="00366547" w:rsidRPr="002A3FAD">
        <w:rPr>
          <w:i/>
          <w:sz w:val="14"/>
          <w:szCs w:val="14"/>
        </w:rPr>
        <w:t>38</w:t>
      </w:r>
      <w:r w:rsidR="00366547" w:rsidRPr="002A3FAD">
        <w:rPr>
          <w:sz w:val="14"/>
          <w:szCs w:val="14"/>
        </w:rPr>
        <w:t>, 1177</w:t>
      </w:r>
      <w:r w:rsidR="00346EE4" w:rsidRPr="002A3FAD">
        <w:rPr>
          <w:sz w:val="14"/>
          <w:szCs w:val="14"/>
        </w:rPr>
        <w:t>–1182</w:t>
      </w:r>
      <w:r w:rsidR="00366547" w:rsidRPr="002A3FAD">
        <w:rPr>
          <w:sz w:val="14"/>
          <w:szCs w:val="14"/>
        </w:rPr>
        <w:t>.</w:t>
      </w:r>
      <w:bookmarkEnd w:id="8"/>
    </w:p>
    <w:p w:rsidR="00366547" w:rsidRPr="002A3FAD" w:rsidRDefault="008471F6" w:rsidP="00366547">
      <w:pPr>
        <w:pStyle w:val="N3References"/>
        <w:spacing w:after="120" w:line="180" w:lineRule="exact"/>
        <w:rPr>
          <w:sz w:val="14"/>
          <w:szCs w:val="14"/>
        </w:rPr>
      </w:pPr>
      <w:bookmarkStart w:id="9" w:name="_ENREF_8"/>
      <w:r w:rsidRPr="002A3FAD">
        <w:rPr>
          <w:sz w:val="14"/>
          <w:szCs w:val="14"/>
        </w:rPr>
        <w:t>[</w:t>
      </w:r>
      <w:r w:rsidR="00366547" w:rsidRPr="002A3FAD">
        <w:rPr>
          <w:sz w:val="14"/>
          <w:szCs w:val="14"/>
        </w:rPr>
        <w:t>8</w:t>
      </w:r>
      <w:r w:rsidRPr="002A3FAD">
        <w:rPr>
          <w:sz w:val="14"/>
          <w:szCs w:val="14"/>
        </w:rPr>
        <w:t>]</w:t>
      </w:r>
      <w:r w:rsidR="00366547" w:rsidRPr="002A3FAD">
        <w:rPr>
          <w:sz w:val="14"/>
          <w:szCs w:val="14"/>
        </w:rPr>
        <w:tab/>
        <w:t>D. M. Graifer, A. V. Lebedev, A. I. Rezvukhin</w:t>
      </w:r>
      <w:r w:rsidRPr="002A3FAD">
        <w:rPr>
          <w:sz w:val="14"/>
          <w:szCs w:val="14"/>
        </w:rPr>
        <w:t>,</w:t>
      </w:r>
      <w:r w:rsidR="00366547" w:rsidRPr="002A3FAD">
        <w:rPr>
          <w:sz w:val="14"/>
          <w:szCs w:val="14"/>
        </w:rPr>
        <w:t xml:space="preserve"> M. M. Shakirov, </w:t>
      </w:r>
      <w:r w:rsidR="00366547" w:rsidRPr="002A3FAD">
        <w:rPr>
          <w:i/>
          <w:sz w:val="14"/>
          <w:szCs w:val="14"/>
        </w:rPr>
        <w:t>Bull. Acad. Sci. USSR</w:t>
      </w:r>
      <w:r w:rsidR="00366547" w:rsidRPr="002A3FAD">
        <w:rPr>
          <w:sz w:val="14"/>
          <w:szCs w:val="14"/>
        </w:rPr>
        <w:t xml:space="preserve"> </w:t>
      </w:r>
      <w:r w:rsidR="00366547" w:rsidRPr="002A3FAD">
        <w:rPr>
          <w:b/>
          <w:sz w:val="14"/>
          <w:szCs w:val="14"/>
        </w:rPr>
        <w:t>1986</w:t>
      </w:r>
      <w:r w:rsidR="00366547" w:rsidRPr="002A3FAD">
        <w:rPr>
          <w:sz w:val="14"/>
          <w:szCs w:val="14"/>
        </w:rPr>
        <w:t xml:space="preserve">, </w:t>
      </w:r>
      <w:r w:rsidR="00366547" w:rsidRPr="002A3FAD">
        <w:rPr>
          <w:i/>
          <w:sz w:val="14"/>
          <w:szCs w:val="14"/>
        </w:rPr>
        <w:t>35</w:t>
      </w:r>
      <w:r w:rsidR="00366547" w:rsidRPr="002A3FAD">
        <w:rPr>
          <w:sz w:val="14"/>
          <w:szCs w:val="14"/>
        </w:rPr>
        <w:t>, 2024</w:t>
      </w:r>
      <w:r w:rsidR="00346EE4" w:rsidRPr="002A3FAD">
        <w:rPr>
          <w:sz w:val="14"/>
          <w:szCs w:val="14"/>
        </w:rPr>
        <w:t>–2029</w:t>
      </w:r>
      <w:r w:rsidR="00366547" w:rsidRPr="002A3FAD">
        <w:rPr>
          <w:sz w:val="14"/>
          <w:szCs w:val="14"/>
        </w:rPr>
        <w:t>.</w:t>
      </w:r>
      <w:bookmarkEnd w:id="9"/>
    </w:p>
    <w:p w:rsidR="00366547" w:rsidRPr="002A3FAD" w:rsidRDefault="008471F6" w:rsidP="00366547">
      <w:pPr>
        <w:pStyle w:val="N3References"/>
        <w:spacing w:after="120" w:line="180" w:lineRule="exact"/>
        <w:rPr>
          <w:sz w:val="14"/>
          <w:szCs w:val="14"/>
        </w:rPr>
      </w:pPr>
      <w:bookmarkStart w:id="10" w:name="_ENREF_9"/>
      <w:r w:rsidRPr="002A3FAD">
        <w:rPr>
          <w:sz w:val="14"/>
          <w:szCs w:val="14"/>
        </w:rPr>
        <w:t>[</w:t>
      </w:r>
      <w:r w:rsidR="00366547" w:rsidRPr="002A3FAD">
        <w:rPr>
          <w:sz w:val="14"/>
          <w:szCs w:val="14"/>
        </w:rPr>
        <w:t>9</w:t>
      </w:r>
      <w:r w:rsidRPr="002A3FAD">
        <w:rPr>
          <w:sz w:val="14"/>
          <w:szCs w:val="14"/>
        </w:rPr>
        <w:t>]</w:t>
      </w:r>
      <w:r w:rsidR="00366547" w:rsidRPr="002A3FAD">
        <w:rPr>
          <w:sz w:val="14"/>
          <w:szCs w:val="14"/>
        </w:rPr>
        <w:tab/>
        <w:t>D. A. Eva</w:t>
      </w:r>
      <w:r w:rsidRPr="002A3FAD">
        <w:rPr>
          <w:sz w:val="14"/>
          <w:szCs w:val="14"/>
        </w:rPr>
        <w:t xml:space="preserve">ns, K. A. Woerpel, M. M. Hinman, </w:t>
      </w:r>
      <w:r w:rsidR="00366547" w:rsidRPr="002A3FAD">
        <w:rPr>
          <w:sz w:val="14"/>
          <w:szCs w:val="14"/>
        </w:rPr>
        <w:t xml:space="preserve">M. M. Faul, </w:t>
      </w:r>
      <w:r w:rsidR="00366547" w:rsidRPr="002A3FAD">
        <w:rPr>
          <w:i/>
          <w:sz w:val="14"/>
          <w:szCs w:val="14"/>
        </w:rPr>
        <w:t>J. Am. Chem. Soc.</w:t>
      </w:r>
      <w:r w:rsidR="00366547" w:rsidRPr="002A3FAD">
        <w:rPr>
          <w:sz w:val="14"/>
          <w:szCs w:val="14"/>
        </w:rPr>
        <w:t xml:space="preserve"> </w:t>
      </w:r>
      <w:r w:rsidR="00366547" w:rsidRPr="002A3FAD">
        <w:rPr>
          <w:b/>
          <w:sz w:val="14"/>
          <w:szCs w:val="14"/>
        </w:rPr>
        <w:t>1991</w:t>
      </w:r>
      <w:r w:rsidR="00366547" w:rsidRPr="002A3FAD">
        <w:rPr>
          <w:sz w:val="14"/>
          <w:szCs w:val="14"/>
        </w:rPr>
        <w:t xml:space="preserve">, </w:t>
      </w:r>
      <w:r w:rsidR="00366547" w:rsidRPr="002A3FAD">
        <w:rPr>
          <w:i/>
          <w:sz w:val="14"/>
          <w:szCs w:val="14"/>
        </w:rPr>
        <w:t>113</w:t>
      </w:r>
      <w:r w:rsidR="00366547" w:rsidRPr="002A3FAD">
        <w:rPr>
          <w:sz w:val="14"/>
          <w:szCs w:val="14"/>
        </w:rPr>
        <w:t>, 726</w:t>
      </w:r>
      <w:r w:rsidR="00D768D4" w:rsidRPr="002A3FAD">
        <w:rPr>
          <w:sz w:val="14"/>
          <w:szCs w:val="14"/>
        </w:rPr>
        <w:t>–728</w:t>
      </w:r>
      <w:r w:rsidR="00366547" w:rsidRPr="002A3FAD">
        <w:rPr>
          <w:sz w:val="14"/>
          <w:szCs w:val="14"/>
        </w:rPr>
        <w:t>.</w:t>
      </w:r>
      <w:bookmarkEnd w:id="10"/>
    </w:p>
    <w:p w:rsidR="00366547" w:rsidRPr="002A3FAD" w:rsidRDefault="008471F6" w:rsidP="00366547">
      <w:pPr>
        <w:pStyle w:val="N3References"/>
        <w:spacing w:after="120" w:line="180" w:lineRule="exact"/>
        <w:rPr>
          <w:sz w:val="14"/>
          <w:szCs w:val="14"/>
        </w:rPr>
      </w:pPr>
      <w:bookmarkStart w:id="11" w:name="_ENREF_10"/>
      <w:r w:rsidRPr="002A3FAD">
        <w:rPr>
          <w:sz w:val="14"/>
          <w:szCs w:val="14"/>
        </w:rPr>
        <w:t>[</w:t>
      </w:r>
      <w:r w:rsidR="00366547" w:rsidRPr="002A3FAD">
        <w:rPr>
          <w:sz w:val="14"/>
          <w:szCs w:val="14"/>
        </w:rPr>
        <w:t>10</w:t>
      </w:r>
      <w:r w:rsidRPr="002A3FAD">
        <w:rPr>
          <w:sz w:val="14"/>
          <w:szCs w:val="14"/>
        </w:rPr>
        <w:t>]</w:t>
      </w:r>
      <w:r w:rsidRPr="002A3FAD">
        <w:rPr>
          <w:sz w:val="14"/>
          <w:szCs w:val="14"/>
        </w:rPr>
        <w:tab/>
        <w:t xml:space="preserve">A. K. Ghosh, M. Packiarajan, </w:t>
      </w:r>
      <w:r w:rsidR="00366547" w:rsidRPr="002A3FAD">
        <w:rPr>
          <w:sz w:val="14"/>
          <w:szCs w:val="14"/>
        </w:rPr>
        <w:t xml:space="preserve">J. Cappiello, </w:t>
      </w:r>
      <w:r w:rsidR="00366547" w:rsidRPr="002A3FAD">
        <w:rPr>
          <w:i/>
          <w:sz w:val="14"/>
          <w:szCs w:val="14"/>
        </w:rPr>
        <w:t>Tetrahedron: Asymmetry</w:t>
      </w:r>
      <w:r w:rsidR="00366547" w:rsidRPr="002A3FAD">
        <w:rPr>
          <w:sz w:val="14"/>
          <w:szCs w:val="14"/>
        </w:rPr>
        <w:t xml:space="preserve"> </w:t>
      </w:r>
      <w:r w:rsidR="00366547" w:rsidRPr="002A3FAD">
        <w:rPr>
          <w:b/>
          <w:sz w:val="14"/>
          <w:szCs w:val="14"/>
        </w:rPr>
        <w:t>1998</w:t>
      </w:r>
      <w:r w:rsidR="00366547" w:rsidRPr="002A3FAD">
        <w:rPr>
          <w:sz w:val="14"/>
          <w:szCs w:val="14"/>
        </w:rPr>
        <w:t xml:space="preserve">, </w:t>
      </w:r>
      <w:r w:rsidR="00366547" w:rsidRPr="002A3FAD">
        <w:rPr>
          <w:i/>
          <w:sz w:val="14"/>
          <w:szCs w:val="14"/>
        </w:rPr>
        <w:t>9</w:t>
      </w:r>
      <w:r w:rsidR="00366547" w:rsidRPr="002A3FAD">
        <w:rPr>
          <w:sz w:val="14"/>
          <w:szCs w:val="14"/>
        </w:rPr>
        <w:t>, 1.</w:t>
      </w:r>
      <w:bookmarkEnd w:id="11"/>
    </w:p>
    <w:p w:rsidR="00366547" w:rsidRPr="002A3FAD" w:rsidRDefault="008471F6" w:rsidP="00366547">
      <w:pPr>
        <w:pStyle w:val="N3References"/>
        <w:spacing w:after="120" w:line="180" w:lineRule="exact"/>
        <w:rPr>
          <w:sz w:val="14"/>
          <w:szCs w:val="14"/>
        </w:rPr>
      </w:pPr>
      <w:bookmarkStart w:id="12" w:name="_ENREF_11"/>
      <w:r w:rsidRPr="002A3FAD">
        <w:rPr>
          <w:sz w:val="14"/>
          <w:szCs w:val="14"/>
        </w:rPr>
        <w:t>[</w:t>
      </w:r>
      <w:r w:rsidR="00366547" w:rsidRPr="002A3FAD">
        <w:rPr>
          <w:sz w:val="14"/>
          <w:szCs w:val="14"/>
        </w:rPr>
        <w:t>11</w:t>
      </w:r>
      <w:r w:rsidRPr="002A3FAD">
        <w:rPr>
          <w:sz w:val="14"/>
          <w:szCs w:val="14"/>
        </w:rPr>
        <w:t>]</w:t>
      </w:r>
      <w:r w:rsidRPr="002A3FAD">
        <w:rPr>
          <w:sz w:val="14"/>
          <w:szCs w:val="14"/>
        </w:rPr>
        <w:tab/>
        <w:t xml:space="preserve">H. A. McManus, </w:t>
      </w:r>
      <w:r w:rsidR="00366547" w:rsidRPr="002A3FAD">
        <w:rPr>
          <w:sz w:val="14"/>
          <w:szCs w:val="14"/>
        </w:rPr>
        <w:t xml:space="preserve">P. J. Guiry, </w:t>
      </w:r>
      <w:r w:rsidR="00366547" w:rsidRPr="002A3FAD">
        <w:rPr>
          <w:i/>
          <w:sz w:val="14"/>
          <w:szCs w:val="14"/>
        </w:rPr>
        <w:t>Chem. Rev.</w:t>
      </w:r>
      <w:r w:rsidR="00366547" w:rsidRPr="002A3FAD">
        <w:rPr>
          <w:sz w:val="14"/>
          <w:szCs w:val="14"/>
        </w:rPr>
        <w:t xml:space="preserve"> </w:t>
      </w:r>
      <w:r w:rsidR="00366547" w:rsidRPr="002A3FAD">
        <w:rPr>
          <w:b/>
          <w:sz w:val="14"/>
          <w:szCs w:val="14"/>
        </w:rPr>
        <w:t>2004</w:t>
      </w:r>
      <w:r w:rsidR="00366547" w:rsidRPr="002A3FAD">
        <w:rPr>
          <w:sz w:val="14"/>
          <w:szCs w:val="14"/>
        </w:rPr>
        <w:t xml:space="preserve">, </w:t>
      </w:r>
      <w:r w:rsidR="00366547" w:rsidRPr="002A3FAD">
        <w:rPr>
          <w:i/>
          <w:sz w:val="14"/>
          <w:szCs w:val="14"/>
        </w:rPr>
        <w:t>104</w:t>
      </w:r>
      <w:r w:rsidR="00366547" w:rsidRPr="002A3FAD">
        <w:rPr>
          <w:sz w:val="14"/>
          <w:szCs w:val="14"/>
        </w:rPr>
        <w:t>, 4151</w:t>
      </w:r>
      <w:r w:rsidR="00D768D4" w:rsidRPr="002A3FAD">
        <w:rPr>
          <w:sz w:val="14"/>
          <w:szCs w:val="14"/>
        </w:rPr>
        <w:t>–4202</w:t>
      </w:r>
      <w:r w:rsidR="00366547" w:rsidRPr="002A3FAD">
        <w:rPr>
          <w:sz w:val="14"/>
          <w:szCs w:val="14"/>
        </w:rPr>
        <w:t>.</w:t>
      </w:r>
      <w:bookmarkEnd w:id="12"/>
    </w:p>
    <w:p w:rsidR="00366547" w:rsidRPr="002A3FAD" w:rsidRDefault="008471F6" w:rsidP="00366547">
      <w:pPr>
        <w:pStyle w:val="N3References"/>
        <w:spacing w:after="120" w:line="180" w:lineRule="exact"/>
        <w:rPr>
          <w:sz w:val="14"/>
          <w:szCs w:val="14"/>
        </w:rPr>
      </w:pPr>
      <w:bookmarkStart w:id="13" w:name="_ENREF_12"/>
      <w:r w:rsidRPr="002A3FAD">
        <w:rPr>
          <w:sz w:val="14"/>
          <w:szCs w:val="14"/>
        </w:rPr>
        <w:t>[</w:t>
      </w:r>
      <w:r w:rsidR="00366547" w:rsidRPr="002A3FAD">
        <w:rPr>
          <w:sz w:val="14"/>
          <w:szCs w:val="14"/>
        </w:rPr>
        <w:t>12</w:t>
      </w:r>
      <w:r w:rsidRPr="002A3FAD">
        <w:rPr>
          <w:sz w:val="14"/>
          <w:szCs w:val="14"/>
        </w:rPr>
        <w:t>]</w:t>
      </w:r>
      <w:r w:rsidR="00366547" w:rsidRPr="002A3FAD">
        <w:rPr>
          <w:sz w:val="14"/>
          <w:szCs w:val="14"/>
        </w:rPr>
        <w:tab/>
        <w:t>G. Desimoni, G. Faita</w:t>
      </w:r>
      <w:r w:rsidRPr="002A3FAD">
        <w:rPr>
          <w:sz w:val="14"/>
          <w:szCs w:val="14"/>
        </w:rPr>
        <w:t>,</w:t>
      </w:r>
      <w:r w:rsidR="00366547" w:rsidRPr="002A3FAD">
        <w:rPr>
          <w:sz w:val="14"/>
          <w:szCs w:val="14"/>
        </w:rPr>
        <w:t xml:space="preserve"> K. A. Jorgensen, </w:t>
      </w:r>
      <w:r w:rsidR="00366547" w:rsidRPr="002A3FAD">
        <w:rPr>
          <w:i/>
          <w:sz w:val="14"/>
          <w:szCs w:val="14"/>
        </w:rPr>
        <w:t>Chem. Rev.</w:t>
      </w:r>
      <w:r w:rsidR="00366547" w:rsidRPr="002A3FAD">
        <w:rPr>
          <w:sz w:val="14"/>
          <w:szCs w:val="14"/>
        </w:rPr>
        <w:t xml:space="preserve"> </w:t>
      </w:r>
      <w:r w:rsidR="00366547" w:rsidRPr="002A3FAD">
        <w:rPr>
          <w:b/>
          <w:sz w:val="14"/>
          <w:szCs w:val="14"/>
        </w:rPr>
        <w:t>2006</w:t>
      </w:r>
      <w:r w:rsidR="00366547" w:rsidRPr="002A3FAD">
        <w:rPr>
          <w:sz w:val="14"/>
          <w:szCs w:val="14"/>
        </w:rPr>
        <w:t xml:space="preserve">, </w:t>
      </w:r>
      <w:r w:rsidR="00366547" w:rsidRPr="002A3FAD">
        <w:rPr>
          <w:i/>
          <w:sz w:val="14"/>
          <w:szCs w:val="14"/>
        </w:rPr>
        <w:t>106</w:t>
      </w:r>
      <w:r w:rsidR="00366547" w:rsidRPr="002A3FAD">
        <w:rPr>
          <w:sz w:val="14"/>
          <w:szCs w:val="14"/>
        </w:rPr>
        <w:t>, 3561</w:t>
      </w:r>
      <w:r w:rsidR="00122ED4" w:rsidRPr="002A3FAD">
        <w:rPr>
          <w:sz w:val="14"/>
          <w:szCs w:val="14"/>
        </w:rPr>
        <w:t>–</w:t>
      </w:r>
      <w:r w:rsidR="00122ED4" w:rsidRPr="002A3FAD">
        <w:rPr>
          <w:sz w:val="14"/>
          <w:szCs w:val="14"/>
          <w:lang w:val="de-DE"/>
        </w:rPr>
        <w:t>3651</w:t>
      </w:r>
      <w:r w:rsidR="00366547" w:rsidRPr="002A3FAD">
        <w:rPr>
          <w:sz w:val="14"/>
          <w:szCs w:val="14"/>
        </w:rPr>
        <w:t>.</w:t>
      </w:r>
      <w:bookmarkEnd w:id="13"/>
    </w:p>
    <w:p w:rsidR="00366547" w:rsidRPr="002A3FAD" w:rsidRDefault="008471F6" w:rsidP="00366547">
      <w:pPr>
        <w:pStyle w:val="N3References"/>
        <w:spacing w:after="120" w:line="180" w:lineRule="exact"/>
        <w:rPr>
          <w:sz w:val="14"/>
          <w:szCs w:val="14"/>
        </w:rPr>
      </w:pPr>
      <w:bookmarkStart w:id="14" w:name="_ENREF_13"/>
      <w:r w:rsidRPr="002A3FAD">
        <w:rPr>
          <w:sz w:val="14"/>
          <w:szCs w:val="14"/>
        </w:rPr>
        <w:t>[</w:t>
      </w:r>
      <w:r w:rsidR="00366547" w:rsidRPr="002A3FAD">
        <w:rPr>
          <w:sz w:val="14"/>
          <w:szCs w:val="14"/>
        </w:rPr>
        <w:t>13</w:t>
      </w:r>
      <w:r w:rsidRPr="002A3FAD">
        <w:rPr>
          <w:sz w:val="14"/>
          <w:szCs w:val="14"/>
        </w:rPr>
        <w:t>]</w:t>
      </w:r>
      <w:r w:rsidR="00366547" w:rsidRPr="002A3FAD">
        <w:rPr>
          <w:sz w:val="14"/>
          <w:szCs w:val="14"/>
        </w:rPr>
        <w:tab/>
        <w:t>G. C. Hargaden</w:t>
      </w:r>
      <w:r w:rsidRPr="002A3FAD">
        <w:rPr>
          <w:sz w:val="14"/>
          <w:szCs w:val="14"/>
        </w:rPr>
        <w:t>,</w:t>
      </w:r>
      <w:r w:rsidR="00366547" w:rsidRPr="002A3FAD">
        <w:rPr>
          <w:sz w:val="14"/>
          <w:szCs w:val="14"/>
        </w:rPr>
        <w:t xml:space="preserve"> P. J. Guiry, </w:t>
      </w:r>
      <w:r w:rsidR="00366547" w:rsidRPr="002A3FAD">
        <w:rPr>
          <w:i/>
          <w:sz w:val="14"/>
          <w:szCs w:val="14"/>
        </w:rPr>
        <w:t>Chem. Rev.</w:t>
      </w:r>
      <w:r w:rsidR="00366547" w:rsidRPr="002A3FAD">
        <w:rPr>
          <w:sz w:val="14"/>
          <w:szCs w:val="14"/>
        </w:rPr>
        <w:t xml:space="preserve">, </w:t>
      </w:r>
      <w:r w:rsidR="00366547" w:rsidRPr="002A3FAD">
        <w:rPr>
          <w:b/>
          <w:sz w:val="14"/>
          <w:szCs w:val="14"/>
        </w:rPr>
        <w:t>2009</w:t>
      </w:r>
      <w:r w:rsidR="00366547" w:rsidRPr="002A3FAD">
        <w:rPr>
          <w:sz w:val="14"/>
          <w:szCs w:val="14"/>
        </w:rPr>
        <w:t xml:space="preserve">, </w:t>
      </w:r>
      <w:r w:rsidR="00366547" w:rsidRPr="002A3FAD">
        <w:rPr>
          <w:i/>
          <w:sz w:val="14"/>
          <w:szCs w:val="14"/>
        </w:rPr>
        <w:t>109</w:t>
      </w:r>
      <w:r w:rsidR="00366547" w:rsidRPr="002A3FAD">
        <w:rPr>
          <w:sz w:val="14"/>
          <w:szCs w:val="14"/>
        </w:rPr>
        <w:t>, 2505</w:t>
      </w:r>
      <w:r w:rsidR="00C41DB4" w:rsidRPr="002A3FAD">
        <w:rPr>
          <w:sz w:val="14"/>
          <w:szCs w:val="14"/>
        </w:rPr>
        <w:t>–2550</w:t>
      </w:r>
      <w:r w:rsidR="00366547" w:rsidRPr="002A3FAD">
        <w:rPr>
          <w:sz w:val="14"/>
          <w:szCs w:val="14"/>
        </w:rPr>
        <w:t>.</w:t>
      </w:r>
      <w:bookmarkEnd w:id="14"/>
    </w:p>
    <w:p w:rsidR="00366547" w:rsidRPr="002A3FAD" w:rsidRDefault="008471F6" w:rsidP="00366547">
      <w:pPr>
        <w:pStyle w:val="N3References"/>
        <w:spacing w:after="120" w:line="180" w:lineRule="exact"/>
        <w:rPr>
          <w:sz w:val="14"/>
          <w:szCs w:val="14"/>
        </w:rPr>
      </w:pPr>
      <w:bookmarkStart w:id="15" w:name="_ENREF_14"/>
      <w:r w:rsidRPr="002A3FAD">
        <w:rPr>
          <w:sz w:val="14"/>
          <w:szCs w:val="14"/>
        </w:rPr>
        <w:lastRenderedPageBreak/>
        <w:t>[</w:t>
      </w:r>
      <w:r w:rsidR="00366547" w:rsidRPr="002A3FAD">
        <w:rPr>
          <w:sz w:val="14"/>
          <w:szCs w:val="14"/>
        </w:rPr>
        <w:t>14</w:t>
      </w:r>
      <w:r w:rsidRPr="002A3FAD">
        <w:rPr>
          <w:sz w:val="14"/>
          <w:szCs w:val="14"/>
        </w:rPr>
        <w:t>]</w:t>
      </w:r>
      <w:r w:rsidR="00366547" w:rsidRPr="002A3FAD">
        <w:rPr>
          <w:sz w:val="14"/>
          <w:szCs w:val="14"/>
        </w:rPr>
        <w:tab/>
        <w:t>M. Bandini, A. Bottoni, P. G. Cozzi, G. P. Miscione, M. Monari, R. Pierciaccante</w:t>
      </w:r>
      <w:r w:rsidRPr="002A3FAD">
        <w:rPr>
          <w:sz w:val="14"/>
          <w:szCs w:val="14"/>
        </w:rPr>
        <w:t>,</w:t>
      </w:r>
      <w:r w:rsidR="00366547" w:rsidRPr="002A3FAD">
        <w:rPr>
          <w:sz w:val="14"/>
          <w:szCs w:val="14"/>
        </w:rPr>
        <w:t xml:space="preserve"> A. Umani-Ronchi, </w:t>
      </w:r>
      <w:r w:rsidR="00366547" w:rsidRPr="002A3FAD">
        <w:rPr>
          <w:i/>
          <w:sz w:val="14"/>
          <w:szCs w:val="14"/>
        </w:rPr>
        <w:t>Eur. J. Org. Chem.</w:t>
      </w:r>
      <w:r w:rsidR="00366547" w:rsidRPr="002A3FAD">
        <w:rPr>
          <w:sz w:val="14"/>
          <w:szCs w:val="14"/>
        </w:rPr>
        <w:t xml:space="preserve"> </w:t>
      </w:r>
      <w:r w:rsidR="00366547" w:rsidRPr="002A3FAD">
        <w:rPr>
          <w:b/>
          <w:sz w:val="14"/>
          <w:szCs w:val="14"/>
        </w:rPr>
        <w:t>2006</w:t>
      </w:r>
      <w:r w:rsidR="00366547" w:rsidRPr="002A3FAD">
        <w:rPr>
          <w:sz w:val="14"/>
          <w:szCs w:val="14"/>
        </w:rPr>
        <w:t xml:space="preserve">, </w:t>
      </w:r>
      <w:bookmarkEnd w:id="15"/>
      <w:r w:rsidR="00C41DB4" w:rsidRPr="002A3FAD">
        <w:rPr>
          <w:sz w:val="14"/>
          <w:szCs w:val="14"/>
        </w:rPr>
        <w:t>4596–4608.</w:t>
      </w:r>
    </w:p>
    <w:p w:rsidR="00366547" w:rsidRPr="002A3FAD" w:rsidRDefault="008471F6" w:rsidP="00366547">
      <w:pPr>
        <w:pStyle w:val="N3References"/>
        <w:spacing w:after="120" w:line="180" w:lineRule="exact"/>
        <w:rPr>
          <w:sz w:val="14"/>
          <w:szCs w:val="14"/>
        </w:rPr>
      </w:pPr>
      <w:bookmarkStart w:id="16" w:name="_ENREF_15"/>
      <w:r w:rsidRPr="002A3FAD">
        <w:rPr>
          <w:sz w:val="14"/>
          <w:szCs w:val="14"/>
        </w:rPr>
        <w:t>[</w:t>
      </w:r>
      <w:r w:rsidR="00366547" w:rsidRPr="002A3FAD">
        <w:rPr>
          <w:sz w:val="14"/>
          <w:szCs w:val="14"/>
        </w:rPr>
        <w:t>15</w:t>
      </w:r>
      <w:r w:rsidRPr="002A3FAD">
        <w:rPr>
          <w:sz w:val="14"/>
          <w:szCs w:val="14"/>
        </w:rPr>
        <w:t>]</w:t>
      </w:r>
      <w:r w:rsidRPr="002A3FAD">
        <w:rPr>
          <w:sz w:val="14"/>
          <w:szCs w:val="14"/>
        </w:rPr>
        <w:tab/>
        <w:t xml:space="preserve">B. Ramalingam, M. Neuburger, </w:t>
      </w:r>
      <w:r w:rsidR="00366547" w:rsidRPr="002A3FAD">
        <w:rPr>
          <w:sz w:val="14"/>
          <w:szCs w:val="14"/>
        </w:rPr>
        <w:t xml:space="preserve">A. Pfaltz, </w:t>
      </w:r>
      <w:r w:rsidR="00366547" w:rsidRPr="002A3FAD">
        <w:rPr>
          <w:i/>
          <w:sz w:val="14"/>
          <w:szCs w:val="14"/>
        </w:rPr>
        <w:t>Synthesis</w:t>
      </w:r>
      <w:r w:rsidR="00366547" w:rsidRPr="002A3FAD">
        <w:rPr>
          <w:sz w:val="14"/>
          <w:szCs w:val="14"/>
        </w:rPr>
        <w:t xml:space="preserve"> </w:t>
      </w:r>
      <w:r w:rsidR="00366547" w:rsidRPr="002A3FAD">
        <w:rPr>
          <w:b/>
          <w:sz w:val="14"/>
          <w:szCs w:val="14"/>
        </w:rPr>
        <w:t>2007</w:t>
      </w:r>
      <w:r w:rsidR="00366547" w:rsidRPr="002A3FAD">
        <w:rPr>
          <w:sz w:val="14"/>
          <w:szCs w:val="14"/>
        </w:rPr>
        <w:t>, 572</w:t>
      </w:r>
      <w:r w:rsidR="005A2FAF" w:rsidRPr="002A3FAD">
        <w:rPr>
          <w:sz w:val="14"/>
          <w:szCs w:val="14"/>
        </w:rPr>
        <w:t>–582</w:t>
      </w:r>
      <w:r w:rsidR="00366547" w:rsidRPr="002A3FAD">
        <w:rPr>
          <w:sz w:val="14"/>
          <w:szCs w:val="14"/>
        </w:rPr>
        <w:t>.</w:t>
      </w:r>
      <w:bookmarkEnd w:id="16"/>
    </w:p>
    <w:p w:rsidR="00366547" w:rsidRPr="002A3FAD" w:rsidRDefault="008471F6" w:rsidP="00366547">
      <w:pPr>
        <w:pStyle w:val="N3References"/>
        <w:spacing w:after="120" w:line="180" w:lineRule="exact"/>
        <w:rPr>
          <w:sz w:val="14"/>
          <w:szCs w:val="14"/>
        </w:rPr>
      </w:pPr>
      <w:bookmarkStart w:id="17" w:name="_ENREF_16"/>
      <w:r w:rsidRPr="002A3FAD">
        <w:rPr>
          <w:sz w:val="14"/>
          <w:szCs w:val="14"/>
        </w:rPr>
        <w:t>[</w:t>
      </w:r>
      <w:r w:rsidR="00366547" w:rsidRPr="002A3FAD">
        <w:rPr>
          <w:sz w:val="14"/>
          <w:szCs w:val="14"/>
        </w:rPr>
        <w:t>16</w:t>
      </w:r>
      <w:r w:rsidRPr="002A3FAD">
        <w:rPr>
          <w:sz w:val="14"/>
          <w:szCs w:val="14"/>
        </w:rPr>
        <w:t>]</w:t>
      </w:r>
      <w:r w:rsidR="00366547" w:rsidRPr="002A3FAD">
        <w:rPr>
          <w:sz w:val="14"/>
          <w:szCs w:val="14"/>
        </w:rPr>
        <w:tab/>
        <w:t>D. Akalay, G</w:t>
      </w:r>
      <w:r w:rsidRPr="002A3FAD">
        <w:rPr>
          <w:sz w:val="14"/>
          <w:szCs w:val="14"/>
        </w:rPr>
        <w:t xml:space="preserve">. Duerner, J. W. Bats, M. Bolte, </w:t>
      </w:r>
      <w:r w:rsidR="00366547" w:rsidRPr="002A3FAD">
        <w:rPr>
          <w:sz w:val="14"/>
          <w:szCs w:val="14"/>
        </w:rPr>
        <w:t xml:space="preserve">M. W. Goebel, </w:t>
      </w:r>
      <w:r w:rsidR="00366547" w:rsidRPr="002A3FAD">
        <w:rPr>
          <w:i/>
          <w:sz w:val="14"/>
          <w:szCs w:val="14"/>
        </w:rPr>
        <w:t>J. Org. Chem.</w:t>
      </w:r>
      <w:r w:rsidR="00366547" w:rsidRPr="002A3FAD">
        <w:rPr>
          <w:sz w:val="14"/>
          <w:szCs w:val="14"/>
        </w:rPr>
        <w:t xml:space="preserve"> </w:t>
      </w:r>
      <w:r w:rsidR="00366547" w:rsidRPr="002A3FAD">
        <w:rPr>
          <w:b/>
          <w:sz w:val="14"/>
          <w:szCs w:val="14"/>
        </w:rPr>
        <w:t>2007</w:t>
      </w:r>
      <w:r w:rsidR="00366547" w:rsidRPr="002A3FAD">
        <w:rPr>
          <w:sz w:val="14"/>
          <w:szCs w:val="14"/>
        </w:rPr>
        <w:t xml:space="preserve">, </w:t>
      </w:r>
      <w:r w:rsidR="00366547" w:rsidRPr="002A3FAD">
        <w:rPr>
          <w:i/>
          <w:sz w:val="14"/>
          <w:szCs w:val="14"/>
        </w:rPr>
        <w:t>72</w:t>
      </w:r>
      <w:r w:rsidR="00366547" w:rsidRPr="002A3FAD">
        <w:rPr>
          <w:sz w:val="14"/>
          <w:szCs w:val="14"/>
        </w:rPr>
        <w:t>, 5618</w:t>
      </w:r>
      <w:r w:rsidR="004C2494" w:rsidRPr="002A3FAD">
        <w:rPr>
          <w:sz w:val="14"/>
          <w:szCs w:val="14"/>
        </w:rPr>
        <w:t>–5624</w:t>
      </w:r>
      <w:r w:rsidR="00366547" w:rsidRPr="002A3FAD">
        <w:rPr>
          <w:sz w:val="14"/>
          <w:szCs w:val="14"/>
        </w:rPr>
        <w:t>.</w:t>
      </w:r>
      <w:bookmarkEnd w:id="17"/>
    </w:p>
    <w:p w:rsidR="00366547" w:rsidRPr="002A3FAD" w:rsidRDefault="008471F6" w:rsidP="00366547">
      <w:pPr>
        <w:pStyle w:val="N3References"/>
        <w:spacing w:after="120" w:line="180" w:lineRule="exact"/>
        <w:rPr>
          <w:sz w:val="14"/>
          <w:szCs w:val="14"/>
        </w:rPr>
      </w:pPr>
      <w:bookmarkStart w:id="18" w:name="_ENREF_17"/>
      <w:r w:rsidRPr="002A3FAD">
        <w:rPr>
          <w:sz w:val="14"/>
          <w:szCs w:val="14"/>
        </w:rPr>
        <w:t>[</w:t>
      </w:r>
      <w:r w:rsidR="00366547" w:rsidRPr="002A3FAD">
        <w:rPr>
          <w:sz w:val="14"/>
          <w:szCs w:val="14"/>
        </w:rPr>
        <w:t>17</w:t>
      </w:r>
      <w:r w:rsidRPr="002A3FAD">
        <w:rPr>
          <w:sz w:val="14"/>
          <w:szCs w:val="14"/>
        </w:rPr>
        <w:t>]</w:t>
      </w:r>
      <w:r w:rsidR="00366547" w:rsidRPr="002A3FAD">
        <w:rPr>
          <w:sz w:val="14"/>
          <w:szCs w:val="14"/>
        </w:rPr>
        <w:tab/>
        <w:t>S. P. Zingg, E. M. Arnett, A. T. McPhail, A. A. Bothner-By</w:t>
      </w:r>
      <w:r w:rsidRPr="002A3FAD">
        <w:rPr>
          <w:sz w:val="14"/>
          <w:szCs w:val="14"/>
        </w:rPr>
        <w:t>,</w:t>
      </w:r>
      <w:r w:rsidR="00366547" w:rsidRPr="002A3FAD">
        <w:rPr>
          <w:sz w:val="14"/>
          <w:szCs w:val="14"/>
        </w:rPr>
        <w:t xml:space="preserve"> W. R. Gilkerson, </w:t>
      </w:r>
      <w:r w:rsidR="00366547" w:rsidRPr="002A3FAD">
        <w:rPr>
          <w:i/>
          <w:sz w:val="14"/>
          <w:szCs w:val="14"/>
        </w:rPr>
        <w:t>J. Am. Chem. Soc.</w:t>
      </w:r>
      <w:r w:rsidR="00366547" w:rsidRPr="002A3FAD">
        <w:rPr>
          <w:sz w:val="14"/>
          <w:szCs w:val="14"/>
        </w:rPr>
        <w:t xml:space="preserve"> </w:t>
      </w:r>
      <w:r w:rsidR="00366547" w:rsidRPr="002A3FAD">
        <w:rPr>
          <w:b/>
          <w:sz w:val="14"/>
          <w:szCs w:val="14"/>
        </w:rPr>
        <w:t>1988</w:t>
      </w:r>
      <w:r w:rsidR="00366547" w:rsidRPr="002A3FAD">
        <w:rPr>
          <w:sz w:val="14"/>
          <w:szCs w:val="14"/>
        </w:rPr>
        <w:t xml:space="preserve">, </w:t>
      </w:r>
      <w:r w:rsidR="00366547" w:rsidRPr="00ED3928">
        <w:rPr>
          <w:i/>
          <w:sz w:val="14"/>
          <w:szCs w:val="14"/>
        </w:rPr>
        <w:t>110</w:t>
      </w:r>
      <w:r w:rsidR="00366547" w:rsidRPr="00ED3928">
        <w:rPr>
          <w:sz w:val="14"/>
          <w:szCs w:val="14"/>
        </w:rPr>
        <w:t>, 1565</w:t>
      </w:r>
      <w:r w:rsidR="00ED3928" w:rsidRPr="00ED3928">
        <w:rPr>
          <w:sz w:val="14"/>
          <w:szCs w:val="14"/>
        </w:rPr>
        <w:t>–</w:t>
      </w:r>
      <w:r w:rsidR="00ED3928">
        <w:rPr>
          <w:sz w:val="14"/>
          <w:szCs w:val="14"/>
        </w:rPr>
        <w:t>1580</w:t>
      </w:r>
      <w:r w:rsidR="00366547" w:rsidRPr="002A3FAD">
        <w:rPr>
          <w:sz w:val="14"/>
          <w:szCs w:val="14"/>
        </w:rPr>
        <w:t>.</w:t>
      </w:r>
      <w:bookmarkEnd w:id="18"/>
    </w:p>
    <w:p w:rsidR="00366547" w:rsidRPr="002A3FAD" w:rsidRDefault="008471F6" w:rsidP="00366547">
      <w:pPr>
        <w:pStyle w:val="N3References"/>
        <w:spacing w:after="120" w:line="180" w:lineRule="exact"/>
        <w:rPr>
          <w:sz w:val="14"/>
          <w:szCs w:val="14"/>
        </w:rPr>
      </w:pPr>
      <w:bookmarkStart w:id="19" w:name="_ENREF_18"/>
      <w:r w:rsidRPr="002A3FAD">
        <w:rPr>
          <w:sz w:val="14"/>
          <w:szCs w:val="14"/>
        </w:rPr>
        <w:t>[</w:t>
      </w:r>
      <w:r w:rsidR="00366547" w:rsidRPr="002A3FAD">
        <w:rPr>
          <w:sz w:val="14"/>
          <w:szCs w:val="14"/>
        </w:rPr>
        <w:t>18</w:t>
      </w:r>
      <w:r w:rsidRPr="002A3FAD">
        <w:rPr>
          <w:sz w:val="14"/>
          <w:szCs w:val="14"/>
        </w:rPr>
        <w:t>]</w:t>
      </w:r>
      <w:r w:rsidR="00366547" w:rsidRPr="002A3FAD">
        <w:rPr>
          <w:sz w:val="14"/>
          <w:szCs w:val="14"/>
        </w:rPr>
        <w:tab/>
        <w:t>F. Ma, X. Shen, X. Ming, J. Wang, O.-Y. Jie</w:t>
      </w:r>
      <w:r w:rsidRPr="002A3FAD">
        <w:rPr>
          <w:sz w:val="14"/>
          <w:szCs w:val="14"/>
        </w:rPr>
        <w:t>,</w:t>
      </w:r>
      <w:r w:rsidR="00366547" w:rsidRPr="002A3FAD">
        <w:rPr>
          <w:sz w:val="14"/>
          <w:szCs w:val="14"/>
        </w:rPr>
        <w:t xml:space="preserve"> C. Zhang, </w:t>
      </w:r>
      <w:r w:rsidR="00366547" w:rsidRPr="002A3FAD">
        <w:rPr>
          <w:i/>
          <w:sz w:val="14"/>
          <w:szCs w:val="14"/>
        </w:rPr>
        <w:t>Tetrahedron: Asymmetry</w:t>
      </w:r>
      <w:r w:rsidR="00366547" w:rsidRPr="002A3FAD">
        <w:rPr>
          <w:sz w:val="14"/>
          <w:szCs w:val="14"/>
        </w:rPr>
        <w:t xml:space="preserve"> </w:t>
      </w:r>
      <w:r w:rsidR="00366547" w:rsidRPr="002A3FAD">
        <w:rPr>
          <w:b/>
          <w:sz w:val="14"/>
          <w:szCs w:val="14"/>
        </w:rPr>
        <w:t>2008</w:t>
      </w:r>
      <w:r w:rsidR="00366547" w:rsidRPr="002A3FAD">
        <w:rPr>
          <w:sz w:val="14"/>
          <w:szCs w:val="14"/>
        </w:rPr>
        <w:t xml:space="preserve">, </w:t>
      </w:r>
      <w:r w:rsidR="00366547" w:rsidRPr="002A3FAD">
        <w:rPr>
          <w:i/>
          <w:sz w:val="14"/>
          <w:szCs w:val="14"/>
        </w:rPr>
        <w:t>19</w:t>
      </w:r>
      <w:r w:rsidR="00366547" w:rsidRPr="00B613FF">
        <w:rPr>
          <w:sz w:val="14"/>
          <w:szCs w:val="14"/>
        </w:rPr>
        <w:t>, 1576</w:t>
      </w:r>
      <w:r w:rsidR="00B613FF" w:rsidRPr="00B613FF">
        <w:rPr>
          <w:sz w:val="14"/>
          <w:szCs w:val="14"/>
        </w:rPr>
        <w:t>–1586</w:t>
      </w:r>
      <w:r w:rsidR="00366547" w:rsidRPr="002A3FAD">
        <w:rPr>
          <w:sz w:val="14"/>
          <w:szCs w:val="14"/>
        </w:rPr>
        <w:t>.</w:t>
      </w:r>
      <w:bookmarkEnd w:id="19"/>
    </w:p>
    <w:p w:rsidR="00366547" w:rsidRPr="002A3FAD" w:rsidRDefault="008471F6" w:rsidP="00366547">
      <w:pPr>
        <w:pStyle w:val="N3References"/>
        <w:spacing w:after="120" w:line="180" w:lineRule="exact"/>
        <w:rPr>
          <w:sz w:val="14"/>
          <w:szCs w:val="14"/>
        </w:rPr>
      </w:pPr>
      <w:bookmarkStart w:id="20" w:name="_ENREF_19"/>
      <w:r w:rsidRPr="002A3FAD">
        <w:rPr>
          <w:sz w:val="14"/>
          <w:szCs w:val="14"/>
        </w:rPr>
        <w:t>[</w:t>
      </w:r>
      <w:r w:rsidR="00366547" w:rsidRPr="002A3FAD">
        <w:rPr>
          <w:sz w:val="14"/>
          <w:szCs w:val="14"/>
        </w:rPr>
        <w:t>19</w:t>
      </w:r>
      <w:r w:rsidRPr="002A3FAD">
        <w:rPr>
          <w:sz w:val="14"/>
          <w:szCs w:val="14"/>
        </w:rPr>
        <w:t>]</w:t>
      </w:r>
      <w:r w:rsidR="00366547" w:rsidRPr="002A3FAD">
        <w:rPr>
          <w:sz w:val="14"/>
          <w:szCs w:val="14"/>
        </w:rPr>
        <w:tab/>
        <w:t>K. Tanaka, Y. Nakai</w:t>
      </w:r>
      <w:r w:rsidRPr="002A3FAD">
        <w:rPr>
          <w:sz w:val="14"/>
          <w:szCs w:val="14"/>
        </w:rPr>
        <w:t>,</w:t>
      </w:r>
      <w:r w:rsidR="00366547" w:rsidRPr="002A3FAD">
        <w:rPr>
          <w:sz w:val="14"/>
          <w:szCs w:val="14"/>
        </w:rPr>
        <w:t xml:space="preserve"> H. Takahashi, </w:t>
      </w:r>
      <w:r w:rsidR="00366547" w:rsidRPr="002A3FAD">
        <w:rPr>
          <w:i/>
          <w:sz w:val="14"/>
          <w:szCs w:val="14"/>
        </w:rPr>
        <w:t>Tetrahedron: Asymmetry</w:t>
      </w:r>
      <w:r w:rsidR="00366547" w:rsidRPr="002A3FAD">
        <w:rPr>
          <w:sz w:val="14"/>
          <w:szCs w:val="14"/>
        </w:rPr>
        <w:t xml:space="preserve"> </w:t>
      </w:r>
      <w:r w:rsidR="00366547" w:rsidRPr="002A3FAD">
        <w:rPr>
          <w:b/>
          <w:sz w:val="14"/>
          <w:szCs w:val="14"/>
        </w:rPr>
        <w:t>2011</w:t>
      </w:r>
      <w:r w:rsidR="00366547" w:rsidRPr="002A3FAD">
        <w:rPr>
          <w:sz w:val="14"/>
          <w:szCs w:val="14"/>
        </w:rPr>
        <w:t xml:space="preserve">, </w:t>
      </w:r>
      <w:r w:rsidR="00366547" w:rsidRPr="002A3FAD">
        <w:rPr>
          <w:i/>
          <w:sz w:val="14"/>
          <w:szCs w:val="14"/>
        </w:rPr>
        <w:t>22</w:t>
      </w:r>
      <w:r w:rsidR="00366547" w:rsidRPr="00434BCB">
        <w:rPr>
          <w:sz w:val="14"/>
          <w:szCs w:val="14"/>
        </w:rPr>
        <w:t>, 178</w:t>
      </w:r>
      <w:r w:rsidR="00434BCB" w:rsidRPr="00434BCB">
        <w:rPr>
          <w:sz w:val="14"/>
          <w:szCs w:val="14"/>
        </w:rPr>
        <w:t>–</w:t>
      </w:r>
      <w:r w:rsidR="00434BCB">
        <w:rPr>
          <w:sz w:val="14"/>
          <w:szCs w:val="14"/>
        </w:rPr>
        <w:t>184</w:t>
      </w:r>
      <w:r w:rsidR="00366547" w:rsidRPr="002A3FAD">
        <w:rPr>
          <w:sz w:val="14"/>
          <w:szCs w:val="14"/>
        </w:rPr>
        <w:t>.</w:t>
      </w:r>
      <w:bookmarkEnd w:id="20"/>
    </w:p>
    <w:p w:rsidR="00366547" w:rsidRPr="002A3FAD" w:rsidRDefault="008471F6" w:rsidP="00366547">
      <w:pPr>
        <w:pStyle w:val="N3References"/>
        <w:spacing w:after="120" w:line="180" w:lineRule="exact"/>
        <w:rPr>
          <w:sz w:val="14"/>
          <w:szCs w:val="14"/>
        </w:rPr>
      </w:pPr>
      <w:bookmarkStart w:id="21" w:name="_ENREF_20"/>
      <w:r w:rsidRPr="002A3FAD">
        <w:rPr>
          <w:sz w:val="14"/>
          <w:szCs w:val="14"/>
        </w:rPr>
        <w:t>[</w:t>
      </w:r>
      <w:r w:rsidR="00366547" w:rsidRPr="002A3FAD">
        <w:rPr>
          <w:sz w:val="14"/>
          <w:szCs w:val="14"/>
        </w:rPr>
        <w:t>20</w:t>
      </w:r>
      <w:r w:rsidRPr="002A3FAD">
        <w:rPr>
          <w:sz w:val="14"/>
          <w:szCs w:val="14"/>
        </w:rPr>
        <w:t>]</w:t>
      </w:r>
      <w:r w:rsidR="00366547" w:rsidRPr="002A3FAD">
        <w:rPr>
          <w:sz w:val="14"/>
          <w:szCs w:val="14"/>
        </w:rPr>
        <w:tab/>
        <w:t>A. Bilz, T. Stork</w:t>
      </w:r>
      <w:r w:rsidRPr="002A3FAD">
        <w:rPr>
          <w:sz w:val="14"/>
          <w:szCs w:val="14"/>
        </w:rPr>
        <w:t>,</w:t>
      </w:r>
      <w:r w:rsidR="00366547" w:rsidRPr="002A3FAD">
        <w:rPr>
          <w:sz w:val="14"/>
          <w:szCs w:val="14"/>
        </w:rPr>
        <w:t xml:space="preserve"> G. Helmchen, </w:t>
      </w:r>
      <w:r w:rsidR="00366547" w:rsidRPr="002A3FAD">
        <w:rPr>
          <w:i/>
          <w:sz w:val="14"/>
          <w:szCs w:val="14"/>
        </w:rPr>
        <w:t>Tetrahedron: Asymmetry</w:t>
      </w:r>
      <w:r w:rsidR="00366547" w:rsidRPr="002A3FAD">
        <w:rPr>
          <w:sz w:val="14"/>
          <w:szCs w:val="14"/>
        </w:rPr>
        <w:t xml:space="preserve"> </w:t>
      </w:r>
      <w:r w:rsidR="00366547" w:rsidRPr="002A3FAD">
        <w:rPr>
          <w:b/>
          <w:sz w:val="14"/>
          <w:szCs w:val="14"/>
        </w:rPr>
        <w:t>1997</w:t>
      </w:r>
      <w:r w:rsidR="00366547" w:rsidRPr="002A3FAD">
        <w:rPr>
          <w:sz w:val="14"/>
          <w:szCs w:val="14"/>
        </w:rPr>
        <w:t xml:space="preserve">, </w:t>
      </w:r>
      <w:r w:rsidR="00366547" w:rsidRPr="002A3FAD">
        <w:rPr>
          <w:i/>
          <w:sz w:val="14"/>
          <w:szCs w:val="14"/>
        </w:rPr>
        <w:t>8</w:t>
      </w:r>
      <w:r w:rsidR="00366547" w:rsidRPr="00A31A87">
        <w:rPr>
          <w:sz w:val="14"/>
          <w:szCs w:val="14"/>
        </w:rPr>
        <w:t>, 3999</w:t>
      </w:r>
      <w:r w:rsidR="00A31A87">
        <w:rPr>
          <w:sz w:val="14"/>
          <w:szCs w:val="14"/>
        </w:rPr>
        <w:t>–4002</w:t>
      </w:r>
      <w:r w:rsidR="00366547" w:rsidRPr="002A3FAD">
        <w:rPr>
          <w:sz w:val="14"/>
          <w:szCs w:val="14"/>
        </w:rPr>
        <w:t>.</w:t>
      </w:r>
      <w:bookmarkEnd w:id="21"/>
    </w:p>
    <w:p w:rsidR="00366547" w:rsidRPr="002A3FAD" w:rsidRDefault="00D84523" w:rsidP="00366547">
      <w:pPr>
        <w:pStyle w:val="N3References"/>
        <w:spacing w:after="120" w:line="180" w:lineRule="exact"/>
        <w:rPr>
          <w:sz w:val="14"/>
          <w:szCs w:val="14"/>
        </w:rPr>
      </w:pPr>
      <w:bookmarkStart w:id="22" w:name="_ENREF_21"/>
      <w:r w:rsidRPr="002A3FAD">
        <w:rPr>
          <w:sz w:val="14"/>
          <w:szCs w:val="14"/>
        </w:rPr>
        <w:t>[</w:t>
      </w:r>
      <w:r w:rsidR="00366547" w:rsidRPr="002A3FAD">
        <w:rPr>
          <w:sz w:val="14"/>
          <w:szCs w:val="14"/>
        </w:rPr>
        <w:t>21</w:t>
      </w:r>
      <w:r w:rsidRPr="002A3FAD">
        <w:rPr>
          <w:sz w:val="14"/>
          <w:szCs w:val="14"/>
        </w:rPr>
        <w:t>]</w:t>
      </w:r>
      <w:r w:rsidR="00366547" w:rsidRPr="002A3FAD">
        <w:rPr>
          <w:sz w:val="14"/>
          <w:szCs w:val="14"/>
        </w:rPr>
        <w:tab/>
        <w:t>M. A. Lapitskaya, G. V. Zatonsky</w:t>
      </w:r>
      <w:r w:rsidRPr="002A3FAD">
        <w:rPr>
          <w:sz w:val="14"/>
          <w:szCs w:val="14"/>
        </w:rPr>
        <w:t>,</w:t>
      </w:r>
      <w:r w:rsidR="00366547" w:rsidRPr="002A3FAD">
        <w:rPr>
          <w:sz w:val="14"/>
          <w:szCs w:val="14"/>
        </w:rPr>
        <w:t xml:space="preserve"> K. K. Pivnitsky, </w:t>
      </w:r>
      <w:r w:rsidR="00366547" w:rsidRPr="002A3FAD">
        <w:rPr>
          <w:i/>
          <w:sz w:val="14"/>
          <w:szCs w:val="14"/>
        </w:rPr>
        <w:t>Mendeleev Commun.</w:t>
      </w:r>
      <w:r w:rsidR="00366547" w:rsidRPr="002A3FAD">
        <w:rPr>
          <w:sz w:val="14"/>
          <w:szCs w:val="14"/>
        </w:rPr>
        <w:t xml:space="preserve"> </w:t>
      </w:r>
      <w:r w:rsidR="00366547" w:rsidRPr="002A3FAD">
        <w:rPr>
          <w:b/>
          <w:sz w:val="14"/>
          <w:szCs w:val="14"/>
        </w:rPr>
        <w:t>1999</w:t>
      </w:r>
      <w:r w:rsidR="00366547" w:rsidRPr="002A3FAD">
        <w:rPr>
          <w:sz w:val="14"/>
          <w:szCs w:val="14"/>
        </w:rPr>
        <w:t xml:space="preserve">, </w:t>
      </w:r>
      <w:r w:rsidR="00366547" w:rsidRPr="00CC41ED">
        <w:rPr>
          <w:sz w:val="14"/>
          <w:szCs w:val="14"/>
        </w:rPr>
        <w:t>1</w:t>
      </w:r>
      <w:r w:rsidR="00CC41ED" w:rsidRPr="00CC41ED">
        <w:rPr>
          <w:sz w:val="14"/>
          <w:szCs w:val="14"/>
        </w:rPr>
        <w:t>4</w:t>
      </w:r>
      <w:r w:rsidR="00366547" w:rsidRPr="00CC41ED">
        <w:rPr>
          <w:sz w:val="14"/>
          <w:szCs w:val="14"/>
        </w:rPr>
        <w:t>9</w:t>
      </w:r>
      <w:r w:rsidR="00CC41ED" w:rsidRPr="00CC41ED">
        <w:rPr>
          <w:sz w:val="14"/>
          <w:szCs w:val="14"/>
        </w:rPr>
        <w:t>–</w:t>
      </w:r>
      <w:r w:rsidR="00CC41ED">
        <w:rPr>
          <w:sz w:val="14"/>
          <w:szCs w:val="14"/>
        </w:rPr>
        <w:t>151</w:t>
      </w:r>
      <w:r w:rsidR="00366547" w:rsidRPr="002A3FAD">
        <w:rPr>
          <w:sz w:val="14"/>
          <w:szCs w:val="14"/>
        </w:rPr>
        <w:t>.</w:t>
      </w:r>
      <w:bookmarkEnd w:id="22"/>
    </w:p>
    <w:p w:rsidR="00366547" w:rsidRPr="002A3FAD" w:rsidRDefault="00D84523" w:rsidP="00366547">
      <w:pPr>
        <w:pStyle w:val="N3References"/>
        <w:spacing w:after="120" w:line="180" w:lineRule="exact"/>
        <w:rPr>
          <w:sz w:val="14"/>
          <w:szCs w:val="14"/>
        </w:rPr>
      </w:pPr>
      <w:bookmarkStart w:id="23" w:name="_ENREF_22"/>
      <w:r w:rsidRPr="002A3FAD">
        <w:rPr>
          <w:sz w:val="14"/>
          <w:szCs w:val="14"/>
        </w:rPr>
        <w:t>[</w:t>
      </w:r>
      <w:r w:rsidR="00366547" w:rsidRPr="002A3FAD">
        <w:rPr>
          <w:sz w:val="14"/>
          <w:szCs w:val="14"/>
        </w:rPr>
        <w:t>22</w:t>
      </w:r>
      <w:r w:rsidRPr="002A3FAD">
        <w:rPr>
          <w:sz w:val="14"/>
          <w:szCs w:val="14"/>
        </w:rPr>
        <w:t>]</w:t>
      </w:r>
      <w:r w:rsidR="00366547" w:rsidRPr="002A3FAD">
        <w:rPr>
          <w:sz w:val="14"/>
          <w:szCs w:val="14"/>
        </w:rPr>
        <w:tab/>
        <w:t>W. Wang, F. Ma, X. Shen</w:t>
      </w:r>
      <w:r w:rsidRPr="002A3FAD">
        <w:rPr>
          <w:sz w:val="14"/>
          <w:szCs w:val="14"/>
        </w:rPr>
        <w:t>,</w:t>
      </w:r>
      <w:r w:rsidR="00366547" w:rsidRPr="002A3FAD">
        <w:rPr>
          <w:sz w:val="14"/>
          <w:szCs w:val="14"/>
        </w:rPr>
        <w:t xml:space="preserve"> C. Zhang, </w:t>
      </w:r>
      <w:r w:rsidR="00366547" w:rsidRPr="002A3FAD">
        <w:rPr>
          <w:i/>
          <w:sz w:val="14"/>
          <w:szCs w:val="14"/>
        </w:rPr>
        <w:t>Tetrahedron: Asymmetry</w:t>
      </w:r>
      <w:r w:rsidR="00366547" w:rsidRPr="002A3FAD">
        <w:rPr>
          <w:sz w:val="14"/>
          <w:szCs w:val="14"/>
        </w:rPr>
        <w:t xml:space="preserve"> </w:t>
      </w:r>
      <w:r w:rsidR="00366547" w:rsidRPr="002A3FAD">
        <w:rPr>
          <w:b/>
          <w:sz w:val="14"/>
          <w:szCs w:val="14"/>
        </w:rPr>
        <w:t>2007</w:t>
      </w:r>
      <w:r w:rsidR="00366547" w:rsidRPr="002A3FAD">
        <w:rPr>
          <w:sz w:val="14"/>
          <w:szCs w:val="14"/>
        </w:rPr>
        <w:t xml:space="preserve">, </w:t>
      </w:r>
      <w:r w:rsidR="00366547" w:rsidRPr="002A3FAD">
        <w:rPr>
          <w:i/>
          <w:sz w:val="14"/>
          <w:szCs w:val="14"/>
        </w:rPr>
        <w:t>18</w:t>
      </w:r>
      <w:r w:rsidR="00366547" w:rsidRPr="002A3FAD">
        <w:rPr>
          <w:sz w:val="14"/>
          <w:szCs w:val="14"/>
        </w:rPr>
        <w:t xml:space="preserve">, </w:t>
      </w:r>
      <w:r w:rsidR="00366547" w:rsidRPr="00A31A87">
        <w:rPr>
          <w:sz w:val="14"/>
          <w:szCs w:val="14"/>
        </w:rPr>
        <w:t>832</w:t>
      </w:r>
      <w:r w:rsidR="00A31A87" w:rsidRPr="00A31A87">
        <w:rPr>
          <w:sz w:val="14"/>
          <w:szCs w:val="14"/>
        </w:rPr>
        <w:t>–837</w:t>
      </w:r>
      <w:r w:rsidR="00366547" w:rsidRPr="002A3FAD">
        <w:rPr>
          <w:sz w:val="14"/>
          <w:szCs w:val="14"/>
        </w:rPr>
        <w:t>.</w:t>
      </w:r>
      <w:bookmarkEnd w:id="23"/>
    </w:p>
    <w:p w:rsidR="00366547" w:rsidRPr="002A3FAD" w:rsidRDefault="00D84523" w:rsidP="00366547">
      <w:pPr>
        <w:pStyle w:val="N3References"/>
        <w:spacing w:after="120" w:line="180" w:lineRule="exact"/>
        <w:rPr>
          <w:sz w:val="14"/>
          <w:szCs w:val="14"/>
        </w:rPr>
      </w:pPr>
      <w:bookmarkStart w:id="24" w:name="_ENREF_23"/>
      <w:r w:rsidRPr="002A3FAD">
        <w:rPr>
          <w:sz w:val="14"/>
          <w:szCs w:val="14"/>
        </w:rPr>
        <w:t>[</w:t>
      </w:r>
      <w:r w:rsidR="00366547" w:rsidRPr="002A3FAD">
        <w:rPr>
          <w:sz w:val="14"/>
          <w:szCs w:val="14"/>
        </w:rPr>
        <w:t>23</w:t>
      </w:r>
      <w:r w:rsidRPr="002A3FAD">
        <w:rPr>
          <w:sz w:val="14"/>
          <w:szCs w:val="14"/>
        </w:rPr>
        <w:t>]</w:t>
      </w:r>
      <w:r w:rsidR="00366547" w:rsidRPr="002A3FAD">
        <w:rPr>
          <w:sz w:val="14"/>
          <w:szCs w:val="14"/>
        </w:rPr>
        <w:tab/>
        <w:t>Z. Luo, C. Zhong, X. Wu</w:t>
      </w:r>
      <w:r w:rsidRPr="002A3FAD">
        <w:rPr>
          <w:sz w:val="14"/>
          <w:szCs w:val="14"/>
        </w:rPr>
        <w:t>,</w:t>
      </w:r>
      <w:r w:rsidR="00366547" w:rsidRPr="002A3FAD">
        <w:rPr>
          <w:sz w:val="14"/>
          <w:szCs w:val="14"/>
        </w:rPr>
        <w:t xml:space="preserve"> E. Fu, </w:t>
      </w:r>
      <w:r w:rsidR="00366547" w:rsidRPr="002A3FAD">
        <w:rPr>
          <w:i/>
          <w:sz w:val="14"/>
          <w:szCs w:val="14"/>
        </w:rPr>
        <w:t>Tetrahedron Lett.</w:t>
      </w:r>
      <w:r w:rsidR="00366547" w:rsidRPr="002A3FAD">
        <w:rPr>
          <w:sz w:val="14"/>
          <w:szCs w:val="14"/>
        </w:rPr>
        <w:t xml:space="preserve"> </w:t>
      </w:r>
      <w:r w:rsidR="00366547" w:rsidRPr="002A3FAD">
        <w:rPr>
          <w:b/>
          <w:sz w:val="14"/>
          <w:szCs w:val="14"/>
        </w:rPr>
        <w:t>2008</w:t>
      </w:r>
      <w:r w:rsidR="00366547" w:rsidRPr="002A3FAD">
        <w:rPr>
          <w:sz w:val="14"/>
          <w:szCs w:val="14"/>
        </w:rPr>
        <w:t xml:space="preserve">, </w:t>
      </w:r>
      <w:r w:rsidR="00366547" w:rsidRPr="002A3FAD">
        <w:rPr>
          <w:i/>
          <w:sz w:val="14"/>
          <w:szCs w:val="14"/>
        </w:rPr>
        <w:t>49</w:t>
      </w:r>
      <w:r w:rsidR="00366547" w:rsidRPr="00752543">
        <w:rPr>
          <w:sz w:val="14"/>
          <w:szCs w:val="14"/>
        </w:rPr>
        <w:t>, 3385</w:t>
      </w:r>
      <w:r w:rsidR="00752543">
        <w:rPr>
          <w:sz w:val="14"/>
          <w:szCs w:val="14"/>
        </w:rPr>
        <w:t>–3390</w:t>
      </w:r>
      <w:r w:rsidR="00366547" w:rsidRPr="002A3FAD">
        <w:rPr>
          <w:sz w:val="14"/>
          <w:szCs w:val="14"/>
        </w:rPr>
        <w:t>.</w:t>
      </w:r>
      <w:bookmarkEnd w:id="24"/>
    </w:p>
    <w:p w:rsidR="00366547" w:rsidRPr="002A3FAD" w:rsidRDefault="00D84523" w:rsidP="00366547">
      <w:pPr>
        <w:pStyle w:val="N3References"/>
        <w:spacing w:after="120" w:line="180" w:lineRule="exact"/>
        <w:rPr>
          <w:sz w:val="14"/>
          <w:szCs w:val="14"/>
        </w:rPr>
      </w:pPr>
      <w:bookmarkStart w:id="25" w:name="_ENREF_24"/>
      <w:r w:rsidRPr="002A3FAD">
        <w:rPr>
          <w:sz w:val="14"/>
          <w:szCs w:val="14"/>
        </w:rPr>
        <w:t>[</w:t>
      </w:r>
      <w:r w:rsidR="00366547" w:rsidRPr="002A3FAD">
        <w:rPr>
          <w:sz w:val="14"/>
          <w:szCs w:val="14"/>
        </w:rPr>
        <w:t>24</w:t>
      </w:r>
      <w:r w:rsidRPr="002A3FAD">
        <w:rPr>
          <w:sz w:val="14"/>
          <w:szCs w:val="14"/>
        </w:rPr>
        <w:t>]</w:t>
      </w:r>
      <w:r w:rsidR="00366547" w:rsidRPr="002A3FAD">
        <w:rPr>
          <w:sz w:val="14"/>
          <w:szCs w:val="14"/>
        </w:rPr>
        <w:tab/>
        <w:t>W. Wang, X. Shen, F. Ma, Z. Li</w:t>
      </w:r>
      <w:r w:rsidRPr="002A3FAD">
        <w:rPr>
          <w:sz w:val="14"/>
          <w:szCs w:val="14"/>
        </w:rPr>
        <w:t>,</w:t>
      </w:r>
      <w:r w:rsidR="00366547" w:rsidRPr="002A3FAD">
        <w:rPr>
          <w:sz w:val="14"/>
          <w:szCs w:val="14"/>
        </w:rPr>
        <w:t xml:space="preserve"> C. Zhang, </w:t>
      </w:r>
      <w:r w:rsidR="00366547" w:rsidRPr="002A3FAD">
        <w:rPr>
          <w:i/>
          <w:sz w:val="14"/>
          <w:szCs w:val="14"/>
        </w:rPr>
        <w:t>Tetrahedron: Asymmetry</w:t>
      </w:r>
      <w:r w:rsidR="00366547" w:rsidRPr="002A3FAD">
        <w:rPr>
          <w:sz w:val="14"/>
          <w:szCs w:val="14"/>
        </w:rPr>
        <w:t xml:space="preserve"> </w:t>
      </w:r>
      <w:r w:rsidR="00366547" w:rsidRPr="002A3FAD">
        <w:rPr>
          <w:b/>
          <w:sz w:val="14"/>
          <w:szCs w:val="14"/>
        </w:rPr>
        <w:t>2008</w:t>
      </w:r>
      <w:r w:rsidR="00366547" w:rsidRPr="002A3FAD">
        <w:rPr>
          <w:sz w:val="14"/>
          <w:szCs w:val="14"/>
        </w:rPr>
        <w:t xml:space="preserve">, </w:t>
      </w:r>
      <w:r w:rsidR="00366547" w:rsidRPr="002A3FAD">
        <w:rPr>
          <w:i/>
          <w:sz w:val="14"/>
          <w:szCs w:val="14"/>
        </w:rPr>
        <w:t>19</w:t>
      </w:r>
      <w:r w:rsidR="00366547" w:rsidRPr="002A3FAD">
        <w:rPr>
          <w:sz w:val="14"/>
          <w:szCs w:val="14"/>
        </w:rPr>
        <w:t xml:space="preserve">, </w:t>
      </w:r>
      <w:r w:rsidR="00366547" w:rsidRPr="006C7359">
        <w:rPr>
          <w:sz w:val="14"/>
          <w:szCs w:val="14"/>
        </w:rPr>
        <w:t>1193</w:t>
      </w:r>
      <w:r w:rsidR="006C7359" w:rsidRPr="006C7359">
        <w:rPr>
          <w:sz w:val="14"/>
          <w:szCs w:val="14"/>
        </w:rPr>
        <w:t>–1199</w:t>
      </w:r>
      <w:r w:rsidR="00366547" w:rsidRPr="002A3FAD">
        <w:rPr>
          <w:sz w:val="14"/>
          <w:szCs w:val="14"/>
        </w:rPr>
        <w:t>.</w:t>
      </w:r>
      <w:bookmarkEnd w:id="25"/>
    </w:p>
    <w:p w:rsidR="00366547" w:rsidRPr="002A3FAD" w:rsidRDefault="00D84523" w:rsidP="00366547">
      <w:pPr>
        <w:pStyle w:val="N3References"/>
        <w:spacing w:after="120" w:line="180" w:lineRule="exact"/>
        <w:rPr>
          <w:sz w:val="14"/>
          <w:szCs w:val="14"/>
        </w:rPr>
      </w:pPr>
      <w:bookmarkStart w:id="26" w:name="_ENREF_25"/>
      <w:r w:rsidRPr="002A3FAD">
        <w:rPr>
          <w:sz w:val="14"/>
          <w:szCs w:val="14"/>
        </w:rPr>
        <w:t>[</w:t>
      </w:r>
      <w:r w:rsidR="00366547" w:rsidRPr="002A3FAD">
        <w:rPr>
          <w:sz w:val="14"/>
          <w:szCs w:val="14"/>
        </w:rPr>
        <w:t>25</w:t>
      </w:r>
      <w:r w:rsidRPr="002A3FAD">
        <w:rPr>
          <w:sz w:val="14"/>
          <w:szCs w:val="14"/>
        </w:rPr>
        <w:t>]</w:t>
      </w:r>
      <w:r w:rsidR="00366547" w:rsidRPr="002A3FAD">
        <w:rPr>
          <w:sz w:val="14"/>
          <w:szCs w:val="14"/>
        </w:rPr>
        <w:tab/>
        <w:t>S. Satishkumar</w:t>
      </w:r>
      <w:r w:rsidRPr="002A3FAD">
        <w:rPr>
          <w:sz w:val="14"/>
          <w:szCs w:val="14"/>
        </w:rPr>
        <w:t xml:space="preserve">, </w:t>
      </w:r>
      <w:r w:rsidR="00366547" w:rsidRPr="002A3FAD">
        <w:rPr>
          <w:sz w:val="14"/>
          <w:szCs w:val="14"/>
        </w:rPr>
        <w:t xml:space="preserve">M. Periasamy, </w:t>
      </w:r>
      <w:r w:rsidR="00366547" w:rsidRPr="002A3FAD">
        <w:rPr>
          <w:i/>
          <w:sz w:val="14"/>
          <w:szCs w:val="14"/>
        </w:rPr>
        <w:t>Tetrahedron: Asymmetry</w:t>
      </w:r>
      <w:r w:rsidR="00366547" w:rsidRPr="002A3FAD">
        <w:rPr>
          <w:sz w:val="14"/>
          <w:szCs w:val="14"/>
        </w:rPr>
        <w:t xml:space="preserve"> </w:t>
      </w:r>
      <w:r w:rsidR="00366547" w:rsidRPr="002A3FAD">
        <w:rPr>
          <w:b/>
          <w:sz w:val="14"/>
          <w:szCs w:val="14"/>
        </w:rPr>
        <w:t>2009</w:t>
      </w:r>
      <w:r w:rsidR="00366547" w:rsidRPr="002A3FAD">
        <w:rPr>
          <w:sz w:val="14"/>
          <w:szCs w:val="14"/>
        </w:rPr>
        <w:t xml:space="preserve">, </w:t>
      </w:r>
      <w:r w:rsidR="00366547" w:rsidRPr="002A3FAD">
        <w:rPr>
          <w:i/>
          <w:sz w:val="14"/>
          <w:szCs w:val="14"/>
        </w:rPr>
        <w:t>20</w:t>
      </w:r>
      <w:r w:rsidR="00366547" w:rsidRPr="006C7359">
        <w:rPr>
          <w:sz w:val="14"/>
          <w:szCs w:val="14"/>
        </w:rPr>
        <w:t>, 2257</w:t>
      </w:r>
      <w:r w:rsidR="006C7359" w:rsidRPr="006C7359">
        <w:rPr>
          <w:sz w:val="14"/>
          <w:szCs w:val="14"/>
        </w:rPr>
        <w:t>–2262</w:t>
      </w:r>
      <w:r w:rsidR="00366547" w:rsidRPr="002A3FAD">
        <w:rPr>
          <w:sz w:val="14"/>
          <w:szCs w:val="14"/>
        </w:rPr>
        <w:t>.</w:t>
      </w:r>
      <w:bookmarkEnd w:id="26"/>
    </w:p>
    <w:p w:rsidR="00366547" w:rsidRPr="002A3FAD" w:rsidRDefault="00D84523" w:rsidP="00366547">
      <w:pPr>
        <w:pStyle w:val="N3References"/>
        <w:spacing w:after="120" w:line="180" w:lineRule="exact"/>
        <w:rPr>
          <w:sz w:val="14"/>
          <w:szCs w:val="14"/>
        </w:rPr>
      </w:pPr>
      <w:bookmarkStart w:id="27" w:name="_ENREF_26"/>
      <w:r w:rsidRPr="002A3FAD">
        <w:rPr>
          <w:sz w:val="14"/>
          <w:szCs w:val="14"/>
        </w:rPr>
        <w:t>[</w:t>
      </w:r>
      <w:r w:rsidR="00366547" w:rsidRPr="002A3FAD">
        <w:rPr>
          <w:sz w:val="14"/>
          <w:szCs w:val="14"/>
        </w:rPr>
        <w:t>26</w:t>
      </w:r>
      <w:r w:rsidRPr="002A3FAD">
        <w:rPr>
          <w:sz w:val="14"/>
          <w:szCs w:val="14"/>
        </w:rPr>
        <w:t>]</w:t>
      </w:r>
      <w:r w:rsidR="00366547" w:rsidRPr="002A3FAD">
        <w:rPr>
          <w:sz w:val="14"/>
          <w:szCs w:val="14"/>
        </w:rPr>
        <w:tab/>
        <w:t>B. Altava, M. I. Burguete, N. Carbo, J. Escorihuela</w:t>
      </w:r>
      <w:r w:rsidRPr="002A3FAD">
        <w:rPr>
          <w:sz w:val="14"/>
          <w:szCs w:val="14"/>
        </w:rPr>
        <w:t>,</w:t>
      </w:r>
      <w:r w:rsidR="00366547" w:rsidRPr="002A3FAD">
        <w:rPr>
          <w:sz w:val="14"/>
          <w:szCs w:val="14"/>
        </w:rPr>
        <w:t xml:space="preserve"> S. V. Luis, </w:t>
      </w:r>
      <w:r w:rsidR="00366547" w:rsidRPr="002A3FAD">
        <w:rPr>
          <w:i/>
          <w:sz w:val="14"/>
          <w:szCs w:val="14"/>
        </w:rPr>
        <w:t>Tetrahedron: Asymmetry</w:t>
      </w:r>
      <w:r w:rsidR="00366547" w:rsidRPr="002A3FAD">
        <w:rPr>
          <w:sz w:val="14"/>
          <w:szCs w:val="14"/>
        </w:rPr>
        <w:t xml:space="preserve"> </w:t>
      </w:r>
      <w:r w:rsidR="00366547" w:rsidRPr="002A3FAD">
        <w:rPr>
          <w:b/>
          <w:sz w:val="14"/>
          <w:szCs w:val="14"/>
        </w:rPr>
        <w:t>2010</w:t>
      </w:r>
      <w:r w:rsidR="00366547" w:rsidRPr="002A3FAD">
        <w:rPr>
          <w:sz w:val="14"/>
          <w:szCs w:val="14"/>
        </w:rPr>
        <w:t xml:space="preserve">, </w:t>
      </w:r>
      <w:r w:rsidR="00366547" w:rsidRPr="002A3FAD">
        <w:rPr>
          <w:i/>
          <w:sz w:val="14"/>
          <w:szCs w:val="14"/>
        </w:rPr>
        <w:t>21</w:t>
      </w:r>
      <w:r w:rsidR="00366547" w:rsidRPr="002A3FAD">
        <w:rPr>
          <w:sz w:val="14"/>
          <w:szCs w:val="14"/>
        </w:rPr>
        <w:t>, 982</w:t>
      </w:r>
      <w:r w:rsidR="004C2494" w:rsidRPr="002A3FAD">
        <w:rPr>
          <w:sz w:val="14"/>
          <w:szCs w:val="14"/>
        </w:rPr>
        <w:t>–989</w:t>
      </w:r>
      <w:r w:rsidR="00366547" w:rsidRPr="002A3FAD">
        <w:rPr>
          <w:sz w:val="14"/>
          <w:szCs w:val="14"/>
        </w:rPr>
        <w:t>.</w:t>
      </w:r>
      <w:bookmarkEnd w:id="27"/>
    </w:p>
    <w:p w:rsidR="00366547" w:rsidRPr="002A3FAD" w:rsidRDefault="00D84523" w:rsidP="00366547">
      <w:pPr>
        <w:pStyle w:val="N3References"/>
        <w:spacing w:after="120" w:line="180" w:lineRule="exact"/>
        <w:rPr>
          <w:sz w:val="14"/>
          <w:szCs w:val="14"/>
        </w:rPr>
      </w:pPr>
      <w:bookmarkStart w:id="28" w:name="_ENREF_27"/>
      <w:r w:rsidRPr="002A3FAD">
        <w:rPr>
          <w:sz w:val="14"/>
          <w:szCs w:val="14"/>
        </w:rPr>
        <w:t>[</w:t>
      </w:r>
      <w:r w:rsidR="00366547" w:rsidRPr="002A3FAD">
        <w:rPr>
          <w:sz w:val="14"/>
          <w:szCs w:val="14"/>
        </w:rPr>
        <w:t>27</w:t>
      </w:r>
      <w:r w:rsidRPr="002A3FAD">
        <w:rPr>
          <w:sz w:val="14"/>
          <w:szCs w:val="14"/>
        </w:rPr>
        <w:t>]</w:t>
      </w:r>
      <w:r w:rsidR="00366547" w:rsidRPr="002A3FAD">
        <w:rPr>
          <w:sz w:val="14"/>
          <w:szCs w:val="14"/>
        </w:rPr>
        <w:tab/>
        <w:t>M. Periasamy, M. Dalai</w:t>
      </w:r>
      <w:r w:rsidRPr="002A3FAD">
        <w:rPr>
          <w:sz w:val="14"/>
          <w:szCs w:val="14"/>
        </w:rPr>
        <w:t>,</w:t>
      </w:r>
      <w:r w:rsidR="00366547" w:rsidRPr="002A3FAD">
        <w:rPr>
          <w:sz w:val="14"/>
          <w:szCs w:val="14"/>
        </w:rPr>
        <w:t xml:space="preserve"> M. Padmaja, </w:t>
      </w:r>
      <w:r w:rsidR="00366547" w:rsidRPr="002A3FAD">
        <w:rPr>
          <w:i/>
          <w:sz w:val="14"/>
          <w:szCs w:val="14"/>
        </w:rPr>
        <w:t>J. Chem. Sci.</w:t>
      </w:r>
      <w:r w:rsidR="00366547" w:rsidRPr="002A3FAD">
        <w:rPr>
          <w:sz w:val="14"/>
          <w:szCs w:val="14"/>
        </w:rPr>
        <w:t xml:space="preserve"> </w:t>
      </w:r>
      <w:r w:rsidR="00366547" w:rsidRPr="002A3FAD">
        <w:rPr>
          <w:b/>
          <w:sz w:val="14"/>
          <w:szCs w:val="14"/>
        </w:rPr>
        <w:t>2010</w:t>
      </w:r>
      <w:r w:rsidR="00366547" w:rsidRPr="002A3FAD">
        <w:rPr>
          <w:sz w:val="14"/>
          <w:szCs w:val="14"/>
        </w:rPr>
        <w:t xml:space="preserve">, </w:t>
      </w:r>
      <w:r w:rsidR="00366547" w:rsidRPr="002A3FAD">
        <w:rPr>
          <w:i/>
          <w:sz w:val="14"/>
          <w:szCs w:val="14"/>
        </w:rPr>
        <w:t>122</w:t>
      </w:r>
      <w:r w:rsidR="00366547" w:rsidRPr="002A3FAD">
        <w:rPr>
          <w:sz w:val="14"/>
          <w:szCs w:val="14"/>
        </w:rPr>
        <w:t xml:space="preserve">, </w:t>
      </w:r>
      <w:r w:rsidR="00366547" w:rsidRPr="00E10ED6">
        <w:rPr>
          <w:sz w:val="14"/>
          <w:szCs w:val="14"/>
        </w:rPr>
        <w:t>561</w:t>
      </w:r>
      <w:r w:rsidR="00E10ED6" w:rsidRPr="00E10ED6">
        <w:rPr>
          <w:sz w:val="14"/>
          <w:szCs w:val="14"/>
        </w:rPr>
        <w:t>–569</w:t>
      </w:r>
      <w:r w:rsidR="00366547" w:rsidRPr="002A3FAD">
        <w:rPr>
          <w:sz w:val="14"/>
          <w:szCs w:val="14"/>
        </w:rPr>
        <w:t>.</w:t>
      </w:r>
      <w:bookmarkEnd w:id="28"/>
    </w:p>
    <w:p w:rsidR="00366547" w:rsidRPr="002A3FAD" w:rsidRDefault="00D84523" w:rsidP="00366547">
      <w:pPr>
        <w:pStyle w:val="N3References"/>
        <w:spacing w:after="120" w:line="180" w:lineRule="exact"/>
        <w:rPr>
          <w:sz w:val="14"/>
          <w:szCs w:val="14"/>
        </w:rPr>
      </w:pPr>
      <w:bookmarkStart w:id="29" w:name="_ENREF_28"/>
      <w:r w:rsidRPr="002A3FAD">
        <w:rPr>
          <w:sz w:val="14"/>
          <w:szCs w:val="14"/>
        </w:rPr>
        <w:t>[</w:t>
      </w:r>
      <w:r w:rsidR="00366547" w:rsidRPr="002A3FAD">
        <w:rPr>
          <w:sz w:val="14"/>
          <w:szCs w:val="14"/>
        </w:rPr>
        <w:t>28</w:t>
      </w:r>
      <w:r w:rsidRPr="002A3FAD">
        <w:rPr>
          <w:sz w:val="14"/>
          <w:szCs w:val="14"/>
        </w:rPr>
        <w:t>]</w:t>
      </w:r>
      <w:r w:rsidR="00366547" w:rsidRPr="002A3FAD">
        <w:rPr>
          <w:sz w:val="14"/>
          <w:szCs w:val="14"/>
        </w:rPr>
        <w:tab/>
        <w:t>L. Liu, M. Ye, X. Hu, X. Yu, L. Zhang</w:t>
      </w:r>
      <w:r w:rsidRPr="002A3FAD">
        <w:rPr>
          <w:sz w:val="14"/>
          <w:szCs w:val="14"/>
        </w:rPr>
        <w:t>,</w:t>
      </w:r>
      <w:r w:rsidR="00366547" w:rsidRPr="002A3FAD">
        <w:rPr>
          <w:sz w:val="14"/>
          <w:szCs w:val="14"/>
        </w:rPr>
        <w:t xml:space="preserve"> X. Lei, </w:t>
      </w:r>
      <w:r w:rsidR="00366547" w:rsidRPr="002A3FAD">
        <w:rPr>
          <w:i/>
          <w:sz w:val="14"/>
          <w:szCs w:val="14"/>
        </w:rPr>
        <w:t>Tetrahedron: Asymmetry</w:t>
      </w:r>
      <w:r w:rsidR="00366547" w:rsidRPr="002A3FAD">
        <w:rPr>
          <w:sz w:val="14"/>
          <w:szCs w:val="14"/>
        </w:rPr>
        <w:t xml:space="preserve"> </w:t>
      </w:r>
      <w:r w:rsidR="00366547" w:rsidRPr="002A3FAD">
        <w:rPr>
          <w:b/>
          <w:sz w:val="14"/>
          <w:szCs w:val="14"/>
        </w:rPr>
        <w:t>2011</w:t>
      </w:r>
      <w:r w:rsidR="00366547" w:rsidRPr="002A3FAD">
        <w:rPr>
          <w:sz w:val="14"/>
          <w:szCs w:val="14"/>
        </w:rPr>
        <w:t xml:space="preserve">, </w:t>
      </w:r>
      <w:r w:rsidR="00366547" w:rsidRPr="002A3FAD">
        <w:rPr>
          <w:i/>
          <w:sz w:val="14"/>
          <w:szCs w:val="14"/>
        </w:rPr>
        <w:t>22</w:t>
      </w:r>
      <w:r w:rsidR="00366547" w:rsidRPr="002A3FAD">
        <w:rPr>
          <w:sz w:val="14"/>
          <w:szCs w:val="14"/>
        </w:rPr>
        <w:t xml:space="preserve">, </w:t>
      </w:r>
      <w:r w:rsidR="00366547" w:rsidRPr="00403F45">
        <w:rPr>
          <w:sz w:val="14"/>
          <w:szCs w:val="14"/>
        </w:rPr>
        <w:t>1667</w:t>
      </w:r>
      <w:r w:rsidR="00403F45" w:rsidRPr="00403F45">
        <w:rPr>
          <w:sz w:val="14"/>
          <w:szCs w:val="14"/>
        </w:rPr>
        <w:t>–1671</w:t>
      </w:r>
      <w:r w:rsidR="00366547" w:rsidRPr="00403F45">
        <w:rPr>
          <w:sz w:val="14"/>
          <w:szCs w:val="14"/>
        </w:rPr>
        <w:t>.</w:t>
      </w:r>
      <w:bookmarkEnd w:id="29"/>
    </w:p>
    <w:p w:rsidR="00366547" w:rsidRDefault="00D84523" w:rsidP="00366547">
      <w:pPr>
        <w:pStyle w:val="N3References"/>
        <w:spacing w:after="120" w:line="180" w:lineRule="exact"/>
        <w:rPr>
          <w:sz w:val="14"/>
          <w:szCs w:val="14"/>
        </w:rPr>
      </w:pPr>
      <w:bookmarkStart w:id="30" w:name="_ENREF_29"/>
      <w:r w:rsidRPr="002A3FAD">
        <w:rPr>
          <w:sz w:val="14"/>
          <w:szCs w:val="14"/>
        </w:rPr>
        <w:t>[</w:t>
      </w:r>
      <w:r w:rsidR="00366547" w:rsidRPr="002A3FAD">
        <w:rPr>
          <w:sz w:val="14"/>
          <w:szCs w:val="14"/>
        </w:rPr>
        <w:t>29</w:t>
      </w:r>
      <w:r w:rsidRPr="002A3FAD">
        <w:rPr>
          <w:sz w:val="14"/>
          <w:szCs w:val="14"/>
        </w:rPr>
        <w:t>]</w:t>
      </w:r>
      <w:r w:rsidR="00366547" w:rsidRPr="002A3FAD">
        <w:rPr>
          <w:sz w:val="14"/>
          <w:szCs w:val="14"/>
        </w:rPr>
        <w:tab/>
        <w:t>H. N. Naziroglu, M. Durmaz, S. Bozkurt</w:t>
      </w:r>
      <w:r w:rsidRPr="002A3FAD">
        <w:rPr>
          <w:sz w:val="14"/>
          <w:szCs w:val="14"/>
        </w:rPr>
        <w:t>,</w:t>
      </w:r>
      <w:r w:rsidR="00366547" w:rsidRPr="002A3FAD">
        <w:rPr>
          <w:sz w:val="14"/>
          <w:szCs w:val="14"/>
        </w:rPr>
        <w:t xml:space="preserve"> A. Sirit, </w:t>
      </w:r>
      <w:r w:rsidR="00366547" w:rsidRPr="002A3FAD">
        <w:rPr>
          <w:i/>
          <w:sz w:val="14"/>
          <w:szCs w:val="14"/>
        </w:rPr>
        <w:t>Chirality</w:t>
      </w:r>
      <w:r w:rsidR="00366547" w:rsidRPr="002A3FAD">
        <w:rPr>
          <w:sz w:val="14"/>
          <w:szCs w:val="14"/>
        </w:rPr>
        <w:t xml:space="preserve"> </w:t>
      </w:r>
      <w:r w:rsidR="00366547" w:rsidRPr="002A3FAD">
        <w:rPr>
          <w:b/>
          <w:sz w:val="14"/>
          <w:szCs w:val="14"/>
        </w:rPr>
        <w:t>2011</w:t>
      </w:r>
      <w:r w:rsidR="00366547" w:rsidRPr="002A3FAD">
        <w:rPr>
          <w:sz w:val="14"/>
          <w:szCs w:val="14"/>
        </w:rPr>
        <w:t xml:space="preserve">, </w:t>
      </w:r>
      <w:r w:rsidR="00366547" w:rsidRPr="002A3FAD">
        <w:rPr>
          <w:i/>
          <w:sz w:val="14"/>
          <w:szCs w:val="14"/>
        </w:rPr>
        <w:t>23</w:t>
      </w:r>
      <w:r w:rsidR="00366547" w:rsidRPr="000641AB">
        <w:rPr>
          <w:sz w:val="14"/>
          <w:szCs w:val="14"/>
        </w:rPr>
        <w:t>, 463</w:t>
      </w:r>
      <w:r w:rsidR="000641AB" w:rsidRPr="000641AB">
        <w:rPr>
          <w:sz w:val="14"/>
          <w:szCs w:val="14"/>
        </w:rPr>
        <w:t>–</w:t>
      </w:r>
      <w:r w:rsidR="000641AB">
        <w:rPr>
          <w:sz w:val="14"/>
          <w:szCs w:val="14"/>
        </w:rPr>
        <w:t>471</w:t>
      </w:r>
      <w:r w:rsidR="00366547" w:rsidRPr="002A3FAD">
        <w:rPr>
          <w:sz w:val="14"/>
          <w:szCs w:val="14"/>
        </w:rPr>
        <w:t>.</w:t>
      </w:r>
      <w:bookmarkEnd w:id="30"/>
    </w:p>
    <w:p w:rsidR="002A3FAD" w:rsidRPr="00FC4CA4" w:rsidRDefault="002A3FAD" w:rsidP="00366547">
      <w:pPr>
        <w:pStyle w:val="N3References"/>
        <w:spacing w:after="120" w:line="180" w:lineRule="exact"/>
        <w:rPr>
          <w:sz w:val="14"/>
          <w:szCs w:val="14"/>
        </w:rPr>
      </w:pPr>
      <w:r w:rsidRPr="00FC4CA4">
        <w:rPr>
          <w:sz w:val="14"/>
          <w:szCs w:val="14"/>
        </w:rPr>
        <w:t>[30]</w:t>
      </w:r>
      <w:r w:rsidRPr="00FC4CA4">
        <w:rPr>
          <w:sz w:val="14"/>
          <w:szCs w:val="14"/>
        </w:rPr>
        <w:tab/>
        <w:t xml:space="preserve">S. Ehala, A. A. Grishina, A. E. Sheshenev, I. M. Lyapkalo, V. Kašička, </w:t>
      </w:r>
      <w:r w:rsidRPr="00FC4CA4">
        <w:rPr>
          <w:i/>
          <w:sz w:val="14"/>
          <w:szCs w:val="14"/>
          <w:lang w:val="en-US"/>
        </w:rPr>
        <w:t xml:space="preserve">J. Chrom. A </w:t>
      </w:r>
      <w:r w:rsidRPr="00FC4CA4">
        <w:rPr>
          <w:b/>
          <w:sz w:val="14"/>
          <w:szCs w:val="14"/>
          <w:lang w:val="en-US"/>
        </w:rPr>
        <w:t>2010</w:t>
      </w:r>
      <w:r w:rsidRPr="00FC4CA4">
        <w:rPr>
          <w:sz w:val="14"/>
          <w:szCs w:val="14"/>
          <w:lang w:val="en-US"/>
        </w:rPr>
        <w:t xml:space="preserve">, </w:t>
      </w:r>
      <w:r w:rsidRPr="00FC4CA4">
        <w:rPr>
          <w:i/>
          <w:sz w:val="14"/>
          <w:szCs w:val="14"/>
          <w:lang w:val="en-US"/>
        </w:rPr>
        <w:t>1217</w:t>
      </w:r>
      <w:r w:rsidRPr="00FC4CA4">
        <w:rPr>
          <w:sz w:val="14"/>
          <w:szCs w:val="14"/>
          <w:lang w:val="en-US"/>
        </w:rPr>
        <w:t>, 8048–8053.</w:t>
      </w:r>
    </w:p>
    <w:p w:rsidR="00366547" w:rsidRPr="002A3FAD" w:rsidRDefault="00D84523" w:rsidP="00366547">
      <w:pPr>
        <w:pStyle w:val="N3References"/>
        <w:spacing w:after="120" w:line="180" w:lineRule="exact"/>
        <w:rPr>
          <w:sz w:val="14"/>
          <w:szCs w:val="14"/>
        </w:rPr>
      </w:pPr>
      <w:bookmarkStart w:id="31" w:name="_ENREF_30"/>
      <w:r w:rsidRPr="002A3FAD">
        <w:rPr>
          <w:sz w:val="14"/>
          <w:szCs w:val="14"/>
        </w:rPr>
        <w:t>[</w:t>
      </w:r>
      <w:r w:rsidR="00366547" w:rsidRPr="002A3FAD">
        <w:rPr>
          <w:sz w:val="14"/>
          <w:szCs w:val="14"/>
        </w:rPr>
        <w:t>3</w:t>
      </w:r>
      <w:r w:rsidR="002A3FAD">
        <w:rPr>
          <w:sz w:val="14"/>
          <w:szCs w:val="14"/>
        </w:rPr>
        <w:t>1</w:t>
      </w:r>
      <w:r w:rsidRPr="002A3FAD">
        <w:rPr>
          <w:sz w:val="14"/>
          <w:szCs w:val="14"/>
        </w:rPr>
        <w:t>]</w:t>
      </w:r>
      <w:r w:rsidR="00366547" w:rsidRPr="002A3FAD">
        <w:rPr>
          <w:sz w:val="14"/>
          <w:szCs w:val="14"/>
        </w:rPr>
        <w:tab/>
        <w:t xml:space="preserve">L. Fielding, </w:t>
      </w:r>
      <w:r w:rsidR="00366547" w:rsidRPr="002A3FAD">
        <w:rPr>
          <w:i/>
          <w:sz w:val="14"/>
          <w:szCs w:val="14"/>
        </w:rPr>
        <w:t>Tetrahedron</w:t>
      </w:r>
      <w:r w:rsidR="00366547" w:rsidRPr="002A3FAD">
        <w:rPr>
          <w:sz w:val="14"/>
          <w:szCs w:val="14"/>
        </w:rPr>
        <w:t xml:space="preserve"> </w:t>
      </w:r>
      <w:r w:rsidR="00366547" w:rsidRPr="002A3FAD">
        <w:rPr>
          <w:b/>
          <w:sz w:val="14"/>
          <w:szCs w:val="14"/>
        </w:rPr>
        <w:t>2000</w:t>
      </w:r>
      <w:r w:rsidR="00366547" w:rsidRPr="002A3FAD">
        <w:rPr>
          <w:sz w:val="14"/>
          <w:szCs w:val="14"/>
        </w:rPr>
        <w:t xml:space="preserve">, </w:t>
      </w:r>
      <w:r w:rsidR="00366547" w:rsidRPr="002A3FAD">
        <w:rPr>
          <w:i/>
          <w:sz w:val="14"/>
          <w:szCs w:val="14"/>
        </w:rPr>
        <w:t>56</w:t>
      </w:r>
      <w:r w:rsidR="00366547" w:rsidRPr="002A3FAD">
        <w:rPr>
          <w:sz w:val="14"/>
          <w:szCs w:val="14"/>
        </w:rPr>
        <w:t>, 6151</w:t>
      </w:r>
      <w:r w:rsidR="008471F6" w:rsidRPr="002A3FAD">
        <w:rPr>
          <w:sz w:val="14"/>
          <w:szCs w:val="14"/>
        </w:rPr>
        <w:t>–6170</w:t>
      </w:r>
      <w:r w:rsidR="00366547" w:rsidRPr="002A3FAD">
        <w:rPr>
          <w:sz w:val="14"/>
          <w:szCs w:val="14"/>
        </w:rPr>
        <w:t>.</w:t>
      </w:r>
      <w:bookmarkEnd w:id="31"/>
    </w:p>
    <w:p w:rsidR="00366547" w:rsidRPr="002A3FAD" w:rsidRDefault="00D84523" w:rsidP="00366547">
      <w:pPr>
        <w:pStyle w:val="N3References"/>
        <w:spacing w:after="120" w:line="180" w:lineRule="exact"/>
        <w:rPr>
          <w:sz w:val="14"/>
          <w:szCs w:val="14"/>
        </w:rPr>
      </w:pPr>
      <w:bookmarkStart w:id="32" w:name="_ENREF_31"/>
      <w:r w:rsidRPr="002A3FAD">
        <w:rPr>
          <w:sz w:val="14"/>
          <w:szCs w:val="14"/>
        </w:rPr>
        <w:t>[</w:t>
      </w:r>
      <w:r w:rsidR="00366547" w:rsidRPr="002A3FAD">
        <w:rPr>
          <w:sz w:val="14"/>
          <w:szCs w:val="14"/>
        </w:rPr>
        <w:t>3</w:t>
      </w:r>
      <w:r w:rsidR="002A3FAD">
        <w:rPr>
          <w:sz w:val="14"/>
          <w:szCs w:val="14"/>
        </w:rPr>
        <w:t>2</w:t>
      </w:r>
      <w:r w:rsidRPr="002A3FAD">
        <w:rPr>
          <w:sz w:val="14"/>
          <w:szCs w:val="14"/>
        </w:rPr>
        <w:t>]</w:t>
      </w:r>
      <w:r w:rsidR="00366547" w:rsidRPr="002A3FAD">
        <w:rPr>
          <w:sz w:val="14"/>
          <w:szCs w:val="14"/>
        </w:rPr>
        <w:tab/>
        <w:t xml:space="preserve">K. A. Connors, </w:t>
      </w:r>
      <w:r w:rsidR="00366547" w:rsidRPr="002A3FAD">
        <w:rPr>
          <w:i/>
          <w:sz w:val="14"/>
          <w:szCs w:val="14"/>
        </w:rPr>
        <w:t>Binding constants: the measurement of molecular complex stability</w:t>
      </w:r>
      <w:r w:rsidR="00366547" w:rsidRPr="002A3FAD">
        <w:rPr>
          <w:sz w:val="14"/>
          <w:szCs w:val="14"/>
        </w:rPr>
        <w:t xml:space="preserve">, Wiley, </w:t>
      </w:r>
      <w:r w:rsidR="00366547" w:rsidRPr="00DE072F">
        <w:rPr>
          <w:b/>
          <w:sz w:val="14"/>
          <w:szCs w:val="14"/>
        </w:rPr>
        <w:t>1987</w:t>
      </w:r>
      <w:r w:rsidR="00366547" w:rsidRPr="002A3FAD">
        <w:rPr>
          <w:sz w:val="14"/>
          <w:szCs w:val="14"/>
        </w:rPr>
        <w:t>.</w:t>
      </w:r>
      <w:bookmarkEnd w:id="32"/>
    </w:p>
    <w:p w:rsidR="00366547" w:rsidRPr="002A3FAD" w:rsidRDefault="00D84523" w:rsidP="00366547">
      <w:pPr>
        <w:pStyle w:val="N3References"/>
        <w:spacing w:after="120" w:line="180" w:lineRule="exact"/>
        <w:rPr>
          <w:sz w:val="14"/>
          <w:szCs w:val="14"/>
        </w:rPr>
      </w:pPr>
      <w:bookmarkStart w:id="33" w:name="_ENREF_32"/>
      <w:r w:rsidRPr="002A3FAD">
        <w:rPr>
          <w:sz w:val="14"/>
          <w:szCs w:val="14"/>
        </w:rPr>
        <w:t>[</w:t>
      </w:r>
      <w:r w:rsidR="00366547" w:rsidRPr="002A3FAD">
        <w:rPr>
          <w:sz w:val="14"/>
          <w:szCs w:val="14"/>
        </w:rPr>
        <w:t>3</w:t>
      </w:r>
      <w:r w:rsidR="002A3FAD">
        <w:rPr>
          <w:sz w:val="14"/>
          <w:szCs w:val="14"/>
        </w:rPr>
        <w:t>3</w:t>
      </w:r>
      <w:r w:rsidRPr="002A3FAD">
        <w:rPr>
          <w:sz w:val="14"/>
          <w:szCs w:val="14"/>
        </w:rPr>
        <w:t>]</w:t>
      </w:r>
      <w:r w:rsidR="00366547" w:rsidRPr="002A3FAD">
        <w:rPr>
          <w:sz w:val="14"/>
          <w:szCs w:val="14"/>
        </w:rPr>
        <w:tab/>
        <w:t xml:space="preserve">We thank Professor Christopher Hunter (University of Sheffield, UK) for </w:t>
      </w:r>
      <w:r w:rsidR="00B12037" w:rsidRPr="002A3FAD">
        <w:rPr>
          <w:sz w:val="14"/>
          <w:szCs w:val="14"/>
        </w:rPr>
        <w:t xml:space="preserve">provision of the </w:t>
      </w:r>
      <w:r w:rsidR="00366547" w:rsidRPr="002A3FAD">
        <w:rPr>
          <w:sz w:val="14"/>
          <w:szCs w:val="14"/>
        </w:rPr>
        <w:t>NMRTit HGG program.</w:t>
      </w:r>
      <w:bookmarkEnd w:id="33"/>
    </w:p>
    <w:p w:rsidR="000D75B7" w:rsidRPr="002A3FAD" w:rsidRDefault="00D84523" w:rsidP="00366547">
      <w:pPr>
        <w:pStyle w:val="N3References"/>
        <w:spacing w:after="120" w:line="180" w:lineRule="exact"/>
      </w:pPr>
      <w:bookmarkStart w:id="34" w:name="_ENREF_33"/>
      <w:r w:rsidRPr="002A3FAD">
        <w:rPr>
          <w:sz w:val="14"/>
          <w:szCs w:val="14"/>
        </w:rPr>
        <w:t>[</w:t>
      </w:r>
      <w:r w:rsidR="00366547" w:rsidRPr="002A3FAD">
        <w:rPr>
          <w:sz w:val="14"/>
          <w:szCs w:val="14"/>
        </w:rPr>
        <w:t>3</w:t>
      </w:r>
      <w:r w:rsidR="002A3FAD">
        <w:rPr>
          <w:sz w:val="14"/>
          <w:szCs w:val="14"/>
        </w:rPr>
        <w:t>4</w:t>
      </w:r>
      <w:r w:rsidRPr="002A3FAD">
        <w:rPr>
          <w:sz w:val="14"/>
          <w:szCs w:val="14"/>
        </w:rPr>
        <w:t>]</w:t>
      </w:r>
      <w:r w:rsidR="00366547" w:rsidRPr="002A3FAD">
        <w:rPr>
          <w:sz w:val="14"/>
          <w:szCs w:val="14"/>
        </w:rPr>
        <w:tab/>
      </w:r>
      <w:r w:rsidR="00366547" w:rsidRPr="00D93FDE">
        <w:rPr>
          <w:i/>
          <w:sz w:val="14"/>
          <w:szCs w:val="14"/>
          <w:highlight w:val="yellow"/>
        </w:rPr>
        <w:sym w:font="Symbol" w:char="F044"/>
      </w:r>
      <w:r w:rsidR="00366547" w:rsidRPr="00D93FDE">
        <w:rPr>
          <w:i/>
          <w:sz w:val="14"/>
          <w:szCs w:val="14"/>
          <w:highlight w:val="yellow"/>
        </w:rPr>
        <w:sym w:font="Symbol" w:char="F044"/>
      </w:r>
      <w:r w:rsidR="00366547" w:rsidRPr="00D93FDE">
        <w:rPr>
          <w:i/>
          <w:sz w:val="14"/>
          <w:szCs w:val="14"/>
          <w:highlight w:val="yellow"/>
        </w:rPr>
        <w:t>G</w:t>
      </w:r>
      <w:r w:rsidR="00366547" w:rsidRPr="00D93FDE">
        <w:rPr>
          <w:sz w:val="14"/>
          <w:szCs w:val="14"/>
          <w:highlight w:val="yellow"/>
        </w:rPr>
        <w:t>º = –</w:t>
      </w:r>
      <w:r w:rsidR="00366547" w:rsidRPr="00D93FDE">
        <w:rPr>
          <w:i/>
          <w:sz w:val="14"/>
          <w:szCs w:val="14"/>
          <w:highlight w:val="yellow"/>
        </w:rPr>
        <w:t>RT</w:t>
      </w:r>
      <w:r w:rsidR="00366547" w:rsidRPr="00D93FDE">
        <w:rPr>
          <w:sz w:val="14"/>
          <w:szCs w:val="14"/>
          <w:highlight w:val="yellow"/>
        </w:rPr>
        <w:t>ln[</w:t>
      </w:r>
      <w:r w:rsidR="00366547" w:rsidRPr="00D93FDE">
        <w:rPr>
          <w:i/>
          <w:sz w:val="14"/>
          <w:szCs w:val="14"/>
          <w:highlight w:val="yellow"/>
        </w:rPr>
        <w:t>K</w:t>
      </w:r>
      <w:r w:rsidR="00366547" w:rsidRPr="00D93FDE">
        <w:rPr>
          <w:sz w:val="14"/>
          <w:szCs w:val="14"/>
          <w:highlight w:val="yellow"/>
        </w:rPr>
        <w:t>(</w:t>
      </w:r>
      <w:r w:rsidR="00366547" w:rsidRPr="00D93FDE">
        <w:rPr>
          <w:i/>
          <w:sz w:val="14"/>
          <w:szCs w:val="14"/>
          <w:highlight w:val="yellow"/>
        </w:rPr>
        <w:t>S</w:t>
      </w:r>
      <w:r w:rsidR="00366547" w:rsidRPr="00D93FDE">
        <w:rPr>
          <w:sz w:val="14"/>
          <w:szCs w:val="14"/>
          <w:highlight w:val="yellow"/>
        </w:rPr>
        <w:t>)/</w:t>
      </w:r>
      <w:r w:rsidR="00366547" w:rsidRPr="00D93FDE">
        <w:rPr>
          <w:i/>
          <w:sz w:val="14"/>
          <w:szCs w:val="14"/>
          <w:highlight w:val="yellow"/>
        </w:rPr>
        <w:t>K</w:t>
      </w:r>
      <w:r w:rsidR="00366547" w:rsidRPr="00D93FDE">
        <w:rPr>
          <w:sz w:val="14"/>
          <w:szCs w:val="14"/>
          <w:highlight w:val="yellow"/>
        </w:rPr>
        <w:t>(</w:t>
      </w:r>
      <w:r w:rsidR="00366547" w:rsidRPr="00D93FDE">
        <w:rPr>
          <w:i/>
          <w:sz w:val="14"/>
          <w:szCs w:val="14"/>
          <w:highlight w:val="yellow"/>
        </w:rPr>
        <w:t>R</w:t>
      </w:r>
      <w:r w:rsidR="00366547" w:rsidRPr="00D93FDE">
        <w:rPr>
          <w:sz w:val="14"/>
          <w:szCs w:val="14"/>
          <w:highlight w:val="yellow"/>
        </w:rPr>
        <w:t>)])</w:t>
      </w:r>
      <w:bookmarkEnd w:id="34"/>
      <w:r w:rsidR="000F34FD" w:rsidRPr="00D93FDE">
        <w:rPr>
          <w:sz w:val="14"/>
          <w:szCs w:val="14"/>
          <w:highlight w:val="yellow"/>
        </w:rPr>
        <w:t>.</w:t>
      </w:r>
    </w:p>
    <w:p w:rsidR="001F4EE4" w:rsidRPr="002A3FAD" w:rsidRDefault="001F4EE4" w:rsidP="001F4EE4">
      <w:pPr>
        <w:pStyle w:val="History"/>
        <w:rPr>
          <w:lang w:val="en-GB"/>
        </w:rPr>
      </w:pPr>
      <w:r w:rsidRPr="002A3FAD">
        <w:rPr>
          <w:lang w:val="en-GB"/>
        </w:rPr>
        <w:t>Received: ((will be filled in by the editorial staff))</w:t>
      </w:r>
      <w:r w:rsidRPr="002A3FAD">
        <w:rPr>
          <w:lang w:val="en-GB"/>
        </w:rPr>
        <w:br/>
        <w:t>Revised: ((will be filled in by the edito</w:t>
      </w:r>
      <w:r w:rsidR="00B03934" w:rsidRPr="002A3FAD">
        <w:rPr>
          <w:lang w:val="en-GB"/>
        </w:rPr>
        <w:t>rial staff))</w:t>
      </w:r>
      <w:r w:rsidR="00B03934" w:rsidRPr="002A3FAD">
        <w:rPr>
          <w:lang w:val="en-GB"/>
        </w:rPr>
        <w:br/>
        <w:t>Published online:</w:t>
      </w:r>
      <w:r w:rsidRPr="002A3FAD">
        <w:rPr>
          <w:lang w:val="en-GB"/>
        </w:rPr>
        <w:t xml:space="preserve"> ((will be filled in by the editorial staff))</w:t>
      </w:r>
    </w:p>
    <w:p w:rsidR="00764F01" w:rsidRPr="002A3FAD" w:rsidRDefault="00764F01" w:rsidP="00EF26EB">
      <w:pPr>
        <w:rPr>
          <w:lang w:val="en-GB"/>
        </w:rPr>
      </w:pPr>
    </w:p>
    <w:p w:rsidR="00F7230C" w:rsidRPr="002A3FAD" w:rsidRDefault="00F7230C" w:rsidP="00EF26EB">
      <w:pPr>
        <w:rPr>
          <w:lang w:val="en-GB"/>
        </w:rPr>
        <w:sectPr w:rsidR="00F7230C" w:rsidRPr="002A3FAD" w:rsidSect="001A39AE">
          <w:type w:val="continuous"/>
          <w:pgSz w:w="11906" w:h="16838" w:code="9"/>
          <w:pgMar w:top="1134" w:right="851" w:bottom="1225" w:left="851" w:header="709" w:footer="709" w:gutter="0"/>
          <w:cols w:num="2" w:space="284"/>
          <w:docGrid w:linePitch="360"/>
        </w:sectPr>
      </w:pPr>
    </w:p>
    <w:p w:rsidR="00764F01" w:rsidRPr="002A3FAD" w:rsidRDefault="009D1F9C" w:rsidP="00EF26EB">
      <w:pPr>
        <w:rPr>
          <w:lang w:val="en-GB"/>
        </w:rPr>
      </w:pPr>
      <w:r>
        <w:rPr>
          <w:noProof/>
        </w:rPr>
        <w:lastRenderedPageBreak/>
        <w:pict>
          <v:line id="_x0000_s1035" style="position:absolute;z-index:1" from="216.8pt,1.1pt" to="293.35pt,1.1pt" strokeweight="1pt"/>
        </w:pict>
      </w:r>
    </w:p>
    <w:p w:rsidR="00764F01" w:rsidRPr="002A3FAD" w:rsidRDefault="00764F01" w:rsidP="00EF26EB">
      <w:pPr>
        <w:rPr>
          <w:lang w:val="en-GB"/>
        </w:rPr>
        <w:sectPr w:rsidR="00764F01" w:rsidRPr="002A3FAD" w:rsidSect="001A39AE">
          <w:type w:val="continuous"/>
          <w:pgSz w:w="11906" w:h="16838" w:code="9"/>
          <w:pgMar w:top="1191" w:right="851" w:bottom="1225" w:left="851" w:header="709" w:footer="709" w:gutter="0"/>
          <w:cols w:space="284"/>
          <w:docGrid w:linePitch="360" w:charSpace="55336"/>
        </w:sectPr>
      </w:pPr>
    </w:p>
    <w:p w:rsidR="00EB39C6" w:rsidRPr="002A3FAD" w:rsidRDefault="00EB39C6" w:rsidP="00EB39C6">
      <w:pPr>
        <w:spacing w:after="240"/>
        <w:rPr>
          <w:lang w:val="en-GB"/>
        </w:rPr>
      </w:pPr>
      <w:r w:rsidRPr="002A3FAD">
        <w:rPr>
          <w:lang w:val="en-GB"/>
        </w:rPr>
        <w:lastRenderedPageBreak/>
        <w:t>Layout 2:</w:t>
      </w:r>
    </w:p>
    <w:tbl>
      <w:tblPr>
        <w:tblW w:w="10036" w:type="dxa"/>
        <w:tblLayout w:type="fixed"/>
        <w:tblLook w:val="01E0" w:firstRow="1" w:lastRow="1" w:firstColumn="1" w:lastColumn="1" w:noHBand="0" w:noVBand="0"/>
      </w:tblPr>
      <w:tblGrid>
        <w:gridCol w:w="3115"/>
        <w:gridCol w:w="284"/>
        <w:gridCol w:w="3184"/>
        <w:gridCol w:w="3185"/>
        <w:gridCol w:w="268"/>
      </w:tblGrid>
      <w:tr w:rsidR="002A3FAD" w:rsidRPr="002A3FAD">
        <w:tc>
          <w:tcPr>
            <w:tcW w:w="3115" w:type="dxa"/>
            <w:tcBorders>
              <w:top w:val="single" w:sz="8" w:space="0" w:color="FF0000"/>
              <w:bottom w:val="single" w:sz="8" w:space="0" w:color="FF0000"/>
            </w:tcBorders>
            <w:shd w:val="clear" w:color="auto" w:fill="auto"/>
            <w:tcMar>
              <w:right w:w="0" w:type="dxa"/>
            </w:tcMar>
          </w:tcPr>
          <w:p w:rsidR="00EB39C6" w:rsidRPr="002A3FAD" w:rsidRDefault="00EB39C6" w:rsidP="00570E78">
            <w:pPr>
              <w:pStyle w:val="ColumnTitleTOC"/>
              <w:spacing w:before="60" w:after="60"/>
              <w:jc w:val="left"/>
              <w:rPr>
                <w:rFonts w:ascii="Times New Roman" w:hAnsi="Times New Roman" w:cs="Times New Roman"/>
                <w:color w:val="auto"/>
                <w:sz w:val="20"/>
                <w:szCs w:val="20"/>
              </w:rPr>
            </w:pPr>
            <w:r w:rsidRPr="002A3FAD">
              <w:rPr>
                <w:rFonts w:ascii="Times New Roman" w:hAnsi="Times New Roman" w:cs="Times New Roman"/>
                <w:color w:val="auto"/>
                <w:sz w:val="20"/>
                <w:szCs w:val="20"/>
              </w:rPr>
              <w:t>Catch Phra</w:t>
            </w:r>
            <w:r w:rsidR="009E3783" w:rsidRPr="002A3FAD">
              <w:rPr>
                <w:rFonts w:ascii="Times New Roman" w:hAnsi="Times New Roman" w:cs="Times New Roman"/>
                <w:color w:val="auto"/>
                <w:sz w:val="20"/>
                <w:szCs w:val="20"/>
              </w:rPr>
              <w:t>se</w:t>
            </w:r>
            <w:r w:rsidRPr="002A3FAD">
              <w:rPr>
                <w:rFonts w:ascii="Times New Roman" w:hAnsi="Times New Roman" w:cs="Times New Roman"/>
                <w:color w:val="auto"/>
                <w:sz w:val="20"/>
                <w:szCs w:val="20"/>
              </w:rPr>
              <w:t xml:space="preserve">  </w:t>
            </w:r>
            <w:r w:rsidRPr="002A3FAD">
              <w:rPr>
                <w:rFonts w:ascii="Times New Roman" w:hAnsi="Times New Roman" w:cs="Times New Roman"/>
                <w:color w:val="auto"/>
                <w:sz w:val="20"/>
                <w:szCs w:val="20"/>
              </w:rPr>
              <w:sym w:font="Symbol" w:char="F02D"/>
            </w:r>
            <w:r w:rsidRPr="002A3FAD">
              <w:rPr>
                <w:rFonts w:ascii="Times New Roman" w:hAnsi="Times New Roman" w:cs="Times New Roman"/>
                <w:color w:val="auto"/>
                <w:sz w:val="20"/>
                <w:szCs w:val="20"/>
              </w:rPr>
              <w:sym w:font="Symbol" w:char="F02D"/>
            </w:r>
            <w:r w:rsidRPr="002A3FAD">
              <w:rPr>
                <w:rFonts w:ascii="Times New Roman" w:hAnsi="Times New Roman" w:cs="Times New Roman"/>
                <w:color w:val="auto"/>
                <w:sz w:val="20"/>
                <w:szCs w:val="20"/>
              </w:rPr>
              <w:sym w:font="Symbol" w:char="F02D"/>
            </w:r>
            <w:r w:rsidRPr="002A3FAD">
              <w:rPr>
                <w:rFonts w:ascii="Times New Roman" w:hAnsi="Times New Roman" w:cs="Times New Roman"/>
                <w:color w:val="auto"/>
                <w:sz w:val="20"/>
                <w:szCs w:val="20"/>
              </w:rPr>
              <w:sym w:font="Symbol" w:char="F02D"/>
            </w:r>
            <w:r w:rsidRPr="002A3FAD">
              <w:rPr>
                <w:rFonts w:ascii="Times New Roman" w:hAnsi="Times New Roman" w:cs="Times New Roman"/>
                <w:color w:val="auto"/>
                <w:sz w:val="20"/>
                <w:szCs w:val="20"/>
              </w:rPr>
              <w:sym w:font="Symbol" w:char="F02D"/>
            </w:r>
            <w:r w:rsidRPr="002A3FAD">
              <w:rPr>
                <w:rFonts w:ascii="Times New Roman" w:hAnsi="Times New Roman" w:cs="Times New Roman"/>
                <w:color w:val="auto"/>
                <w:sz w:val="20"/>
                <w:szCs w:val="20"/>
              </w:rPr>
              <w:sym w:font="Symbol" w:char="F02D"/>
            </w:r>
            <w:r w:rsidRPr="002A3FAD">
              <w:rPr>
                <w:rFonts w:ascii="Times New Roman" w:hAnsi="Times New Roman" w:cs="Times New Roman"/>
                <w:color w:val="auto"/>
                <w:sz w:val="20"/>
                <w:szCs w:val="20"/>
              </w:rPr>
              <w:sym w:font="Symbol" w:char="F02D"/>
            </w:r>
            <w:r w:rsidRPr="002A3FAD">
              <w:rPr>
                <w:rFonts w:ascii="Times New Roman" w:hAnsi="Times New Roman" w:cs="Times New Roman"/>
                <w:color w:val="auto"/>
                <w:sz w:val="20"/>
                <w:szCs w:val="20"/>
              </w:rPr>
              <w:sym w:font="Symbol" w:char="F02D"/>
            </w:r>
            <w:r w:rsidRPr="002A3FAD">
              <w:rPr>
                <w:rFonts w:ascii="Times New Roman" w:hAnsi="Times New Roman" w:cs="Times New Roman"/>
                <w:color w:val="auto"/>
                <w:sz w:val="20"/>
                <w:szCs w:val="20"/>
              </w:rPr>
              <w:sym w:font="Symbol" w:char="F02D"/>
            </w:r>
            <w:r w:rsidRPr="002A3FAD">
              <w:rPr>
                <w:rFonts w:ascii="Times New Roman" w:hAnsi="Times New Roman" w:cs="Times New Roman"/>
                <w:color w:val="auto"/>
                <w:sz w:val="20"/>
                <w:szCs w:val="20"/>
              </w:rPr>
              <w:sym w:font="Symbol" w:char="F02D"/>
            </w:r>
            <w:r w:rsidRPr="002A3FAD">
              <w:rPr>
                <w:rFonts w:ascii="Times New Roman" w:hAnsi="Times New Roman" w:cs="Times New Roman"/>
                <w:color w:val="auto"/>
                <w:sz w:val="20"/>
                <w:szCs w:val="20"/>
              </w:rPr>
              <w:sym w:font="Symbol" w:char="F02D"/>
            </w:r>
            <w:r w:rsidRPr="002A3FAD">
              <w:rPr>
                <w:rFonts w:ascii="Times New Roman" w:hAnsi="Times New Roman" w:cs="Times New Roman"/>
                <w:color w:val="auto"/>
                <w:sz w:val="20"/>
                <w:szCs w:val="20"/>
              </w:rPr>
              <w:sym w:font="Symbol" w:char="F02D"/>
            </w:r>
            <w:r w:rsidRPr="002A3FAD">
              <w:rPr>
                <w:rFonts w:ascii="Times New Roman" w:hAnsi="Times New Roman" w:cs="Times New Roman"/>
                <w:color w:val="auto"/>
                <w:sz w:val="20"/>
                <w:szCs w:val="20"/>
              </w:rPr>
              <w:sym w:font="Symbol" w:char="F02D"/>
            </w:r>
            <w:r w:rsidR="009E3783" w:rsidRPr="002A3FAD">
              <w:rPr>
                <w:rFonts w:ascii="Times New Roman" w:hAnsi="Times New Roman" w:cs="Times New Roman"/>
                <w:color w:val="auto"/>
                <w:sz w:val="20"/>
                <w:szCs w:val="20"/>
              </w:rPr>
              <w:sym w:font="Symbol" w:char="F02D"/>
            </w:r>
            <w:r w:rsidR="009E3783" w:rsidRPr="002A3FAD">
              <w:rPr>
                <w:rFonts w:ascii="Times New Roman" w:hAnsi="Times New Roman" w:cs="Times New Roman"/>
                <w:color w:val="auto"/>
                <w:sz w:val="20"/>
                <w:szCs w:val="20"/>
              </w:rPr>
              <w:sym w:font="Symbol" w:char="F02D"/>
            </w:r>
          </w:p>
        </w:tc>
        <w:tc>
          <w:tcPr>
            <w:tcW w:w="284" w:type="dxa"/>
            <w:vMerge w:val="restart"/>
            <w:shd w:val="clear" w:color="auto" w:fill="auto"/>
            <w:vAlign w:val="center"/>
          </w:tcPr>
          <w:p w:rsidR="00EB39C6" w:rsidRPr="002A3FAD" w:rsidRDefault="00EB39C6" w:rsidP="00570E78">
            <w:pPr>
              <w:jc w:val="center"/>
              <w:rPr>
                <w:sz w:val="18"/>
                <w:szCs w:val="18"/>
                <w:lang w:val="en-GB"/>
              </w:rPr>
            </w:pPr>
          </w:p>
        </w:tc>
        <w:tc>
          <w:tcPr>
            <w:tcW w:w="6369" w:type="dxa"/>
            <w:gridSpan w:val="2"/>
            <w:vMerge w:val="restart"/>
            <w:shd w:val="clear" w:color="auto" w:fill="F3F3F3"/>
            <w:vAlign w:val="center"/>
          </w:tcPr>
          <w:p w:rsidR="00EB39C6" w:rsidRPr="002A3FAD" w:rsidRDefault="00E96C10" w:rsidP="00570E78">
            <w:pPr>
              <w:jc w:val="center"/>
              <w:rPr>
                <w:sz w:val="18"/>
                <w:szCs w:val="18"/>
                <w:lang w:val="en-GB"/>
              </w:rPr>
            </w:pPr>
            <w:r>
              <w:object w:dxaOrig="6146" w:dyaOrig="4197">
                <v:shape id="_x0000_i1046" type="#_x0000_t75" style="width:172pt;height:116.5pt" o:ole="">
                  <v:imagedata r:id="rId45" o:title=""/>
                </v:shape>
                <o:OLEObject Type="Embed" ProgID="ChemDraw.Document.6.0" ShapeID="_x0000_i1046" DrawAspect="Content" ObjectID="_1424876993" r:id="rId46"/>
              </w:object>
            </w:r>
          </w:p>
        </w:tc>
        <w:tc>
          <w:tcPr>
            <w:tcW w:w="268" w:type="dxa"/>
            <w:vMerge w:val="restart"/>
            <w:shd w:val="clear" w:color="auto" w:fill="auto"/>
            <w:vAlign w:val="center"/>
          </w:tcPr>
          <w:p w:rsidR="00EB39C6" w:rsidRPr="002A3FAD" w:rsidRDefault="00EB39C6" w:rsidP="00570E78">
            <w:pPr>
              <w:jc w:val="center"/>
              <w:rPr>
                <w:sz w:val="18"/>
                <w:szCs w:val="18"/>
                <w:lang w:val="en-GB"/>
              </w:rPr>
            </w:pPr>
          </w:p>
        </w:tc>
      </w:tr>
      <w:tr w:rsidR="002A3FAD" w:rsidRPr="002A3FAD">
        <w:trPr>
          <w:trHeight w:val="1228"/>
        </w:trPr>
        <w:tc>
          <w:tcPr>
            <w:tcW w:w="3115" w:type="dxa"/>
            <w:vMerge w:val="restart"/>
            <w:tcBorders>
              <w:top w:val="single" w:sz="8" w:space="0" w:color="FF0000"/>
              <w:bottom w:val="nil"/>
            </w:tcBorders>
            <w:shd w:val="clear" w:color="auto" w:fill="auto"/>
          </w:tcPr>
          <w:p w:rsidR="00EB39C6" w:rsidRPr="002A3FAD" w:rsidRDefault="00F36C9E" w:rsidP="00570E78">
            <w:pPr>
              <w:pStyle w:val="AuthorsTOC"/>
            </w:pPr>
            <w:r>
              <w:rPr>
                <w:lang w:val="en-US"/>
              </w:rPr>
              <w:t>Andrey E. Sheshenev,</w:t>
            </w:r>
            <w:r w:rsidRPr="002A3FAD">
              <w:rPr>
                <w:lang w:val="en-US"/>
              </w:rPr>
              <w:t xml:space="preserve"> Ekaterina V. Boltukhina, Anastasiya A. Grishina, Ivana Cisařova, Ilya M. Lyapkalo and King Kuok (Mimi) Hii*</w:t>
            </w:r>
            <w:r w:rsidR="00EB39C6" w:rsidRPr="002A3FAD">
              <w:rPr>
                <w:i w:val="0"/>
              </w:rPr>
              <w:t>………</w:t>
            </w:r>
            <w:r w:rsidR="009E3783" w:rsidRPr="002A3FAD">
              <w:rPr>
                <w:i w:val="0"/>
              </w:rPr>
              <w:t>..</w:t>
            </w:r>
            <w:r w:rsidR="00EB39C6" w:rsidRPr="002A3FAD">
              <w:rPr>
                <w:i w:val="0"/>
              </w:rPr>
              <w:t>… Page – Page</w:t>
            </w:r>
          </w:p>
          <w:p w:rsidR="00EB39C6" w:rsidRPr="002A3FAD" w:rsidRDefault="002056E5" w:rsidP="00502A76">
            <w:pPr>
              <w:pStyle w:val="TitleTOC"/>
            </w:pPr>
            <w:r>
              <w:t>N</w:t>
            </w:r>
            <w:r w:rsidR="00DE5193">
              <w:t>ovel</w:t>
            </w:r>
            <w:r>
              <w:t xml:space="preserve"> </w:t>
            </w:r>
            <w:r w:rsidRPr="002A3FAD">
              <w:t>Chiral Zwitterionic Phosphorus Heterocycles: Synthesis, Structure, Properties and Application</w:t>
            </w:r>
            <w:r>
              <w:t xml:space="preserve"> as Chiral </w:t>
            </w:r>
            <w:r w:rsidR="00502A76">
              <w:t>Solvating</w:t>
            </w:r>
            <w:r>
              <w:t xml:space="preserve"> Agents</w:t>
            </w:r>
          </w:p>
        </w:tc>
        <w:tc>
          <w:tcPr>
            <w:tcW w:w="284" w:type="dxa"/>
            <w:vMerge/>
            <w:tcBorders>
              <w:bottom w:val="nil"/>
            </w:tcBorders>
            <w:shd w:val="clear" w:color="auto" w:fill="auto"/>
          </w:tcPr>
          <w:p w:rsidR="00EB39C6" w:rsidRPr="002A3FAD" w:rsidRDefault="00EB39C6" w:rsidP="00570E78">
            <w:pPr>
              <w:rPr>
                <w:lang w:val="en-GB"/>
              </w:rPr>
            </w:pPr>
          </w:p>
        </w:tc>
        <w:tc>
          <w:tcPr>
            <w:tcW w:w="6369" w:type="dxa"/>
            <w:gridSpan w:val="2"/>
            <w:vMerge/>
            <w:tcBorders>
              <w:bottom w:val="nil"/>
            </w:tcBorders>
            <w:shd w:val="clear" w:color="auto" w:fill="F3F3F3"/>
          </w:tcPr>
          <w:p w:rsidR="00EB39C6" w:rsidRPr="002A3FAD" w:rsidRDefault="00EB39C6" w:rsidP="00570E78">
            <w:pPr>
              <w:rPr>
                <w:lang w:val="en-GB"/>
              </w:rPr>
            </w:pPr>
          </w:p>
        </w:tc>
        <w:tc>
          <w:tcPr>
            <w:tcW w:w="268" w:type="dxa"/>
            <w:vMerge/>
            <w:tcBorders>
              <w:bottom w:val="nil"/>
            </w:tcBorders>
            <w:shd w:val="clear" w:color="auto" w:fill="auto"/>
          </w:tcPr>
          <w:p w:rsidR="00EB39C6" w:rsidRPr="002A3FAD" w:rsidRDefault="00EB39C6" w:rsidP="00570E78">
            <w:pPr>
              <w:rPr>
                <w:lang w:val="en-GB"/>
              </w:rPr>
            </w:pPr>
          </w:p>
        </w:tc>
      </w:tr>
      <w:tr w:rsidR="00EB39C6" w:rsidRPr="002A3FAD">
        <w:trPr>
          <w:trHeight w:val="1564"/>
        </w:trPr>
        <w:tc>
          <w:tcPr>
            <w:tcW w:w="3115" w:type="dxa"/>
            <w:vMerge/>
          </w:tcPr>
          <w:p w:rsidR="00EB39C6" w:rsidRPr="002A3FAD" w:rsidRDefault="00EB39C6" w:rsidP="00570E78">
            <w:pPr>
              <w:pStyle w:val="TitleTOC"/>
            </w:pPr>
          </w:p>
        </w:tc>
        <w:tc>
          <w:tcPr>
            <w:tcW w:w="284" w:type="dxa"/>
            <w:shd w:val="clear" w:color="auto" w:fill="auto"/>
          </w:tcPr>
          <w:p w:rsidR="00EB39C6" w:rsidRPr="002A3FAD" w:rsidRDefault="00EB39C6" w:rsidP="00570E78">
            <w:pPr>
              <w:pStyle w:val="TableOfContentText"/>
              <w:rPr>
                <w:color w:val="auto"/>
              </w:rPr>
            </w:pPr>
          </w:p>
        </w:tc>
        <w:tc>
          <w:tcPr>
            <w:tcW w:w="3184" w:type="dxa"/>
            <w:shd w:val="clear" w:color="auto" w:fill="auto"/>
          </w:tcPr>
          <w:p w:rsidR="00EB39C6" w:rsidRPr="002A3FAD" w:rsidRDefault="0082567D" w:rsidP="0082567D">
            <w:pPr>
              <w:pStyle w:val="TableOfContentText"/>
              <w:rPr>
                <w:color w:val="auto"/>
              </w:rPr>
            </w:pPr>
            <w:r w:rsidRPr="006B43CC">
              <w:t xml:space="preserve">A </w:t>
            </w:r>
            <w:r>
              <w:t xml:space="preserve">convenient synthetic approach to a </w:t>
            </w:r>
            <w:r w:rsidRPr="006B43CC">
              <w:t xml:space="preserve">new </w:t>
            </w:r>
            <w:r>
              <w:t xml:space="preserve">class of </w:t>
            </w:r>
            <w:r w:rsidRPr="006B43CC">
              <w:t xml:space="preserve">chiral zwitterionic phosphorus containing heterocycles </w:t>
            </w:r>
            <w:r>
              <w:t xml:space="preserve">starting </w:t>
            </w:r>
            <w:r w:rsidRPr="006B43CC">
              <w:t>from</w:t>
            </w:r>
            <w:r>
              <w:t xml:space="preserve"> </w:t>
            </w:r>
            <w:r w:rsidRPr="006B43CC">
              <w:t>meth</w:t>
            </w:r>
            <w:r>
              <w:t xml:space="preserve">ylene </w:t>
            </w:r>
            <w:r w:rsidRPr="006B43CC">
              <w:t>bridged bis(imidazolines)</w:t>
            </w:r>
            <w:r>
              <w:t xml:space="preserve"> was designed and executed. S</w:t>
            </w:r>
            <w:r w:rsidRPr="004F0A00">
              <w:t>tability</w:t>
            </w:r>
            <w:r>
              <w:t xml:space="preserve"> and</w:t>
            </w:r>
            <w:r w:rsidRPr="004F0A00">
              <w:t xml:space="preserve"> properties</w:t>
            </w:r>
            <w:r>
              <w:t xml:space="preserve"> of </w:t>
            </w:r>
          </w:p>
        </w:tc>
        <w:tc>
          <w:tcPr>
            <w:tcW w:w="3185" w:type="dxa"/>
            <w:shd w:val="clear" w:color="auto" w:fill="auto"/>
          </w:tcPr>
          <w:p w:rsidR="00EB39C6" w:rsidRPr="002A3FAD" w:rsidRDefault="0082567D" w:rsidP="00570E78">
            <w:pPr>
              <w:pStyle w:val="TableOfContentText"/>
              <w:rPr>
                <w:color w:val="auto"/>
              </w:rPr>
            </w:pPr>
            <w:r>
              <w:t>the synthesized compounds</w:t>
            </w:r>
            <w:r w:rsidRPr="006B43CC">
              <w:t xml:space="preserve"> were </w:t>
            </w:r>
            <w:r>
              <w:t>investigated</w:t>
            </w:r>
            <w:r w:rsidRPr="006B43CC">
              <w:t>.</w:t>
            </w:r>
            <w:r w:rsidRPr="00D44EA4">
              <w:t xml:space="preserve"> </w:t>
            </w:r>
            <w:r>
              <w:t xml:space="preserve">The applicability of the designed compounds </w:t>
            </w:r>
            <w:r w:rsidR="00105432">
              <w:t xml:space="preserve">as CSA’s </w:t>
            </w:r>
            <w:r>
              <w:t>for the determination of the enantiomeric excesses of chiral acids was demonstrated.</w:t>
            </w:r>
          </w:p>
        </w:tc>
        <w:tc>
          <w:tcPr>
            <w:tcW w:w="268" w:type="dxa"/>
            <w:shd w:val="clear" w:color="auto" w:fill="auto"/>
          </w:tcPr>
          <w:p w:rsidR="00EB39C6" w:rsidRPr="002A3FAD" w:rsidRDefault="00EB39C6" w:rsidP="00570E78">
            <w:pPr>
              <w:pStyle w:val="TableOfContentText"/>
              <w:rPr>
                <w:color w:val="auto"/>
              </w:rPr>
            </w:pPr>
          </w:p>
        </w:tc>
      </w:tr>
    </w:tbl>
    <w:p w:rsidR="00EB39C6" w:rsidRPr="002A3FAD" w:rsidRDefault="00EB39C6" w:rsidP="00EB39C6">
      <w:pPr>
        <w:rPr>
          <w:lang w:val="en-GB"/>
        </w:rPr>
      </w:pPr>
    </w:p>
    <w:p w:rsidR="00EB39C6" w:rsidRPr="002A3FAD" w:rsidRDefault="00EB39C6" w:rsidP="00EB39C6">
      <w:pPr>
        <w:rPr>
          <w:lang w:val="en-GB"/>
        </w:rPr>
      </w:pPr>
    </w:p>
    <w:sectPr w:rsidR="00EB39C6" w:rsidRPr="002A3FAD" w:rsidSect="00EB39C6">
      <w:pgSz w:w="11906" w:h="16838" w:code="9"/>
      <w:pgMar w:top="1191" w:right="851" w:bottom="1225" w:left="851" w:header="709" w:footer="709" w:gutter="0"/>
      <w:cols w:space="425" w:equalWidth="0">
        <w:col w:w="9360"/>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1F9C" w:rsidRDefault="009D1F9C">
      <w:r>
        <w:separator/>
      </w:r>
    </w:p>
  </w:endnote>
  <w:endnote w:type="continuationSeparator" w:id="0">
    <w:p w:rsidR="009D1F9C" w:rsidRDefault="009D1F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080E0000" w:usb2="00000010" w:usb3="00000000" w:csb0="00040001" w:csb1="00000000"/>
  </w:font>
  <w:font w:name="Webdings">
    <w:panose1 w:val="05030102010509060703"/>
    <w:charset w:val="02"/>
    <w:family w:val="roman"/>
    <w:pitch w:val="variable"/>
    <w:sig w:usb0="00000000" w:usb1="10000000" w:usb2="00000000" w:usb3="00000000" w:csb0="80000000" w:csb1="00000000"/>
  </w:font>
  <w:font w:name="Times-Roman">
    <w:panose1 w:val="00000000000000000000"/>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D3C" w:rsidRDefault="00665D3C" w:rsidP="005472E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6225D">
      <w:rPr>
        <w:rStyle w:val="PageNumber"/>
        <w:noProof/>
      </w:rPr>
      <w:t>9</w:t>
    </w:r>
    <w:r>
      <w:rPr>
        <w:rStyle w:val="PageNumber"/>
      </w:rPr>
      <w:fldChar w:fldCharType="end"/>
    </w:r>
  </w:p>
  <w:p w:rsidR="00665D3C" w:rsidRDefault="00665D3C" w:rsidP="005472E5">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D3C" w:rsidRDefault="00665D3C" w:rsidP="005472E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4308A">
      <w:rPr>
        <w:rStyle w:val="PageNumber"/>
        <w:noProof/>
      </w:rPr>
      <w:t>1</w:t>
    </w:r>
    <w:r>
      <w:rPr>
        <w:rStyle w:val="PageNumber"/>
      </w:rPr>
      <w:fldChar w:fldCharType="end"/>
    </w:r>
  </w:p>
  <w:p w:rsidR="00665D3C" w:rsidRDefault="00665D3C" w:rsidP="005472E5">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D3C" w:rsidRDefault="00665D3C" w:rsidP="00A0442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6225D">
      <w:rPr>
        <w:rStyle w:val="PageNumber"/>
        <w:noProof/>
      </w:rPr>
      <w:t>9</w:t>
    </w:r>
    <w:r>
      <w:rPr>
        <w:rStyle w:val="PageNumber"/>
      </w:rPr>
      <w:fldChar w:fldCharType="end"/>
    </w:r>
  </w:p>
  <w:p w:rsidR="00665D3C" w:rsidRDefault="00665D3C" w:rsidP="00972425">
    <w:pPr>
      <w:pStyle w:val="Footer"/>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D3C" w:rsidRDefault="00665D3C" w:rsidP="00A0442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4308A">
      <w:rPr>
        <w:rStyle w:val="PageNumber"/>
        <w:noProof/>
      </w:rPr>
      <w:t>6</w:t>
    </w:r>
    <w:r>
      <w:rPr>
        <w:rStyle w:val="PageNumber"/>
      </w:rPr>
      <w:fldChar w:fldCharType="end"/>
    </w:r>
  </w:p>
  <w:p w:rsidR="00665D3C" w:rsidRDefault="00665D3C" w:rsidP="00972425">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1F9C" w:rsidRDefault="009D1F9C">
      <w:r>
        <w:separator/>
      </w:r>
    </w:p>
  </w:footnote>
  <w:footnote w:type="continuationSeparator" w:id="0">
    <w:p w:rsidR="009D1F9C" w:rsidRDefault="009D1F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5"/>
  <w:hyphenationZone w:val="425"/>
  <w:drawingGridHorizontalSpacing w:val="255"/>
  <w:displayHorizontalDrawingGridEvery w:val="2"/>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D0757"/>
    <w:rsid w:val="0000214A"/>
    <w:rsid w:val="0000457A"/>
    <w:rsid w:val="00010410"/>
    <w:rsid w:val="00011D51"/>
    <w:rsid w:val="000148C9"/>
    <w:rsid w:val="00015046"/>
    <w:rsid w:val="00022DB4"/>
    <w:rsid w:val="00033C26"/>
    <w:rsid w:val="00033D1A"/>
    <w:rsid w:val="00033F43"/>
    <w:rsid w:val="00036490"/>
    <w:rsid w:val="00037FD5"/>
    <w:rsid w:val="0004091A"/>
    <w:rsid w:val="00042BF0"/>
    <w:rsid w:val="00044280"/>
    <w:rsid w:val="00045AB9"/>
    <w:rsid w:val="0005096E"/>
    <w:rsid w:val="0005140E"/>
    <w:rsid w:val="00055485"/>
    <w:rsid w:val="0006281D"/>
    <w:rsid w:val="00063E0F"/>
    <w:rsid w:val="000641AB"/>
    <w:rsid w:val="0006489B"/>
    <w:rsid w:val="0006694D"/>
    <w:rsid w:val="000669E3"/>
    <w:rsid w:val="00066B8E"/>
    <w:rsid w:val="00070B55"/>
    <w:rsid w:val="00070E0D"/>
    <w:rsid w:val="00077560"/>
    <w:rsid w:val="0008077D"/>
    <w:rsid w:val="0009539C"/>
    <w:rsid w:val="00095C2F"/>
    <w:rsid w:val="000A37F3"/>
    <w:rsid w:val="000A77DC"/>
    <w:rsid w:val="000B30FD"/>
    <w:rsid w:val="000B6DF3"/>
    <w:rsid w:val="000C0818"/>
    <w:rsid w:val="000C1DBD"/>
    <w:rsid w:val="000C53F1"/>
    <w:rsid w:val="000C7BC6"/>
    <w:rsid w:val="000D2947"/>
    <w:rsid w:val="000D70F8"/>
    <w:rsid w:val="000D75B7"/>
    <w:rsid w:val="000D7701"/>
    <w:rsid w:val="000E0CEA"/>
    <w:rsid w:val="000E0EC4"/>
    <w:rsid w:val="000E1C81"/>
    <w:rsid w:val="000E5FDC"/>
    <w:rsid w:val="000F1B8D"/>
    <w:rsid w:val="000F29A4"/>
    <w:rsid w:val="000F2EA1"/>
    <w:rsid w:val="000F34FD"/>
    <w:rsid w:val="000F5BD1"/>
    <w:rsid w:val="000F7847"/>
    <w:rsid w:val="001037A1"/>
    <w:rsid w:val="00103EF7"/>
    <w:rsid w:val="00104119"/>
    <w:rsid w:val="00105432"/>
    <w:rsid w:val="00105F97"/>
    <w:rsid w:val="00107AF7"/>
    <w:rsid w:val="001100D5"/>
    <w:rsid w:val="001158DE"/>
    <w:rsid w:val="00120F2E"/>
    <w:rsid w:val="00122ED4"/>
    <w:rsid w:val="001237B3"/>
    <w:rsid w:val="0012381E"/>
    <w:rsid w:val="001322FF"/>
    <w:rsid w:val="0013316F"/>
    <w:rsid w:val="001333D9"/>
    <w:rsid w:val="001348CD"/>
    <w:rsid w:val="0014043E"/>
    <w:rsid w:val="00141356"/>
    <w:rsid w:val="00143551"/>
    <w:rsid w:val="00143B89"/>
    <w:rsid w:val="001466C8"/>
    <w:rsid w:val="001475BF"/>
    <w:rsid w:val="00152E6D"/>
    <w:rsid w:val="00155FB7"/>
    <w:rsid w:val="00157C67"/>
    <w:rsid w:val="0016203E"/>
    <w:rsid w:val="001639AE"/>
    <w:rsid w:val="00166BEB"/>
    <w:rsid w:val="00166D41"/>
    <w:rsid w:val="001678B6"/>
    <w:rsid w:val="001732A4"/>
    <w:rsid w:val="001800AA"/>
    <w:rsid w:val="0018165B"/>
    <w:rsid w:val="00184380"/>
    <w:rsid w:val="00186601"/>
    <w:rsid w:val="0019014F"/>
    <w:rsid w:val="00192523"/>
    <w:rsid w:val="00194818"/>
    <w:rsid w:val="00194A21"/>
    <w:rsid w:val="00196DEB"/>
    <w:rsid w:val="00197F42"/>
    <w:rsid w:val="001A0D55"/>
    <w:rsid w:val="001A2976"/>
    <w:rsid w:val="001A3120"/>
    <w:rsid w:val="001A34D9"/>
    <w:rsid w:val="001A39AE"/>
    <w:rsid w:val="001A438D"/>
    <w:rsid w:val="001A62E6"/>
    <w:rsid w:val="001A79D7"/>
    <w:rsid w:val="001C21E3"/>
    <w:rsid w:val="001C26A7"/>
    <w:rsid w:val="001D0CED"/>
    <w:rsid w:val="001D1155"/>
    <w:rsid w:val="001D13EA"/>
    <w:rsid w:val="001D216B"/>
    <w:rsid w:val="001D29CA"/>
    <w:rsid w:val="001D54CA"/>
    <w:rsid w:val="001E164A"/>
    <w:rsid w:val="001E1998"/>
    <w:rsid w:val="001F16EF"/>
    <w:rsid w:val="001F1A2D"/>
    <w:rsid w:val="001F4235"/>
    <w:rsid w:val="001F4EE4"/>
    <w:rsid w:val="001F637F"/>
    <w:rsid w:val="001F7BB9"/>
    <w:rsid w:val="002056E5"/>
    <w:rsid w:val="00213D0E"/>
    <w:rsid w:val="00222D97"/>
    <w:rsid w:val="0022537E"/>
    <w:rsid w:val="0022582C"/>
    <w:rsid w:val="002316C0"/>
    <w:rsid w:val="00232C14"/>
    <w:rsid w:val="002362C7"/>
    <w:rsid w:val="00241D85"/>
    <w:rsid w:val="00242E54"/>
    <w:rsid w:val="002433F0"/>
    <w:rsid w:val="002557C8"/>
    <w:rsid w:val="00260EDA"/>
    <w:rsid w:val="00261387"/>
    <w:rsid w:val="00261682"/>
    <w:rsid w:val="00261882"/>
    <w:rsid w:val="00265DCA"/>
    <w:rsid w:val="002702BC"/>
    <w:rsid w:val="0027068B"/>
    <w:rsid w:val="0027648C"/>
    <w:rsid w:val="00283213"/>
    <w:rsid w:val="002861CD"/>
    <w:rsid w:val="00286D56"/>
    <w:rsid w:val="00287256"/>
    <w:rsid w:val="00287B32"/>
    <w:rsid w:val="002900A3"/>
    <w:rsid w:val="002A36FA"/>
    <w:rsid w:val="002A3FAD"/>
    <w:rsid w:val="002A561E"/>
    <w:rsid w:val="002A69D1"/>
    <w:rsid w:val="002B22BA"/>
    <w:rsid w:val="002B25E2"/>
    <w:rsid w:val="002B395C"/>
    <w:rsid w:val="002B451A"/>
    <w:rsid w:val="002B7CA9"/>
    <w:rsid w:val="002C67C9"/>
    <w:rsid w:val="002D0B17"/>
    <w:rsid w:val="002D24CB"/>
    <w:rsid w:val="002D3AB6"/>
    <w:rsid w:val="002D5148"/>
    <w:rsid w:val="002E066F"/>
    <w:rsid w:val="002E2CA8"/>
    <w:rsid w:val="002E62DA"/>
    <w:rsid w:val="002F0269"/>
    <w:rsid w:val="002F17FB"/>
    <w:rsid w:val="002F6A4C"/>
    <w:rsid w:val="002F73A5"/>
    <w:rsid w:val="003006A7"/>
    <w:rsid w:val="00301167"/>
    <w:rsid w:val="00301D1E"/>
    <w:rsid w:val="00303FBE"/>
    <w:rsid w:val="003079D2"/>
    <w:rsid w:val="003116F4"/>
    <w:rsid w:val="00312ED2"/>
    <w:rsid w:val="0032048F"/>
    <w:rsid w:val="003219A5"/>
    <w:rsid w:val="00322D02"/>
    <w:rsid w:val="00322E1F"/>
    <w:rsid w:val="00323FC3"/>
    <w:rsid w:val="00325147"/>
    <w:rsid w:val="003254D1"/>
    <w:rsid w:val="00325516"/>
    <w:rsid w:val="003275FF"/>
    <w:rsid w:val="0033054D"/>
    <w:rsid w:val="0033167C"/>
    <w:rsid w:val="00331B5E"/>
    <w:rsid w:val="00333FAD"/>
    <w:rsid w:val="0033586B"/>
    <w:rsid w:val="00336A5A"/>
    <w:rsid w:val="00337467"/>
    <w:rsid w:val="003403BB"/>
    <w:rsid w:val="00340A08"/>
    <w:rsid w:val="003447D7"/>
    <w:rsid w:val="003464ED"/>
    <w:rsid w:val="00346EE4"/>
    <w:rsid w:val="00354B57"/>
    <w:rsid w:val="003621B5"/>
    <w:rsid w:val="00364753"/>
    <w:rsid w:val="00364A2A"/>
    <w:rsid w:val="003657B6"/>
    <w:rsid w:val="00366547"/>
    <w:rsid w:val="00366676"/>
    <w:rsid w:val="00375415"/>
    <w:rsid w:val="00376F37"/>
    <w:rsid w:val="00385063"/>
    <w:rsid w:val="0038506F"/>
    <w:rsid w:val="00390DD7"/>
    <w:rsid w:val="00396BE2"/>
    <w:rsid w:val="003A2036"/>
    <w:rsid w:val="003B04BA"/>
    <w:rsid w:val="003B0FC4"/>
    <w:rsid w:val="003B44BA"/>
    <w:rsid w:val="003B70C8"/>
    <w:rsid w:val="003C134A"/>
    <w:rsid w:val="003C1CCA"/>
    <w:rsid w:val="003C2972"/>
    <w:rsid w:val="003C2C9C"/>
    <w:rsid w:val="003D0F51"/>
    <w:rsid w:val="003E07AE"/>
    <w:rsid w:val="003E54CD"/>
    <w:rsid w:val="003E7319"/>
    <w:rsid w:val="003F2556"/>
    <w:rsid w:val="003F50D4"/>
    <w:rsid w:val="003F581E"/>
    <w:rsid w:val="0040080D"/>
    <w:rsid w:val="0040270E"/>
    <w:rsid w:val="00403876"/>
    <w:rsid w:val="00403F45"/>
    <w:rsid w:val="004062B1"/>
    <w:rsid w:val="004070B6"/>
    <w:rsid w:val="004072DD"/>
    <w:rsid w:val="00414412"/>
    <w:rsid w:val="00415971"/>
    <w:rsid w:val="00416B05"/>
    <w:rsid w:val="00422AFE"/>
    <w:rsid w:val="00423593"/>
    <w:rsid w:val="00424978"/>
    <w:rsid w:val="0042545B"/>
    <w:rsid w:val="00427CBD"/>
    <w:rsid w:val="00431151"/>
    <w:rsid w:val="00432307"/>
    <w:rsid w:val="00434BCB"/>
    <w:rsid w:val="00436338"/>
    <w:rsid w:val="00436A28"/>
    <w:rsid w:val="00437B5A"/>
    <w:rsid w:val="00444E3C"/>
    <w:rsid w:val="00445D5C"/>
    <w:rsid w:val="004465F9"/>
    <w:rsid w:val="004466B0"/>
    <w:rsid w:val="00446B8C"/>
    <w:rsid w:val="004522B4"/>
    <w:rsid w:val="00452E57"/>
    <w:rsid w:val="00454A2D"/>
    <w:rsid w:val="004609E1"/>
    <w:rsid w:val="00460C28"/>
    <w:rsid w:val="00461BD2"/>
    <w:rsid w:val="00462A09"/>
    <w:rsid w:val="004657E8"/>
    <w:rsid w:val="00467195"/>
    <w:rsid w:val="00467E99"/>
    <w:rsid w:val="00470790"/>
    <w:rsid w:val="00473029"/>
    <w:rsid w:val="00473EE4"/>
    <w:rsid w:val="00477B4C"/>
    <w:rsid w:val="00477B99"/>
    <w:rsid w:val="00483637"/>
    <w:rsid w:val="00485C84"/>
    <w:rsid w:val="00486215"/>
    <w:rsid w:val="0048630D"/>
    <w:rsid w:val="004921CF"/>
    <w:rsid w:val="004A0BA8"/>
    <w:rsid w:val="004A34EB"/>
    <w:rsid w:val="004A489D"/>
    <w:rsid w:val="004A4A2E"/>
    <w:rsid w:val="004A4CD0"/>
    <w:rsid w:val="004A73A8"/>
    <w:rsid w:val="004A75D5"/>
    <w:rsid w:val="004A771F"/>
    <w:rsid w:val="004B004E"/>
    <w:rsid w:val="004B0589"/>
    <w:rsid w:val="004B1783"/>
    <w:rsid w:val="004B65AE"/>
    <w:rsid w:val="004B7661"/>
    <w:rsid w:val="004C1836"/>
    <w:rsid w:val="004C2494"/>
    <w:rsid w:val="004C2834"/>
    <w:rsid w:val="004C2FAC"/>
    <w:rsid w:val="004C3CC9"/>
    <w:rsid w:val="004C471F"/>
    <w:rsid w:val="004C5F41"/>
    <w:rsid w:val="004C6D04"/>
    <w:rsid w:val="004D090A"/>
    <w:rsid w:val="004D28A7"/>
    <w:rsid w:val="004D31C6"/>
    <w:rsid w:val="004D4293"/>
    <w:rsid w:val="004D5ABB"/>
    <w:rsid w:val="004E3F83"/>
    <w:rsid w:val="004E4A53"/>
    <w:rsid w:val="004E4DFF"/>
    <w:rsid w:val="004E74F4"/>
    <w:rsid w:val="004F0129"/>
    <w:rsid w:val="004F1A6C"/>
    <w:rsid w:val="004F257F"/>
    <w:rsid w:val="004F3EC0"/>
    <w:rsid w:val="004F51BD"/>
    <w:rsid w:val="00501639"/>
    <w:rsid w:val="00501EFF"/>
    <w:rsid w:val="0050277D"/>
    <w:rsid w:val="00502A76"/>
    <w:rsid w:val="0050689B"/>
    <w:rsid w:val="005068AA"/>
    <w:rsid w:val="00506EDB"/>
    <w:rsid w:val="00511093"/>
    <w:rsid w:val="00512A8E"/>
    <w:rsid w:val="005158E3"/>
    <w:rsid w:val="00520422"/>
    <w:rsid w:val="0052085F"/>
    <w:rsid w:val="0052404D"/>
    <w:rsid w:val="00530284"/>
    <w:rsid w:val="0053418A"/>
    <w:rsid w:val="00537F36"/>
    <w:rsid w:val="00541205"/>
    <w:rsid w:val="005433DE"/>
    <w:rsid w:val="00543CCA"/>
    <w:rsid w:val="0054420E"/>
    <w:rsid w:val="005472E5"/>
    <w:rsid w:val="0055057E"/>
    <w:rsid w:val="00550B0C"/>
    <w:rsid w:val="0055113D"/>
    <w:rsid w:val="00553C63"/>
    <w:rsid w:val="005551F3"/>
    <w:rsid w:val="005556E2"/>
    <w:rsid w:val="00556A65"/>
    <w:rsid w:val="00561C0E"/>
    <w:rsid w:val="00567C18"/>
    <w:rsid w:val="00570E78"/>
    <w:rsid w:val="005735B3"/>
    <w:rsid w:val="005801F0"/>
    <w:rsid w:val="005826CC"/>
    <w:rsid w:val="005839B9"/>
    <w:rsid w:val="00586DF8"/>
    <w:rsid w:val="00591AB8"/>
    <w:rsid w:val="00597954"/>
    <w:rsid w:val="005A1C97"/>
    <w:rsid w:val="005A2FAF"/>
    <w:rsid w:val="005A5780"/>
    <w:rsid w:val="005A761E"/>
    <w:rsid w:val="005B10C2"/>
    <w:rsid w:val="005B3509"/>
    <w:rsid w:val="005B430B"/>
    <w:rsid w:val="005B5D4F"/>
    <w:rsid w:val="005B6716"/>
    <w:rsid w:val="005B6C80"/>
    <w:rsid w:val="005C4F38"/>
    <w:rsid w:val="005C5196"/>
    <w:rsid w:val="005D2416"/>
    <w:rsid w:val="005D43FD"/>
    <w:rsid w:val="005D65E6"/>
    <w:rsid w:val="005F19CB"/>
    <w:rsid w:val="006011C8"/>
    <w:rsid w:val="006024FD"/>
    <w:rsid w:val="00602A26"/>
    <w:rsid w:val="0060310C"/>
    <w:rsid w:val="00603B9B"/>
    <w:rsid w:val="00605FAC"/>
    <w:rsid w:val="006200AB"/>
    <w:rsid w:val="00620450"/>
    <w:rsid w:val="00620911"/>
    <w:rsid w:val="00620C61"/>
    <w:rsid w:val="00626CC9"/>
    <w:rsid w:val="00627F57"/>
    <w:rsid w:val="00636D03"/>
    <w:rsid w:val="00640041"/>
    <w:rsid w:val="00647525"/>
    <w:rsid w:val="006479FE"/>
    <w:rsid w:val="00654E17"/>
    <w:rsid w:val="0065573C"/>
    <w:rsid w:val="0066216C"/>
    <w:rsid w:val="00665D3C"/>
    <w:rsid w:val="006675EA"/>
    <w:rsid w:val="00671748"/>
    <w:rsid w:val="00671E1E"/>
    <w:rsid w:val="006722A0"/>
    <w:rsid w:val="006724B9"/>
    <w:rsid w:val="00672587"/>
    <w:rsid w:val="0067512C"/>
    <w:rsid w:val="00677AB5"/>
    <w:rsid w:val="006812E2"/>
    <w:rsid w:val="00681A3F"/>
    <w:rsid w:val="00681A96"/>
    <w:rsid w:val="00685DA5"/>
    <w:rsid w:val="00694EC1"/>
    <w:rsid w:val="00694F0D"/>
    <w:rsid w:val="006956E5"/>
    <w:rsid w:val="0069644B"/>
    <w:rsid w:val="006976AD"/>
    <w:rsid w:val="00697E3B"/>
    <w:rsid w:val="006A6116"/>
    <w:rsid w:val="006A7E4F"/>
    <w:rsid w:val="006B369F"/>
    <w:rsid w:val="006B4DC6"/>
    <w:rsid w:val="006B4E8D"/>
    <w:rsid w:val="006B5DE9"/>
    <w:rsid w:val="006B6806"/>
    <w:rsid w:val="006B72C2"/>
    <w:rsid w:val="006C2DBE"/>
    <w:rsid w:val="006C31DF"/>
    <w:rsid w:val="006C5C46"/>
    <w:rsid w:val="006C5F03"/>
    <w:rsid w:val="006C6BFE"/>
    <w:rsid w:val="006C6D39"/>
    <w:rsid w:val="006C7359"/>
    <w:rsid w:val="006C7F18"/>
    <w:rsid w:val="006D02C0"/>
    <w:rsid w:val="006D184F"/>
    <w:rsid w:val="006D2D7B"/>
    <w:rsid w:val="006D3595"/>
    <w:rsid w:val="006D6793"/>
    <w:rsid w:val="006D68CF"/>
    <w:rsid w:val="006E5BEA"/>
    <w:rsid w:val="006F0EB7"/>
    <w:rsid w:val="00700F72"/>
    <w:rsid w:val="00701830"/>
    <w:rsid w:val="00702F63"/>
    <w:rsid w:val="00711E9D"/>
    <w:rsid w:val="007130CE"/>
    <w:rsid w:val="00714DB9"/>
    <w:rsid w:val="00714DC9"/>
    <w:rsid w:val="0071700B"/>
    <w:rsid w:val="00717BD5"/>
    <w:rsid w:val="00720FED"/>
    <w:rsid w:val="007249D7"/>
    <w:rsid w:val="007252DA"/>
    <w:rsid w:val="00732798"/>
    <w:rsid w:val="00737264"/>
    <w:rsid w:val="00740CE1"/>
    <w:rsid w:val="00741B47"/>
    <w:rsid w:val="00742E14"/>
    <w:rsid w:val="00746C0D"/>
    <w:rsid w:val="00750326"/>
    <w:rsid w:val="00752543"/>
    <w:rsid w:val="00757401"/>
    <w:rsid w:val="00757673"/>
    <w:rsid w:val="007576FA"/>
    <w:rsid w:val="00757C71"/>
    <w:rsid w:val="00763D77"/>
    <w:rsid w:val="00763EDE"/>
    <w:rsid w:val="00764F01"/>
    <w:rsid w:val="00765C4D"/>
    <w:rsid w:val="00773D16"/>
    <w:rsid w:val="007740A8"/>
    <w:rsid w:val="00775C8A"/>
    <w:rsid w:val="00775F73"/>
    <w:rsid w:val="007815C4"/>
    <w:rsid w:val="00783FBE"/>
    <w:rsid w:val="00784C3B"/>
    <w:rsid w:val="0078628B"/>
    <w:rsid w:val="0078784C"/>
    <w:rsid w:val="007958BF"/>
    <w:rsid w:val="007A7E01"/>
    <w:rsid w:val="007B6A97"/>
    <w:rsid w:val="007C20AD"/>
    <w:rsid w:val="007C3D60"/>
    <w:rsid w:val="007C672F"/>
    <w:rsid w:val="007D0701"/>
    <w:rsid w:val="007D17AC"/>
    <w:rsid w:val="007D5D75"/>
    <w:rsid w:val="007E2CB8"/>
    <w:rsid w:val="007E52D5"/>
    <w:rsid w:val="007E6444"/>
    <w:rsid w:val="007E6725"/>
    <w:rsid w:val="007E7187"/>
    <w:rsid w:val="007F00BA"/>
    <w:rsid w:val="007F0336"/>
    <w:rsid w:val="007F46F6"/>
    <w:rsid w:val="007F66E6"/>
    <w:rsid w:val="007F68CC"/>
    <w:rsid w:val="00804822"/>
    <w:rsid w:val="00813005"/>
    <w:rsid w:val="00813FEF"/>
    <w:rsid w:val="00814356"/>
    <w:rsid w:val="00816018"/>
    <w:rsid w:val="00824489"/>
    <w:rsid w:val="008249B7"/>
    <w:rsid w:val="0082567D"/>
    <w:rsid w:val="00826879"/>
    <w:rsid w:val="008272FD"/>
    <w:rsid w:val="00827A4E"/>
    <w:rsid w:val="00830E63"/>
    <w:rsid w:val="00832891"/>
    <w:rsid w:val="008339A8"/>
    <w:rsid w:val="00836959"/>
    <w:rsid w:val="008471F6"/>
    <w:rsid w:val="00847D4E"/>
    <w:rsid w:val="00851D03"/>
    <w:rsid w:val="008524F4"/>
    <w:rsid w:val="008536CE"/>
    <w:rsid w:val="00855988"/>
    <w:rsid w:val="00860C40"/>
    <w:rsid w:val="00862A5B"/>
    <w:rsid w:val="00862D4C"/>
    <w:rsid w:val="00864AEC"/>
    <w:rsid w:val="00865C7C"/>
    <w:rsid w:val="00870558"/>
    <w:rsid w:val="00873E64"/>
    <w:rsid w:val="00875FFC"/>
    <w:rsid w:val="008773A8"/>
    <w:rsid w:val="00886901"/>
    <w:rsid w:val="008935DC"/>
    <w:rsid w:val="00896608"/>
    <w:rsid w:val="008A75A2"/>
    <w:rsid w:val="008B6B1C"/>
    <w:rsid w:val="008C0905"/>
    <w:rsid w:val="008C1E3E"/>
    <w:rsid w:val="008C26A3"/>
    <w:rsid w:val="008C4A56"/>
    <w:rsid w:val="008C60C4"/>
    <w:rsid w:val="008C7904"/>
    <w:rsid w:val="008D05CC"/>
    <w:rsid w:val="008D306F"/>
    <w:rsid w:val="008D3912"/>
    <w:rsid w:val="008D7FA9"/>
    <w:rsid w:val="008E4C32"/>
    <w:rsid w:val="008F3789"/>
    <w:rsid w:val="008F5663"/>
    <w:rsid w:val="008F6D3F"/>
    <w:rsid w:val="008F71A1"/>
    <w:rsid w:val="008F7FE1"/>
    <w:rsid w:val="00900B9E"/>
    <w:rsid w:val="00901A45"/>
    <w:rsid w:val="00902AF3"/>
    <w:rsid w:val="00905CB1"/>
    <w:rsid w:val="00912021"/>
    <w:rsid w:val="00913407"/>
    <w:rsid w:val="00913B7F"/>
    <w:rsid w:val="00915FA4"/>
    <w:rsid w:val="009179FB"/>
    <w:rsid w:val="009203FD"/>
    <w:rsid w:val="009264DF"/>
    <w:rsid w:val="009304E7"/>
    <w:rsid w:val="00941003"/>
    <w:rsid w:val="009425B3"/>
    <w:rsid w:val="00945BF2"/>
    <w:rsid w:val="0094711E"/>
    <w:rsid w:val="00952951"/>
    <w:rsid w:val="00953A07"/>
    <w:rsid w:val="00954442"/>
    <w:rsid w:val="00957398"/>
    <w:rsid w:val="0096219B"/>
    <w:rsid w:val="00962F91"/>
    <w:rsid w:val="0096304E"/>
    <w:rsid w:val="00963289"/>
    <w:rsid w:val="009658DA"/>
    <w:rsid w:val="0096675F"/>
    <w:rsid w:val="00966884"/>
    <w:rsid w:val="00971D8C"/>
    <w:rsid w:val="00972425"/>
    <w:rsid w:val="009733F5"/>
    <w:rsid w:val="0098683C"/>
    <w:rsid w:val="009923A9"/>
    <w:rsid w:val="009928BA"/>
    <w:rsid w:val="009964CD"/>
    <w:rsid w:val="00997168"/>
    <w:rsid w:val="00997637"/>
    <w:rsid w:val="009A27D2"/>
    <w:rsid w:val="009B5513"/>
    <w:rsid w:val="009B626F"/>
    <w:rsid w:val="009B7251"/>
    <w:rsid w:val="009C0ABF"/>
    <w:rsid w:val="009D0757"/>
    <w:rsid w:val="009D14CA"/>
    <w:rsid w:val="009D1F9C"/>
    <w:rsid w:val="009D5757"/>
    <w:rsid w:val="009D645C"/>
    <w:rsid w:val="009E1D78"/>
    <w:rsid w:val="009E3783"/>
    <w:rsid w:val="009E5B17"/>
    <w:rsid w:val="009E5E27"/>
    <w:rsid w:val="009E6670"/>
    <w:rsid w:val="009E78B5"/>
    <w:rsid w:val="009E798E"/>
    <w:rsid w:val="009F1127"/>
    <w:rsid w:val="009F6FBF"/>
    <w:rsid w:val="009F70DC"/>
    <w:rsid w:val="00A02C15"/>
    <w:rsid w:val="00A0349A"/>
    <w:rsid w:val="00A04427"/>
    <w:rsid w:val="00A04B91"/>
    <w:rsid w:val="00A069E1"/>
    <w:rsid w:val="00A1019C"/>
    <w:rsid w:val="00A11648"/>
    <w:rsid w:val="00A15FAF"/>
    <w:rsid w:val="00A2029A"/>
    <w:rsid w:val="00A24878"/>
    <w:rsid w:val="00A26E89"/>
    <w:rsid w:val="00A30DC0"/>
    <w:rsid w:val="00A31A87"/>
    <w:rsid w:val="00A32D0C"/>
    <w:rsid w:val="00A3587B"/>
    <w:rsid w:val="00A369A5"/>
    <w:rsid w:val="00A41956"/>
    <w:rsid w:val="00A4308A"/>
    <w:rsid w:val="00A43EB3"/>
    <w:rsid w:val="00A47DD9"/>
    <w:rsid w:val="00A50FB9"/>
    <w:rsid w:val="00A51F4E"/>
    <w:rsid w:val="00A52241"/>
    <w:rsid w:val="00A5397B"/>
    <w:rsid w:val="00A53DE2"/>
    <w:rsid w:val="00A54DA6"/>
    <w:rsid w:val="00A57B71"/>
    <w:rsid w:val="00A6116D"/>
    <w:rsid w:val="00A72188"/>
    <w:rsid w:val="00A734EF"/>
    <w:rsid w:val="00A737D3"/>
    <w:rsid w:val="00A73873"/>
    <w:rsid w:val="00A8041F"/>
    <w:rsid w:val="00A8062A"/>
    <w:rsid w:val="00A807A5"/>
    <w:rsid w:val="00A842F8"/>
    <w:rsid w:val="00A87B0A"/>
    <w:rsid w:val="00A91E36"/>
    <w:rsid w:val="00A93198"/>
    <w:rsid w:val="00A9668D"/>
    <w:rsid w:val="00A97137"/>
    <w:rsid w:val="00AA1BF0"/>
    <w:rsid w:val="00AA4441"/>
    <w:rsid w:val="00AA5045"/>
    <w:rsid w:val="00AA73FE"/>
    <w:rsid w:val="00AB14AF"/>
    <w:rsid w:val="00AC1551"/>
    <w:rsid w:val="00AC390C"/>
    <w:rsid w:val="00AC51F3"/>
    <w:rsid w:val="00AC532F"/>
    <w:rsid w:val="00AC710B"/>
    <w:rsid w:val="00AD0B89"/>
    <w:rsid w:val="00AD2E6F"/>
    <w:rsid w:val="00AD47D4"/>
    <w:rsid w:val="00AD62D8"/>
    <w:rsid w:val="00AD6863"/>
    <w:rsid w:val="00AD7662"/>
    <w:rsid w:val="00AE1546"/>
    <w:rsid w:val="00AE33D9"/>
    <w:rsid w:val="00AE7A63"/>
    <w:rsid w:val="00AF267E"/>
    <w:rsid w:val="00AF7CE1"/>
    <w:rsid w:val="00B00E7C"/>
    <w:rsid w:val="00B011E3"/>
    <w:rsid w:val="00B01D2C"/>
    <w:rsid w:val="00B03934"/>
    <w:rsid w:val="00B048B1"/>
    <w:rsid w:val="00B11E96"/>
    <w:rsid w:val="00B12037"/>
    <w:rsid w:val="00B12C6B"/>
    <w:rsid w:val="00B13276"/>
    <w:rsid w:val="00B139D9"/>
    <w:rsid w:val="00B22DD8"/>
    <w:rsid w:val="00B22F1E"/>
    <w:rsid w:val="00B248A6"/>
    <w:rsid w:val="00B267AB"/>
    <w:rsid w:val="00B26826"/>
    <w:rsid w:val="00B31D15"/>
    <w:rsid w:val="00B31D8E"/>
    <w:rsid w:val="00B351C5"/>
    <w:rsid w:val="00B37271"/>
    <w:rsid w:val="00B37604"/>
    <w:rsid w:val="00B37785"/>
    <w:rsid w:val="00B41237"/>
    <w:rsid w:val="00B437D7"/>
    <w:rsid w:val="00B43C10"/>
    <w:rsid w:val="00B46744"/>
    <w:rsid w:val="00B477DB"/>
    <w:rsid w:val="00B5050B"/>
    <w:rsid w:val="00B50EBF"/>
    <w:rsid w:val="00B53ED3"/>
    <w:rsid w:val="00B54E3D"/>
    <w:rsid w:val="00B55214"/>
    <w:rsid w:val="00B613FF"/>
    <w:rsid w:val="00B6225D"/>
    <w:rsid w:val="00B64AEB"/>
    <w:rsid w:val="00B64D08"/>
    <w:rsid w:val="00B70A39"/>
    <w:rsid w:val="00B72EEE"/>
    <w:rsid w:val="00B76B58"/>
    <w:rsid w:val="00B76F72"/>
    <w:rsid w:val="00B809B1"/>
    <w:rsid w:val="00B824F1"/>
    <w:rsid w:val="00B87183"/>
    <w:rsid w:val="00B92AD4"/>
    <w:rsid w:val="00BB1819"/>
    <w:rsid w:val="00BB3929"/>
    <w:rsid w:val="00BB4401"/>
    <w:rsid w:val="00BB4EBA"/>
    <w:rsid w:val="00BB5DA9"/>
    <w:rsid w:val="00BC014F"/>
    <w:rsid w:val="00BD4F83"/>
    <w:rsid w:val="00BD5970"/>
    <w:rsid w:val="00BD61A7"/>
    <w:rsid w:val="00BE114C"/>
    <w:rsid w:val="00BF03A9"/>
    <w:rsid w:val="00BF0F57"/>
    <w:rsid w:val="00C00948"/>
    <w:rsid w:val="00C02BAB"/>
    <w:rsid w:val="00C06CDB"/>
    <w:rsid w:val="00C06D0F"/>
    <w:rsid w:val="00C070FB"/>
    <w:rsid w:val="00C13799"/>
    <w:rsid w:val="00C1457D"/>
    <w:rsid w:val="00C173DF"/>
    <w:rsid w:val="00C2460C"/>
    <w:rsid w:val="00C2552A"/>
    <w:rsid w:val="00C308BE"/>
    <w:rsid w:val="00C31F5F"/>
    <w:rsid w:val="00C40BD1"/>
    <w:rsid w:val="00C40FD8"/>
    <w:rsid w:val="00C41733"/>
    <w:rsid w:val="00C41DB4"/>
    <w:rsid w:val="00C462C4"/>
    <w:rsid w:val="00C55A65"/>
    <w:rsid w:val="00C60C71"/>
    <w:rsid w:val="00C61845"/>
    <w:rsid w:val="00C632B3"/>
    <w:rsid w:val="00C63B7C"/>
    <w:rsid w:val="00C669D0"/>
    <w:rsid w:val="00C70D48"/>
    <w:rsid w:val="00C75421"/>
    <w:rsid w:val="00C77158"/>
    <w:rsid w:val="00C77962"/>
    <w:rsid w:val="00C77DFE"/>
    <w:rsid w:val="00C8558C"/>
    <w:rsid w:val="00C90A57"/>
    <w:rsid w:val="00C92120"/>
    <w:rsid w:val="00C966DA"/>
    <w:rsid w:val="00C976B2"/>
    <w:rsid w:val="00CA08FA"/>
    <w:rsid w:val="00CA1213"/>
    <w:rsid w:val="00CA3607"/>
    <w:rsid w:val="00CA6944"/>
    <w:rsid w:val="00CA72F1"/>
    <w:rsid w:val="00CB2DCB"/>
    <w:rsid w:val="00CB4591"/>
    <w:rsid w:val="00CB7080"/>
    <w:rsid w:val="00CC0473"/>
    <w:rsid w:val="00CC1637"/>
    <w:rsid w:val="00CC3ED1"/>
    <w:rsid w:val="00CC41ED"/>
    <w:rsid w:val="00CC4988"/>
    <w:rsid w:val="00CD66D5"/>
    <w:rsid w:val="00CE0A40"/>
    <w:rsid w:val="00CE1852"/>
    <w:rsid w:val="00CE2946"/>
    <w:rsid w:val="00CE41CC"/>
    <w:rsid w:val="00CE4329"/>
    <w:rsid w:val="00CE57B3"/>
    <w:rsid w:val="00CF7619"/>
    <w:rsid w:val="00CF7B52"/>
    <w:rsid w:val="00D0083E"/>
    <w:rsid w:val="00D00EA0"/>
    <w:rsid w:val="00D01A50"/>
    <w:rsid w:val="00D05D33"/>
    <w:rsid w:val="00D160F3"/>
    <w:rsid w:val="00D17B72"/>
    <w:rsid w:val="00D201E6"/>
    <w:rsid w:val="00D20931"/>
    <w:rsid w:val="00D20FFB"/>
    <w:rsid w:val="00D23118"/>
    <w:rsid w:val="00D27890"/>
    <w:rsid w:val="00D3261D"/>
    <w:rsid w:val="00D33A08"/>
    <w:rsid w:val="00D35F06"/>
    <w:rsid w:val="00D36226"/>
    <w:rsid w:val="00D455D4"/>
    <w:rsid w:val="00D46DC4"/>
    <w:rsid w:val="00D5062B"/>
    <w:rsid w:val="00D60633"/>
    <w:rsid w:val="00D620FF"/>
    <w:rsid w:val="00D63E1C"/>
    <w:rsid w:val="00D65A90"/>
    <w:rsid w:val="00D65BF3"/>
    <w:rsid w:val="00D65F51"/>
    <w:rsid w:val="00D729EA"/>
    <w:rsid w:val="00D735E9"/>
    <w:rsid w:val="00D73D35"/>
    <w:rsid w:val="00D74C34"/>
    <w:rsid w:val="00D765A1"/>
    <w:rsid w:val="00D76762"/>
    <w:rsid w:val="00D7679A"/>
    <w:rsid w:val="00D768D4"/>
    <w:rsid w:val="00D76A3B"/>
    <w:rsid w:val="00D83505"/>
    <w:rsid w:val="00D84523"/>
    <w:rsid w:val="00D87662"/>
    <w:rsid w:val="00D91D07"/>
    <w:rsid w:val="00D93FDE"/>
    <w:rsid w:val="00DC273F"/>
    <w:rsid w:val="00DC38B8"/>
    <w:rsid w:val="00DC4475"/>
    <w:rsid w:val="00DC58C0"/>
    <w:rsid w:val="00DE072F"/>
    <w:rsid w:val="00DE11A5"/>
    <w:rsid w:val="00DE25A0"/>
    <w:rsid w:val="00DE4E91"/>
    <w:rsid w:val="00DE5193"/>
    <w:rsid w:val="00DF39D2"/>
    <w:rsid w:val="00DF56A7"/>
    <w:rsid w:val="00DF6786"/>
    <w:rsid w:val="00E01912"/>
    <w:rsid w:val="00E04749"/>
    <w:rsid w:val="00E07A22"/>
    <w:rsid w:val="00E10ED6"/>
    <w:rsid w:val="00E21482"/>
    <w:rsid w:val="00E21911"/>
    <w:rsid w:val="00E2417A"/>
    <w:rsid w:val="00E25B4B"/>
    <w:rsid w:val="00E26437"/>
    <w:rsid w:val="00E37F4B"/>
    <w:rsid w:val="00E411A9"/>
    <w:rsid w:val="00E4387D"/>
    <w:rsid w:val="00E43A22"/>
    <w:rsid w:val="00E5325E"/>
    <w:rsid w:val="00E54CEB"/>
    <w:rsid w:val="00E557D7"/>
    <w:rsid w:val="00E55E85"/>
    <w:rsid w:val="00E560EA"/>
    <w:rsid w:val="00E57698"/>
    <w:rsid w:val="00E62588"/>
    <w:rsid w:val="00E6313E"/>
    <w:rsid w:val="00E631C6"/>
    <w:rsid w:val="00E7396A"/>
    <w:rsid w:val="00E73FD6"/>
    <w:rsid w:val="00E74EFA"/>
    <w:rsid w:val="00E76CD4"/>
    <w:rsid w:val="00E86CF4"/>
    <w:rsid w:val="00E91C1D"/>
    <w:rsid w:val="00E94476"/>
    <w:rsid w:val="00E96C10"/>
    <w:rsid w:val="00EA067A"/>
    <w:rsid w:val="00EA1A26"/>
    <w:rsid w:val="00EA29CD"/>
    <w:rsid w:val="00EA2F92"/>
    <w:rsid w:val="00EA5A23"/>
    <w:rsid w:val="00EA7141"/>
    <w:rsid w:val="00EB39C6"/>
    <w:rsid w:val="00EB4265"/>
    <w:rsid w:val="00EB5774"/>
    <w:rsid w:val="00EB6169"/>
    <w:rsid w:val="00EB64CF"/>
    <w:rsid w:val="00EB74A3"/>
    <w:rsid w:val="00EC10CB"/>
    <w:rsid w:val="00EC1F3E"/>
    <w:rsid w:val="00EC65CA"/>
    <w:rsid w:val="00ED2C01"/>
    <w:rsid w:val="00ED2E7A"/>
    <w:rsid w:val="00ED3928"/>
    <w:rsid w:val="00ED75E5"/>
    <w:rsid w:val="00ED7791"/>
    <w:rsid w:val="00ED7B9C"/>
    <w:rsid w:val="00EE3131"/>
    <w:rsid w:val="00EF0F49"/>
    <w:rsid w:val="00EF26EB"/>
    <w:rsid w:val="00EF291C"/>
    <w:rsid w:val="00EF584E"/>
    <w:rsid w:val="00F00C27"/>
    <w:rsid w:val="00F023A9"/>
    <w:rsid w:val="00F02583"/>
    <w:rsid w:val="00F14A3D"/>
    <w:rsid w:val="00F1565A"/>
    <w:rsid w:val="00F156C3"/>
    <w:rsid w:val="00F24AE8"/>
    <w:rsid w:val="00F25E14"/>
    <w:rsid w:val="00F36C9E"/>
    <w:rsid w:val="00F444F7"/>
    <w:rsid w:val="00F462EB"/>
    <w:rsid w:val="00F50082"/>
    <w:rsid w:val="00F504C5"/>
    <w:rsid w:val="00F519C6"/>
    <w:rsid w:val="00F55497"/>
    <w:rsid w:val="00F56075"/>
    <w:rsid w:val="00F56384"/>
    <w:rsid w:val="00F57A5E"/>
    <w:rsid w:val="00F608E0"/>
    <w:rsid w:val="00F62599"/>
    <w:rsid w:val="00F626B6"/>
    <w:rsid w:val="00F62C3C"/>
    <w:rsid w:val="00F63B47"/>
    <w:rsid w:val="00F64602"/>
    <w:rsid w:val="00F65701"/>
    <w:rsid w:val="00F7230C"/>
    <w:rsid w:val="00F74C22"/>
    <w:rsid w:val="00F80B2F"/>
    <w:rsid w:val="00F81D1A"/>
    <w:rsid w:val="00F84389"/>
    <w:rsid w:val="00F851EC"/>
    <w:rsid w:val="00F86B1F"/>
    <w:rsid w:val="00F87AF0"/>
    <w:rsid w:val="00F96F1F"/>
    <w:rsid w:val="00FA0025"/>
    <w:rsid w:val="00FA0E7F"/>
    <w:rsid w:val="00FA154A"/>
    <w:rsid w:val="00FA24B0"/>
    <w:rsid w:val="00FA4314"/>
    <w:rsid w:val="00FA45BB"/>
    <w:rsid w:val="00FA5099"/>
    <w:rsid w:val="00FA72FD"/>
    <w:rsid w:val="00FB04B7"/>
    <w:rsid w:val="00FB5D1A"/>
    <w:rsid w:val="00FB698B"/>
    <w:rsid w:val="00FC2F44"/>
    <w:rsid w:val="00FC4CA4"/>
    <w:rsid w:val="00FC514D"/>
    <w:rsid w:val="00FC63D2"/>
    <w:rsid w:val="00FD2606"/>
    <w:rsid w:val="00FD30D6"/>
    <w:rsid w:val="00FD6378"/>
    <w:rsid w:val="00FE2612"/>
    <w:rsid w:val="00FE2DE8"/>
    <w:rsid w:val="00FE3CAA"/>
    <w:rsid w:val="00FF018B"/>
    <w:rsid w:val="00FF0708"/>
    <w:rsid w:val="00FF0CF2"/>
    <w:rsid w:val="00FF170B"/>
    <w:rsid w:val="00FF3038"/>
    <w:rsid w:val="00FF432E"/>
    <w:rsid w:val="00FF47AC"/>
    <w:rsid w:val="00FF7048"/>
    <w:rsid w:val="00FF7BA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98">
      <o:colormru v:ext="edit" colors="#eaeaea"/>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en-GB"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semiHidden="0" w:uiPriority="0" w:unhideWhenUsed="0" w:qFormat="1"/>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de-DE"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1">
    <w:name w:val="Title1"/>
    <w:basedOn w:val="Normal"/>
    <w:next w:val="Normal"/>
    <w:rsid w:val="00ED75E5"/>
    <w:pPr>
      <w:spacing w:before="230" w:after="230" w:line="300" w:lineRule="exact"/>
      <w:jc w:val="center"/>
    </w:pPr>
    <w:rPr>
      <w:b/>
      <w:sz w:val="28"/>
      <w:szCs w:val="28"/>
    </w:rPr>
  </w:style>
  <w:style w:type="paragraph" w:customStyle="1" w:styleId="Authors">
    <w:name w:val="Authors"/>
    <w:basedOn w:val="Normal"/>
    <w:rsid w:val="00ED75E5"/>
    <w:pPr>
      <w:spacing w:before="360" w:after="460" w:line="260" w:lineRule="exact"/>
      <w:jc w:val="center"/>
    </w:pPr>
    <w:rPr>
      <w:b/>
      <w:lang w:val="en-GB"/>
    </w:rPr>
  </w:style>
  <w:style w:type="paragraph" w:customStyle="1" w:styleId="Dedication">
    <w:name w:val="Dedication"/>
    <w:basedOn w:val="Normal"/>
    <w:rsid w:val="00ED75E5"/>
    <w:pPr>
      <w:spacing w:before="230" w:after="460" w:line="230" w:lineRule="exact"/>
      <w:contextualSpacing/>
      <w:jc w:val="center"/>
    </w:pPr>
    <w:rPr>
      <w:i/>
      <w:sz w:val="18"/>
    </w:rPr>
  </w:style>
  <w:style w:type="paragraph" w:customStyle="1" w:styleId="P1withoutIndendation">
    <w:name w:val="P1_without_Indendation"/>
    <w:basedOn w:val="Normal"/>
    <w:rsid w:val="009D14CA"/>
    <w:pPr>
      <w:spacing w:line="230" w:lineRule="exact"/>
      <w:jc w:val="both"/>
    </w:pPr>
    <w:rPr>
      <w:sz w:val="18"/>
    </w:rPr>
  </w:style>
  <w:style w:type="paragraph" w:customStyle="1" w:styleId="History">
    <w:name w:val="History"/>
    <w:basedOn w:val="Normal"/>
    <w:autoRedefine/>
    <w:rsid w:val="006011C8"/>
    <w:pPr>
      <w:spacing w:before="230" w:after="460" w:line="180" w:lineRule="exact"/>
      <w:jc w:val="right"/>
    </w:pPr>
    <w:rPr>
      <w:sz w:val="16"/>
      <w:szCs w:val="16"/>
    </w:rPr>
  </w:style>
  <w:style w:type="paragraph" w:styleId="FootnoteText">
    <w:name w:val="footnote text"/>
    <w:basedOn w:val="Normal"/>
    <w:semiHidden/>
    <w:rsid w:val="00F62599"/>
    <w:rPr>
      <w:sz w:val="20"/>
      <w:szCs w:val="20"/>
    </w:rPr>
  </w:style>
  <w:style w:type="character" w:styleId="FootnoteReference">
    <w:name w:val="footnote reference"/>
    <w:uiPriority w:val="99"/>
    <w:semiHidden/>
    <w:rsid w:val="00F62599"/>
    <w:rPr>
      <w:vertAlign w:val="superscript"/>
    </w:rPr>
  </w:style>
  <w:style w:type="paragraph" w:customStyle="1" w:styleId="Adress">
    <w:name w:val="Adress"/>
    <w:basedOn w:val="FootnoteText"/>
    <w:autoRedefine/>
    <w:rsid w:val="00F81D1A"/>
    <w:pPr>
      <w:spacing w:before="230" w:line="200" w:lineRule="exact"/>
      <w:ind w:left="425" w:hanging="425"/>
    </w:pPr>
    <w:rPr>
      <w:rFonts w:ascii="Arial" w:hAnsi="Arial"/>
      <w:sz w:val="16"/>
    </w:rPr>
  </w:style>
  <w:style w:type="paragraph" w:customStyle="1" w:styleId="Footnote">
    <w:name w:val="Footnote"/>
    <w:basedOn w:val="Adress"/>
    <w:autoRedefine/>
    <w:rsid w:val="00FF7048"/>
    <w:pPr>
      <w:spacing w:before="120" w:line="180" w:lineRule="exact"/>
    </w:pPr>
    <w:rPr>
      <w:rFonts w:ascii="Times New Roman" w:hAnsi="Times New Roman"/>
      <w:sz w:val="14"/>
      <w:szCs w:val="14"/>
      <w:lang w:val="en-GB"/>
    </w:rPr>
  </w:style>
  <w:style w:type="paragraph" w:customStyle="1" w:styleId="References">
    <w:name w:val="References"/>
    <w:basedOn w:val="Normal"/>
    <w:autoRedefine/>
    <w:rsid w:val="00DE072F"/>
    <w:pPr>
      <w:pBdr>
        <w:top w:val="single" w:sz="4" w:space="1" w:color="000000"/>
      </w:pBdr>
      <w:spacing w:after="120" w:line="180" w:lineRule="exact"/>
      <w:ind w:left="284" w:hanging="284"/>
      <w:jc w:val="both"/>
    </w:pPr>
    <w:rPr>
      <w:sz w:val="14"/>
      <w:szCs w:val="14"/>
      <w:lang w:val="en-GB"/>
    </w:rPr>
  </w:style>
  <w:style w:type="paragraph" w:customStyle="1" w:styleId="ColumnTitle">
    <w:name w:val="ColumnTitle"/>
    <w:basedOn w:val="Normal"/>
    <w:autoRedefine/>
    <w:rsid w:val="001A39AE"/>
    <w:pPr>
      <w:spacing w:after="240"/>
      <w:jc w:val="right"/>
    </w:pPr>
    <w:rPr>
      <w:rFonts w:ascii="Arial" w:hAnsi="Arial" w:cs="Arial"/>
      <w:b/>
      <w:color w:val="000000"/>
      <w:sz w:val="34"/>
      <w:szCs w:val="34"/>
      <w:lang w:val="en-GB"/>
    </w:rPr>
  </w:style>
  <w:style w:type="paragraph" w:customStyle="1" w:styleId="ExperimentalSection">
    <w:name w:val="ExperimentalSection"/>
    <w:basedOn w:val="Normal"/>
    <w:autoRedefine/>
    <w:rsid w:val="00390DD7"/>
    <w:pPr>
      <w:spacing w:after="240" w:line="180" w:lineRule="exact"/>
      <w:jc w:val="both"/>
    </w:pPr>
    <w:rPr>
      <w:sz w:val="14"/>
      <w:szCs w:val="14"/>
      <w:lang w:val="en-GB"/>
    </w:rPr>
  </w:style>
  <w:style w:type="paragraph" w:customStyle="1" w:styleId="HExperimentalSection">
    <w:name w:val="HExperimental_Section"/>
    <w:basedOn w:val="Normal"/>
    <w:autoRedefine/>
    <w:rsid w:val="001F4EE4"/>
    <w:pPr>
      <w:spacing w:before="460" w:after="230" w:line="230" w:lineRule="atLeast"/>
      <w:jc w:val="center"/>
    </w:pPr>
    <w:rPr>
      <w:b/>
      <w:sz w:val="20"/>
      <w:szCs w:val="20"/>
    </w:rPr>
  </w:style>
  <w:style w:type="paragraph" w:customStyle="1" w:styleId="SchemeCaption">
    <w:name w:val="SchemeCaption"/>
    <w:basedOn w:val="Normal"/>
    <w:autoRedefine/>
    <w:rsid w:val="00C2552A"/>
    <w:pPr>
      <w:spacing w:before="230" w:after="460" w:line="180" w:lineRule="exact"/>
      <w:jc w:val="both"/>
    </w:pPr>
    <w:rPr>
      <w:sz w:val="14"/>
      <w:szCs w:val="14"/>
      <w:lang w:val="en-GB"/>
    </w:rPr>
  </w:style>
  <w:style w:type="paragraph" w:customStyle="1" w:styleId="FigureCaption">
    <w:name w:val="FigureCaption"/>
    <w:basedOn w:val="Normal"/>
    <w:autoRedefine/>
    <w:rsid w:val="00FC514D"/>
    <w:pPr>
      <w:spacing w:before="120" w:after="360" w:line="180" w:lineRule="exact"/>
      <w:jc w:val="both"/>
    </w:pPr>
    <w:rPr>
      <w:sz w:val="14"/>
      <w:szCs w:val="14"/>
      <w:lang w:val="en-GB"/>
    </w:rPr>
  </w:style>
  <w:style w:type="paragraph" w:customStyle="1" w:styleId="TableCaption">
    <w:name w:val="TableCaption"/>
    <w:basedOn w:val="Normal"/>
    <w:autoRedefine/>
    <w:rsid w:val="00C2552A"/>
    <w:pPr>
      <w:spacing w:before="230" w:after="120" w:line="200" w:lineRule="exact"/>
      <w:jc w:val="both"/>
    </w:pPr>
    <w:rPr>
      <w:sz w:val="14"/>
      <w:szCs w:val="14"/>
      <w:lang w:val="en-GB"/>
    </w:rPr>
  </w:style>
  <w:style w:type="paragraph" w:customStyle="1" w:styleId="TableHead">
    <w:name w:val="TableHead"/>
    <w:basedOn w:val="TableCaption"/>
    <w:autoRedefine/>
    <w:rsid w:val="00B76B58"/>
    <w:pPr>
      <w:spacing w:before="120"/>
    </w:pPr>
  </w:style>
  <w:style w:type="paragraph" w:customStyle="1" w:styleId="TableBody">
    <w:name w:val="TableBody"/>
    <w:basedOn w:val="Normal"/>
    <w:autoRedefine/>
    <w:rsid w:val="006C2DBE"/>
    <w:pPr>
      <w:spacing w:before="120" w:after="120" w:line="230" w:lineRule="exact"/>
    </w:pPr>
    <w:rPr>
      <w:rFonts w:ascii="Arial" w:hAnsi="Arial"/>
      <w:sz w:val="16"/>
    </w:rPr>
  </w:style>
  <w:style w:type="paragraph" w:customStyle="1" w:styleId="TableFoot">
    <w:name w:val="TableFoot"/>
    <w:basedOn w:val="Normal"/>
    <w:autoRedefine/>
    <w:rsid w:val="00C2552A"/>
    <w:pPr>
      <w:spacing w:after="460" w:line="230" w:lineRule="exact"/>
      <w:jc w:val="both"/>
    </w:pPr>
    <w:rPr>
      <w:sz w:val="14"/>
      <w:szCs w:val="14"/>
      <w:lang w:val="en-GB"/>
    </w:rPr>
  </w:style>
  <w:style w:type="table" w:styleId="TableGrid">
    <w:name w:val="Table Grid"/>
    <w:basedOn w:val="TableNormal"/>
    <w:rsid w:val="00EA067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Keywords">
    <w:name w:val="Keywords"/>
    <w:basedOn w:val="Normal"/>
    <w:autoRedefine/>
    <w:rsid w:val="00473EE4"/>
    <w:pPr>
      <w:shd w:val="clear" w:color="auto" w:fill="C0C0C0"/>
      <w:spacing w:before="240" w:after="360" w:line="220" w:lineRule="exact"/>
      <w:ind w:left="170" w:right="170"/>
    </w:pPr>
    <w:rPr>
      <w:sz w:val="20"/>
      <w:szCs w:val="20"/>
      <w:lang w:val="en-GB"/>
    </w:rPr>
  </w:style>
  <w:style w:type="paragraph" w:customStyle="1" w:styleId="ManuscriptID">
    <w:name w:val="ManuscriptID"/>
    <w:basedOn w:val="Normal"/>
    <w:autoRedefine/>
    <w:rsid w:val="00232C14"/>
    <w:pPr>
      <w:spacing w:before="230" w:after="1440" w:line="230" w:lineRule="exact"/>
      <w:jc w:val="right"/>
    </w:pPr>
    <w:rPr>
      <w:b/>
      <w:sz w:val="15"/>
      <w:szCs w:val="15"/>
      <w:lang w:val="en-GB"/>
    </w:rPr>
  </w:style>
  <w:style w:type="paragraph" w:customStyle="1" w:styleId="AuthorsTOC">
    <w:name w:val="Authors_TOC"/>
    <w:basedOn w:val="Authors"/>
    <w:rsid w:val="00671748"/>
    <w:pPr>
      <w:spacing w:before="230" w:after="0" w:line="230" w:lineRule="exact"/>
      <w:jc w:val="left"/>
    </w:pPr>
    <w:rPr>
      <w:b w:val="0"/>
      <w:i/>
      <w:sz w:val="20"/>
      <w:szCs w:val="20"/>
    </w:rPr>
  </w:style>
  <w:style w:type="paragraph" w:customStyle="1" w:styleId="TitleTOC">
    <w:name w:val="Title_TOC"/>
    <w:basedOn w:val="AuthorsTOC"/>
    <w:autoRedefine/>
    <w:rsid w:val="00537F36"/>
    <w:rPr>
      <w:b/>
      <w:i w:val="0"/>
    </w:rPr>
  </w:style>
  <w:style w:type="paragraph" w:customStyle="1" w:styleId="TableOfContentText">
    <w:name w:val="TableOfContentText"/>
    <w:basedOn w:val="AuthorsTOC"/>
    <w:autoRedefine/>
    <w:rsid w:val="00354B57"/>
    <w:pPr>
      <w:spacing w:before="0"/>
    </w:pPr>
    <w:rPr>
      <w:i w:val="0"/>
      <w:color w:val="000000"/>
    </w:rPr>
  </w:style>
  <w:style w:type="character" w:styleId="Hyperlink">
    <w:name w:val="Hyperlink"/>
    <w:rsid w:val="00740CE1"/>
    <w:rPr>
      <w:color w:val="0000FF"/>
      <w:u w:val="single"/>
    </w:rPr>
  </w:style>
  <w:style w:type="paragraph" w:customStyle="1" w:styleId="P1withIndendation">
    <w:name w:val="P1_with_Indendation"/>
    <w:basedOn w:val="TableCaption"/>
    <w:rsid w:val="004A489D"/>
    <w:pPr>
      <w:spacing w:line="230" w:lineRule="exact"/>
      <w:ind w:firstLine="284"/>
    </w:pPr>
    <w:rPr>
      <w:sz w:val="18"/>
    </w:rPr>
  </w:style>
  <w:style w:type="paragraph" w:customStyle="1" w:styleId="LeadIn">
    <w:name w:val="LeadIn"/>
    <w:basedOn w:val="Normal"/>
    <w:rsid w:val="009B7251"/>
    <w:pPr>
      <w:spacing w:after="460" w:line="280" w:lineRule="exact"/>
    </w:pPr>
    <w:rPr>
      <w:i/>
      <w:sz w:val="22"/>
      <w:szCs w:val="22"/>
      <w:lang w:val="en-GB"/>
    </w:rPr>
  </w:style>
  <w:style w:type="paragraph" w:customStyle="1" w:styleId="H1">
    <w:name w:val="H1"/>
    <w:basedOn w:val="Normal"/>
    <w:autoRedefine/>
    <w:rsid w:val="006011C8"/>
    <w:pPr>
      <w:spacing w:before="360" w:after="230" w:line="220" w:lineRule="exact"/>
      <w:jc w:val="center"/>
    </w:pPr>
    <w:rPr>
      <w:b/>
      <w:sz w:val="20"/>
      <w:lang w:val="en-GB"/>
    </w:rPr>
  </w:style>
  <w:style w:type="paragraph" w:customStyle="1" w:styleId="H2">
    <w:name w:val="H2"/>
    <w:basedOn w:val="H1"/>
    <w:rsid w:val="00C966DA"/>
    <w:rPr>
      <w:sz w:val="18"/>
    </w:rPr>
  </w:style>
  <w:style w:type="paragraph" w:customStyle="1" w:styleId="H3">
    <w:name w:val="H3"/>
    <w:basedOn w:val="H2"/>
    <w:rsid w:val="00077560"/>
    <w:pPr>
      <w:spacing w:before="230"/>
    </w:pPr>
    <w:rPr>
      <w:b w:val="0"/>
    </w:rPr>
  </w:style>
  <w:style w:type="paragraph" w:customStyle="1" w:styleId="H4">
    <w:name w:val="H4"/>
    <w:basedOn w:val="H3"/>
    <w:rsid w:val="00EA5A23"/>
  </w:style>
  <w:style w:type="paragraph" w:customStyle="1" w:styleId="H5">
    <w:name w:val="H5"/>
    <w:basedOn w:val="H4"/>
    <w:rsid w:val="00B64D08"/>
  </w:style>
  <w:style w:type="paragraph" w:customStyle="1" w:styleId="Biography">
    <w:name w:val="Biography"/>
    <w:basedOn w:val="TableFoot"/>
    <w:rsid w:val="004A75D5"/>
    <w:pPr>
      <w:shd w:val="clear" w:color="auto" w:fill="C0C0C0"/>
      <w:spacing w:before="200" w:after="200" w:line="200" w:lineRule="exact"/>
    </w:pPr>
    <w:rPr>
      <w:i/>
    </w:rPr>
  </w:style>
  <w:style w:type="paragraph" w:styleId="Caption">
    <w:name w:val="caption"/>
    <w:basedOn w:val="Normal"/>
    <w:next w:val="Normal"/>
    <w:qFormat/>
    <w:rsid w:val="004D31C6"/>
    <w:pPr>
      <w:spacing w:before="120" w:after="120"/>
    </w:pPr>
    <w:rPr>
      <w:b/>
      <w:bCs/>
      <w:sz w:val="20"/>
      <w:szCs w:val="20"/>
    </w:rPr>
  </w:style>
  <w:style w:type="paragraph" w:styleId="Footer">
    <w:name w:val="footer"/>
    <w:basedOn w:val="Normal"/>
    <w:rsid w:val="00972425"/>
    <w:pPr>
      <w:tabs>
        <w:tab w:val="center" w:pos="4536"/>
        <w:tab w:val="right" w:pos="9072"/>
      </w:tabs>
    </w:pPr>
  </w:style>
  <w:style w:type="character" w:styleId="PageNumber">
    <w:name w:val="page number"/>
    <w:basedOn w:val="DefaultParagraphFont"/>
    <w:rsid w:val="00972425"/>
  </w:style>
  <w:style w:type="paragraph" w:customStyle="1" w:styleId="Abstract">
    <w:name w:val="Abstract"/>
    <w:basedOn w:val="Normal"/>
    <w:autoRedefine/>
    <w:rsid w:val="0018165B"/>
    <w:pPr>
      <w:spacing w:before="240" w:line="220" w:lineRule="exact"/>
      <w:jc w:val="both"/>
    </w:pPr>
    <w:rPr>
      <w:sz w:val="20"/>
      <w:szCs w:val="20"/>
      <w:lang w:val="en-GB"/>
    </w:rPr>
  </w:style>
  <w:style w:type="paragraph" w:customStyle="1" w:styleId="HAcknowledgements">
    <w:name w:val="HAcknowledgements"/>
    <w:basedOn w:val="H1"/>
    <w:autoRedefine/>
    <w:rsid w:val="00184380"/>
  </w:style>
  <w:style w:type="paragraph" w:customStyle="1" w:styleId="Acknowledgements">
    <w:name w:val="Acknowledgements"/>
    <w:basedOn w:val="ExperimentalSection"/>
    <w:autoRedefine/>
    <w:rsid w:val="00184380"/>
  </w:style>
  <w:style w:type="paragraph" w:customStyle="1" w:styleId="ColumnTitleTOC">
    <w:name w:val="ColumnTitle_TOC"/>
    <w:basedOn w:val="ColumnTitle"/>
    <w:rsid w:val="009E3783"/>
    <w:rPr>
      <w:color w:val="FF0000"/>
    </w:rPr>
  </w:style>
  <w:style w:type="character" w:customStyle="1" w:styleId="maintitle">
    <w:name w:val="maintitle"/>
    <w:rsid w:val="00AD2E6F"/>
  </w:style>
  <w:style w:type="paragraph" w:customStyle="1" w:styleId="G4bTableBody">
    <w:name w:val="G4b Table Body"/>
    <w:qFormat/>
    <w:rsid w:val="00337467"/>
    <w:pPr>
      <w:keepNext/>
      <w:keepLines/>
      <w:jc w:val="center"/>
    </w:pPr>
    <w:rPr>
      <w:rFonts w:eastAsia="Times New Roman"/>
      <w:sz w:val="16"/>
      <w:szCs w:val="16"/>
      <w:lang w:eastAsia="en-GB"/>
    </w:rPr>
  </w:style>
  <w:style w:type="paragraph" w:customStyle="1" w:styleId="N3References">
    <w:name w:val="N3 References"/>
    <w:qFormat/>
    <w:rsid w:val="00366547"/>
    <w:pPr>
      <w:tabs>
        <w:tab w:val="left" w:pos="284"/>
      </w:tabs>
      <w:spacing w:line="190" w:lineRule="exact"/>
      <w:ind w:left="284" w:hanging="284"/>
      <w:jc w:val="both"/>
    </w:pPr>
    <w:rPr>
      <w:rFonts w:eastAsia="Times New Roman"/>
      <w:noProof/>
      <w:sz w:val="16"/>
      <w:lang w:eastAsia="en-GB"/>
    </w:rPr>
  </w:style>
  <w:style w:type="character" w:customStyle="1" w:styleId="BalloonTextChar">
    <w:name w:val="Balloon Text Char"/>
    <w:link w:val="BalloonText"/>
    <w:rsid w:val="009E6670"/>
    <w:rPr>
      <w:rFonts w:ascii="Tahoma" w:hAnsi="Tahoma"/>
      <w:sz w:val="16"/>
      <w:szCs w:val="16"/>
      <w:lang w:val="de-DE" w:eastAsia="ja-JP"/>
    </w:rPr>
  </w:style>
  <w:style w:type="paragraph" w:styleId="BalloonText">
    <w:name w:val="Balloon Text"/>
    <w:basedOn w:val="Normal"/>
    <w:link w:val="BalloonTextChar"/>
    <w:rsid w:val="009E6670"/>
    <w:rPr>
      <w:rFonts w:ascii="Tahoma" w:hAnsi="Tahoma"/>
      <w:sz w:val="16"/>
      <w:szCs w:val="16"/>
    </w:rPr>
  </w:style>
  <w:style w:type="character" w:customStyle="1" w:styleId="CommentTextChar">
    <w:name w:val="Comment Text Char"/>
    <w:link w:val="CommentText"/>
    <w:rsid w:val="009E6670"/>
    <w:rPr>
      <w:lang w:val="de-DE" w:eastAsia="ja-JP"/>
    </w:rPr>
  </w:style>
  <w:style w:type="paragraph" w:styleId="CommentText">
    <w:name w:val="annotation text"/>
    <w:basedOn w:val="Normal"/>
    <w:link w:val="CommentTextChar"/>
    <w:rsid w:val="009E6670"/>
    <w:rPr>
      <w:sz w:val="20"/>
      <w:szCs w:val="20"/>
    </w:rPr>
  </w:style>
  <w:style w:type="character" w:customStyle="1" w:styleId="CommentSubjectChar">
    <w:name w:val="Comment Subject Char"/>
    <w:link w:val="CommentSubject"/>
    <w:rsid w:val="009E6670"/>
    <w:rPr>
      <w:b/>
      <w:bCs/>
      <w:lang w:val="de-DE" w:eastAsia="ja-JP"/>
    </w:rPr>
  </w:style>
  <w:style w:type="paragraph" w:styleId="CommentSubject">
    <w:name w:val="annotation subject"/>
    <w:basedOn w:val="CommentText"/>
    <w:next w:val="CommentText"/>
    <w:link w:val="CommentSubjectChar"/>
    <w:rsid w:val="009E667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oleObject" Target="embeddings/oleObject1.bin"/><Relationship Id="rId18" Type="http://schemas.openxmlformats.org/officeDocument/2006/relationships/image" Target="media/image5.emf"/><Relationship Id="rId26" Type="http://schemas.openxmlformats.org/officeDocument/2006/relationships/oleObject" Target="embeddings/oleObject7.bin"/><Relationship Id="rId39" Type="http://schemas.openxmlformats.org/officeDocument/2006/relationships/oleObject" Target="embeddings/oleObject10.bin"/><Relationship Id="rId3" Type="http://schemas.openxmlformats.org/officeDocument/2006/relationships/settings" Target="settings.xml"/><Relationship Id="rId21" Type="http://schemas.openxmlformats.org/officeDocument/2006/relationships/oleObject" Target="embeddings/oleObject5.bin"/><Relationship Id="rId34" Type="http://schemas.openxmlformats.org/officeDocument/2006/relationships/image" Target="media/image15.png"/><Relationship Id="rId42" Type="http://schemas.openxmlformats.org/officeDocument/2006/relationships/oleObject" Target="embeddings/oleObject11.bin"/><Relationship Id="rId47"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2.emf"/><Relationship Id="rId17" Type="http://schemas.openxmlformats.org/officeDocument/2006/relationships/oleObject" Target="embeddings/oleObject3.bin"/><Relationship Id="rId25" Type="http://schemas.openxmlformats.org/officeDocument/2006/relationships/image" Target="media/image9.emf"/><Relationship Id="rId33" Type="http://schemas.openxmlformats.org/officeDocument/2006/relationships/oleObject" Target="embeddings/oleObject9.bin"/><Relationship Id="rId38" Type="http://schemas.openxmlformats.org/officeDocument/2006/relationships/image" Target="media/image19.emf"/><Relationship Id="rId46" Type="http://schemas.openxmlformats.org/officeDocument/2006/relationships/oleObject" Target="embeddings/oleObject12.bin"/><Relationship Id="rId2" Type="http://schemas.microsoft.com/office/2007/relationships/stylesWithEffects" Target="stylesWithEffects.xml"/><Relationship Id="rId16" Type="http://schemas.openxmlformats.org/officeDocument/2006/relationships/image" Target="media/image4.emf"/><Relationship Id="rId20" Type="http://schemas.openxmlformats.org/officeDocument/2006/relationships/image" Target="media/image6.emf"/><Relationship Id="rId29" Type="http://schemas.openxmlformats.org/officeDocument/2006/relationships/image" Target="media/image12.png"/><Relationship Id="rId41" Type="http://schemas.openxmlformats.org/officeDocument/2006/relationships/image" Target="media/image21.emf"/><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4.xml"/><Relationship Id="rId24" Type="http://schemas.openxmlformats.org/officeDocument/2006/relationships/oleObject" Target="embeddings/oleObject6.bin"/><Relationship Id="rId32" Type="http://schemas.openxmlformats.org/officeDocument/2006/relationships/image" Target="media/image14.emf"/><Relationship Id="rId37" Type="http://schemas.openxmlformats.org/officeDocument/2006/relationships/image" Target="media/image18.png"/><Relationship Id="rId40" Type="http://schemas.openxmlformats.org/officeDocument/2006/relationships/image" Target="media/image20.png"/><Relationship Id="rId45" Type="http://schemas.openxmlformats.org/officeDocument/2006/relationships/image" Target="media/image23.emf"/><Relationship Id="rId5" Type="http://schemas.openxmlformats.org/officeDocument/2006/relationships/footnotes" Target="footnotes.xml"/><Relationship Id="rId15" Type="http://schemas.openxmlformats.org/officeDocument/2006/relationships/oleObject" Target="embeddings/oleObject2.bin"/><Relationship Id="rId23" Type="http://schemas.openxmlformats.org/officeDocument/2006/relationships/image" Target="media/image8.emf"/><Relationship Id="rId28" Type="http://schemas.openxmlformats.org/officeDocument/2006/relationships/image" Target="media/image11.png"/><Relationship Id="rId36" Type="http://schemas.openxmlformats.org/officeDocument/2006/relationships/image" Target="media/image17.png"/><Relationship Id="rId10" Type="http://schemas.openxmlformats.org/officeDocument/2006/relationships/footer" Target="footer3.xml"/><Relationship Id="rId19" Type="http://schemas.openxmlformats.org/officeDocument/2006/relationships/oleObject" Target="embeddings/oleObject4.bin"/><Relationship Id="rId31" Type="http://schemas.openxmlformats.org/officeDocument/2006/relationships/oleObject" Target="embeddings/oleObject8.bin"/><Relationship Id="rId44" Type="http://schemas.openxmlformats.org/officeDocument/2006/relationships/hyperlink" Target="http://www.ccdc.cam.ac.uk"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3.emf"/><Relationship Id="rId22" Type="http://schemas.openxmlformats.org/officeDocument/2006/relationships/image" Target="media/image7.png"/><Relationship Id="rId27" Type="http://schemas.openxmlformats.org/officeDocument/2006/relationships/image" Target="media/image10.png"/><Relationship Id="rId30" Type="http://schemas.openxmlformats.org/officeDocument/2006/relationships/image" Target="media/image13.emf"/><Relationship Id="rId35" Type="http://schemas.openxmlformats.org/officeDocument/2006/relationships/image" Target="media/image16.png"/><Relationship Id="rId43" Type="http://schemas.openxmlformats.org/officeDocument/2006/relationships/image" Target="media/image22.png"/><Relationship Id="rId48"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drey\Desktop\2111_fullpap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2111_fullpaper</Template>
  <TotalTime>469</TotalTime>
  <Pages>8</Pages>
  <Words>4331</Words>
  <Characters>24687</Characters>
  <Application>Microsoft Office Word</Application>
  <DocSecurity>0</DocSecurity>
  <Lines>205</Lines>
  <Paragraphs>57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((Title))</vt:lpstr>
      <vt:lpstr>((Title))</vt:lpstr>
    </vt:vector>
  </TitlesOfParts>
  <Company>WILEY-VCH Verlag GmbH &amp; Co. KGaA</Company>
  <LinksUpToDate>false</LinksUpToDate>
  <CharactersWithSpaces>28961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Andrey</dc:creator>
  <cp:lastModifiedBy>kkhii</cp:lastModifiedBy>
  <cp:revision>7</cp:revision>
  <cp:lastPrinted>2013-01-07T20:28:00Z</cp:lastPrinted>
  <dcterms:created xsi:type="dcterms:W3CDTF">2013-03-15T10:26:00Z</dcterms:created>
  <dcterms:modified xsi:type="dcterms:W3CDTF">2013-03-15T18:22:00Z</dcterms:modified>
</cp:coreProperties>
</file>