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417D4" w14:textId="5D9422B0" w:rsidR="00F62C8B" w:rsidRPr="001E3806" w:rsidRDefault="000F3A41" w:rsidP="004C531E">
      <w:pPr>
        <w:pStyle w:val="RSCM01ReceivedAccepted"/>
      </w:pPr>
      <w:r w:rsidRPr="001E3806">
        <mc:AlternateContent>
          <mc:Choice Requires="wps">
            <w:drawing>
              <wp:anchor distT="180340" distB="0" distL="114300" distR="114300" simplePos="0" relativeHeight="251652096" behindDoc="1" locked="1" layoutInCell="0" allowOverlap="0" wp14:anchorId="5B54B28E" wp14:editId="5CD58CCE">
                <wp:simplePos x="0" y="0"/>
                <wp:positionH relativeFrom="margin">
                  <wp:align>left</wp:align>
                </wp:positionH>
                <wp:positionV relativeFrom="margin">
                  <wp:align>bottom</wp:align>
                </wp:positionV>
                <wp:extent cx="3158490" cy="1627505"/>
                <wp:effectExtent l="0" t="0" r="3810" b="1905"/>
                <wp:wrapTopAndBottom/>
                <wp:docPr id="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8490" cy="1627505"/>
                        </a:xfrm>
                        <a:prstGeom prst="rect">
                          <a:avLst/>
                        </a:prstGeom>
                        <a:solidFill>
                          <a:srgbClr val="FFFFFF"/>
                        </a:solidFill>
                        <a:ln w="9525">
                          <a:noFill/>
                          <a:miter lim="800000"/>
                          <a:headEnd/>
                          <a:tailEnd/>
                        </a:ln>
                      </wps:spPr>
                      <wps:txbx>
                        <w:txbxContent>
                          <w:p w14:paraId="10FFC3D3" w14:textId="5756D703" w:rsidR="00982388" w:rsidRDefault="00982388" w:rsidP="00C405FD">
                            <w:pPr>
                              <w:pStyle w:val="RSCF01FootnoteAuthorAddress"/>
                            </w:pPr>
                            <w:r w:rsidRPr="00263AEF">
                              <w:rPr>
                                <w:lang w:val="en-US"/>
                              </w:rPr>
                              <w:t xml:space="preserve">Department of Chemistry, School of Science, Institute of Science Tokyo, 2-12-1 W4-17 </w:t>
                            </w:r>
                            <w:proofErr w:type="spellStart"/>
                            <w:r w:rsidRPr="00263AEF">
                              <w:rPr>
                                <w:lang w:val="en-US"/>
                              </w:rPr>
                              <w:t>Ookayama</w:t>
                            </w:r>
                            <w:proofErr w:type="spellEnd"/>
                            <w:r w:rsidRPr="00263AEF">
                              <w:rPr>
                                <w:lang w:val="en-US"/>
                              </w:rPr>
                              <w:t>, Meguro-</w:t>
                            </w:r>
                            <w:proofErr w:type="spellStart"/>
                            <w:r w:rsidRPr="00263AEF">
                              <w:rPr>
                                <w:lang w:val="en-US"/>
                              </w:rPr>
                              <w:t>ku</w:t>
                            </w:r>
                            <w:proofErr w:type="spellEnd"/>
                            <w:r w:rsidRPr="00263AEF">
                              <w:rPr>
                                <w:lang w:val="en-US"/>
                              </w:rPr>
                              <w:t>, Tokyo 152-8551,</w:t>
                            </w:r>
                            <w:r w:rsidRPr="00263AEF">
                              <w:rPr>
                                <w:rFonts w:hint="eastAsia"/>
                                <w:lang w:val="en-US"/>
                              </w:rPr>
                              <w:t xml:space="preserve"> Japan</w:t>
                            </w:r>
                            <w:r>
                              <w:rPr>
                                <w:rFonts w:hint="eastAsia"/>
                                <w:lang w:val="en-US" w:eastAsia="ja-JP"/>
                              </w:rPr>
                              <w:t>.</w:t>
                            </w:r>
                            <w:r w:rsidRPr="00263AEF">
                              <w:t xml:space="preserve"> </w:t>
                            </w:r>
                          </w:p>
                          <w:p w14:paraId="479045EB" w14:textId="3983738B" w:rsidR="00982388" w:rsidRDefault="00982388" w:rsidP="00C405FD">
                            <w:pPr>
                              <w:pStyle w:val="RSCF01FootnoteAuthorAddress"/>
                            </w:pPr>
                            <w:r w:rsidRPr="00263AEF">
                              <w:rPr>
                                <w:lang w:val="en-US"/>
                              </w:rPr>
                              <w:t>Department of Materials, Imperial College London, London, SW7 2AZ, UK</w:t>
                            </w:r>
                            <w:r>
                              <w:rPr>
                                <w:rFonts w:hint="eastAsia"/>
                                <w:lang w:val="en-US" w:eastAsia="ja-JP"/>
                              </w:rPr>
                              <w:t>.</w:t>
                            </w:r>
                            <w:r w:rsidRPr="00263AEF">
                              <w:t xml:space="preserve"> </w:t>
                            </w:r>
                          </w:p>
                          <w:p w14:paraId="57E46262" w14:textId="77777777" w:rsidR="00982388" w:rsidRPr="007B622D" w:rsidRDefault="00982388" w:rsidP="00241ACD">
                            <w:pPr>
                              <w:pStyle w:val="RSCF01FootnoteAuthorAddress"/>
                            </w:pPr>
                            <w:r w:rsidRPr="00263AEF">
                              <w:rPr>
                                <w:lang w:val="en-US"/>
                              </w:rPr>
                              <w:t>International Institute for Carbon-Neutral Energy Research (WPI-I</w:t>
                            </w:r>
                            <w:r w:rsidRPr="00263AEF">
                              <w:rPr>
                                <w:vertAlign w:val="superscript"/>
                                <w:lang w:val="en-US"/>
                              </w:rPr>
                              <w:t>2</w:t>
                            </w:r>
                            <w:r w:rsidRPr="00263AEF">
                              <w:rPr>
                                <w:lang w:val="en-US"/>
                              </w:rPr>
                              <w:t xml:space="preserve">CNER), Kyushu </w:t>
                            </w:r>
                          </w:p>
                          <w:p w14:paraId="1D4ABD8F" w14:textId="24A48DE5" w:rsidR="00982388" w:rsidRDefault="00982388" w:rsidP="00241ACD">
                            <w:pPr>
                              <w:pStyle w:val="RSCF01FootnoteAuthorAddress"/>
                            </w:pPr>
                            <w:r w:rsidRPr="00263AEF">
                              <w:rPr>
                                <w:lang w:val="en-US"/>
                              </w:rPr>
                              <w:t>University, 744 Motooka, Nishi-</w:t>
                            </w:r>
                            <w:proofErr w:type="spellStart"/>
                            <w:r w:rsidRPr="00263AEF">
                              <w:rPr>
                                <w:lang w:val="en-US"/>
                              </w:rPr>
                              <w:t>ku</w:t>
                            </w:r>
                            <w:proofErr w:type="spellEnd"/>
                            <w:r w:rsidRPr="00263AEF">
                              <w:rPr>
                                <w:lang w:val="en-US"/>
                              </w:rPr>
                              <w:t>, Fukuoka 819-0395, Japan</w:t>
                            </w:r>
                            <w:r>
                              <w:rPr>
                                <w:rFonts w:hint="eastAsia"/>
                                <w:lang w:val="en-US" w:eastAsia="ja-JP"/>
                              </w:rPr>
                              <w:t>.</w:t>
                            </w:r>
                            <w:r w:rsidRPr="00263AEF">
                              <w:t xml:space="preserve"> </w:t>
                            </w:r>
                          </w:p>
                          <w:p w14:paraId="37F84C93" w14:textId="77777777" w:rsidR="00982388" w:rsidRDefault="00982388" w:rsidP="00241ACD">
                            <w:pPr>
                              <w:pStyle w:val="RSCF02FootnotestoTitleAuthors"/>
                              <w:rPr>
                                <w:i/>
                                <w:lang w:val="en-US"/>
                              </w:rPr>
                            </w:pPr>
                            <w:r w:rsidRPr="00263AEF">
                              <w:rPr>
                                <w:i/>
                                <w:lang w:val="en-US"/>
                              </w:rPr>
                              <w:t xml:space="preserve">Center for Energy Systems Design (CESD), International Institute for Carbon Neutral Energy Research (WPI-I2CNER), Kyushu University, 744 Motooka, </w:t>
                            </w:r>
                            <w:proofErr w:type="spellStart"/>
                            <w:r w:rsidRPr="00263AEF">
                              <w:rPr>
                                <w:i/>
                                <w:lang w:val="en-US"/>
                              </w:rPr>
                              <w:t>Nishiku</w:t>
                            </w:r>
                            <w:proofErr w:type="spellEnd"/>
                            <w:r w:rsidRPr="00263AEF">
                              <w:rPr>
                                <w:i/>
                                <w:lang w:val="en-US"/>
                              </w:rPr>
                              <w:t>, Fukuoka 819-0395, Japan.</w:t>
                            </w:r>
                          </w:p>
                          <w:p w14:paraId="71856912" w14:textId="1703AA1C" w:rsidR="00982388" w:rsidRPr="00241ACD" w:rsidRDefault="00982388" w:rsidP="00241ACD">
                            <w:pPr>
                              <w:pStyle w:val="RSCF02FootnotestoTitleAuthors"/>
                              <w:rPr>
                                <w:lang w:eastAsia="ja-JP"/>
                              </w:rPr>
                            </w:pPr>
                          </w:p>
                        </w:txbxContent>
                      </wps:txbx>
                      <wps:bodyPr rot="0" vert="horz" wrap="square" lIns="0" tIns="36000" rIns="0" bIns="36000" anchor="b" anchorCtr="0">
                        <a:spAutoFit/>
                      </wps:bodyPr>
                    </wps:wsp>
                  </a:graphicData>
                </a:graphic>
                <wp14:sizeRelH relativeFrom="margin">
                  <wp14:pctWidth>0</wp14:pctWidth>
                </wp14:sizeRelH>
                <wp14:sizeRelV relativeFrom="margin">
                  <wp14:pctHeight>20000</wp14:pctHeight>
                </wp14:sizeRelV>
              </wp:anchor>
            </w:drawing>
          </mc:Choice>
          <mc:Fallback>
            <w:pict>
              <v:shapetype w14:anchorId="5B54B28E" id="_x0000_t202" coordsize="21600,21600" o:spt="202" path="m,l,21600r21600,l21600,xe">
                <v:stroke joinstyle="miter"/>
                <v:path gradientshapeok="t" o:connecttype="rect"/>
              </v:shapetype>
              <v:shape id="Text Box 2" o:spid="_x0000_s1026" type="#_x0000_t202" style="position:absolute;margin-left:0;margin-top:0;width:248.7pt;height:128.15pt;z-index:-251664384;visibility:visible;mso-wrap-style:square;mso-width-percent:0;mso-height-percent:200;mso-wrap-distance-left:9pt;mso-wrap-distance-top:14.2pt;mso-wrap-distance-right:9pt;mso-wrap-distance-bottom:0;mso-position-horizontal:left;mso-position-horizontal-relative:margin;mso-position-vertical:bottom;mso-position-vertical-relative:margin;mso-width-percent:0;mso-height-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" o:allowincell="f" o:allowoverlap="f" stroked="f">
                <o:lock v:ext="edit" aspectratio="t"/>
                <v:textbox style="mso-fit-shape-to-text:t" inset="0,1mm,0,1mm">
                  <w:txbxContent>
                    <w:p w14:paraId="10FFC3D3" w14:textId="5756D703" w:rsidR="00982388" w:rsidRDefault="00982388" w:rsidP="00C405FD">
                      <w:pPr>
                        <w:pStyle w:val="RSCF01FootnoteAuthorAddress"/>
                      </w:pPr>
                      <w:r w:rsidRPr="00263AEF">
                        <w:rPr>
                          <w:lang w:val="en-US"/>
                        </w:rPr>
                        <w:t xml:space="preserve">Department of Chemistry, School of Science, Institute of Science Tokyo, 2-12-1 W4-17 </w:t>
                      </w:r>
                      <w:proofErr w:type="spellStart"/>
                      <w:r w:rsidRPr="00263AEF">
                        <w:rPr>
                          <w:lang w:val="en-US"/>
                        </w:rPr>
                        <w:t>Ookayama</w:t>
                      </w:r>
                      <w:proofErr w:type="spellEnd"/>
                      <w:r w:rsidRPr="00263AEF">
                        <w:rPr>
                          <w:lang w:val="en-US"/>
                        </w:rPr>
                        <w:t>, Meguro-</w:t>
                      </w:r>
                      <w:proofErr w:type="spellStart"/>
                      <w:r w:rsidRPr="00263AEF">
                        <w:rPr>
                          <w:lang w:val="en-US"/>
                        </w:rPr>
                        <w:t>ku</w:t>
                      </w:r>
                      <w:proofErr w:type="spellEnd"/>
                      <w:r w:rsidRPr="00263AEF">
                        <w:rPr>
                          <w:lang w:val="en-US"/>
                        </w:rPr>
                        <w:t>, Tokyo 152-8551,</w:t>
                      </w:r>
                      <w:r w:rsidRPr="00263AEF">
                        <w:rPr>
                          <w:rFonts w:hint="eastAsia"/>
                          <w:lang w:val="en-US"/>
                        </w:rPr>
                        <w:t xml:space="preserve"> Japan</w:t>
                      </w:r>
                      <w:r>
                        <w:rPr>
                          <w:rFonts w:hint="eastAsia"/>
                          <w:lang w:val="en-US" w:eastAsia="ja-JP"/>
                        </w:rPr>
                        <w:t>.</w:t>
                      </w:r>
                      <w:r w:rsidRPr="00263AEF">
                        <w:t xml:space="preserve"> </w:t>
                      </w:r>
                    </w:p>
                    <w:p w14:paraId="479045EB" w14:textId="3983738B" w:rsidR="00982388" w:rsidRDefault="00982388" w:rsidP="00C405FD">
                      <w:pPr>
                        <w:pStyle w:val="RSCF01FootnoteAuthorAddress"/>
                      </w:pPr>
                      <w:r w:rsidRPr="00263AEF">
                        <w:rPr>
                          <w:lang w:val="en-US"/>
                        </w:rPr>
                        <w:t>Department of Materials, Imperial College London, London, SW7 2AZ, UK</w:t>
                      </w:r>
                      <w:r>
                        <w:rPr>
                          <w:rFonts w:hint="eastAsia"/>
                          <w:lang w:val="en-US" w:eastAsia="ja-JP"/>
                        </w:rPr>
                        <w:t>.</w:t>
                      </w:r>
                      <w:r w:rsidRPr="00263AEF">
                        <w:t xml:space="preserve"> </w:t>
                      </w:r>
                    </w:p>
                    <w:p w14:paraId="57E46262" w14:textId="77777777" w:rsidR="00982388" w:rsidRPr="007B622D" w:rsidRDefault="00982388" w:rsidP="00241ACD">
                      <w:pPr>
                        <w:pStyle w:val="RSCF01FootnoteAuthorAddress"/>
                      </w:pPr>
                      <w:r w:rsidRPr="00263AEF">
                        <w:rPr>
                          <w:lang w:val="en-US"/>
                        </w:rPr>
                        <w:t>International Institute for Carbon-Neutral Energy Research (WPI-I</w:t>
                      </w:r>
                      <w:r w:rsidRPr="00263AEF">
                        <w:rPr>
                          <w:vertAlign w:val="superscript"/>
                          <w:lang w:val="en-US"/>
                        </w:rPr>
                        <w:t>2</w:t>
                      </w:r>
                      <w:r w:rsidRPr="00263AEF">
                        <w:rPr>
                          <w:lang w:val="en-US"/>
                        </w:rPr>
                        <w:t xml:space="preserve">CNER), Kyushu </w:t>
                      </w:r>
                    </w:p>
                    <w:p w14:paraId="1D4ABD8F" w14:textId="24A48DE5" w:rsidR="00982388" w:rsidRDefault="00982388" w:rsidP="00241ACD">
                      <w:pPr>
                        <w:pStyle w:val="RSCF01FootnoteAuthorAddress"/>
                      </w:pPr>
                      <w:r w:rsidRPr="00263AEF">
                        <w:rPr>
                          <w:lang w:val="en-US"/>
                        </w:rPr>
                        <w:t>University, 744 Motooka, Nishi-</w:t>
                      </w:r>
                      <w:proofErr w:type="spellStart"/>
                      <w:r w:rsidRPr="00263AEF">
                        <w:rPr>
                          <w:lang w:val="en-US"/>
                        </w:rPr>
                        <w:t>ku</w:t>
                      </w:r>
                      <w:proofErr w:type="spellEnd"/>
                      <w:r w:rsidRPr="00263AEF">
                        <w:rPr>
                          <w:lang w:val="en-US"/>
                        </w:rPr>
                        <w:t>, Fukuoka 819-0395, Japan</w:t>
                      </w:r>
                      <w:r>
                        <w:rPr>
                          <w:rFonts w:hint="eastAsia"/>
                          <w:lang w:val="en-US" w:eastAsia="ja-JP"/>
                        </w:rPr>
                        <w:t>.</w:t>
                      </w:r>
                      <w:r w:rsidRPr="00263AEF">
                        <w:t xml:space="preserve"> </w:t>
                      </w:r>
                    </w:p>
                    <w:p w14:paraId="37F84C93" w14:textId="77777777" w:rsidR="00982388" w:rsidRDefault="00982388" w:rsidP="00241ACD">
                      <w:pPr>
                        <w:pStyle w:val="RSCF02FootnotestoTitleAuthors"/>
                        <w:rPr>
                          <w:i/>
                          <w:lang w:val="en-US"/>
                        </w:rPr>
                      </w:pPr>
                      <w:r w:rsidRPr="00263AEF">
                        <w:rPr>
                          <w:i/>
                          <w:lang w:val="en-US"/>
                        </w:rPr>
                        <w:t xml:space="preserve">Center for Energy Systems Design (CESD), International Institute for Carbon Neutral Energy Research (WPI-I2CNER), Kyushu University, 744 Motooka, </w:t>
                      </w:r>
                      <w:proofErr w:type="spellStart"/>
                      <w:r w:rsidRPr="00263AEF">
                        <w:rPr>
                          <w:i/>
                          <w:lang w:val="en-US"/>
                        </w:rPr>
                        <w:t>Nishiku</w:t>
                      </w:r>
                      <w:proofErr w:type="spellEnd"/>
                      <w:r w:rsidRPr="00263AEF">
                        <w:rPr>
                          <w:i/>
                          <w:lang w:val="en-US"/>
                        </w:rPr>
                        <w:t>, Fukuoka 819-0395, Japan.</w:t>
                      </w:r>
                    </w:p>
                    <w:p w14:paraId="71856912" w14:textId="1703AA1C" w:rsidR="00982388" w:rsidRPr="00241ACD" w:rsidRDefault="00982388" w:rsidP="00241ACD">
                      <w:pPr>
                        <w:pStyle w:val="RSCF02FootnotestoTitleAuthors"/>
                        <w:rPr>
                          <w:lang w:eastAsia="ja-JP"/>
                        </w:rPr>
                      </w:pPr>
                    </w:p>
                  </w:txbxContent>
                </v:textbox>
                <w10:wrap type="topAndBottom" anchorx="margin" anchory="margin"/>
                <w10:anchorlock/>
              </v:shape>
            </w:pict>
          </mc:Fallback>
        </mc:AlternateContent>
      </w:r>
    </w:p>
    <w:p w14:paraId="646B8F30" w14:textId="6358663E" w:rsidR="00A9649E" w:rsidRPr="001E3806" w:rsidRDefault="00A9649E" w:rsidP="004C531E">
      <w:pPr>
        <w:pStyle w:val="RSCM03Website"/>
      </w:pPr>
    </w:p>
    <w:p w14:paraId="51574338" w14:textId="77777777" w:rsidR="002B62B5" w:rsidRPr="001E3806" w:rsidRDefault="002B62B5" w:rsidP="004C531E">
      <w:pPr>
        <w:pStyle w:val="RSCM03Website"/>
      </w:pPr>
    </w:p>
    <w:p w14:paraId="0D6101E0" w14:textId="7FAF2C6F" w:rsidR="004414A5" w:rsidRPr="001E3806" w:rsidRDefault="00F62C8B" w:rsidP="00C32EDF">
      <w:pPr>
        <w:pStyle w:val="RSCH01PaperTitle"/>
        <w:rPr>
          <w:lang w:val="en-US" w:eastAsia="ja-JP"/>
        </w:rPr>
      </w:pPr>
      <w:r w:rsidRPr="001E3806">
        <w:br w:type="column"/>
      </w:r>
      <w:r w:rsidR="00263AEF" w:rsidRPr="001E3806">
        <w:rPr>
          <w:lang w:val="en-US"/>
        </w:rPr>
        <w:t>Hydration-Driven Enhancement of Interstitialcy Oxide-Ion Diffusion</w:t>
      </w:r>
    </w:p>
    <w:bookmarkStart w:id="0" w:name="_Hlk76928542"/>
    <w:p w14:paraId="1F3CF2C5" w14:textId="0A737B6C" w:rsidR="00263AEF" w:rsidRPr="001E3806" w:rsidRDefault="00733D35" w:rsidP="00263AEF">
      <w:pPr>
        <w:pStyle w:val="RSCB01ARTAbstract"/>
        <w:rPr>
          <w:rFonts w:cs="Times New Roman"/>
          <w:sz w:val="20"/>
          <w:vertAlign w:val="superscript"/>
          <w:lang w:val="en-US"/>
        </w:rPr>
      </w:pPr>
      <w:r w:rsidRPr="001E3806">
        <mc:AlternateContent>
          <mc:Choice Requires="wps">
            <w:drawing>
              <wp:anchor distT="45720" distB="45720" distL="114300" distR="114300" simplePos="0" relativeHeight="251675648" behindDoc="0" locked="0" layoutInCell="1" allowOverlap="1" wp14:anchorId="0E0E0919" wp14:editId="4C93476C">
                <wp:simplePos x="0" y="0"/>
                <wp:positionH relativeFrom="column">
                  <wp:posOffset>2652395</wp:posOffset>
                </wp:positionH>
                <wp:positionV relativeFrom="paragraph">
                  <wp:posOffset>380365</wp:posOffset>
                </wp:positionV>
                <wp:extent cx="2526665" cy="1079500"/>
                <wp:effectExtent l="0" t="0" r="6985" b="635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079500"/>
                        </a:xfrm>
                        <a:prstGeom prst="rect">
                          <a:avLst/>
                        </a:prstGeom>
                        <a:solidFill>
                          <a:srgbClr val="FFFFFF"/>
                        </a:solidFill>
                        <a:ln w="9525">
                          <a:noFill/>
                          <a:miter lim="800000"/>
                          <a:headEnd/>
                          <a:tailEnd/>
                        </a:ln>
                      </wps:spPr>
                      <wps:txbx>
                        <w:txbxContent>
                          <w:p w14:paraId="2AEDA7B1" w14:textId="126555CA" w:rsidR="00982388" w:rsidRDefault="00982388" w:rsidP="00D91638">
                            <w:pPr>
                              <w:spacing w:after="0" w:line="240" w:lineRule="auto"/>
                            </w:pPr>
                            <w:r w:rsidRPr="000F2206">
                              <w:rPr>
                                <w:rFonts w:ascii="Arial" w:eastAsiaTheme="minorEastAsia" w:hAnsi="Arial" w:cs="Arial"/>
                                <w:noProof/>
                                <w:sz w:val="20"/>
                                <w:szCs w:val="20"/>
                              </w:rPr>
                              <w:drawing>
                                <wp:inline distT="0" distB="0" distL="0" distR="0" wp14:anchorId="37F3D8C3" wp14:editId="593E826D">
                                  <wp:extent cx="2331720" cy="974221"/>
                                  <wp:effectExtent l="0" t="0" r="0" b="0"/>
                                  <wp:docPr id="36233622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36228" name=""/>
                                          <pic:cNvPicPr/>
                                        </pic:nvPicPr>
                                        <pic:blipFill>
                                          <a:blip r:embed="rId8"/>
                                          <a:stretch>
                                            <a:fillRect/>
                                          </a:stretch>
                                        </pic:blipFill>
                                        <pic:spPr>
                                          <a:xfrm>
                                            <a:off x="0" y="0"/>
                                            <a:ext cx="2345175" cy="97984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E0919" id="テキスト ボックス 2" o:spid="_x0000_s1027" type="#_x0000_t202" style="position:absolute;left:0;text-align:left;margin-left:208.85pt;margin-top:29.95pt;width:198.95pt;height: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" stroked="f">
                <v:textbox>
                  <w:txbxContent>
                    <w:p w14:paraId="2AEDA7B1" w14:textId="126555CA" w:rsidR="00982388" w:rsidRDefault="00982388" w:rsidP="00D91638">
                      <w:pPr>
                        <w:spacing w:after="0" w:line="240" w:lineRule="auto"/>
                      </w:pPr>
                      <w:r w:rsidRPr="000F2206">
                        <w:rPr>
                          <w:rFonts w:ascii="Arial" w:eastAsiaTheme="minorEastAsia" w:hAnsi="Arial" w:cs="Arial"/>
                          <w:noProof/>
                          <w:sz w:val="20"/>
                          <w:szCs w:val="20"/>
                        </w:rPr>
                        <w:drawing>
                          <wp:inline distT="0" distB="0" distL="0" distR="0" wp14:anchorId="37F3D8C3" wp14:editId="593E826D">
                            <wp:extent cx="2331720" cy="974221"/>
                            <wp:effectExtent l="0" t="0" r="0" b="0"/>
                            <wp:docPr id="36233622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36228" name=""/>
                                    <pic:cNvPicPr/>
                                  </pic:nvPicPr>
                                  <pic:blipFill>
                                    <a:blip r:embed="rId9"/>
                                    <a:stretch>
                                      <a:fillRect/>
                                    </a:stretch>
                                  </pic:blipFill>
                                  <pic:spPr>
                                    <a:xfrm>
                                      <a:off x="0" y="0"/>
                                      <a:ext cx="2345175" cy="979843"/>
                                    </a:xfrm>
                                    <a:prstGeom prst="rect">
                                      <a:avLst/>
                                    </a:prstGeom>
                                  </pic:spPr>
                                </pic:pic>
                              </a:graphicData>
                            </a:graphic>
                          </wp:inline>
                        </w:drawing>
                      </w:r>
                    </w:p>
                  </w:txbxContent>
                </v:textbox>
                <w10:wrap type="square"/>
              </v:shape>
            </w:pict>
          </mc:Fallback>
        </mc:AlternateContent>
      </w:r>
      <w:r w:rsidR="00263AEF" w:rsidRPr="001E3806">
        <w:rPr>
          <w:rFonts w:cs="Times New Roman"/>
          <w:sz w:val="20"/>
          <w:lang w:val="en-US"/>
        </w:rPr>
        <w:t>Yuichi Sakuda,</w:t>
      </w:r>
      <w:r w:rsidR="00263AEF" w:rsidRPr="001E3806">
        <w:rPr>
          <w:rFonts w:cs="Times New Roman"/>
          <w:sz w:val="20"/>
          <w:vertAlign w:val="superscript"/>
          <w:lang w:val="en-US"/>
        </w:rPr>
        <w:t>a</w:t>
      </w:r>
      <w:r w:rsidR="00263AEF" w:rsidRPr="001E3806">
        <w:rPr>
          <w:rFonts w:cs="Times New Roman"/>
          <w:sz w:val="20"/>
          <w:lang w:val="en-US"/>
        </w:rPr>
        <w:t xml:space="preserve"> Mudasir A. Yatoo,</w:t>
      </w:r>
      <w:r w:rsidR="00263AEF" w:rsidRPr="001E3806">
        <w:rPr>
          <w:rFonts w:cs="Times New Roman"/>
          <w:sz w:val="20"/>
          <w:vertAlign w:val="superscript"/>
          <w:lang w:val="en-US"/>
        </w:rPr>
        <w:t>b</w:t>
      </w:r>
      <w:r w:rsidR="00263AEF" w:rsidRPr="001E3806">
        <w:rPr>
          <w:rFonts w:cs="Times New Roman"/>
          <w:sz w:val="20"/>
          <w:lang w:val="en-US"/>
        </w:rPr>
        <w:t xml:space="preserve"> Bhuvaneshwari Manivannan,</w:t>
      </w:r>
      <w:r w:rsidR="00263AEF" w:rsidRPr="001E3806">
        <w:rPr>
          <w:rFonts w:cs="Times New Roman"/>
          <w:sz w:val="20"/>
          <w:vertAlign w:val="superscript"/>
          <w:lang w:val="en-US"/>
        </w:rPr>
        <w:t>c</w:t>
      </w:r>
      <w:r w:rsidR="00263AEF" w:rsidRPr="001E3806">
        <w:rPr>
          <w:rFonts w:cs="Times New Roman"/>
          <w:sz w:val="20"/>
          <w:lang w:val="en-US"/>
        </w:rPr>
        <w:t xml:space="preserve"> Vediyappan Veeramani,</w:t>
      </w:r>
      <w:r w:rsidR="00263AEF" w:rsidRPr="001E3806">
        <w:rPr>
          <w:rFonts w:cs="Times New Roman"/>
          <w:sz w:val="20"/>
          <w:vertAlign w:val="superscript"/>
          <w:lang w:val="en-US"/>
        </w:rPr>
        <w:t>c</w:t>
      </w:r>
      <w:r w:rsidR="00263AEF" w:rsidRPr="001E3806">
        <w:rPr>
          <w:rFonts w:cs="Times New Roman"/>
          <w:sz w:val="20"/>
          <w:lang w:val="en-US"/>
        </w:rPr>
        <w:t xml:space="preserve"> Junko Habasaki,</w:t>
      </w:r>
      <w:r w:rsidR="00263AEF" w:rsidRPr="001E3806">
        <w:rPr>
          <w:rFonts w:cs="Times New Roman"/>
          <w:sz w:val="20"/>
          <w:vertAlign w:val="superscript"/>
          <w:lang w:val="en-US"/>
        </w:rPr>
        <w:t>a</w:t>
      </w:r>
      <w:r w:rsidR="00263AEF" w:rsidRPr="001E3806">
        <w:rPr>
          <w:rFonts w:cs="Times New Roman"/>
          <w:sz w:val="20"/>
          <w:lang w:val="en-US"/>
        </w:rPr>
        <w:t xml:space="preserve"> Stephen J. Skinner,</w:t>
      </w:r>
      <w:r w:rsidR="00263AEF" w:rsidRPr="001E3806">
        <w:rPr>
          <w:rFonts w:cs="Times New Roman"/>
          <w:sz w:val="20"/>
          <w:vertAlign w:val="superscript"/>
          <w:lang w:val="en-US"/>
        </w:rPr>
        <w:t>b</w:t>
      </w:r>
      <w:r w:rsidR="00A6205C" w:rsidRPr="001E3806">
        <w:rPr>
          <w:rFonts w:cs="Times New Roman"/>
          <w:sz w:val="20"/>
          <w:vertAlign w:val="superscript"/>
          <w:lang w:val="en-US"/>
        </w:rPr>
        <w:t>,c</w:t>
      </w:r>
      <w:r w:rsidR="00263AEF" w:rsidRPr="001E3806">
        <w:rPr>
          <w:rFonts w:cs="Times New Roman"/>
          <w:sz w:val="20"/>
          <w:lang w:val="en-US"/>
        </w:rPr>
        <w:t xml:space="preserve"> Hiroshige Matsumoto</w:t>
      </w:r>
      <w:r w:rsidR="00263AEF" w:rsidRPr="001E3806">
        <w:rPr>
          <w:rFonts w:cs="Times New Roman"/>
          <w:sz w:val="20"/>
          <w:vertAlign w:val="superscript"/>
          <w:lang w:val="en-US"/>
        </w:rPr>
        <w:t>c</w:t>
      </w:r>
      <w:r w:rsidR="00263AEF" w:rsidRPr="001E3806">
        <w:rPr>
          <w:rFonts w:cs="Times New Roman" w:hint="eastAsia"/>
          <w:sz w:val="20"/>
          <w:vertAlign w:val="superscript"/>
          <w:lang w:val="en-US"/>
        </w:rPr>
        <w:t>,d</w:t>
      </w:r>
      <w:r w:rsidR="00263AEF" w:rsidRPr="001E3806">
        <w:rPr>
          <w:rFonts w:cs="Times New Roman"/>
          <w:sz w:val="20"/>
          <w:lang w:val="en-US"/>
        </w:rPr>
        <w:t xml:space="preserve"> &amp; Masatomo Yashima</w:t>
      </w:r>
      <w:r w:rsidR="00263AEF" w:rsidRPr="001E3806">
        <w:rPr>
          <w:rFonts w:cs="Times New Roman"/>
          <w:sz w:val="20"/>
          <w:vertAlign w:val="superscript"/>
          <w:lang w:val="en-US"/>
        </w:rPr>
        <w:t>a</w:t>
      </w:r>
      <w:r w:rsidR="00263AEF" w:rsidRPr="001E3806">
        <w:rPr>
          <w:rFonts w:cs="Times New Roman" w:hint="eastAsia"/>
          <w:sz w:val="20"/>
          <w:vertAlign w:val="superscript"/>
          <w:lang w:val="en-US"/>
        </w:rPr>
        <w:t>,</w:t>
      </w:r>
      <w:r w:rsidR="0058685C" w:rsidRPr="001E3806">
        <w:rPr>
          <w:rFonts w:cs="Times New Roman"/>
          <w:sz w:val="20"/>
          <w:vertAlign w:val="superscript"/>
          <w:lang w:val="en-US"/>
        </w:rPr>
        <w:t>d</w:t>
      </w:r>
      <w:r w:rsidR="00263AEF" w:rsidRPr="001E3806" w:rsidDel="0011775B">
        <w:rPr>
          <w:rFonts w:cs="Times New Roman"/>
          <w:sz w:val="20"/>
          <w:vertAlign w:val="superscript"/>
          <w:lang w:val="en-US"/>
        </w:rPr>
        <w:t xml:space="preserve"> </w:t>
      </w:r>
      <w:r w:rsidR="00263AEF" w:rsidRPr="001E3806">
        <w:rPr>
          <w:rFonts w:cs="Times New Roman"/>
          <w:sz w:val="20"/>
          <w:vertAlign w:val="superscript"/>
          <w:lang w:val="en-US"/>
        </w:rPr>
        <w:t>*</w:t>
      </w:r>
    </w:p>
    <w:bookmarkEnd w:id="0"/>
    <w:p w14:paraId="39E3785F" w14:textId="32B9AD6A" w:rsidR="00FA2DA2" w:rsidRPr="001E3806" w:rsidRDefault="00FA2DA2" w:rsidP="00FA2DA2">
      <w:pPr>
        <w:pStyle w:val="RSCB01ARTAbstract"/>
        <w:rPr>
          <w:lang w:val="en-US"/>
        </w:rPr>
        <w:sectPr w:rsidR="00FA2DA2" w:rsidRPr="001E3806" w:rsidSect="00F11D79">
          <w:headerReference w:type="even" r:id="rId10"/>
          <w:headerReference w:type="default" r:id="rId11"/>
          <w:footerReference w:type="even" r:id="rId12"/>
          <w:footerReference w:type="default" r:id="rId13"/>
          <w:headerReference w:type="first" r:id="rId14"/>
          <w:footerReference w:type="first" r:id="rId15"/>
          <w:pgSz w:w="11907" w:h="16840" w:code="9"/>
          <w:pgMar w:top="1009" w:right="851" w:bottom="1758" w:left="851" w:header="851" w:footer="1049" w:gutter="0"/>
          <w:cols w:num="2" w:space="227" w:equalWidth="0">
            <w:col w:w="1985" w:space="227"/>
            <w:col w:w="7993"/>
          </w:cols>
          <w:titlePg/>
          <w:docGrid w:linePitch="360"/>
        </w:sectPr>
      </w:pPr>
      <w:r w:rsidRPr="001E3806">
        <w:t>Abstract</w:t>
      </w:r>
      <w:r w:rsidR="007D2035" w:rsidRPr="001E3806">
        <w:rPr>
          <w:rFonts w:ascii="Arial" w:eastAsia="MS PGothic" w:hAnsi="Arial"/>
          <w:noProof w:val="0"/>
          <w:kern w:val="2"/>
          <w:sz w:val="40"/>
          <w:szCs w:val="40"/>
          <w:lang w:val="en-US" w:eastAsia="ja-JP"/>
        </w:rPr>
        <w:t xml:space="preserve"> </w:t>
      </w:r>
      <w:r w:rsidR="007D2035" w:rsidRPr="001E3806">
        <w:rPr>
          <w:lang w:val="en-US" w:eastAsia="ja-JP"/>
        </w:rPr>
        <w:t>The transport properties of oxide ions (O</w:t>
      </w:r>
      <w:r w:rsidR="007D2035" w:rsidRPr="001E3806">
        <w:rPr>
          <w:vertAlign w:val="superscript"/>
          <w:lang w:val="en-US" w:eastAsia="ja-JP"/>
        </w:rPr>
        <w:t>2‒</w:t>
      </w:r>
      <w:r w:rsidR="007D2035" w:rsidRPr="001E3806">
        <w:rPr>
          <w:lang w:val="en-US" w:eastAsia="ja-JP"/>
        </w:rPr>
        <w:t>) and protons (H</w:t>
      </w:r>
      <w:r w:rsidR="007D2035" w:rsidRPr="001E3806">
        <w:rPr>
          <w:vertAlign w:val="superscript"/>
          <w:lang w:val="en-US" w:eastAsia="ja-JP"/>
        </w:rPr>
        <w:t>+</w:t>
      </w:r>
      <w:r w:rsidR="007D2035" w:rsidRPr="001E3806">
        <w:rPr>
          <w:lang w:val="en-US" w:eastAsia="ja-JP"/>
        </w:rPr>
        <w:t>) in ceramic materials are crucial to the development of fuel cells as a clean energy</w:t>
      </w:r>
      <w:r w:rsidR="00D91638" w:rsidRPr="001E3806">
        <w:rPr>
          <w:lang w:val="en-US" w:eastAsia="ja-JP"/>
        </w:rPr>
        <w:t xml:space="preserve"> source</w:t>
      </w:r>
      <w:r w:rsidR="007D2035" w:rsidRPr="001E3806">
        <w:rPr>
          <w:lang w:val="en-US" w:eastAsia="ja-JP"/>
        </w:rPr>
        <w:t xml:space="preserve">. </w:t>
      </w:r>
      <w:r w:rsidR="00D91638" w:rsidRPr="001E3806">
        <w:rPr>
          <w:lang w:val="en-US" w:eastAsia="ja-JP"/>
        </w:rPr>
        <w:t xml:space="preserve">There are two main types of oxide-ion diffusion mechanism: the oxygen vacancy mechanism and the interstitialcy diffusion mechanism. Oxide-ion conduction by the oxygen vacancy mechanism is generally suppressed by hydration due to the decreased number of oxygen vacancies. </w:t>
      </w:r>
      <w:r w:rsidR="007D2035" w:rsidRPr="001E3806">
        <w:rPr>
          <w:lang w:val="en-US" w:eastAsia="ja-JP"/>
        </w:rPr>
        <w:t>Recently, the oxide-ion conduction via the interstitialcy diffusion mechanism has attracted much attention due to its high ion conductivity in both dry and wet conditions. However, the effect of hydration on the transport properties of the interstitial oxide</w:t>
      </w:r>
      <w:r w:rsidR="00412335" w:rsidRPr="001E3806">
        <w:rPr>
          <w:lang w:val="en-US" w:eastAsia="ja-JP"/>
        </w:rPr>
        <w:t>-</w:t>
      </w:r>
      <w:r w:rsidR="007D2035" w:rsidRPr="001E3806">
        <w:rPr>
          <w:lang w:val="en-US" w:eastAsia="ja-JP"/>
        </w:rPr>
        <w:t xml:space="preserve">ion conductors </w:t>
      </w:r>
      <w:r w:rsidR="0021052B" w:rsidRPr="001E3806">
        <w:rPr>
          <w:lang w:val="en-US" w:eastAsia="ja-JP"/>
        </w:rPr>
        <w:t>is not well understood</w:t>
      </w:r>
      <w:r w:rsidR="007D2035" w:rsidRPr="001E3806">
        <w:rPr>
          <w:lang w:val="en-US" w:eastAsia="ja-JP"/>
        </w:rPr>
        <w:t xml:space="preserve"> compared </w:t>
      </w:r>
      <w:r w:rsidR="0021052B" w:rsidRPr="001E3806">
        <w:rPr>
          <w:lang w:val="en-US" w:eastAsia="ja-JP"/>
        </w:rPr>
        <w:t>to</w:t>
      </w:r>
      <w:r w:rsidR="007D2035" w:rsidRPr="001E3806">
        <w:rPr>
          <w:lang w:val="en-US" w:eastAsia="ja-JP"/>
        </w:rPr>
        <w:t xml:space="preserve"> conventional oxygen vacancy conductors. In this </w:t>
      </w:r>
      <w:r w:rsidR="0021052B" w:rsidRPr="001E3806">
        <w:rPr>
          <w:lang w:val="en-US" w:eastAsia="ja-JP"/>
        </w:rPr>
        <w:t>study</w:t>
      </w:r>
      <w:r w:rsidR="007D2035" w:rsidRPr="001E3806">
        <w:rPr>
          <w:lang w:val="en-US" w:eastAsia="ja-JP"/>
        </w:rPr>
        <w:t xml:space="preserve">, we demonstrate that hydration enhances both the oxygen conductivity and diffusivity in </w:t>
      </w:r>
      <w:r w:rsidR="0021052B" w:rsidRPr="001E3806">
        <w:rPr>
          <w:lang w:val="en-US" w:eastAsia="ja-JP"/>
        </w:rPr>
        <w:t>the</w:t>
      </w:r>
      <w:r w:rsidR="007D2035" w:rsidRPr="001E3806">
        <w:rPr>
          <w:lang w:val="en-US" w:eastAsia="ja-JP"/>
        </w:rPr>
        <w:t xml:space="preserve"> interstitial oxide</w:t>
      </w:r>
      <w:r w:rsidR="00412335" w:rsidRPr="001E3806">
        <w:rPr>
          <w:lang w:val="en-US" w:eastAsia="ja-JP"/>
        </w:rPr>
        <w:t>-</w:t>
      </w:r>
      <w:r w:rsidR="007D2035" w:rsidRPr="001E3806">
        <w:rPr>
          <w:lang w:val="en-US" w:eastAsia="ja-JP"/>
        </w:rPr>
        <w:t>ion conductor Ba</w:t>
      </w:r>
      <w:r w:rsidR="007D2035" w:rsidRPr="001E3806">
        <w:rPr>
          <w:vertAlign w:val="subscript"/>
          <w:lang w:val="en-US" w:eastAsia="ja-JP"/>
        </w:rPr>
        <w:t>7</w:t>
      </w:r>
      <w:r w:rsidR="007D2035" w:rsidRPr="001E3806">
        <w:rPr>
          <w:lang w:val="en-US" w:eastAsia="ja-JP"/>
        </w:rPr>
        <w:t>Nb</w:t>
      </w:r>
      <w:r w:rsidR="007D2035" w:rsidRPr="001E3806">
        <w:rPr>
          <w:vertAlign w:val="subscript"/>
          <w:lang w:val="en-US" w:eastAsia="ja-JP"/>
        </w:rPr>
        <w:t>4</w:t>
      </w:r>
      <w:r w:rsidR="007D2035" w:rsidRPr="001E3806">
        <w:rPr>
          <w:lang w:val="en-US" w:eastAsia="ja-JP"/>
        </w:rPr>
        <w:t>MoO</w:t>
      </w:r>
      <w:r w:rsidR="007D2035" w:rsidRPr="001E3806">
        <w:rPr>
          <w:vertAlign w:val="subscript"/>
          <w:lang w:val="en-US" w:eastAsia="ja-JP"/>
        </w:rPr>
        <w:t>20</w:t>
      </w:r>
      <w:r w:rsidR="007D2035" w:rsidRPr="001E3806">
        <w:rPr>
          <w:lang w:val="en-US" w:eastAsia="ja-JP"/>
        </w:rPr>
        <w:t>. Using both oxygen and water vapor concentration cells, we accurately determine</w:t>
      </w:r>
      <w:r w:rsidR="0021052B" w:rsidRPr="001E3806">
        <w:rPr>
          <w:lang w:val="en-US" w:eastAsia="ja-JP"/>
        </w:rPr>
        <w:t>d</w:t>
      </w:r>
      <w:r w:rsidR="007D2035" w:rsidRPr="001E3806">
        <w:rPr>
          <w:lang w:val="en-US" w:eastAsia="ja-JP"/>
        </w:rPr>
        <w:t xml:space="preserve"> the transport numbers of protons </w:t>
      </w:r>
      <w:r w:rsidR="007D2035" w:rsidRPr="001E3806">
        <w:rPr>
          <w:i/>
          <w:lang w:val="en-US" w:eastAsia="ja-JP"/>
        </w:rPr>
        <w:t>t</w:t>
      </w:r>
      <w:r w:rsidR="007D2035" w:rsidRPr="001E3806">
        <w:rPr>
          <w:vertAlign w:val="subscript"/>
          <w:lang w:val="en-US" w:eastAsia="ja-JP"/>
        </w:rPr>
        <w:t>H</w:t>
      </w:r>
      <w:r w:rsidR="007D2035" w:rsidRPr="001E3806">
        <w:rPr>
          <w:lang w:val="en-US" w:eastAsia="ja-JP"/>
        </w:rPr>
        <w:t xml:space="preserve"> and oxide ions </w:t>
      </w:r>
      <w:r w:rsidR="007D2035" w:rsidRPr="001E3806">
        <w:rPr>
          <w:i/>
          <w:lang w:val="en-US" w:eastAsia="ja-JP"/>
        </w:rPr>
        <w:t>t</w:t>
      </w:r>
      <w:r w:rsidR="007D2035" w:rsidRPr="001E3806">
        <w:rPr>
          <w:vertAlign w:val="subscript"/>
          <w:lang w:val="en-US" w:eastAsia="ja-JP"/>
        </w:rPr>
        <w:t>O</w:t>
      </w:r>
      <w:r w:rsidR="007D2035" w:rsidRPr="001E3806">
        <w:rPr>
          <w:lang w:val="en-US" w:eastAsia="ja-JP"/>
        </w:rPr>
        <w:t xml:space="preserve">, showing that the predominant conducting species is the oxide ion, even in wet atmospheres (e.g., </w:t>
      </w:r>
      <w:r w:rsidR="007D2035" w:rsidRPr="001E3806">
        <w:rPr>
          <w:i/>
          <w:lang w:val="en-US" w:eastAsia="ja-JP"/>
        </w:rPr>
        <w:t>t</w:t>
      </w:r>
      <w:r w:rsidR="007D2035" w:rsidRPr="001E3806">
        <w:rPr>
          <w:vertAlign w:val="subscript"/>
          <w:lang w:val="en-US" w:eastAsia="ja-JP"/>
        </w:rPr>
        <w:t>O</w:t>
      </w:r>
      <w:r w:rsidR="007D2035" w:rsidRPr="001E3806">
        <w:rPr>
          <w:lang w:val="en-US" w:eastAsia="ja-JP"/>
        </w:rPr>
        <w:t xml:space="preserve"> = 0.955, </w:t>
      </w:r>
      <w:r w:rsidR="007D2035" w:rsidRPr="001E3806">
        <w:rPr>
          <w:i/>
          <w:lang w:val="en-US" w:eastAsia="ja-JP"/>
        </w:rPr>
        <w:t>t</w:t>
      </w:r>
      <w:r w:rsidR="007D2035" w:rsidRPr="001E3806">
        <w:rPr>
          <w:vertAlign w:val="subscript"/>
          <w:lang w:val="en-US" w:eastAsia="ja-JP"/>
        </w:rPr>
        <w:t>H</w:t>
      </w:r>
      <w:r w:rsidR="007D2035" w:rsidRPr="001E3806">
        <w:rPr>
          <w:lang w:val="en-US" w:eastAsia="ja-JP"/>
        </w:rPr>
        <w:t xml:space="preserve"> = 0.045 at 600 °C). The oxide-ion conductivity </w:t>
      </w:r>
      <w:r w:rsidR="00D91638" w:rsidRPr="001E3806">
        <w:rPr>
          <w:lang w:val="en-US" w:eastAsia="ja-JP"/>
        </w:rPr>
        <w:t>i</w:t>
      </w:r>
      <w:r w:rsidR="007D2035" w:rsidRPr="001E3806">
        <w:rPr>
          <w:lang w:val="en-US" w:eastAsia="ja-JP"/>
        </w:rPr>
        <w:t xml:space="preserve">s higher </w:t>
      </w:r>
      <w:r w:rsidR="0021052B" w:rsidRPr="001E3806">
        <w:rPr>
          <w:lang w:val="en-US" w:eastAsia="ja-JP"/>
        </w:rPr>
        <w:t xml:space="preserve">in wet atmospheres </w:t>
      </w:r>
      <w:r w:rsidR="007D2035" w:rsidRPr="001E3806">
        <w:rPr>
          <w:lang w:val="en-US" w:eastAsia="ja-JP"/>
        </w:rPr>
        <w:t xml:space="preserve">than in dry conditions (e.g., twice as high at 500 </w:t>
      </w:r>
      <w:r w:rsidR="007D2035" w:rsidRPr="001E3806">
        <w:rPr>
          <w:vertAlign w:val="superscript"/>
          <w:lang w:val="en-US" w:eastAsia="ja-JP"/>
        </w:rPr>
        <w:t>o</w:t>
      </w:r>
      <w:r w:rsidR="007D2035" w:rsidRPr="001E3806">
        <w:rPr>
          <w:lang w:val="en-US" w:eastAsia="ja-JP"/>
        </w:rPr>
        <w:t xml:space="preserve">C), due to the higher oxygen diffusion coefficient in wet atmospheres. This </w:t>
      </w:r>
      <w:r w:rsidR="00D91638" w:rsidRPr="001E3806">
        <w:rPr>
          <w:lang w:val="en-US" w:eastAsia="ja-JP"/>
        </w:rPr>
        <w:t>i</w:t>
      </w:r>
      <w:r w:rsidR="007D2035" w:rsidRPr="001E3806">
        <w:rPr>
          <w:lang w:val="en-US" w:eastAsia="ja-JP"/>
        </w:rPr>
        <w:t xml:space="preserve">s evidenced by measurements of both the tracer and conductivity diffusion coefficients, and by </w:t>
      </w:r>
      <w:r w:rsidR="0021052B" w:rsidRPr="001E3806">
        <w:rPr>
          <w:lang w:val="en-US" w:eastAsia="ja-JP"/>
        </w:rPr>
        <w:t xml:space="preserve">the </w:t>
      </w:r>
      <w:r w:rsidR="007D2035" w:rsidRPr="001E3806">
        <w:rPr>
          <w:lang w:val="en-US" w:eastAsia="ja-JP"/>
        </w:rPr>
        <w:t xml:space="preserve">self-diffusion coefficients from molecular dynamics (MD) simulations using a neural network potential. The MD simulations indicated that the higher oxygen diffusion coefficient in wet atmospheres is due to an increased number of </w:t>
      </w:r>
      <w:r w:rsidR="00D91638" w:rsidRPr="001E3806">
        <w:rPr>
          <w:lang w:val="en-US" w:eastAsia="ja-JP"/>
        </w:rPr>
        <w:t>(Nb/Mo)</w:t>
      </w:r>
      <w:r w:rsidR="007D2035" w:rsidRPr="001E3806">
        <w:rPr>
          <w:vertAlign w:val="subscript"/>
          <w:lang w:val="en-US" w:eastAsia="ja-JP"/>
        </w:rPr>
        <w:t>2</w:t>
      </w:r>
      <w:r w:rsidR="007D2035" w:rsidRPr="001E3806">
        <w:rPr>
          <w:lang w:val="en-US" w:eastAsia="ja-JP"/>
        </w:rPr>
        <w:t>O</w:t>
      </w:r>
      <w:r w:rsidR="007D2035" w:rsidRPr="001E3806">
        <w:rPr>
          <w:vertAlign w:val="subscript"/>
          <w:lang w:val="en-US" w:eastAsia="ja-JP"/>
        </w:rPr>
        <w:t>9</w:t>
      </w:r>
      <w:r w:rsidR="007D2035" w:rsidRPr="001E3806">
        <w:rPr>
          <w:lang w:val="en-US" w:eastAsia="ja-JP"/>
        </w:rPr>
        <w:t xml:space="preserve"> dimers. This is caused by an increased number of excess interstitial oxygen </w:t>
      </w:r>
      <w:r w:rsidR="00404E37" w:rsidRPr="001E3806">
        <w:rPr>
          <w:lang w:val="en-US" w:eastAsia="ja-JP"/>
        </w:rPr>
        <w:t>ions</w:t>
      </w:r>
      <w:r w:rsidR="007D2035" w:rsidRPr="001E3806">
        <w:rPr>
          <w:lang w:val="en-US" w:eastAsia="ja-JP"/>
        </w:rPr>
        <w:t xml:space="preserve"> resulting from hydration. These findings may open up new avenues in the science and engineering of proton, oxide-ion, and dual-ion conductors.</w:t>
      </w:r>
    </w:p>
    <w:p w14:paraId="668DB4B8" w14:textId="541C3E69" w:rsidR="00FA2DA2" w:rsidRPr="001E3806" w:rsidRDefault="000A3CB0" w:rsidP="00FA2DA2">
      <w:pPr>
        <w:pStyle w:val="RSCB04AHeadingSection"/>
      </w:pPr>
      <w:r w:rsidRPr="001E3806">
        <w:t>Introduction</w:t>
      </w:r>
    </w:p>
    <w:p w14:paraId="157B4680" w14:textId="4C1E6660" w:rsidR="0061024F" w:rsidRPr="001E3806" w:rsidRDefault="0061024F" w:rsidP="0061024F">
      <w:pPr>
        <w:pStyle w:val="RSCB02ArticleText"/>
        <w:ind w:firstLine="284"/>
        <w:rPr>
          <w:bCs/>
          <w:lang w:val="en-US"/>
        </w:rPr>
      </w:pPr>
      <w:r w:rsidRPr="001E3806">
        <w:rPr>
          <w:bCs/>
          <w:lang w:val="en-US"/>
        </w:rPr>
        <w:t>The development and optimization of clean energy technologies, such as solid oxide fuel cells (SOFCs) and proton ceramic fuel cells (PCFCs), are fundamental to achieving carbon neutrality</w:t>
      </w:r>
      <w:r w:rsidRPr="001E3806">
        <w:rPr>
          <w:rFonts w:hint="eastAsia"/>
          <w:bCs/>
          <w:lang w:val="en-US"/>
        </w:rPr>
        <w:t>.</w:t>
      </w:r>
      <w:r w:rsidRPr="001E3806">
        <w:rPr>
          <w:bCs/>
          <w:lang w:val="en-US"/>
        </w:rPr>
        <w:fldChar w:fldCharType="begin" w:fldLock="1"/>
      </w:r>
      <w:r w:rsidRPr="001E3806">
        <w:rPr>
          <w:bCs/>
          <w:lang w:val="en-US"/>
        </w:rPr>
        <w:instrText>ADDIN CSL_CITATION {"citationItems":[{"id":"ITEM-1","itemData":{"DOI":"10.1149/1.2818766","ISSN":"1945-7111","abstract":"Several elements were studied as potential A-site substituents in the perovskite A 0.68 Sr 0.3 Fe 0.8 Co 0.2 O 3 − δ system. The considered elements included La , Pr , Sm , Nd , Er , Eu , Gd , Dy , and Ba . The multicomponent oxides were prepared following a complexation-polymerization-pyrolysis method. The materials were characterized by X-ray diffraction, thermal dilatometry, and electrical conductivity under different oxidant atmospheres. The obtained materials were studied as solid oxide fuel cell cathodes, preparing porous films on top anode-supported cells with a yttria-stabilized zirconia electrolyte and a CGO protective layer. The complete cell was characterized by direct current voltamperometry using air and wet H 2 as fuel, whereas the porosity of the layer was studied by gas diffusion experiments after electrochemical testing. Oxygen conduction was investigated on gastight membranes prepared for La - and Pr -based materials under flow of air and helium (sweep) in the range from 650 to 1000 ° C . Pure perovskite structure was not obtained for the cations with the smallest ionic radii. The materials with the best electrochemical performance at 650 ° C contained Pr , Sm , La , and Ba . The good electrochemical performance seems to be principally related to the intrinsic electrocatalytic properties of the material (perovskite or small clusters of the single oxide) because no clear correlations of the electrochemical performance and ionic conductivity, electronic conductivity, or gas diffusivity could be found. The electrochemical performance at 650 ° C could be correlated with the catalytic activity for methane oxidation in a fixed bed reactor in the same temperature range. Finally, the catalytic promotion of a Pr -containing perovskite was evaluated by impregnation with Pd .","author":[{"dropping-particle":"","family":"Serra","given":"J. M.","non-dropping-particle":"","parse-names":false,"suffix":""},{"dropping-particle":"","family":"Vert","given":"V. B.","non-dropping-particle":"","parse-names":false,"suffix":""},{"dropping-particle":"","family":"Betz","given":"M.","non-dropping-particle":"","parse-names":false,"suffix":""},{"dropping-particle":"","family":"Haanappel","given":"V. A. C.","non-dropping-particle":"","parse-names":false,"suffix":""},{"dropping-particle":"","family":"Meulenberg","given":"W. A.","non-dropping-particle":"","parse-names":false,"suffix":""},{"dropping-particle":"","family":"Tietz","given":"F.","non-dropping-particle":"","parse-names":false,"suffix":""}],"container-title":"Journal of The Electrochemical Society","id":"ITEM-1","issue":"2","issued":{"date-parts":[["2007","12","21"]]},"page":"B207","publisher":"IOP Publishing","title":"Screening of A-Substitution in the System A0.68Sr0.3Fe0.8Co0.2O3 − δ for SOFC Cathodes","type":"article-journal","volume":"155"},"uris":["http://www.mendeley.com/documents/?uuid=30ea9cf1-0d5a-3c99-8c95-ef1e069fc5d5"]},{"id":"ITEM-2","itemData":{"DOI":"10.1111/J.1551-2916.2007.01677.X","ISSN":"1551-2916","abstract":"A novel method for the preparation of a thin oxidic proton-conducting electrolyte is presented. This kind of supported film was studied in detail as it is applicable for IT-SOFC, H2 membranes, and advanced catalytic converters. Thin-film (</w:instrText>
      </w:r>
      <w:r w:rsidRPr="001E3806">
        <w:rPr>
          <w:rFonts w:ascii="Cambria Math" w:hAnsi="Cambria Math" w:cs="Cambria Math"/>
          <w:bCs/>
          <w:lang w:val="en-US"/>
        </w:rPr>
        <w:instrText>∼</w:instrText>
      </w:r>
      <w:r w:rsidRPr="001E3806">
        <w:rPr>
          <w:bCs/>
          <w:lang w:val="en-US"/>
        </w:rPr>
        <w:instrText xml:space="preserve">5 </w:instrText>
      </w:r>
      <w:r w:rsidRPr="001E3806">
        <w:rPr>
          <w:rFonts w:ascii="Calibri" w:hAnsi="Calibri" w:cs="Calibri"/>
          <w:bCs/>
          <w:lang w:val="en-US"/>
        </w:rPr>
        <w:instrText>μ</w:instrText>
      </w:r>
      <w:r w:rsidRPr="001E3806">
        <w:rPr>
          <w:bCs/>
          <w:lang w:val="en-US"/>
        </w:rPr>
        <w:instrText>m) proton-conducting membranes with the nominal composition BaZr0.85Y0.15O3-</w:instrText>
      </w:r>
      <w:r w:rsidRPr="001E3806">
        <w:rPr>
          <w:rFonts w:ascii="Calibri" w:hAnsi="Calibri" w:cs="Calibri"/>
          <w:bCs/>
          <w:lang w:val="en-US"/>
        </w:rPr>
        <w:instrText>δ</w:instrText>
      </w:r>
      <w:r w:rsidRPr="001E3806">
        <w:rPr>
          <w:bCs/>
          <w:lang w:val="en-US"/>
        </w:rPr>
        <w:instrText xml:space="preserve"> (BZY) were prepared over porous Ni-8YSZ/Ni-BZY substrates by the solid-state reaction of a gastight 8YSZ layer and a coated BaCO3 layer. The resulting asymmetric membranes are of a homogeneous composition and are gastight. Indeed, XRD analysis showed a highly crystalline cubic perovskite. The solid-state reaction promoted the formation of (i) an electrolyte with very fine (</w:instrText>
      </w:r>
      <w:r w:rsidRPr="001E3806">
        <w:rPr>
          <w:rFonts w:ascii="Cambria Math" w:hAnsi="Cambria Math" w:cs="Cambria Math"/>
          <w:bCs/>
          <w:lang w:val="en-US"/>
        </w:rPr>
        <w:instrText>∼</w:instrText>
      </w:r>
      <w:r w:rsidRPr="001E3806">
        <w:rPr>
          <w:bCs/>
          <w:lang w:val="en-US"/>
        </w:rPr>
        <w:instrText>100 nm) grains and high packing density and (ii) an unexpected porous needle-like top layer with a nominal composition similar to that of the protonic electrolyte, to which it is intimately attached. The layer morphology, phase distribution, and lattice composition were investigated by EDS-SEM, EDX as well as SIMS. Conduction properties of the protonic material were investigated by DC conductivity of pressed bars under different gas compositions and also by impedance spectroscopy of a supported thin film. © 2007 The American Ceramic Society.","author":[{"dropping-particle":"","family":"Serra","given":"José M.","non-dropping-particle":"","parse-names":false,"suffix":""},{"dropping-particle":"","family":"Meulenberg","given":"Wilhelm A.","non-dropping-particle":"","parse-names":false,"suffix":""}],"container-title":"Journal of the American Ceramic Society","id":"ITEM-2","issue":"7","issued":{"date-parts":[["2007","7","1"]]},"page":"2082-2089","publisher":"John Wiley &amp; Sons, Ltd","title":"Thin-Film Proton BaZr0.85Y0.15O3 Conducting Electrolytes: Toward an Intermediate-Temperature Solid Oxide Fuel Cell Alternative","type":"article-journal","volume":"90"},"uris":["http://www.mendeley.com/documents/?uuid=368ff7f8-4591-33a9-bedf-10de1a7d9f8c"]},{"id":"ITEM-3","itemData":{"DOI":"10.1039/B915141A","ISSN":"14604744","abstract":"This critical review presents an overview of the various classes of oxide materials exhibiting fast oxide-ion or proton conductivity for use as solid electrolytes in clean energy applications such as solid oxide fuel cells. Emphasis is placed on the relationship between structural and mechanistic features of the crystalline materials and their ion conduction properties. After describing well-established classes such as fluorite- and perovskite-based oxides, new materials and structure-types are presented. These include a variety of molybdate, gallate, apatite silicate/germanate and niobate systems, many of which contain flexible structural networks, and exhibit different defect properties and transport mechanisms to the conventional materials. It is concluded that the rich chemistry of these important systems provides diverse possibilities for developing superior ionic conductors for use as solid electrolytes in fuel cells and related applications. In most cases, a greater atomic-level understanding of the structures, defects and conduction mechanisms is achieved through a combination of experimental and computational techniques (217 references). © 2010 The Royal Society of Chemistry.","author":[{"dropping-particle":"","family":"Malavasi","given":"Lorenzo","non-dropping-particle":"","parse-names":false,"suffix":""},{"dropping-particle":"","family":"Fisher","given":"Craig A.J.","non-dropping-particle":"","parse-names":false,"suffix":""},{"dropping-particle":"","family":"Islam","given":"M. Saiful","non-dropping-particle":"","parse-names":false,"suffix":""}],"container-title":"Chemical Society Reviews","id":"ITEM-3","issue":"11","issued":{"date-parts":[["2010","10","19"]]},"page":"4370-4387","publisher":"Royal Society of Chemistry","title":"Oxide-ion and proton conducting electrolyte materials for clean energy applications: structural and mechanistic features","type":"article-journal","volume":"39"},"uris":["http://www.mendeley.com/documents/?uuid=64a2e2c2-6337-3fb1-85d2-71035670bf58"]},{"id":"ITEM-4","itemData":{"DOI":"10.1039/C8EE01157E","ISSN":"1754-5706","abstract":"Hydrogen technologies have experienced cycles of excessive expectations followed by disillusion. Nonetheless, a growing body of evidence suggests these technologies form an attractive option for the deep decarbonisation of global energy systems, and that recent improvements in their cost and performance point towards economic viability as well. This paper is a comprehensive review of the potential role that hydrogen could play in the provision of electricity, heat, industry, transport and energy storage in a low-carbon energy system, and an assessment of the status of hydrogen in being able to fulfil that potential. The picture that emerges is one of qualified promise: hydrogen is well established in certain niches such as forklift trucks, while mainstream applications are now forthcoming. Hydrogen vehicles are available commercially in several countries, and 225 000 fuel cell home heating systems have been sold. This represents a step change from the situation of only five years ago. This review shows that challenges around cost and performance remain, and considerable improvements are still required for hydrogen to become truly competitive. But such competitiveness in the medium-term future no longer seems an unrealistic prospect, which fully justifies the growing interest and policy support for these technologies around the world.","author":[{"dropping-particle":"","family":"Staffell","given":"Iain","non-dropping-particle":"","parse-names":false,"suffix":""},{"dropping-particle":"","family":"Scamman","given":"Daniel","non-dropping-particle":"","parse-names":false,"suffix":""},{"dropping-particle":"","family":"Velazquez Abad","given":"Anthony","non-dropping-particle":"","parse-names":false,"suffix":""},{"dropping-particle":"","family":"Balcombe","given":"Paul","non-dropping-particle":"","parse-names":false,"suffix":""},{"dropping-particle":"","family":"Dodds","given":"Paul E.","non-dropping-particle":"","parse-names":false,"suffix":""},{"dropping-particle":"","family":"Ekins","given":"Paul","non-dropping-particle":"","parse-names":false,"suffix":""},{"dropping-particle":"","family":"Shah","given":"Nilay","non-dropping-particle":"","parse-names":false,"suffix":""},{"dropping-particle":"","family":"Ward","given":"Kate R.","non-dropping-particle":"","parse-names":false,"suffix":""}],"container-title":"Energy &amp; Environmental Science","id":"ITEM-4","issue":"2","issued":{"date-parts":[["2019","2","13"]]},"page":"463-491","publisher":"The Royal Society of Chemistry","title":"The role of hydrogen and fuel cells in the global energy system","type":"article-journal","volume":"12"},"uris":["http://www.mendeley.com/documents/?uuid=6b9078e1-742b-3f11-87c4-69a963a460a7"]},{"id":"ITEM-5","itemData":{"DOI":"10.1039/D1TA03499E","ISSN":"20507496","abstract":"Solid oxide proton conductors are crucially emerging as key materials for enabling hydrogen-based energy conversion, storage, and electrochemical technologies. Oxides crystallising in the ideal ABO3perovskite structure, such as barium cerates and zirconates, are widely investigated thanks to their excellent proton conducting properties. Nevertheless, alternative structure-type solid oxide systems (hexagonal perovskite derivatives, brownmillerite, scheelite,etc.) can efficiently incorporate and enable the transport of protonic defects, with recent reports of materials exhibiting high ionic conductivity comparable to the conventional perovskite conductors. This perspective provides an overview of these alternative and less established proton conducting materials, with particular attention to the relationship between the structural and ionic conduction features and the mechanistic aspects. The goals are to highlight the differences between these materials and the traditional perovskites and to point out new potential crystal routes for the discovery of innovative solid oxide proton conductors.","author":[{"dropping-particle":"","family":"Fop","given":"Sacha","non-dropping-particle":"","parse-names":false,"suffix":""}],"container-title":"Journal of Materials Chemistry A","id":"ITEM-5","issue":"35","issued":{"date-parts":[["2021","9","14"]]},"page":"18836-18856","publisher":"Royal Society of Chemistry","title":"Solid oxide proton conductors beyond perovskites","type":"article-journal","volume":"9"},"uris":["http://www.mendeley.com/documents/?uuid=c72d8318-9bf4-3fa2-9301-048d4d745bc8"]},{"id":"ITEM-6","itemData":{"DOI":"10.1039/d1ta10326a","abstract":"In the last decade, the field of oxide-ion and proton conductors continued to trigger a significant amount of basic research aimed at improving the properties and the comprehension of actual materials, as well as at discovering novel phases. This need comes from the current and future urgent requests of changing our energy management towards cleaner solutions such as solid oxide fuel cells. In this review article, we highlight the most recent advancements in this exciting field by putting particular emphasis on the structure-property correlations in oxide-ion and proton conductors both from an experimental and a computational perspective. Special focus is laid on developments in the area of operando and in situ spectroscopy, machine learning and high-throughput approaches to accelerate the discovery of new and advanced materials.","author":[{"dropping-particle":"","family":"Coduri","given":"Mauro","non-dropping-particle":"","parse-names":false,"suffix":""},{"dropping-particle":"","family":"Karlsson","given":"Maths","non-dropping-particle":"","parse-names":false,"suffix":""},{"dropping-particle":"","family":"Malavasi","given":"Lorenzo","non-dropping-particle":"","parse-names":false,"suffix":""}],"container-title":"Journal of Materials Chemistry A","id":"ITEM-6","issued":{"date-parts":[["2022"]]},"page":"5082-5110","title":"Structure-property correlation in oxide-ion and proton conductors for clean energy applications: recent experimental and computational advancements","type":"article-journal","volume":"10"},"uris":["http://www.mendeley.com/documents/?uuid=8270a0a3-a447-3cbe-b92b-cfe9dd21e928"]},{"id":"ITEM-7","itemData":{"DOI":"10.15826/ELMATTECH.2022.1.004","ISSN":"2949-0561","abstract":"Solid oxide electrolytes have attracted significant attention due to their possible applications in energy conversion devices, including solid oxide fuel cells (SOFCs) and electrolysis cells (SOECs). Although a large amount of data has been accumulated to date, the design of new representatives of ionic electrolytes is of unquenchable interest. In this paper, a review of the new classes of proton-conducting solid electrolytes is provided. The physicochemical and transport properties of layered perovskites (BaNdInO 4 , BaNdScO 4 , SrLaInO 4 , BaLaInO 4 ) and hexagonal perovskites (Ba 7 Nb 4 MoO 20 , Ba 5 Er 2 Al 2 ZrO 13  and Ba 5 In 2 Al 2 ZrO 13 ) were analyzed and summarized. Based on the performed analysis, the most promising compositions among the considered phases were identified and the effective approaches aimed at improving their functional characteristics were provided.","author":[{"dropping-particle":"","family":"Tarasova","given":"Natalia A.","non-dropping-particle":"","parse-names":false,"suffix":""},{"dropping-particle":"","family":"Animitsa","given":"Irina E.","non-dropping-particle":"","parse-names":false,"suffix":""},{"dropping-particle":"","family":"Galisheva","given":"Anzhelika O.","non-dropping-particle":"","parse-names":false,"suffix":""},{"dropping-particle":"","family":"Medvedev","given":"Dmitry A.","non-dropping-particle":"","parse-names":false,"suffix":""}],"container-title":"Electrochemical Materials and Technologies","id":"ITEM-7","issue":"1","issued":{"date-parts":[["2022","10","6"]]},"page":"20221004","publisher":"Ural Federal University","title":"Layered and hexagonal perovskites as novel classes of proton-conducting solid electrolytes. A focus review","type":"article-journal","volume":"1"},"uris":["http://www.mendeley.com/documents/?uuid=2a6ba893-e1ae-37f9-8f82-1f8a5ffa5496"]},{"id":"ITEM-8","itemData":{"DOI":"10.1039/D2CC05288A","ISSN":"1364-548X","PMID":"36510789","abstract":"Oxide-ion conductors, also known as “oxygen ion conductors,” have garnered significant attention in recent years due to their extensive applications in a variety of electrochemical devices, including oxygen concentrators, solid-oxide fuel cells (SOFCs), and solid oxide electrolysis cells. The key to improving the performance of these devices is the creation of novel oxide-ion conductors. In this feature article, we discuss the recent developments of new structural families of oxide-ion conductors and of the Dion–Jacobson-type layered oxide-ion conductors with a particular emphasis on CsM2Ti2NbO10−δ (M = Bi and lanthanoids; δ represents oxygen-vacancy content) and their solid solutions. CsBi2Ti2NbO10−δ is the first example of an oxide-ion conductor with a Dion–Jacobson-type layered perovskite structure, and the structural characteristics of these materials are extracted here. We have proposed an original concept that the large sized Cs+ cations and M3+ displacements yield the large bottlenecks for oxide-ion migration, which would facilitate the discovery of novel oxide-ion conductors. This article presents evidence that Dion–Jacobson-type layered perovskites are superior oxide-ion conductors. We also demonstrate how the information gleaned from these studies can be applied to the design of novel oxide-ion conductors.","author":[{"dropping-particle":"","family":"Zhang","given":"Wenrui","non-dropping-particle":"","parse-names":false,"suffix":""},{"dropping-particle":"","family":"Yashima","given":"Masatomo","non-dropping-particle":"","parse-names":false,"suffix":""}],"container-title":"Chemical Communications","id":"ITEM-8","issued":{"date-parts":[["2023","12","22"]]},"page":"134-152","publisher":"The Royal Society of Chemistry","title":"Recent developments in oxide ion conductors: focusing on Dion–Jacobson phases","type":"article-journal","volume":"59"},"uris":["http://www.mendeley.com/documents/?uuid=b03186f5-3d5d-3c3b-9007-74cdb3268f21"]},{"id":"ITEM-9","itemData":{"DOI":"10.1021/ACS.CHEMREV.2C00913","ISSN":"0009-2665","abstract":"This Review presents an overview from the perspective of tetrahedral chemistry on various oxide ion-conducting materials containing tetrahedral moieties which have received continuous growing atten...","author":[{"dropping-particle":"","family":"Yang","given":"Xiaoyan","non-dropping-particle":"","parse-names":false,"suffix":""},{"dropping-particle":"","family":"Fernández-Carrión","given":"Alberto J.","non-dropping-particle":"","parse-names":false,"suffix":""},{"dropping-particle":"","family":"Kuang","given":"Xiaojun","non-dropping-particle":"","parse-names":false,"suffix":""}],"container-title":"Chemical Reviews","id":"ITEM-9","issue":"25","issued":{"date-parts":[["2023","7","24"]]},"page":"9356–9396","publisher":"American Chemical Society","title":"Oxide Ion-Conducting Materials Containing Tetrahedral Moieties: Structures and Conduction Mechanisms","type":"article-journal","volume":"123"},"uris":["http://www.mendeley.com/documents/?uuid=d3401f72-1ee2-377c-a43c-5cadbd3e5b7d"]},{"id":"ITEM-10","itemData":{"DOI":"10.1002/SMLL.202400222;JOURNAL:JOURNAL:16136829;PAGEGROUP:STRING:PUBLICATION","ISSN":"16136829","PMID":"38477688","abstract":"Proton-conducting metal–organic frameworks (MOFs) have attracted attention as potential electrolytes for fuel cells. However, research progress in utilizing MOFs as electrolytes for fuel cells has been limited, mainly due to challenges associated with issues such as the fabrication of MOF membranes, and hydrogen crossover through the MOF's pores. Here, proton conductivity and fuel cell performance of a self-standing membrane prepared from of a bismuth subgallate MOF nanosheets with non-porous structure are reported. The fabricated MOF nanosheet membrane with no binding agent exhibits structural anisotropy. The proton conductivity in the membrane thickness direction (4.4 × 10−3 S cm−1) at 90 °C and RH 100% is observed to be higher than that in the in-plane direction of the membrane (3.3 × 10−5 S cm−1). The open circuit voltage (OCV) of a fuel cell with ≈120 µm proton conducting membrane is 1.0 V. The non-porous nature of the MOF nanosheets contributes to the relatively high OCV. A fuel cell using ≈40 µm membrane as proton conducting electrolyte records a maximum of 25 mW cm−2 power density and a maximum of 109 mA cm−2 current density with 0.91 V OCV at 80 °C in humid conditions.","author":[{"dropping-particle":"","family":"Pathak","given":"Agamoni","non-dropping-particle":"","parse-names":false,"suffix":""},{"dropping-particle":"","family":"Watanabe","given":"Haruki","non-dropping-particle":"","parse-names":false,"suffix":""},{"dropping-particle":"","family":"Manna","given":"Biplab","non-dropping-particle":"","parse-names":false,"suffix":""},{"dropping-particle":"","family":"Hatakeyama","given":"Kazuto","non-dropping-particle":"","parse-names":false,"suffix":""},{"dropping-particle":"","family":"Ida","given":"Shintaro","non-dropping-particle":"","parse-names":false,"suffix":""}],"container-title":"Small","id":"ITEM-10","issue":"28","issued":{"date-parts":[["2024","7","11"]]},"page":"2400222","publisher":"John Wiley and Sons Inc","title":"Hydrogen-Bonded Metal–Organic Framework Nanosheet as a Proton Conducting Membrane for an H2/O2 Fuel Cell","type":"article-journal","volume":"20"},"uris":["http://www.mendeley.com/documents/?uuid=55a15d67-33b2-3c56-98ab-a2d0af270312"]},{"id":"ITEM-11","itemData":{"DOI":"10.1039/D5QI00632E","ISSN":"2052-1553","abstract":"We report high bulk proton conductivity (e.g., 0.01 S cm−1 at 320 °C) of pentavalent donor doped BaScO2.5, BaSc0.75Nb0.25O2.75. The high proton conductivity is attributable to high proton concentration due to a large amount of oxygen vacancies and high proton diffusion coefficient due to the reduced proton trapping.","author":[{"dropping-particle":"","family":"Saito","given":"Kei","non-dropping-particle":"","parse-names":false,"suffix":""},{"dropping-particle":"","family":"Baba","given":"Mitsuki","non-dropping-particle":"","parse-names":false,"suffix":""},{"dropping-particle":"","family":"Umeda","given":"Kensei","non-dropping-particle":"","parse-names":false,"suffix":""},{"dropping-particle":"","family":"Fujii","given":"Kotaro","non-dropping-particle":"","parse-names":false,"suffix":""},{"dropping-particle":"","family":"Honda","given":"Takashi","non-dropping-particle":"","parse-names":false,"suffix":""},{"dropping-particle":"","family":"Yashima","given":"Masatomo","non-dropping-particle":"","parse-names":false,"suffix":""}],"container-title":"Inorganic Chemistry Frontiers","id":"ITEM-11","issued":{"date-parts":[["2025"]]},"publisher":"The Royal Society of Chemistry","title":"High Proton Conductivity in Nb5+-doped BaScO2.5","type":"article-journal"},"uris":["http://www.mendeley.com/documents/?uuid=1c00fe2a-9914-318d-b2df-9a3476d066f6"]},{"id":"ITEM-12","itemData":{"DOI":"10.1039/D5TA02486B","ISSN":"2050-7496","abstract":"Fuel cells utilizing proton-conducting oxides generally require operating temperatures of at least 500 °C, limiting their applicability in low-temperature fuel cells. Herein, we report flexible solid electrolytes, H0.37Al1.67Mg0.35Fe0.11Si3.9O10(OH)2(H2O)2.6, fabricated with monolayer silicate nanosheets, which exhibit high proton conductivity (0.005–0.02 S cm−2 at 90 °C) and superior hydrogen gas barrier properties compared with Nafion. The H2 fuel cells fabricated using this membrane achieved a maximum current density of 1080 mA cm−2 and a maximum power density of 264 mW cm−2 at 90 °C. Furthermore, the cell operates effectively across a wide temperature range (−10–140 °C). It has the potential to become a next-generation fuel cell that addresses the challenges of both conventional low-temperature and high-temperature fuel cells.","author":[{"dropping-particle":"","family":"Hatakeyama","given":"Kazuto","non-dropping-particle":"","parse-names":false,"suffix":""},{"dropping-particle":"","family":"Tsugawa","given":"Tatsuki","non-dropping-particle":"","parse-names":false,"suffix":""},{"dropping-particle":"","family":"Watanabe","given":"Haruki","non-dropping-particle":"","parse-names":false,"suffix":""},{"dropping-particle":"","family":"Oka","given":"Kanako","non-dropping-particle":"","parse-names":false,"suffix":""},{"dropping-particle":"","family":"Kinoshita","given":"Sho","non-dropping-particle":"","parse-names":false,"suffix":""},{"dropping-particle":"","family":"Awaya","given":"Keisuke","non-dropping-particle":"","parse-names":false,"suffix":""},{"dropping-particle":"","family":"Koinuma","given":"Michio","non-dropping-particle":"","parse-names":false,"suffix":""},{"dropping-particle":"","family":"Ida","given":"Shintaro","non-dropping-particle":"","parse-names":false,"suffix":""}],"container-title":"Journal of Materials Chemistry A","id":"ITEM-12","issued":{"date-parts":[["2025"]]},"page":"734–740","publisher":"The Royal Society of Chemistry","title":"Low-temperature fuel cells using proton-conducting silicate solid electrolyte","type":"article-journal","volume":"2"},"uris":["http://www.mendeley.com/documents/?uuid=a72f8bad-022f-352d-9d47-32d0b3a8d054"]}],"mendeley":{"formattedCitation":"&lt;sup&gt;1–12&lt;/sup&gt;","plainTextFormattedCitation":"1–12","previouslyFormattedCitation":"&lt;sup&gt;1,2,11,12,3–10&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1–12</w:t>
      </w:r>
      <w:r w:rsidRPr="001E3806">
        <w:rPr>
          <w:bCs/>
          <w:lang w:val="en-US"/>
        </w:rPr>
        <w:fldChar w:fldCharType="end"/>
      </w:r>
      <w:r w:rsidRPr="001E3806">
        <w:rPr>
          <w:rFonts w:hint="eastAsia"/>
          <w:bCs/>
          <w:lang w:val="en-US"/>
        </w:rPr>
        <w:t xml:space="preserve"> </w:t>
      </w:r>
      <w:r w:rsidRPr="001E3806">
        <w:rPr>
          <w:bCs/>
          <w:lang w:val="en-US"/>
        </w:rPr>
        <w:t>To improve the cost efficiency and operational stability of the SOFCs, it is essential to reduce the operating temperature, since elevated temperatures accelerate degradation via undesirable chemical reactions, leading to increased costs.</w:t>
      </w:r>
      <w:r w:rsidRPr="001E3806">
        <w:rPr>
          <w:bCs/>
          <w:lang w:val="en-US"/>
        </w:rPr>
        <w:fldChar w:fldCharType="begin" w:fldLock="1"/>
      </w:r>
      <w:r w:rsidRPr="001E3806">
        <w:rPr>
          <w:bCs/>
          <w:lang w:val="en-US"/>
        </w:rPr>
        <w:instrText>ADDIN CSL_CITATION {"citationItems":[{"id":"ITEM-1","itemData":{"DOI":"10.1021/ACSAMI.0C10061/ASSET/IMAGES/LARGE/AM0C10061_0002.JPEG","ISSN":"19448252","PMID":"32667772","abstract":"Dual-ion electrolytes with oxygen ion and proton-conducting properties are among the innovative solid oxide electrolytes, which exhibit a low Ohmic resistance at temperatures below 550 °C. BaCo0.4Fe0.4Zr0.1Y0.1O3-Î with a perovskite-phase cathode has demonstrated efficient triple-charge conduction (H+/O2-/e-) in a high-performance low-temperature solid oxide fuel cell (LT-SOFC). Here, we designed another type of triple-charge conducting perovskite oxide based on Ba0.5Sr0.5Co0.1Fe0.7Zr0.1Y0.1O3-Î (BSCFZY), which formed a heterostructure with ionic conductor Ca0.04Ce0.80Sm0.16O2-Î (SCDC), showing both a high ionic conductivity of 0.22 S cm-1 and an excellent power output of 900 mW cm-2 in a hybrid-ion LT-SOFC. In addition to demonstrating that a heterostructure BSCFZY-SCDC can be a good functional electrolyte, the existence of hybrid H+/O2- conducting species in BSCFZY-SCDC was confirmed. The heterointerface formation between BSCFZY and SCDC can be explained by energy band alignment, which was verified through UV-vis spectroscopy and UV photoelectron spectroscopy (UPS). The interface may help in providing a pathway to enhance the ionic conductivities and to avoid short-circuiting. Various characterization techniques are used to probe the electrochemical and physical properties of the material containing dual-ion characteristics. The results indicate that the triple-charge conducting electrolyte is a potential candidate to further reduce the operating temperature of SOFC while simultaneously maintaining high performance.","author":[{"dropping-particle":"","family":"Rauf","given":"Sajid","non-dropping-particle":"","parse-names":false,"suffix":""},{"dropping-particle":"","family":"Zhu","given":"Bin","non-dropping-particle":"","parse-names":false,"suffix":""},{"dropping-particle":"","family":"Yousaf Shah","given":"M. A.K.","non-dropping-particle":"","parse-names":false,"suffix":""},{"dropping-particle":"","family":"Tayyab","given":"Zuhra","non-dropping-particle":"","parse-names":false,"suffix":""},{"dropping-particle":"","family":"Attique","given":"Sanam","non-dropping-particle":"","parse-names":false,"suffix":""},{"dropping-particle":"","family":"Ali","given":"Nasir","non-dropping-particle":"","parse-names":false,"suffix":""},{"dropping-particle":"","family":"Mushtaq","given":"Naveed","non-dropping-particle":"","parse-names":false,"suffix":""},{"dropping-particle":"","family":"Wang","given":"Baoyuan","non-dropping-particle":"","parse-names":false,"suffix":""},{"dropping-particle":"","family":"Yang","given":"Changping","non-dropping-particle":"","parse-names":false,"suffix":""},{"dropping-particle":"","family":"Asghar","given":"Muhammad Imran","non-dropping-particle":"","parse-names":false,"suffix":""},{"dropping-particle":"","family":"Lund","given":"Peter D.","non-dropping-particle":"","parse-names":false,"suffix":""}],"container-title":"ACS Applied Materials and Interfaces","id":"ITEM-1","issue":"31","issued":{"date-parts":[["2020","8","5"]]},"page":"35071-35080","publisher":"American Chemical Society","title":"Application of a Triple-Conducting Heterostructure Electrolyte of Ba&lt;sub&gt;0.5&lt;/sub&gt;Sr&lt;sub&gt;0.5&lt;/sub&gt;Co&lt;sub&gt;0.1&lt;/sub&gt;Fe&lt;sub&gt;0.7&lt;/sub&gt;Zr&lt;sub&gt;0.1&lt;/sub&gt;Y&lt;sub&gt;0.1&lt;/sub&gt;O&lt;sub&gt;3&lt;/sub&gt;-Îand Ca&lt;sub&gt;0.04&lt;/sub&gt;Ce&lt;sub&gt;0.80&lt;/sub&gt;Sm&lt;sub&gt;0.16&lt;/sub&gt;O&lt;sub&gt;2&lt;/sub&gt;-Îin a High-Performance Low-Temperature Solid Oxide Fuel Cell","type":"article-journal","volume":"12"},"uris":["http://www.mendeley.com/documents/?uuid=50e28776-15bd-3954-b4d3-c2d5f6b8088f"]},{"id":"ITEM-2","itemData":{"DOI":"10.1016/J.PNSC.2020.09.003","ISSN":"1002-0071","abstract":"Solid oxide fuel cells (SOFCs) directly convert chemical energy that is stored in a wide range of fuels into direct current electricity, with high efficiency and low emissions, via a series of electrochemical reactions at elevated operating temperatures (generally 400–1000 °C). During such an energy conversion process, the properties of electrolyte materials determine the working principle and operating temperature of the SOFC. When considering the cost and stability, lowering the operating temperature is critical, and this has become one of the developing trends in SOFC research. The key point for realizing a reduction in operating temperature is to maintain low ohmic resistance of the electrolyte and low polarization resistance of the electrodes. In practice, the mechanical and chemical stability of the electrolyte is also a big concern. According to their differences in ion conduction mechanisms, there are three main types of electrolyte material available, namely, oxygen ion-conducting, proton-conducting, and dual ion-conducting electrolytes. In this review, we give a comprehensive summary of the recent advances in the development of these three types of electrolyte material for intermediate-temperature SOFCs. Both conductivity and stability are emphasized. In conclusion, the current challenges and future development prospects are discussed.","author":[{"dropping-particle":"","family":"Shi","given":"Huangang","non-dropping-particle":"","parse-names":false,"suffix":""},{"dropping-particle":"","family":"Su","given":"Chao","non-dropping-particle":"","parse-names":false,"suffix":""},{"dropping-particle":"","family":"Ran","given":"Ran","non-dropping-particle":"","parse-names":false,"suffix":""},{"dropping-particle":"","family":"Cao","given":"Jiafeng","non-dropping-particle":"","parse-names":false,"suffix":""},{"dropping-particle":"","family":"Shao","given":"Zongping","non-dropping-particle":"","parse-names":false,"suffix":""}],"container-title":"Progress in Natural Science: Materials International","id":"ITEM-2","issue":"6","issued":{"date-parts":[["2020","12","1"]]},"page":"764-774","publisher":"Elsevier","title":"Electrolyte materials for intermediate-temperature solid oxide fuel cells","type":"article-journal","volume":"30"},"uris":["http://www.mendeley.com/documents/?uuid=9b5b4a71-85ec-3fd2-9c75-ecaa4a1befe9"]}],"mendeley":{"formattedCitation":"&lt;sup&gt;13,14&lt;/sup&gt;","plainTextFormattedCitation":"13,14","previouslyFormattedCitation":"&lt;sup&gt;13,14&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13,14</w:t>
      </w:r>
      <w:r w:rsidRPr="001E3806">
        <w:rPr>
          <w:bCs/>
          <w:lang w:val="en-US"/>
        </w:rPr>
        <w:fldChar w:fldCharType="end"/>
      </w:r>
      <w:r w:rsidRPr="001E3806">
        <w:rPr>
          <w:bCs/>
          <w:lang w:val="en-US"/>
        </w:rPr>
        <w:t xml:space="preserve"> Consequently, the development of oxide-ion conductors with high ionic conductivity at lower temperatures is crucial</w:t>
      </w:r>
      <w:r w:rsidRPr="001E3806">
        <w:rPr>
          <w:rFonts w:hint="eastAsia"/>
          <w:bCs/>
          <w:lang w:val="en-US"/>
        </w:rPr>
        <w:t>.</w:t>
      </w:r>
      <w:r w:rsidRPr="001E3806">
        <w:rPr>
          <w:bCs/>
          <w:lang w:val="en-US"/>
        </w:rPr>
        <w:fldChar w:fldCharType="begin" w:fldLock="1"/>
      </w:r>
      <w:r w:rsidRPr="001E3806">
        <w:rPr>
          <w:bCs/>
          <w:lang w:val="en-US"/>
        </w:rPr>
        <w:instrText>ADDIN CSL_CITATION {"citationItems":[{"id":"ITEM-1","itemData":{"DOI":"10.1038/nmat3638","ISSN":"1476-4660","abstract":"The environmental benefits of fuel cells have been increasingly appreciated in recent years. Among candidate electrolytes for solid-oxide fuel cells, yttrium-doped barium zirconate has garnered attention because of its high proton conductivity, particularly in the intermediate-temperature region targeted for cost-effective solid-oxide fuel cell operation, and its excellent chemical stability. However, fundamental questions surrounding the defect chemistry and macroscopic proton transport mechanism of this material remain, especially in regard to the possible role of proton trapping. Here we show, through a combined thermogravimetric and a.c. impedance study, that macroscopic proton transport in yttrium-doped barium zirconate is limited by proton–dopant association (proton trapping). Protons must overcome the association energy, 29 kJ mol−1, as well as the general activation energy, 16 kJ mol−1, to achieve long-range transport. Proton nuclear magnetic resonance studies show the presence of two types of proton environment above room temperature, reflecting differences in proton–dopant configurations. This insight motivates efforts to identify suitable alternative dopants with reduced association energies as a route to higher conductivities. Although high proton conductivity and chemical stability in yttrium-doped barium zirconate are of interest for intermediate-temperature solid-oxide fuel cells, there are remaining issues regarding its defect chemistry and macroscopic proton-transport mechanism. Proton transport in this compound is shown to be limited by proton–dopant association, and the presence of two types of proton environment above room temperature are observed, reflecting differences in proton–dopant configurations.","author":[{"dropping-particle":"","family":"Yamazaki","given":"Yoshihiro","non-dropping-particle":"","parse-names":false,"suffix":""},{"dropping-particle":"","family":"Blanc","given":"Frédéric","non-dropping-particle":"","parse-names":false,"suffix":""},{"dropping-particle":"","family":"Okuyama","given":"Yuji","non-dropping-particle":"","parse-names":false,"suffix":""},{"dropping-particle":"","family":"Buannic","given":"Lucienne","non-dropping-particle":"","parse-names":false,"suffix":""},{"dropping-particle":"","family":"Lucio-Vega","given":"Juan C.","non-dropping-particle":"","parse-names":false,"suffix":""},{"dropping-particle":"","family":"Grey","given":"Clare P.","non-dropping-particle":"","parse-names":false,"suffix":""},{"dropping-particle":"","family":"Haile","given":"Sossina M.","non-dropping-particle":"","parse-names":false,"suffix":""}],"container-title":"Nature Materials 2013 12:7","id":"ITEM-1","issue":"7","issued":{"date-parts":[["2013","5","12"]]},"page":"647-651","publisher":"Nature Publishing Group","title":"Proton trapping in yttrium-doped barium zirconate","type":"article-journal","volume":"12"},"uris":["http://www.mendeley.com/documents/?uuid=fc7abbcb-68ea-3eb8-9ed1-fcd1737adf82"]},{"id":"ITEM-2","itemData":{"DOI":"10.1002/ADFM.202214082","ISSN":"1616-3028","abstract":"Oxide-ion conductors are gaining attention as future materials in energy applications, such as solid oxide fuel cells. Many Bi-containing compounds exhibit high oxide-ion conductivity via conventional vacancy mechanism. However, interstitial oxide-ion conduction is rare in Bi-containing materials. Herein, high oxide-ion conductivity is reported through interstitial oxygen sites in Sillén oxychlorides, LaBi 2−x Te x O 4+x/2 Cl (Bi 2 LaO 4 Cl-based oxychlo-rides). Oxide-ion conductivity of LaBi 1.9 Te 0.1 O 4.05 Cl is 20 mS cm −1 at 702 °C, and higher than best oxide-ion conductors as Bi 2 V 0.9 Cu 0.1 O 5.35 below 201 °C. Despite of the presence of Bi and Te species, LaBi 1.9 Te 0.1 O 4.05 Cl shows extremely high chemical and electrical stability at 400 °C from oxygen partial pressure 10 −25 to 0.2 atm and high chemical stability under CO 2 flow, wet 5% H 2 in N 2 flow, and air with natural humidity. Neutron scattering length density analysis, DFT calculations, and ab initio molecular dynamics simulations indicate that the extremely high oxide-ion conduction is attributed to cooperative diffusion through interstitial oxygen sites (interstitialcy diffusion mechanism) in triple fluorite-like layers. The present findings demonstrate the ability of LaBi 2−x Te x O 4+x/2 Cl as superior oxide-ion conductors, which can open new horizons for oxide-ion conductors. The ORCID identification number(s) for the author(s) of this article can be found under https://doi.","author":[{"dropping-particle":"","family":"Yaguchi","given":"Hiroshi","non-dropping-particle":"","parse-names":false,"suffix":""},{"dropping-particle":"","family":"Morikawa","given":"Daisuke","non-dropping-particle":"","parse-names":false,"suffix":""},{"dropping-particle":"","family":"Saito","given":"Takashi","non-dropping-particle":"","parse-names":false,"suffix":""},{"dropping-particle":"","family":"Tsuda","given":"Kenji","non-dropping-particle":"","parse-names":false,"suffix":""},{"dropping-particle":"","family":"Yashima","given":"Masatomo","non-dropping-particle":"","parse-names":false,"suffix":""},{"dropping-particle":"","family":"Yaguchi","given":"H","non-dropping-particle":"","parse-names":false,"suffix":""},{"dropping-particle":"","family":"Yashima","given":"M","non-dropping-particle":"","parse-names":false,"suffix":""},{"dropping-particle":"","family":"Morikawa","given":"D","non-dropping-particle":"","parse-names":false,"suffix":""},{"dropping-particle":"","family":"Saito","given":"T","non-dropping-particle":"","parse-names":false,"suffix":""},{"dropping-particle":"","family":"Tsuda","given":"K","non-dropping-particle":"","parse-names":false,"suffix":""}],"container-title":"Advanced Functional Materials","id":"ITEM-2","issued":{"date-parts":[["2023","4","20"]]},"page":"2214082","publisher":"John Wiley &amp; Sons, Ltd","title":"High Oxide-Ion Conductivity through the Interstitial Oxygen Site in Sillén Oxychlorides","type":"article-journal"},"uris":["http://www.mendeley.com/documents/?uuid=00bfe3f4-ed10-3eed-86ad-e841738364cc"]},{"id":"ITEM-3","itemData":{"DOI":"10.1021/ACS.CHEMMATER.3C02378","ISSN":"0897-4756","abstract":"Oxide-ion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Materials","id":"ITEM-3","issue":"22","issued":{"date-parts":[["2023","11","14"]]},"page":"9774–9788","publisher":"American Chemical Society","title":"Dimer-Mediated Cooperative Mechanism of Ultrafast-Ion Conduction in Hexagonal Perovskite-Related Oxides","type":"article-journal","volume":"35"},"uris":["http://www.mendeley.com/documents/?uuid=0432974d-3ff5-3823-a81a-2b39497a2f7f"]},{"id":"ITEM-4","itemData":{"DOI":"10.1021/JACS.4C00265/ASSET/IMAGES/LARGE/JA4C00265_0007.JPEG","ISSN":"15205126","abstract":"Oxide ion conductors are attractive materials because of their wide range of applications, such as solid oxide fuel cells. Oxide ion conduction in oxyhalides (compounds containing both oxide ions and halide ions) is rare. In the present work, we found that Sillén oxychlorides, Bi2-xTexLuO4+x/2Cl (x = 0, 0.1, and 0.2), show high oxide ion conductivity. The bulk conductivity of Bi1.9Te0.1LuO4.05Cl reaches 10-2 S cm-1 at 431 °C, which is much lower than 644 °C of yttria-stabilized zirconia (YSZ) and 534 °C of La0.8Sr0.2Ga0.83Mg0.17O2.815 (LSGM). Thanks to the low activation energy, Bi1.9Te0.1LuO4.05Cl exhibits a high bulk conductivity of 1.5 × 10-3 S cm-1 even at a low temperature of 310 °C, which is 204 times higher than that of YSZ. The low activation energy is attributed to the interstitialcy oxide ion diffusion in the triple fluorite-like layer, as evidenced by neutron diffraction experiments (Rietveld and neutron scattering length density analyses), bond valence-based energy calculations, static DFT calculations, and ab initio molecular dynamics simulations. The electrical conductivity of Bi1.9Te0.1LuO4.05Cl is almost independent of the oxygen partial pressure from 10-18 to 10-4 atm at 431 °C, indicating the electrolyte domain. Bi1.9Te0.1LuO4.05Cl also exhibits high chemical stability under a CO2 flow and ambient air at 400 °C. The oxide ion conduction due to the two-dimensional interstitialcy diffusion is considered to be common in Sillén oxyhalides with triple fluorite-like layers, such as Bi1.9Te0.1RO4.05Cl (R = La, Nd, Sm, Eu, Gd, Dy, Ho, Er, Tm, Yb, Lu) and Bi6-2xTe2xO8+xBr2 (x = 0.1, 0.5). The present study opens a new field of materials chemistry: oxide ion-conducting Sillén oxyhalides with triple fluorite-like layers.","author":[{"dropping-particle":"","family":"Ueno","given":"Nachi","non-dropping-particle":"","parse-names":false,"suffix":""},{"dropping-particle":"","family":"Yaguchi","given":"Hiroshi","non-dropping-particle":"","parse-names":false,"suffix":""},{"dropping-particle":"","family":"Fujii","given":"Kotaro","non-dropping-particle":"","parse-names":false,"suffix":""},{"dropping-particle":"","family":"Yashima","given":"Masatomo","non-dropping-particle":"","parse-names":false,"suffix":""}],"container-title":"Journal of the American Chemical Society","id":"ITEM-4","issued":{"date-parts":[["2024"]]},"page":"11235-11244","publisher":"American Chemical Society","title":"High Conductivity and Diffusion Mechanism of Oxide Ions in Triple Fluorite-Like Layers of Oxyhalides","type":"article-journal","volume":"146"},"uris":["http://www.mendeley.com/documents/?uuid=8fc069f9-edcc-376a-967f-028532533f45"]},{"id":"ITEM-5","itemData":{"DOI":"10.1038/s41563-024-01919-8","ISSN":"1476-4660","PMID":"38871939","abstract":"New highly oxygen-active materials may enhance many energy-related technologies by enabling efficient oxygen-ion transport at lower temperatures, for example, below ~400 °C. Interstitial oxygen conductors have the potential to realize such performance but have received far less attention than vacancy-mediated conductors. Here we combine physically motivated structure and property descriptors, ab initio simulations and experiments to demonstrate an approach to discover new fast interstitial oxygen conductors. Multiple new families were found, which adopt completely different structures from known oxygen conductors. From these families, we synthesized and studied oxygen kinetics in La4Mn5Si4O22+δ, a representative member of the perrierite/chevkinite family. We found that La4Mn5Si4O22+δ has higher oxygen-ion conductivity than the widely used yttria-stabilized ZrO2, and among the highest surface oxygen exchange rates at the intermediate temperature of known materials. The fast oxygen kinetics is the result of simultaneously active interstitial and interstitialcy diffusion pathways. We propose that the essential features for forming an effective interstitial oxygen conductor are the availability of electrons and structural flexibility, enabling a sufficient accessible volume. This work provides a powerful approach for understanding and discovering new interstitial oxygen conductors. Interstitial oxygen conductors have the potential to enable efficient oxygen-ion transport at lower temperatures. An approach combining physically motivated structure and property descriptors, ab initio simulations and experiments is now proposed for the discovery of fast interstitial oxygen conductors.","author":[{"dropping-particle":"","family":"Meng","given":"Jun","non-dropping-particle":"","parse-names":false,"suffix":""},{"dropping-particle":"","family":"Sheikh","given":"Md Sariful","non-dropping-particle":"","parse-names":false,"suffix":""},{"dropping-particle":"","family":"Jacobs","given":"Ryan","non-dropping-particle":"","parse-names":false,"suffix":""},{"dropping-particle":"","family":"Liu","given":"Jian","non-dropping-particle":"","parse-names":false,"suffix":""},{"dropping-particle":"","family":"Nachlas","given":"William O.","non-dropping-particle":"","parse-names":false,"suffix":""},{"dropping-particle":"","family":"Li","given":"Xiangguo","non-dropping-particle":"","parse-names":false,"suffix":""},{"dropping-particle":"","family":"Morgan","given":"Dane","non-dropping-particle":"","parse-names":false,"suffix":""}],"container-title":"Nature Materials 2024 23:9","id":"ITEM-5","issue":"9","issued":{"date-parts":[["2024","6","13"]]},"page":"1252-1258","publisher":"Nature Publishing Group","title":"Computational discovery of fast interstitial oxygen conductors","type":"article-journal","volume":"23"},"uris":["http://www.mendeley.com/documents/?uuid=09bc6cbe-d6dc-39e4-8a87-109d4c66fd37"]},{"id":"ITEM-6","itemData":{"DOI":"10.1021/ACS.CHEMMATER.4C03148/ASSET/IMAGES/LARGE/CM4C03148_0010.JPEG","ISSN":"15205002","abstract":"Oxide-ion conductors are essential for clean energy applications, such as solid oxide fuel cells (SOFCs). Since the Rb+ ion is the second largest available cation, some Rb-containing oxides are expected to have low activation energy for oxide-ion conductivity and high oxide-ion conductivity at low temperatures. However, Rb-containing oxide-ion conductors are very rare. Herein, we report the high oxide-ion conductivity of the palmierite-type Rb5BiMo4O16 (e.g., 2.3 mS cm-1 at 560 °C), which was discovered by a combined technique of computer screening through bond-valence-based energy calculations of 475 compositions of Rb-containing oxides, synthesis, and characterization of the structural and transport properties. Rb5BiMo4O16 exhibits a high oxide-ion conductivity of 0.14 mS cm-1 at 300 °C, which is 29 times higher than that of yttria-stabilized zirconia (YSZ) at 300 °C and comparable to the leading oxide-ion conductors with tetrahedral moieties. The high ionic conductivity below 480 °C is mainly due to the low activation energy for ionic conductivity, which can be attributed to the large free volume of Rb5BiMo4O16. The extremely large anisotropic thermal motion of oxygen atoms and the rotational motion of MoO4 tetrahedra are also responsible for the high conductivity. Rb5BiMo4O16 is stable at high temperatures under a CO2 flow, under a wet air flow, and under a wet 5% H2 in a N2 flow, and at about 21 °C in water. Rb5RMo4O16 materials (R: La, Pr, Nd, Sm, Gd, Tb, and Er) also exhibit significant conductivity. The discovery of Rb-containing oxides with high conductivity and high stability would open a new avenue for oxide-ion conductors.","author":[{"dropping-particle":"","family":"Yasui","given":"Yuta","non-dropping-particle":"","parse-names":false,"suffix":""},{"dropping-particle":"","family":"Jojima","given":"Kazuaki","non-dropping-particle":"","parse-names":false,"suffix":""},{"dropping-particle":"","family":"Fujii","given":"Kotaro","non-dropping-particle":"","parse-names":false,"suffix":""},{"dropping-particle":"","family":"Mori","given":"Kazuhiro","non-dropping-particle":"","parse-names":false,"suffix":""},{"dropping-particle":"","family":"Yashima","given":"Masatomo","non-dropping-particle":"","parse-names":false,"suffix":""}],"container-title":"Chemistry of Materials","id":"ITEM-6","issued":{"date-parts":[["2025","2","11"]]},"page":"9","publisher":"American Chemical Society","title":"High Oxide-Ion Conduction in Rb-Containing Oxides","type":"article-journal","volume":"37"},"uris":["http://www.mendeley.com/documents/?uuid=3a791419-9341-3796-8311-3fc37d60b28a"]}],"mendeley":{"formattedCitation":"&lt;sup&gt;15–20&lt;/sup&gt;","plainTextFormattedCitation":"15–20","previouslyFormattedCitation":"&lt;sup&gt;15–20&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15–20</w:t>
      </w:r>
      <w:r w:rsidRPr="001E3806">
        <w:rPr>
          <w:bCs/>
          <w:lang w:val="en-US"/>
        </w:rPr>
        <w:fldChar w:fldCharType="end"/>
      </w:r>
      <w:r w:rsidRPr="001E3806">
        <w:rPr>
          <w:rFonts w:hint="eastAsia"/>
          <w:bCs/>
          <w:lang w:val="en-US"/>
        </w:rPr>
        <w:t xml:space="preserve"> </w:t>
      </w:r>
      <w:r w:rsidRPr="001E3806">
        <w:rPr>
          <w:bCs/>
          <w:lang w:val="en-US"/>
        </w:rPr>
        <w:t>In addition to oxide-ion conductors, proton-conducting materials have been extensively investigated due to their potential for high conductivity at intermediate and low temperatures, which is attributed to their low activation energy for ion migration.</w:t>
      </w:r>
      <w:r w:rsidRPr="001E3806">
        <w:rPr>
          <w:bCs/>
          <w:lang w:val="en-US"/>
        </w:rPr>
        <w:fldChar w:fldCharType="begin" w:fldLock="1"/>
      </w:r>
      <w:r w:rsidRPr="001E3806">
        <w:rPr>
          <w:bCs/>
          <w:lang w:val="en-US"/>
        </w:rPr>
        <w:instrText>ADDIN CSL_CITATION {"citationItems":[{"id":"ITEM-1","itemData":{"DOI":"10.1016/S0167-2738(01)00963-8","ISSN":"01672738","abstract":"Protonic conduction and defect structures in Sr-doped LaPO4 (Sr = 0-7 mol%) were investigated by using conductivity, MAS-NMR spectroscopy and FT-Raman spectroscopy measurements. The results of MAS-NMR and FT-Raman spectroscopy measurements revealed that hydrogen phosphate groups, possibly hydrogen phosphate ions HPO42-, and pyrophosphate ions P2O74- existed in Sr-doped LaPO4 under wet and dry conditions, respectively, in addition to orthophosphate ions PO43-. Based on these results, we proposed a defect structure model for Sr-doped LaPO4. According to this model, La substitution with Sr leads to formation of P2O74- as intrinsic positive defects, and in wet atmosphere, protons are introduced into the phosphate forming hydrogen phosphate groups through the equilibrium between P2O74- and water vapor. The conductivity behavior of Sr-doped LaPO4 versus water vapor and oxygen partial pressures supported this defect structure model. © 2001 Elsevier Science B.V. All rights reserved.","author":[{"dropping-particle":"","family":"Amezawa","given":"Koji","non-dropping-particle":"","parse-names":false,"suffix":""},{"dropping-particle":"","family":"Maekawa","given":"Hideki","non-dropping-particle":"","parse-names":false,"suffix":""},{"dropping-particle":"","family":"Tomii","given":"Yoichi","non-dropping-particle":"","parse-names":false,"suffix":""},{"dropping-particle":"","family":"Yamamoto","given":"Naoichi","non-dropping-particle":"","parse-names":false,"suffix":""}],"container-title":"Solid State Ionics","id":"ITEM-1","issue":"1-4","issued":{"date-parts":[["2001","12","1"]]},"page":"233-240","title":"Protonic conduction and defect structures in Sr-doped LaPO4","type":"article-journal","volume":"145"},"uris":["http://www.mendeley.com/documents/?uuid=35d66478-1f03-3828-80aa-f50b734e4db2"]},{"id":"ITEM-2","itemData":{"DOI":"10.1038/S41598-021-90211-9;SUBJMETA=161,299,301,638,639,893;KWRD=FUEL+CELLS","ISSN":"20452322","PMID":"34012004","abstract":"Protonic ceramic fuel cells (PCFCs) are expected to achieve high power generation efficiency at intermediate temperature around 400–600 °C. In the present work, the distribution of relaxation times (DRT) analysis was investigated in order to deconvolute the anode and cathode polarization resistances for PCFCs supported on yttria-doped barium cerate (BCY) electrolyte in comparison with solid oxide fuel cells (SOFCs) supported on scandia-stabilized zirconia (ScSZ) electrolyte. Four DRT peaks were detected from the impedance spectra measured at 700 °C excluding the gas diffusion process for ScSZ and BCY. The DRT peaks at 5 × 102–1 × 104 Hz and 1 × 100–2 × 102 Hz were related to the hydrogen oxidation reaction at the anode and the oxygen reduction reaction at the cathode, respectively, for both cells. The DRT peak at 2 × 101–1 × 103 Hz depended on the hydrogen concentration at the anode for ScSZ, while it was dependent on the oxygen concentration at the cathode for BCY. Compared to ScSZ, steam was produced at the opposite electrode in the case of BCY, which enhanced the cathode polarization resistance for PCFCs.","author":[{"dropping-particle":"","family":"Sumi","given":"Hirofumi","non-dropping-particle":"","parse-names":false,"suffix":""},{"dropping-particle":"","family":"Shimada","given":"Hiroyuki","non-dropping-particle":"","parse-names":false,"suffix":""},{"dropping-particle":"","family":"Yamaguchi","given":"Yuki","non-dropping-particle":"","parse-names":false,"suffix":""},{"dropping-particle":"","family":"Mizutani","given":"Yasunobu","non-dropping-particle":"","parse-names":false,"suffix":""},{"dropping-particle":"","family":"Okuyama","given":"Yuji","non-dropping-particle":"","parse-names":false,"suffix":""},{"dropping-particle":"","family":"Amezawa","given":"Koji","non-dropping-particle":"","parse-names":false,"suffix":""}],"container-title":"Scientific Reports","id":"ITEM-2","issue":"1","issued":{"date-parts":[["2021","12","1"]]},"page":"1-9","publisher":"Nature Research","title":"Comparison of electrochemical impedance spectra for electrolyte-supported solid oxide fuel cells (SOFCs) and protonic ceramic fuel cells (PCFCs)","type":"article-journal","volume":"11"},"uris":["http://www.mendeley.com/documents/?uuid=adb0fe9a-24c4-39eb-8dd1-f7cabe33687b"]},{"id":"ITEM-3","itemData":{"DOI":"10.1038/s41467-023-43122-4","ISSN":"2041-1723","abstract":"Proton conductors are attractive materials with a wide range of potential applications such as proton-conducting fuel cells (PCFCs). The conventional strategy to enhance the proton conductivity is acceptor doping into oxides without oxygen vacancies. However, the acceptor doping results in proton trapping near dopants, leading to the high apparent activation energy and low proton conductivity at intermediate and low temperatures. The hypothetical cubic perovskite BaScO2.5 may have intrinsic oxygen vacancies without the acceptor doping. Herein, we report that the cubic perovskite-type BaSc0.8Mo0.2O2.8 stabilized by Mo donor-doing into BaScO2.5 exhibits high proton conductivity within the ‘Norby gap’ (e.g., 0.01 S cm−1 at 320 °C) and high chemical stability under oxidizing, reducing and CO2 atmospheres. The high proton conductivity of BaSc0.8Mo0.2O2.8 at intermediate and low temperatures is attributable to high proton concentration, high proton mobility due to reduced proton trapping, and three-dimensional proton diffusion in the cubic perovskite stabilized by the Mo-doping into BaScO2.5. The donor doping into the perovskite with disordered intrinsic oxygen vacancies would be a viable strategy towards high proton conductivity at intermediate and low temperatures. Proton conductors are promising materials used in various applications such as fuel cells. Here, authors report high proton conductivity due to the reduction of proton trapping of donor Mo6+ doped BaScO2.5 with disordered intrinsic oxygen vacancies.","author":[{"dropping-particle":"","family":"Saito","given":"Kei","non-dropping-particle":"","parse-names":false,"suffix":""},{"dropping-particle":"","family":"Yashima","given":"Masatomo","non-dropping-particle":"","parse-names":false,"suffix":""}],"container-title":"Nature Communications 2023 14:1","id":"ITEM-3","issue":"1","issued":{"date-parts":[["2023","11","17"]]},"page":"1-10","publisher":"Nature Publishing Group","title":"High proton conductivity within the ‘Norby gap’ by stabilizing a perovskite with disordered intrinsic oxygen vacancies","type":"article-journal","volume":"14"},"uris":["http://www.mendeley.com/documents/?uuid=7dd055ca-2bac-35b2-8180-0181a70e6f27"]}],"mendeley":{"formattedCitation":"&lt;sup&gt;21–23&lt;/sup&gt;","plainTextFormattedCitation":"21–23","previouslyFormattedCitation":"&lt;sup&gt;21–23&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21–23</w:t>
      </w:r>
      <w:r w:rsidRPr="001E3806">
        <w:rPr>
          <w:bCs/>
          <w:lang w:val="en-US"/>
        </w:rPr>
        <w:fldChar w:fldCharType="end"/>
      </w:r>
      <w:r w:rsidRPr="001E3806">
        <w:rPr>
          <w:bCs/>
          <w:lang w:val="en-US"/>
        </w:rPr>
        <w:t xml:space="preserve"> However, proton conductors employed as electrolytes in PCFCs face significant challenges, including poor chemical stability in CO</w:t>
      </w:r>
      <w:r w:rsidRPr="001E3806">
        <w:rPr>
          <w:bCs/>
          <w:vertAlign w:val="subscript"/>
          <w:lang w:val="en-US"/>
        </w:rPr>
        <w:t>2</w:t>
      </w:r>
      <w:r w:rsidRPr="001E3806">
        <w:rPr>
          <w:bCs/>
          <w:lang w:val="en-US"/>
        </w:rPr>
        <w:t xml:space="preserve">-rich environments, chemical expansion due to hydration, and the </w:t>
      </w:r>
      <w:r w:rsidRPr="001E3806">
        <w:rPr>
          <w:bCs/>
          <w:lang w:val="en-US"/>
        </w:rPr>
        <w:t>necessity for extremely high sintering temperatures.</w:t>
      </w:r>
      <w:r w:rsidRPr="001E3806">
        <w:rPr>
          <w:bCs/>
          <w:lang w:val="en-US"/>
        </w:rPr>
        <w:fldChar w:fldCharType="begin" w:fldLock="1"/>
      </w:r>
      <w:r w:rsidRPr="001E3806">
        <w:rPr>
          <w:bCs/>
          <w:lang w:val="en-US"/>
        </w:rPr>
        <w:instrText>ADDIN CSL_CITATION {"citationItems":[{"id":"ITEM-1","itemData":{"DOI":"10.1111/JACE.12990","ISSN":"1551-2916","abstract":"The crystal structures of proton-conducting BaZr1-xY xO3-x/2 (BZY05-BZY20) and BaCe0.8Y 0.2O2.9 (BCY20) during hydration/dehydration has been studied by in situ high-temperature X-ray diffraction and thermal analysis. A contraction/expansion of the crystal lattice associated with dehydration/hydration was observed for all materials at elevated temperatures and the polymorphic phase transition temperatures of BaCe0.8Y 0.2O2.9 were depressed by lowering the vapor pressure of water. A thermodynamic formalism is introduced to describe the chemical expansion associated with the hydration of oxygen vacancies in acceptor-doped oxides. A conventional point defect model was applied to describe the lattice strain associated with the hydration. The chemical expansion is discussed with respect to the available volumetric data on the hydration of proton-conducting oxide materials and its likely impact on ceramic fuel cells/hydrogen separation membranes utilizing a proton-conducting electrolyte. © 2014 The American Ceramic Society.","author":[{"dropping-particle":"","family":"Andersson","given":"Annika K.E.","non-dropping-particle":"","parse-names":false,"suffix":""},{"dropping-particle":"","family":"Selbach","given":"Sverre M.","non-dropping-particle":"","parse-names":false,"suffix":""},{"dropping-particle":"","family":"Knee","given":"Christopher S.","non-dropping-particle":"","parse-names":false,"suffix":""},{"dropping-particle":"","family":"Grande","given":"Tor","non-dropping-particle":"","parse-names":false,"suffix":""}],"container-title":"Journal of the American Ceramic Society","id":"ITEM-1","issue":"8","issued":{"date-parts":[["2014","8","1"]]},"page":"2654-2661","publisher":"John Wiley &amp; Sons, Ltd","title":"Chemical Expansion Due to Hydration of Proton-Conducting Perovskite Oxide Ceramics","type":"article-journal","volume":"97"},"uris":["http://www.mendeley.com/documents/?uuid=b2da956d-b938-38e2-a3d7-f8206654c75d"]},{"id":"ITEM-2","itemData":{"DOI":"10.3390/CRYST8090365","ISSN":"2073-4352","abstract":"This review paper focuses on the phenomenon of thermochemical expansion of two specific categories of conducting ceramics: Proton Conducting Ceramics (PCC) and Mixed Ionic-Electronic Conductors (MIEC). The theory of thermal expansion of ceramics is underlined from microscopic to macroscopic points of view while the chemical expansion is explained based on crystallography and defect chemistry. Modelling methods are used to predict the thermochemical expansion of PCCs and MIECs with two examples: hydration of barium zirconate (BaZr1−xYxO3−δ) and oxidation/reduction of La1−xSrxCo0.2Fe0.8O3−δ. While it is unusual for a review paper, we conducted experiments to evaluate the influence of the heating rate in determining expansion coefficients experimentally. This was motivated by the discrepancy of some values in literature. The conclusions are that the heating rate has little to no effect on the obtained values. Models for the expansion coefficients of a composite material are presented and include the effect of porosity. A set of data comprising thermal and chemical expansion coefficients has been gathered from the literature and presented here divided into two groups: protonic electrolytes and mixed ionic-electronic conductors. Finally, the methods of mitigation of the thermal mismatch problem are discussed.","author":[{"dropping-particle":"","family":"Løken","given":"Andreas","non-dropping-particle":"","parse-names":false,"suffix":""},{"dropping-particle":"","family":"Ricote","given":"Sandrine","non-dropping-particle":"","parse-names":false,"suffix":""},{"dropping-particle":"","family":"Wachowski","given":"Sebastian","non-dropping-particle":"","parse-names":false,"suffix":""}],"container-title":"Crystals 2018, Vol. 8, Page 365","id":"ITEM-2","issue":"9","issued":{"date-parts":[["2018","9","14"]]},"page":"365","publisher":"Multidisciplinary Digital Publishing Institute","title":"Thermal and Chemical Expansion in Proton Ceramic Electrolytes and Compatible Electrodes","type":"article-journal","volume":"8"},"uris":["http://www.mendeley.com/documents/?uuid=2f2e3eab-22e0-3cbc-94bd-fe64e1d785a0"]},{"id":"ITEM-3","itemData":{"DOI":"10.15826/ELMATTECH.2022.1.004","ISSN":"2949-0561","abstract":"Solid oxide electrolytes have attracted significant attention due to their possible applications in energy conversion devices, including solid oxide fuel cells (SOFCs) and electrolysis cells (SOECs). Although a large amount of data has been accumulated to date, the design of new representatives of ionic electrolytes is of unquenchable interest. In this paper, a review of the new classes of proton-conducting solid electrolytes is provided. The physicochemical and transport properties of layered perovskites (BaNdInO 4 , BaNdScO 4 , SrLaInO 4 , BaLaInO 4 ) and hexagonal perovskites (Ba 7 Nb 4 MoO 20 , Ba 5 Er 2 Al 2 ZrO 13  and Ba 5 In 2 Al 2 ZrO 13 ) were analyzed and summarized. Based on the performed analysis, the most promising compositions among the considered phases were identified and the effective approaches aimed at improving their functional characteristics were provided.","author":[{"dropping-particle":"","family":"Tarasova","given":"Natalia A.","non-dropping-particle":"","parse-names":false,"suffix":""},{"dropping-particle":"","family":"Animitsa","given":"Irina E.","non-dropping-particle":"","parse-names":false,"suffix":""},{"dropping-particle":"","family":"Galisheva","given":"Anzhelika O.","non-dropping-particle":"","parse-names":false,"suffix":""},{"dropping-particle":"","family":"Medvedev","given":"Dmitry A.","non-dropping-particle":"","parse-names":false,"suffix":""}],"container-title":"Electrochemical Materials and Technologies","id":"ITEM-3","issue":"1","issued":{"date-parts":[["2022","10","6"]]},"page":"20221004","publisher":"Ural Federal University","title":"Layered and hexagonal perovskites as novel classes of proton-conducting solid electrolytes. A focus review","type":"article-journal","volume":"1"},"uris":["http://www.mendeley.com/documents/?uuid=2a6ba893-e1ae-37f9-8f82-1f8a5ffa5496"]},{"id":"ITEM-4","itemData":{"DOI":"10.15826/chimtech.2024.11.4.03","ISSN":"2411-1414","abstract":"The novel phase Ba 7 In 5.9 Zn 0.1 Al 2 O 18.95 with hexagonal perovskite structure was obtained by solid-state technique. The substitution of In 3+ by the Zn 2+ leads to the expansion of the lattice parameters and cell volume. It was established that the investigated sample is capable of water incorporation from the gas phase; the degree of hydration reaches 1.42 mol H 2 O, which is significantly higher than that for the undoped phase (0.41 mol H 2 O). This is a result of the expansion of the hexagonal layer that facilitates the placement of OH – -groups. The oxide-ion and proton conductivities for the doped Ba 7 In 5.9 Zn 0.1 Al 2 O 18.95 sample were higher than those for the undoped composition, Ba 7 In 6 Al 2 O 19 , by 0.50 and 0.75 orders of magnitude (500 °C), respectively. The new phase Ba 7 In 5.9 Zn 0.1 Al 2 O 18.95 demonstrates the predominant protonic conductivity at Т ≤ 500 °C and p H 2 O = 1.93·10 −2 atm.","author":[{"dropping-particle":"","family":"Animitsa","given":"Irina","non-dropping-particle":"","parse-names":false,"suffix":""},{"dropping-particle":"","family":"Korona","given":"Daniil","non-dropping-particle":"","parse-names":false,"suffix":""},{"dropping-particle":"","family":"Bushueva","given":"Arina","non-dropping-particle":"","parse-names":false,"suffix":""},{"dropping-particle":"","family":"Andreev","given":"Roman","non-dropping-particle":"","parse-names":false,"suffix":""},{"dropping-particle":"","family":"Nokhrin","given":"Sergey","non-dropping-particle":"","parse-names":false,"suffix":""}],"container-title":"Chimica Techno Acta","id":"ITEM-4","issue":"4","issued":{"date-parts":[["2024","9","30"]]},"page":"202411403","publisher":"Ural Federal University","title":"The novel Zn-doped hexagonal perovskite Ba7In6Al2O19: electrical conductivity and hydration","type":"article-journal","volume":"11"},"uris":["http://www.mendeley.com/documents/?uuid=be5824a2-d2fb-383b-8fb0-c4e44575306b"]}],"mendeley":{"formattedCitation":"&lt;sup&gt;9,24–26&lt;/sup&gt;","plainTextFormattedCitation":"9,24–26","previouslyFormattedCitation":"&lt;sup&gt;7,24–26&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9,24–26</w:t>
      </w:r>
      <w:r w:rsidRPr="001E3806">
        <w:rPr>
          <w:bCs/>
          <w:lang w:val="en-US"/>
        </w:rPr>
        <w:fldChar w:fldCharType="end"/>
      </w:r>
      <w:r w:rsidRPr="001E3806">
        <w:rPr>
          <w:bCs/>
          <w:lang w:val="en-US"/>
        </w:rPr>
        <w:t xml:space="preserve"> To overcome these challenges, dual-ion conductors have been proposed, because they enable the simultaneous diffusion of both oxide ions and protons</w:t>
      </w:r>
      <w:r w:rsidRPr="001E3806">
        <w:rPr>
          <w:rFonts w:hint="eastAsia"/>
          <w:bCs/>
          <w:lang w:val="en-US"/>
        </w:rPr>
        <w:t>.</w:t>
      </w:r>
      <w:r w:rsidRPr="001E3806">
        <w:rPr>
          <w:bCs/>
          <w:lang w:val="en-US"/>
        </w:rPr>
        <w:fldChar w:fldCharType="begin" w:fldLock="1"/>
      </w:r>
      <w:r w:rsidRPr="001E3806">
        <w:rPr>
          <w:bCs/>
          <w:lang w:val="en-US"/>
        </w:rPr>
        <w:instrText>ADDIN CSL_CITATION {"citationItems":[{"id":"ITEM-1","itemData":{"author":[{"dropping-particle":"","family":"Yang","given":"Lei","non-dropping-particle":"","parse-names":false,"suffix":""},{"dropping-particle":"","family":"Wang","given":"Shizhong","non-dropping-particle":"","parse-names":false,"suffix":""},{"dropping-particle":"","family":"Blinn","given":"Kevin","non-dropping-particle":"","parse-names":false,"suffix":""},{"dropping-particle":"","family":"Liu","given":"Mingfei","non-dropping-particle":"","parse-names":false,"suffix":""},{"dropping-particle":"","family":"Liu","given":"Ze","non-dropping-particle":"","parse-names":false,"suffix":""},{"dropping-particle":"","family":"Cheng","given":"Zhe","non-dropping-particle":"","parse-names":false,"suffix":""},{"dropping-particle":"","family":"Liu","given":"Meilin","non-dropping-particle":"","parse-names":false,"suffix":""}],"container-title":"Science","id":"ITEM-1","issue":"5949","issued":{"date-parts":[["2009"]]},"page":"126-129","title":"Enhanced sulhur and coking tolerance of a mixed ion conductor for SOFCs: BaZr&lt;sub&gt;0.1&lt;/sub&gt;Ce&lt;sub&gt;0.7&lt;/sub&gt;Y&lt;sub&gt;0.2–&lt;i&gt;x&lt;/i&gt;&lt;/sub&gt;Yb&lt;sub&gt;&lt;i&gt;x&lt;/i&gt;&lt;/sub&gt;O&lt;sub&gt;3–&lt;i&gt;δ&lt;/i&gt;&lt;/sub&gt;","type":"article-journal","volume":"326"},"uris":["http://www.mendeley.com/documents/?uuid=80b81caf-a4c8-39ef-b7c2-fb4be763acff"]},{"id":"ITEM-2","itemData":{"DOI":"10.1039/c9ta03501j","abstract":"As a new electrolyte category, dual-ion electrolytes show the advantages of both oxygen ion conducting electrolytes and proton-conducting electrolytes to provide favorably low ohmic resistance at 450-650 C without external gas humidification, while the insufficient activity of conventional cathodes has become the main concern for practical applications. Here, we report a triple-conducting double perovskite oxide Sr 2 Sc 0.1 Nb 0.1 Co 1.5 Fe 0.3 O 6Àd (SSNCF) as a novel cathode for dual-ion solid oxide fuel cells (SOFCs). We further report a method based on an oxygen ion blocking technique in combination with a hydrogen permeability test for determining the proton conductivity in SSNCF. The results indicate the triple-conducting (H + |O 2À |e À) capability of the perovskite with a Grotthuss mechanism for the proton diffusion. A cell with a thin-film BZCYYb electrolyte and an SSNCF cathode delivered peak power densities (PPDs) of 840 and 732 mW cm À2 , respectively, at 650 and 600 C, superior to most other similar cells with different cathodes. Compared with Ba 0.5 Sr 0.5 Co 0.8 Fe 0.2 O 3Àd (BSCF), the non-conflicting oxygen ion and proton diffusion channels in the SSNCF cathode significantly improved the performance of dual-ion SOFCs, where oxygen ions and protons diffuse through oxygen vacancies (vehicle mechanism) and lattice oxygen (Grotthuss mechanism), respectively. This finding highlights the potential to attain further performance enhancements for reduced-temperature SOFCs through the adoption of dual-ion electrolyte and triple-conducting cathode.","author":[{"dropping-particle":"","family":"Zhou","given":"Chuan","non-dropping-particle":"","parse-names":false,"suffix":""},{"dropping-particle":"","family":"Sunarso","given":"Jaka","non-dropping-particle":"","parse-names":false,"suffix":""},{"dropping-particle":"","family":"Song","given":"Yufei","non-dropping-particle":"","parse-names":false,"suffix":""},{"dropping-particle":"","family":"Dai","given":"Jie","non-dropping-particle":"","parse-names":false,"suffix":""},{"dropping-particle":"","family":"Zhang","given":"Junxing","non-dropping-particle":"","parse-names":false,"suffix":""},{"dropping-particle":"","family":"Gu","given":"Binbin","non-dropping-particle":"","parse-names":false,"suffix":""},{"dropping-particle":"","family":"Zhou","given":"Wei","non-dropping-particle":"","parse-names":false,"suffix":""},{"dropping-particle":"","family":"Shao","given":"Zongping","non-dropping-particle":"","parse-names":false,"suffix":""}],"container-title":"Journal of Materials Chemistry A","id":"ITEM-2","issued":{"date-parts":[["2019"]]},"page":"13265-13274","title":"New reduced-temperature ceramic fuel cells with dual-ion conducting electrolyte and triple-conducting double perovskite cathode†","type":"article-journal","volume":"7"},"uris":["http://www.mendeley.com/documents/?uuid=177d69d7-1c53-37c4-b247-1e58d97bdc43"]},{"id":"ITEM-3","itemData":{"DOI":"10.1038/s41563-020-0629-4","ISSN":"1476-1122","PMID":"32123332","abstract":"Oxide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Materials","id":"ITEM-3","issue":"7","issued":{"date-parts":[["2020","7","2"]]},"page":"752-757","publisher":"Nature Research","title":"High oxide ion and proton conductivity in a disordered hexagonal perovskite","type":"article-journal","volume":"19"},"uris":["http://www.mendeley.com/documents/?uuid=f336b269-6ebf-3ef0-82ad-f407450d185c"]},{"id":"ITEM-4","itemData":{"DOI":"10.1021/ACS.CHEMMATER.3C02378","ISSN":"0897-4756","abstract":"Oxide-ion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Materials","id":"ITEM-4","issue":"22","issued":{"date-parts":[["2023","11","14"]]},"page":"9774–9788","publisher":"American Chemical Society","title":"Dimer-Mediated Cooperative Mechanism of Ultrafast-Ion Conduction in Hexagonal Perovskite-Related Oxides","type":"article-journal","volume":"35"},"uris":["http://www.mendeley.com/documents/?uuid=0432974d-3ff5-3823-a81a-2b39497a2f7f"]}],"mendeley":{"formattedCitation":"&lt;sup&gt;17,27–29&lt;/sup&gt;","plainTextFormattedCitation":"17,27–29","previouslyFormattedCitation":"&lt;sup&gt;17,27–29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17,27–29</w:t>
      </w:r>
      <w:r w:rsidRPr="001E3806">
        <w:rPr>
          <w:bCs/>
          <w:lang w:val="en-US"/>
        </w:rPr>
        <w:fldChar w:fldCharType="end"/>
      </w:r>
      <w:r w:rsidRPr="001E3806">
        <w:rPr>
          <w:rFonts w:hint="eastAsia"/>
          <w:bCs/>
          <w:lang w:val="en-US"/>
        </w:rPr>
        <w:t xml:space="preserve"> </w:t>
      </w:r>
      <w:r w:rsidRPr="001E3806">
        <w:rPr>
          <w:bCs/>
          <w:lang w:val="en-US"/>
        </w:rPr>
        <w:t>These electrolytes combine the advantages of both oxide-ion and proton-conducting materials. First, the concurrent transport of oxide ions and protons in the electrolyte significantly enhances the total of the oxide-ion and proton conductivities, thereby improving fuel cell performance.</w:t>
      </w:r>
      <w:r w:rsidRPr="001E3806">
        <w:rPr>
          <w:bCs/>
          <w:lang w:val="en-US"/>
        </w:rPr>
        <w:fldChar w:fldCharType="begin" w:fldLock="1"/>
      </w:r>
      <w:r w:rsidRPr="001E3806">
        <w:rPr>
          <w:bCs/>
          <w:lang w:val="en-US"/>
        </w:rPr>
        <w:instrText>ADDIN CSL_CITATION {"citationItems":[{"id":"ITEM-1","itemData":{"DOI":"10.1016/J.JECHEM.2020.09.010","ISSN":"20954956","abstract":"High-temperature solid-state electrolyte is a key component of several important electrochemical devices, such as oxygen sensors for automobile exhaust control, solid oxide fuel cells (SOFCs) for power generation, and solid oxide electrolysis cells for H2 production from water electrolysis or CO2 electrochemical reduction to value-added chemicals. In particular, internal diffusion of protons or oxygen ions is a fundamental and crucial issue in the research of SOFCs, hypothetically based on either oxygen-ion-conducting electrolytes or proton-conducting electrolytes. Up to now, some electrolyte materials based on fluorite or perovskite structure were found to show certain degree of dual-ion transportation capability, while in available electrolyte database, particularly in the field of SOFCs, such dual-ion conductivity was seriously overlooked. Actually, few concerns arising to the simultaneous proton and oxygen-ion conductivities in electrolyte of SOFCs inevitably induce various inadequate and confusing results in literature. Understanding dual-ion transportation behavior in electrolyte is indisputably of great importance to explain some unusual fuel cell performance as reported in literature and enrich the knowledge of solid state ionics. On the other hand, exploration of novel dual-ion conducting electrolytes will benefit the development of SOFCs. In this review, we provide a comprehensive summary of the understanding of dual-ion transportation in solid electrolyte and recent advances of dual-ion conducting SOFCs. The oxygen ion and proton conduction mechanisms at elevated temperature inside oxide-based electrolyte materials are first introduced, and then (mixed) oxygen ion and proton conduction behaviors of fluorite and perovskite-type oxides are discussed. Following on, recent advances in the development of dual-ion conducting SOFCs based on fluorite and perovskite-type single-phase or composite electrolytes, are reviewed. Finally, the challenges in the development of dual-ion conducting SOFCs are discussed and future prospects are proposed.","author":[{"dropping-particle":"","family":"Cao","given":"Jiafeng","non-dropping-particle":"","parse-names":false,"suffix":""},{"dropping-particle":"","family":"Su","given":"Chao","non-dropping-particle":"","parse-names":false,"suffix":""},{"dropping-particle":"","family":"Ji","given":"Yuexia","non-dropping-particle":"","parse-names":false,"suffix":""},{"dropping-particle":"","family":"Yang","given":"Guangming","non-dropping-particle":"","parse-names":false,"suffix":""},{"dropping-particle":"","family":"Shao","given":"Zongping","non-dropping-particle":"","parse-names":false,"suffix":""}],"container-title":"Journal of Energy Chemistry","id":"ITEM-1","issued":{"date-parts":[["2021","6","1"]]},"page":"406-427","publisher":"Elsevier B.V.","title":"Recent advances and perspectives of fluorite and perovskite-based dual-ion conducting solid oxide fuel cells","type":"article-journal","volume":"57"},"uris":["http://www.mendeley.com/documents/?uuid=43edbb33-7a2e-3876-b72e-f9cf07eed18c"]}],"mendeley":{"formattedCitation":"&lt;sup&gt;30&lt;/sup&gt;","plainTextFormattedCitation":"30","previouslyFormattedCitation":"&lt;sup&gt;30&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30</w:t>
      </w:r>
      <w:r w:rsidRPr="001E3806">
        <w:rPr>
          <w:bCs/>
          <w:lang w:val="en-US"/>
        </w:rPr>
        <w:fldChar w:fldCharType="end"/>
      </w:r>
      <w:r w:rsidRPr="001E3806">
        <w:rPr>
          <w:bCs/>
          <w:lang w:val="en-US"/>
        </w:rPr>
        <w:t xml:space="preserve"> Second, water is generated at both the cathode and anode, eliminating the need for external gas humidification and simplifying system design.</w:t>
      </w:r>
      <w:r w:rsidRPr="001E3806">
        <w:rPr>
          <w:bCs/>
          <w:lang w:val="en-US"/>
        </w:rPr>
        <w:fldChar w:fldCharType="begin" w:fldLock="1"/>
      </w:r>
      <w:r w:rsidRPr="001E3806">
        <w:rPr>
          <w:bCs/>
          <w:lang w:val="en-US"/>
        </w:rPr>
        <w:instrText>ADDIN CSL_CITATION {"citationItems":[{"id":"ITEM-1","itemData":{"DOI":"10.1039/c9ta03501j","abstract":"As a new electrolyte category, dual-ion electrolytes show the advantages of both oxygen ion conducting electrolytes and proton-conducting electrolytes to provide favorably low ohmic resistance at 450-650 C without external gas humidification, while the insufficient activity of conventional cathodes has become the main concern for practical applications. Here, we report a triple-conducting double perovskite oxide Sr 2 Sc 0.1 Nb 0.1 Co 1.5 Fe 0.3 O 6Àd (SSNCF) as a novel cathode for dual-ion solid oxide fuel cells (SOFCs). We further report a method based on an oxygen ion blocking technique in combination with a hydrogen permeability test for determining the proton conductivity in SSNCF. The results indicate the triple-conducting (H + |O 2À |e À) capability of the perovskite with a Grotthuss mechanism for the proton diffusion. A cell with a thin-film BZCYYb electrolyte and an SSNCF cathode delivered peak power densities (PPDs) of 840 and 732 mW cm À2 , respectively, at 650 and 600 C, superior to most other similar cells with different cathodes. Compared with Ba 0.5 Sr 0.5 Co 0.8 Fe 0.2 O 3Àd (BSCF), the non-conflicting oxygen ion and proton diffusion channels in the SSNCF cathode significantly improved the performance of dual-ion SOFCs, where oxygen ions and protons diffuse through oxygen vacancies (vehicle mechanism) and lattice oxygen (Grotthuss mechanism), respectively. This finding highlights the potential to attain further performance enhancements for reduced-temperature SOFCs through the adoption of dual-ion electrolyte and triple-conducting cathode.","author":[{"dropping-particle":"","family":"Zhou","given":"Chuan","non-dropping-particle":"","parse-names":false,"suffix":""},{"dropping-particle":"","family":"Sunarso","given":"Jaka","non-dropping-particle":"","parse-names":false,"suffix":""},{"dropping-particle":"","family":"Song","given":"Yufei","non-dropping-particle":"","parse-names":false,"suffix":""},{"dropping-particle":"","family":"Dai","given":"Jie","non-dropping-particle":"","parse-names":false,"suffix":""},{"dropping-particle":"","family":"Zhang","given":"Junxing","non-dropping-particle":"","parse-names":false,"suffix":""},{"dropping-particle":"","family":"Gu","given":"Binbin","non-dropping-particle":"","parse-names":false,"suffix":""},{"dropping-particle":"","family":"Zhou","given":"Wei","non-dropping-particle":"","parse-names":false,"suffix":""},{"dropping-particle":"","family":"Shao","given":"Zongping","non-dropping-particle":"","parse-names":false,"suffix":""}],"container-title":"Journal of Materials Chemistry A","id":"ITEM-1","issued":{"date-parts":[["2019"]]},"page":"13265-13274","title":"New reduced-temperature ceramic fuel cells with dual-ion conducting electrolyte and triple-conducting double perovskite cathode†","type":"article-journal","volume":"7"},"uris":["http://www.mendeley.com/documents/?uuid=177d69d7-1c53-37c4-b247-1e58d97bdc43"]}],"mendeley":{"formattedCitation":"&lt;sup&gt;28&lt;/sup&gt;","plainTextFormattedCitation":"28","previouslyFormattedCitation":"&lt;sup&gt;28&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28</w:t>
      </w:r>
      <w:r w:rsidRPr="001E3806">
        <w:rPr>
          <w:bCs/>
          <w:lang w:val="en-US"/>
        </w:rPr>
        <w:fldChar w:fldCharType="end"/>
      </w:r>
      <w:r w:rsidRPr="001E3806">
        <w:rPr>
          <w:bCs/>
          <w:lang w:val="en-US"/>
        </w:rPr>
        <w:t xml:space="preserve"> Recently, hexagonal perovskite-related oxides, such as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-based materials, have garnered considerable attention due to their high oxide-ion and proton conductivities, making them promising candidates for dual-ion electrolyte applications.</w:t>
      </w:r>
      <w:r w:rsidRPr="001E3806">
        <w:rPr>
          <w:bCs/>
          <w:lang w:val="en-US"/>
        </w:rPr>
        <w:fldChar w:fldCharType="begin" w:fldLock="1"/>
      </w:r>
      <w:r w:rsidRPr="001E3806">
        <w:rPr>
          <w:bCs/>
          <w:lang w:val="en-US"/>
        </w:rPr>
        <w:instrText>ADDIN CSL_CITATION {"citationItems":[{"id":"ITEM-1","itemData":{"DOI":"10.1021/jacs.0c02403","ISSN":"0002-7863","abstract":"For the development of proton-based electrolytes, high proton conductivity at intermediate temperatures (300-600 °C) is crucial, but the available materials have been confined to a limited number of the structure families, such as cubic perovskites. Herein, we report Ba5Er2Al2ZrO13, a hexagonal perovskite-related oxide, as a new class of proton conductors exhibiting higher conductivi</w:instrText>
      </w:r>
      <w:r w:rsidRPr="001E3806">
        <w:rPr>
          <w:rFonts w:hint="eastAsia"/>
          <w:bCs/>
          <w:lang w:val="en-US"/>
        </w:rPr>
        <w:instrText xml:space="preserve">ties than 10-3 S cm-1 between 300 and 1200 </w:instrText>
      </w:r>
      <w:r w:rsidRPr="001E3806">
        <w:rPr>
          <w:rFonts w:hint="eastAsia"/>
          <w:bCs/>
          <w:lang w:val="en-US"/>
        </w:rPr>
        <w:instrText>°</w:instrText>
      </w:r>
      <w:r w:rsidRPr="001E3806">
        <w:rPr>
          <w:rFonts w:hint="eastAsia"/>
          <w:bCs/>
          <w:lang w:val="en-US"/>
        </w:rPr>
        <w:instrText>C. The protons as charge carriers are found to exist in the inherently oxygen-deficient h</w:instrText>
      </w:r>
      <w:r w:rsidRPr="001E3806">
        <w:rPr>
          <w:rFonts w:hint="eastAsia"/>
          <w:bCs/>
          <w:lang w:val="en-US"/>
        </w:rPr>
        <w:instrText>′</w:instrText>
      </w:r>
      <w:r w:rsidRPr="001E3806">
        <w:rPr>
          <w:rFonts w:hint="eastAsia"/>
          <w:bCs/>
          <w:lang w:val="en-US"/>
        </w:rPr>
        <w:instrText xml:space="preserve"> layer of Ba5Er2Al2ZrO13, which are supported by Rietveld analysis of neutron-diffraction data, bond-valence-based energy calculations, and thermogravimetric analysis. Our discovery of a new structure family of proton conductors with the inherently oxygen-deficient h</w:instrText>
      </w:r>
      <w:r w:rsidRPr="001E3806">
        <w:rPr>
          <w:rFonts w:hint="eastAsia"/>
          <w:bCs/>
          <w:lang w:val="en-US"/>
        </w:rPr>
        <w:instrText>′</w:instrText>
      </w:r>
      <w:r w:rsidRPr="001E3806">
        <w:rPr>
          <w:rFonts w:hint="eastAsia"/>
          <w:bCs/>
          <w:lang w:val="en-US"/>
        </w:rPr>
        <w:instrText xml:space="preserve"> layer offers a strategy in designing superior proton conductors based on hexagonal perovskite-related oxide</w:instrText>
      </w:r>
      <w:r w:rsidRPr="001E3806">
        <w:rPr>
          <w:bCs/>
          <w:lang w:val="en-US"/>
        </w:rPr>
        <w:instrText>s.","author":[{"dropping-particle":"","family":"Murakami","given":"Taito","non-dropping-particle":"","parse-names":false,"suffix":""},{"dropping-particle":"","family":"Hester","given":"James R.","non-dropping-particle":"","parse-names":false,"suffix":""},{"dropping-particle":"","family":"Yashima","given":"Masatomo","non-dropping-particle":"","parse-names":false,"suffix":""}],"container-title":"Journal of the American Chemical Society","id":"ITEM-1","issue":"27","issued":{"date-parts":[["2020","7","8"]]},"page":"11653-11657","publisher":"American Chemical Society","title":"High Proton Conductivity in Ba&lt;sub&gt;5&lt;/sub&gt;Er&lt;sub&gt;2&lt;/sub&gt;Al&lt;sub&gt;2&lt;/sub&gt;ZrO&lt;sub&gt;13&lt;/sub&gt;, a Hexagonal Perovskite-Related Oxide with Intrinsically Oxygen-Deficient Layers","type":"article-journal","volume":"142"},"uris":["http://www.mendeley.com/documents/?uuid=c27c978a-a488-37c3-a3a6-6b29ca6d0828"]},{"id":"ITEM-2","itemData":{"DOI":"10.1038/s41563-020-0629-4","ISSN":"1476-1122","PMID":"32123332","abstract":"Oxide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Materials","id":"ITEM-2","issue":"7","issued":{"date-parts":[["2020","7","2"]]},"page":"752-757","publisher":"Nature Research","title":"High oxide ion and proton conductivity in a disordered hexagonal perovskite","type":"article-journal","volume":"19"},"uris":["http://www.mendeley.com/documents/?uuid=f336b269-6ebf-3ef0-82ad-f407450d185c"]},{"id":"ITEM-3","itemData":{"DOI":"10.1038/s41467-020-20859-w","ISSN":"2041-1723","abstract":"&lt;p&gt; Oxide-ion conductors are important in various applications such as solid-oxide fuel cells. Although zirconia-based materials are widely utilized, there remains a strong motivation to discover electrolyte materials with higher conductivity that lowers the working temperature of fuel cells, reducing cost. Oxide-ion conductors with hexagonal perovskite related structures are rare. Herein, we report oxide-ion conductors based on a hexagonal perovskite-related oxide Ba &lt;sub&gt;7&lt;/sub&gt; Nb &lt;sub&gt;4&lt;/sub&gt; MoO &lt;sub&gt;20&lt;/sub&gt; . Ba &lt;sub&gt;7&lt;/sub&gt; Nb &lt;sub&gt;3.9&lt;/sub&gt; Mo &lt;sub&gt;1.1&lt;/sub&gt; O &lt;sub&gt;20.05&lt;/sub&gt; shows a wide stability range and predominantly oxide-ion conduction in an oxygen partial pressure range from 2 × 10 &lt;sup&gt;−26&lt;/sup&gt; to 1 atm at 600 °C. Surprisingly, bulk conductivity of Ba &lt;sub&gt;7&lt;/sub&gt; Nb &lt;sub&gt;3.9&lt;/sub&gt; Mo &lt;sub&gt;1.1&lt;/sub&gt; O &lt;sub&gt;20.05&lt;/sub&gt; , 5.8 × 10 &lt;sup&gt;−4&lt;/sup&gt; S cm &lt;sup&gt;−1&lt;/sup&gt; , is remarkably high at 310 °C, and higher than Bi &lt;sub&gt;2&lt;/sub&gt; O &lt;sub&gt;3&lt;/sub&gt; - and zirconia-based materials. The high conductivity of Ba &lt;sub&gt;7&lt;/sub&gt; Nb &lt;sub&gt;3.9&lt;/sub&gt; Mo &lt;sub&gt;1.1&lt;/sub&gt; O &lt;sub&gt;20.05&lt;/sub&gt; is attributable to the interstitial-O5 oxygen site, providing two-dimensional oxide-ion O1−O5 interstitialcy diffusion through lattice-O1 and interstitial-O5 sites in the oxygen-deficient layer, and low activation energy for oxide-ion conductivity. Present findings demonstrate the ability of hexagonal perovskite related oxides as superior oxide-ion conductors. &lt;/p&gt;","author":[{"dropping-particle":"","family":"Yashima","given":"Masatomo","non-dropping-particle":"","parse-names":false,"suffix":""},{"dropping-particle":"","family":"Tsujiguchi","given":"Takafumi","non-dropping-particle":"","parse-names":false,"suffix":""},{"dropping-particle":"","family":"Sakuda","given":"Yuichi","non-dropping-particle":"","parse-names":false,"suffix":""},{"dropping-particle":"","family":"Yasui","given":"Yuta","non-dropping-particle":"","parse-names":false,"suffix":""},{"dropping-particle":"","family":"Zhou","given":"Yu","non-dropping-particle":"","parse-names":false,"suffix":""},{"dropping-particle":"","family":"Fujii","given":"Kotaro","non-dropping-particle":"","parse-names":false,"suffix":""},{"dropping-particle":"","family":"Torii","given":"Shuki","non-dropping-particle":"","parse-names":false,"suffix":""},{"dropping-particle":"","family":"Kamiyama","given":"Takashi","non-dropping-particle":"","parse-names":false,"suffix":""},{"dropping-particle":"","family":"Skinner","given":"Stephen J.","non-dropping-particle":"","parse-names":false,"suffix":""}],"container-title":"Nature Communications","id":"ITEM-3","issued":{"date-parts":[["2021","12","25"]]},"page":"556","publisher":"Nature Publishing Group","title":"High oxide-ion conductivity through the interstitial oxygen site in Ba&lt;sub&gt;7&lt;/sub&gt;Nb&lt;sub&gt;4&lt;/sub&gt;MoO&lt;sub&gt;20&lt;/sub&gt;-based hexagonal perovskite related oxides","type":"article-journal","volume":"12"},"uris":["http://www.mendeley.com/documents/?uuid=0fbd32b0-5507-38ac-879a-489b440434c5"]},{"id":"ITEM-4","itemData":{"DOI":"10.1002/SMLL.202106785","ISSN":"1613-6829","abstract":"fuel cells (SOFCs). [1-7] The high efficiency and fuel flexibility of SOFCs make them a promising technology for clean energy conversion. The development of SOFC devices requires materials with high oxide-ion conductivity and chemical and electrical stability. [2,3,8,9] However, commercially available oxide-ion electrolytes such as yttria-stabilized zirconia show sufficient conductivity only at temperatures above 700 °C, limiting the practical application of SOFCs in a wide range of fields. Therefore , there is a strong need for alternative materials with high ion conductivity at intermediate temperatures (300-600 °C). Discovery of oxide-ion conductors with new structures has been a challenging task. Since ion conduction in solid oxides is fundamentally related to their underlying crystal structures, high oxide-ion conductivity has been reported in a limited number of structure families. Examples include perovskites, [10-14] apatites, [15,16] fluorites, [17,18] and melilites, [19,20] among which perovskite-type oxides are one of the most well-studied structural families to date. The perovskite-type and related oxides can be broadly classified into four structural groups: a) AMO 3 perovskite-type, b) AMO 3-related, c) hexagonal perovskite-related, and d) modular structures. [21] Here, A and M represent, respectively, large and small cations. Many AMO 3 perovskites have been reported to be excellent oxide-ion conductors, such as LaGaO 3-based and Na 0.5 Bi 0.5 TiO 3-based materials. [11,12] Several compounds crystallizing in the AMX 3-related (e.g., a double perovskite PrBaCo 2 O 6−δ ; δ is the amount of oxygen deficiency) and modular structures (e.g., Dion-Jacobson phase CsBi 2 Ti 2 NbO 10−δ) have also been reported as promising oxide-ion conductors. [22-29] Hexagonal perovskite-related oxides are composed of hexagonal close-packed AO 3 (h) layers or sequences of hexagonal and cubic close-packed AO 3 (c) layers. [21,30-32] Oxygen-deficient AO 3−δ layers can be formed for both hexagonal and cubic layers (labeled h</w:instrText>
      </w:r>
      <w:r w:rsidRPr="001E3806">
        <w:rPr>
          <w:rFonts w:hint="eastAsia"/>
          <w:bCs/>
          <w:lang w:val="en-US"/>
        </w:rPr>
        <w:instrText>′</w:instrText>
      </w:r>
      <w:r w:rsidRPr="001E3806">
        <w:rPr>
          <w:bCs/>
          <w:lang w:val="en-US"/>
        </w:rPr>
        <w:instrText xml:space="preserve"> and c</w:instrText>
      </w:r>
      <w:r w:rsidRPr="001E3806">
        <w:rPr>
          <w:rFonts w:hint="eastAsia"/>
          <w:bCs/>
          <w:lang w:val="en-US"/>
        </w:rPr>
        <w:instrText>′</w:instrText>
      </w:r>
      <w:r w:rsidRPr="001E3806">
        <w:rPr>
          <w:bCs/>
          <w:lang w:val="en-US"/>
        </w:rPr>
        <w:instrText>, respectively). Despite the variety of crystal structures, pure oxide-ion conduction in hexagonal perovskite-related oxides has been limited so far, although electronic , proton, and mixed (oxide-ion and electronic) conductors have been reported in several compounds. [33-36] In 2016, significant oxide-ion conductivity was reported in Ba 3 NbMoO 8.5 , Solid oxide-ion conductors are crucial for enabling clean and efficient energy devices s…","author":[{"dropping-particle":"","family":"Murakami","given":"Taito","non-dropping-particle":"","parse-names":false,"suffix":""},{"dropping-particle":"","family":"Shibata","given":"Toshiya","non-dropping-particle":"","parse-names":false,"suffix":""},{"dropping-particle":"","family":"Yasui","given":"Yuta","non-dropping-particle":"","parse-names":false,"suffix":""},{"dropping-particle":"","family":"Fujii","given":"Kotaro","non-dropping-particle":"","parse-names":false,"suffix":""},{"dropping-particle":"","family":"Hester","given":"James R","non-dropping-particle":"","parse-names":false,"suffix":""},{"dropping-particle":"","family":"Yashima","given":"Masatomo","non-dropping-particle":"","parse-names":false,"suffix":""}],"container-title":"Small","id":"ITEM-4","issue":"10","issued":{"date-parts":[["2021","12","19"]]},"page":"2106785","publisher":"John Wiley &amp; Sons, Ltd","title":"High Oxide-Ion Conductivity in a Hexagonal Perovskite-Related Oxide Ba&lt;sub&gt;7&lt;/sub&gt;Ta&lt;sub&gt;3.7&lt;/sub&gt;Mo&lt;sub&gt;1.3&lt;/sub&gt;O&lt;sub&gt;20.15&lt;/sub&gt; with Cation Site Preference and Interstitial Oxide Ions","type":"article-journal","volume":"18"},"uris":["http://www.mendeley.com/documents/?uuid=4344c1cb-9ac5-31b2-8536-6b64b824c5d0"]},{"id":"ITEM-5","itemData":{"DOI":"10.2109/JCERSJ2.21192","ISSN":"1882-0743","abstract":"Oxide-ion conductors based on hexagonal perovskite-related oxide Ba 7 Nb 4 MoO 20 have attracted much attention due to high oxide-ion and proton conductivities and potential applications in many electrochemical devices such as solid oxide fuel cells (SOFCs). Herein, we report simultaneous improvement of oxide-ion conductivity and suppression of proton conductivity by Cr 6+ doping in Ba 7 Nb 4 MoO 20. New materials Ba 7 Nb 4¹x Cr x MoO 20+x/2 (x = 0.05, 0.1, 0.15, 0.2, 0.25, 0.3, 0.35, 0.4, 0.45, 0.5) were synthesized. It was found that Ba 7 Nb 3.8 Cr 0.2 MoO 20.1¹¤ (¤ is the amount of oxygen deficiency in Ba 7 Nb 3.8 Cr 0.2 MoO 20.1¹¤) exhibits high oxide-ion conductivity of 1.6 © 10 ¹3 S cm ¹1 at 508 °C and 1.1 © 10 ¹2 S cm ¹1 at 904 °C in static air and low proton transport number under wet conditions. Ba 7 Nb 3.8 Cr 0.2 MoO 20.1¹¤ also shows wide electrolyte domain in the oxygen partial pressure P(O 2) regions from 1 to 2.2 © 10 ¹27 atm (304 °C) and 1 to 1.5 © 10 ¹26 atm (604 °C), indicating extremely high chemical and electrical stability. The structure analyses have shown that Ba 7 Nb 3.8 Cr 0.2 MoO 20.1¹¤ is a hexagonal perovskite related oxide at 22 and 800 °C. The refined crystal structure of Ba 7 Nb 3.8 Cr 0.2 MoO 20.1¹¤ has oxygen-deficient cubic (c¤) close-packed Ba(O1) 2¹y (O5) z layer where y is the amount of oxygen vacancy at the tetrahedral O1 site and z is the amount of interstitial octahedral oxygen at the O5 site. The Cr bond valence sum indicates an oxidation number of +6: Cr 6+. The Cr 6+ cation is located at a crystallographic site near the c¤ layer, which leads to the excess oxygen and high conductivity, and is likely to suppress the proton conduction. Maximum-entropy method (MEM) analyses have demonstrated that oxide ions two-dimensionally migrate through the lattice O1 and interstitial O5 sites in the c¤ layer via the interstitialcy diffusion mechanism at 800 °C, which enables the high oxide-ion conduction. Cr 6+ doping in various hexagonal perovskite-related oxides would be a new strategy for the simultaneous improvement of oxide-ion conductivity and suppression of proton conduction.","author":[{"dropping-particle":"","family":"Sakuda","given":"Yuichi","non-dropping-particle":"","parse-names":false,"suffix":""},{"dropping-particle":"","family":"Hester","given":"James R.","non-dropping-particle":"","parse-names":false,"suffix":""},{"dropping-particle":"","family":"Yashima","given":"Masatomo","non-dropping-particle":"","parse-names":false,"suffix":""}],"container-title":"Journal of the Ceramic Society of Japan","id":"ITEM-5","issue":"7","issued":{"date-parts":[["2022","7","1"]]},"page":"442-447","publisher":"The Ceramic Society of Japan","title":"Improved oxide-ion and lower proton conduction of hexagonal perovskite-related oxides based on Ba&lt;sub&gt;7&lt;/sub&gt;Nb&lt;sub&gt;4&lt;/sub&gt;MoO&lt;sub&gt;20&lt;/sub&gt; by Cr&lt;sup&gt;6+&lt;/sup&gt; doping","type":"article-journal","volume":"130"},"uris":["http://www.mendeley.com/documents/?uuid=be3f2ac3-1d72-3873-83ed-991637e973f4"]},{"id":"ITEM-6","itemData":{"DOI":"10.1021/acs.inorgchem.2c00671","ISSN":"0020-1669","abstract":"Hexagonal perovskite-related oxides have garnered a great deal of research interest because of their high oxide-ion conductivity at intermediate temperatures, with Ba7Nb4MoO20 being a notable examp...","author":[{"dropping-particle":"","family":"Suzuki","given":"Yuki","non-dropping-particle":"","parse-names":false,"suffix":""},{"dropping-particle":"","family":"Murakami","given":"Taito","non-dropping-particle":"","parse-names":false,"suffix":""},{"dropping-particle":"","family":"Fujii","given":"Kotaro","non-dropping-particle":"","parse-names":false,"suffix":""},{"dropping-particle":"","family":"Hester","given":"James R.","non-dropping-particle":"","parse-names":false,"suffix":""},{"dropping-particle":"","family":"Yasui","given":"Yuta","non-dropping-particle":"","parse-names":false,"suffix":""},{"dropping-particle":"","family":"Yashima","given":"Masatomo","non-dropping-particle":"","parse-names":false,"suffix":""}],"container-title":"Inorganic Chemistry","id":"ITEM-6","issue":"19","issued":{"date-parts":[["2022","5","16"]]},"page":"7537-7545","publisher":"American Chemical Society","title":"Simultaneous Reduction of Proton Conductivity and Enhancement of Oxide-Ion Conductivity by Aliovalent Doping in Ba&lt;sub&gt;7&lt;/sub&gt;Nb&lt;sub&gt;4&lt;/sub&gt;MoO&lt;sub&gt;20&lt;/sub&gt;","type":"article-journal","volume":"61"},"uris":["http://www.mendeley.com/documents/?uuid=ba917795-60d9-371c-ade0-9075f22cc52e"]},{"id":"ITEM-7","itemData":{"DOI":"10.1002/ADFM.202206777","ISSN":"1616-3028","abstract":"Proton conductors are promising materials for clean energy, but most available materials exhibit sufficient conductivity only when chemically substituted to create oxygen vacancies, which often leads to difficulty in sample preparation and chemical instability. Recently, proton conductors based on hexagonal perovskite-related oxides have been attracting attention as they exhibit high proton conductivity even without the chemical substitutions. However, their conduction mechanism has been elusive so far. Herein, taking three types of oxides with different stacking patterns of oxygen-deficient layers (β-Ba2ScAlO5, α-Ba2Sc0.83Al1.17O5, and BaAl2O4) as examples, the roles of close-packed double-octahedral layers and oxygen-deficient layers in proton conduction are shown. It is found that “undoped” β-Ba2ScAlO5, which adopts a structure having alternating double-octahedral layer and double-tetrahedral layer with intrinsically oxygen-deficient hexagonal BaO (h') layer, shows high proton conductivity (≈10−3 S cm−1 above 300 °C), comparable to representative proton conductors. In c</w:instrText>
      </w:r>
      <w:r w:rsidRPr="001E3806">
        <w:rPr>
          <w:rFonts w:hint="eastAsia"/>
          <w:bCs/>
          <w:lang w:val="en-US"/>
        </w:rPr>
        <w:instrText xml:space="preserve">ontrast, the structurally related oxides </w:instrText>
      </w:r>
      <w:r w:rsidRPr="001E3806">
        <w:rPr>
          <w:rFonts w:hint="eastAsia"/>
          <w:bCs/>
          <w:lang w:val="en-US"/>
        </w:rPr>
        <w:instrText>α</w:instrText>
      </w:r>
      <w:r w:rsidRPr="001E3806">
        <w:rPr>
          <w:rFonts w:hint="eastAsia"/>
          <w:bCs/>
          <w:lang w:val="en-US"/>
        </w:rPr>
        <w:instrText xml:space="preserve">-Ba2Sc0.83Al1.17O5 and BaAl2O4 exhibit lower conductivity. Ab initio molecular dynamics simulations revealed that protons in </w:instrText>
      </w:r>
      <w:r w:rsidRPr="001E3806">
        <w:rPr>
          <w:rFonts w:hint="eastAsia"/>
          <w:bCs/>
          <w:lang w:val="en-US"/>
        </w:rPr>
        <w:instrText>β</w:instrText>
      </w:r>
      <w:r w:rsidRPr="001E3806">
        <w:rPr>
          <w:rFonts w:hint="eastAsia"/>
          <w:bCs/>
          <w:lang w:val="en-US"/>
        </w:rPr>
        <w:instrText>-Ba2ScAlO5 migrate through the double-octahedral layer, while the h</w:instrText>
      </w:r>
      <w:r w:rsidRPr="001E3806">
        <w:rPr>
          <w:rFonts w:hint="eastAsia"/>
          <w:bCs/>
          <w:lang w:val="en-US"/>
        </w:rPr>
        <w:instrText>′</w:instrText>
      </w:r>
      <w:r w:rsidRPr="001E3806">
        <w:rPr>
          <w:rFonts w:hint="eastAsia"/>
          <w:bCs/>
          <w:lang w:val="en-US"/>
        </w:rPr>
        <w:instrText xml:space="preserve"> layer plays the ro</w:instrText>
      </w:r>
      <w:r w:rsidRPr="001E3806">
        <w:rPr>
          <w:bCs/>
          <w:lang w:val="en-US"/>
        </w:rPr>
        <w:instrText>le of a “proton reservoir” that supplies proton carriers to the proton-conducting double-octahedral layers. The distinct roles of the two layers in proton conduction provide a strategy for developing high-performance proton conductors.","author":[{"dropping-particle":"","family":"Murakami","given":"Taito","non-dropping-particle":"","parse-names":false,"suffix":""},{"dropping-particle":"","family":"Avdeev","given":"Maxim","non-dropping-particle":"","parse-names":false,"suffix":""},{"dropping-particle":"","family":"Morikawa","given":"Riho","non-dropping-particle":"","parse-names":false,"suffix":""},{"dropping-particle":"","family":"Hester","given":"James R","non-dropping-particle":"","parse-names":false,"suffix":""},{"dropping-particle":"","family":"Yashima","given":"Masatomo","non-dropping-particle":"","parse-names":false,"suffix":""},{"dropping-particle":"","family":"Murakami","given":"T","non-dropping-particle":"","parse-names":false,"suffix":""},{"dropping-particle":"","family":"Avdeev","given":"M","non-dropping-particle":"","parse-names":false,"suffix":""},{"dropping-particle":"","family":"Morikawa","given":"R","non-dropping-particle":"","parse-names":false,"suffix":""},{"dropping-particle":"","family":"Yashima","given":"M","non-dropping-particle":"","parse-names":false,"suffix":""},{"dropping-particle":"","family":"Hester","given":"J R","non-dropping-particle":"","parse-names":false,"suffix":""}],"container-title":"Advanced Functional Materials","id":"ITEM-7","issue":"7","issued":{"date-parts":[["2023"]]},"page":"2206777","publisher":"John Wiley &amp; Sons, Ltd","title":"High Proton Conductivity in β-Ba&lt;sub&gt;2&lt;/sub&gt;ScAlO&lt;sub&gt;5 &lt;/sub&gt;Enabled by Octahedral and Intrinsically Oxygen-Deficient Layers","type":"article-journal","volume":"33"},"uris":["http://www.mendeley.com/documents/?uuid=3fd7b97b-6233-397e-a12d-b63b132c0362"]},{"id":"ITEM-8","itemData":{"DOI":"10.1016/J.RINMA.2022.100318","ISSN":"2590-048X","abstract":"The characteristics of two solid oxide fuel cells (SOFCs) were compared using Ba3MoNbO8.5 and Ba7Nb4MoO20 sintered at 1100 and 1300 °C, respectively, as electrolytes. The electrolyte-supported SOFC single cells, Pt ǀ Sm0.2Ce0.8O1.9 ǀ electrolyte ǀ Sm0.2Ce0.8O1.9 ǀ Pt, with an electrolyte thickness of 1.0 mm were prepared. The resistivity of the bulk + grain boundary components of Ba3MoNbO8.5 and Ba7Nb4MoO20 were 2.25k and 212 Ω cm, respectively, at 600 °C, and their apparent activation energies for ion conduction were 122.3 and 72.8 kJ mol−1, respectively at 450–600 °C. When the I–V curves were evaluated at 450–600 °C with the introduction of 3% H2 (N2 balance) and air to the anode and cathode, respectively, the open circuit voltages and maximum power outputs at 600 °C were 0.95 V and 1.3 mW cm−2 for Ba3MoNbO8.5 and 0.97 V and 9.3 mW cm−2 for Ba7Nb4MoO20, respectively.","author":[{"dropping-particle":"","family":"Nakayama","given":"Susumu","non-dropping-particle":"","parse-names":false,"suffix":""}],"container-title":"Results in Materials","id":"ITEM-8","issued":{"date-parts":[["2022","12","1"]]},"page":"100318","publisher":"Elsevier","title":"Characteristics of electrolyte-supported SOFC single cells using hexagonal perovskite Ba&lt;sub&gt;3&lt;/sub&gt;MoNbO&lt;sub&gt;8.5&lt;/sub&gt; and Ba&lt;sub&gt;7&lt;/sub&gt;Nb&lt;sub&gt;4&lt;/sub&gt;MoO&lt;sub&gt;20&lt;/sub&gt; ceramics","type":"article-journal","volume":"16"},"uris":["http://www.mendeley.com/documents/?uuid=23e301eb-5ffc-3678-b25b-ae2160941276"]},{"id":"ITEM-9","itemData":{"DOI":"10.33609/2708-129X.88.04.2022.63-78","ISSN":"2708-129X","abstract":"This work reports on the preparation and characterization of Sr2+-doped Ba7Nb4MoO20 powders prepared by a solid-state synthesis as promising materials for solid oxide fuel cells. The influence of synthesis parameters and strontium content (x = 0; 0.05; 0.10; 0.15; 0.20) on the phase composition and properties of (Ba1-xSrx)7Nb4MoO20 powders was studied. The results of the phase analysis show that (Ba1-xSrx)7Nb4MoO20 (x = 0; 0.05; 0.10) powders with a minimum amount of secondary phases can be obtained after at least three repeated synthesis cycles at 1060–1080 оС for 10 h. According to the laser diffraction analysis, the synthesized powders comprise particles with a polydisperse size distribution spreading from 0.05 μm to 12 μm and average particle size of 2.1 μm. Electron microscopy observations support these findings and demonstrate that the particles and their aggregates have rounded irregular shape. Moreover, it was found that the morphology and particle size of the powder does not depend on the strontium content. Doping (Ba1-xSrx)7Nb4MoO20 with 15 mol.% and 20 mol.% Sr2+ leads to the formation of a significant amount of secondary phases due to exceeding the solubility limit of strontium, thus making these compositions unsuitable for use in solid oxide fuel cells.","author":[{"dropping-particle":"","family":"Bezdorozhev","given":"Oleksii","non-dropping-particle":"","parse-names":false,"suffix":""},{"dropping-particle":"","family":"Solodkyi","given":"Ievgen","non-dropping-particle":"","parse-names":false,"suffix":""},{"dropping-particle":"","family":"Ostroverkh","given":"Anna","non-dropping-particle":"","parse-names":false,"suffix":""},{"dropping-particle":"","family":"Morozov","given":"Igor","non-dropping-particle":"","parse-names":false,"suffix":""},{"dropping-particle":"","family":"Ostroverkh","given":"Yevhenii","non-dropping-particle":"","parse-names":false,"suffix":""},{"dropping-particle":"","family":"Solonin","given":"Yuriy","non-dropping-particle":"","parse-names":false,"suffix":""}],"container-title":"Ukrainian Chemistry Journal","id":"ITEM-9","issue":"4","issued":{"date-parts":[["2022","5","25"]]},"page":"63-78","publisher":"V.I. Vernadsky Institute of General and Inorganic Chemistry","title":"SYNTHESIS AND CHARACTERIZATION OF (Ba&lt;sub&gt;1−&lt;i&gt;х&lt;/i&gt;&lt;/sub&gt;Sr&lt;sub&gt;&lt;i&gt;х&lt;/i&gt;&lt;/sub&gt;)&lt;sub&gt;7&lt;/sub&gt;Nb&lt;sub&gt;4&lt;/sub&gt;MoO&lt;sub&gt;20&lt;/sub&gt;  POWDERS FOR PROTON-CONDUCTING SOLID OXIDE FUEL CELLS","type":"article-journal","volume":"88"},"uris":["http://www.mendeley.com/documents/?uuid=61a711cc-a35c-396b-b022-d8e6347b6a42"]},{"id":"ITEM-10","itemData":{"DOI":"10.1039/D4TA01540A","ISSN":"2050-7496","abstract":"Ba7Nb4MoO20-based hexagonal perovskite derivatives are promising oxygen-ion conductors for solid electrolytes in solid-oxide fuel cells and electrolysers. A thorough understanding of chemical substitution and its impact on structural features conducive to high ionic conductivity is fundamental for decreasing the operation temperature of such devices. Here, a new 7H polytype-based composition, namely Ba7Nb3.9−xVxMo1.1O20.05, is investigated to assess the effect of vanadium substitution. Structural changes upon V incorporation are studied using X-ray and neutron diffraction, as well as 51V and 93Nb solid-state nuclear magnetic resonance spectroscopy. For the undoped composition at room temperature, two distinct oxygen sites (O1 and O5) are found along the palmierite-like layer, corresponding to a mix of four- and six-fold coordination for adjacent M2 cations. At high temperature (527 °C), reorganization of oxygen results in the major occupation of O1 and four-fold (tetrahedral) coordination of the M2 cations. The same rearrangement is observed upon V-substitution, but already at room temperature. From 51V NMR, we identified a tetrahedral coordination for V5+ cations, indicating their preferential occupation of the M2 site. This preferential occupation by V5+ cations is correlated with increasing tetrahedral coordination of Nb5+ cations as observed from 93Nb NMR. Altogether, these observations indicate that V-substitution impacts the oxygen sublattice so as to mimic the high-temperature structure. Additionally, BVSE calculations demonstrate a decreasing energy barrier for O2− migration associated with the presence of vanadium in the structure. This conclusion corroborates the hypothesis that vanadium's propensity for a lower coordination number is beneficial for promoting high O2− mobility in this promising class of oxide-ion conductors.","author":[{"dropping-particle":"","family":"Biffo","given":"Abdulkadir Olatunbosun","non-dropping-particle":"","parse-names":false,"suffix":""},{"dropping-particle":"","family":"Famprikis","given":"Theodosios","non-dropping-particle":"","parse-names":false,"suffix":""},{"dropping-particle":"","family":"Groszewicz","given":"Pedro B.","non-dropping-particle":"","parse-names":false,"suffix":""}],"container-title":"Journal of Materials Chemistry A","id":"ITEM-10","issue":"43","issued":{"date-parts":[["2024","11","5"]]},"page":"30082-30095","publisher":"The Royal Society of Chemistry","title":"The role of vanadium substitution in the oxygen sublattice disorder of Ba7Nb4MoO20-based hexagonal perovskite oxide-ion conductors","type":"article-journal","volume":"12"},"uris":["http://www.mendeley.com/documents/?uuid=1ae9f433-a22d-37eb-91a1-2f7378646266"]},{"id":"ITEM-11","itemData":{"DOI":"10.1021/ACS.CHEMMATER.3C01194/SUPPL_FILE/CM3C01194_SI_001.PDF","ISSN":"15205002","abstract":"Hexagonal perovskite-related oxides have been of significant interest in recent years for their potential applications in electrochemical devices, particularly as solid electrolytes in fuel cells and electrolysis cells. The anisotropy of proton migration in these materials has been playing a critical role in their performance, but the underlying mechanisms and factors governing this anisotropy remain poorly understood. In this study, using the {0001}-plane preferentially oriented Ba5Er2Al2ZrO13 (BEAZ) hexagonal perovskite electrolyte-supported cell as a model system, we reveal the anisotropic characteristics of the proton conduction behavior. By controlling the orientation of the grains in the BEAZ thin film via the surface energy-driven secondary grain growth phenomenon, we demonstrate that proton migration in BEAZ is more favorable in the lateral direction than in the vertical direction. More importantly, density functional theory calculations and ab initio molecular dynamics simulations suggest that anisotropic proton migration in the lateral direction is preferred through the perovskite-like layer rather than the intrinsically oxygen-deficient layer. Our study demonstrates that an electrostatic neutral perovskite-like layer in hexagonal perovskite-related oxides should not be overlooked as a key parameter for achieving higher proton conduction kinetics.","author":[{"dropping-particle":"","family":"Youn","given":"Yong","non-dropping-particle":"","parse-names":false,"suffix":""},{"dropping-particle":"","family":"Hussain","given":"Basharat","non-dropping-particle":"","parse-names":false,"suffix":""},{"dropping-particle":"","family":"Ullah","given":"Abid","non-dropping-particle":"","parse-names":false,"suffix":""},{"dropping-particle":"","family":"Hwang","given":"In Jun","non-dropping-particle":"","parse-names":false,"suffix":""},{"dropping-particle":"","family":"Shin","given":"Jiweon","non-dropping-particle":"","parse-names":false,"suffix":""},{"dropping-particle":"","family":"Hong","given":"Jong Eun","non-dropping-particle":"","parse-names":false,"suffix":""},{"dropping-particle":"","family":"Joh","given":"Dong Woo","non-dropping-particle":"","parse-names":false,"suffix":""},{"dropping-particle":"","family":"Lee","given":"Seung Bok","non-dropping-particle":"","parse-names":false,"suffix":""},{"dropping-particle":"","family":"Song","given":"Rak Hyun","non-dropping-particle":"","parse-names":false,"suffix":""},{"dropping-particle":"","family":"Park","given":"Seok Joo","non-dropping-particle":"","parse-names":false,"suffix":""},{"dropping-particle":"","family":"Kim","given":"Tae Woo","non-dropping-particle":"","parse-names":false,"suffix":""},{"dropping-particle":"","family":"Choi","given":"Yoonseok","non-dropping-particle":"","parse-names":false,"suffix":""},{"dropping-particle":"","family":"Lim","given":"Tak Hyoung","non-dropping-particle":"","parse-names":false,"suffix":""},{"dropping-particle":"","family":"Kim","given":"Hye Sung","non-dropping-particle":"","parse-names":false,"suffix":""}],"container-title":"Chemistry of Materials","id":"ITEM-11","issue":"22","issued":{"date-parts":[["2023","11","28"]]},"page":"9493-9504","publisher":"American Chemical Society","title":"Anisotropic Proton Migration in Hexagonal Perovskite-Related Ba5Er2Al2ZrO13 Oxide","type":"article-journal","volume":"35"},"uris":["http://www.mendeley.com/documents/?uuid=b840cbdb-7898-3b11-9cd5-17383087b889"]},{"id":"ITEM-12","itemData":{"DOI":"10.1021/JACS.4C04325/ASSET/IMAGES/LARGE/JA4C04325_0006.JPEG","ISSN":"15205126","PMID":"38917482","abstract":"Proton conductors have potential applications such as fuel cells, electrolysis cells, and sensors. These applications require new materials with high proton conductivity and high chemical stability at intermediate temperatures. Herein we report a series of new hexagonal perovskite-related oxides, Ba5R2Al2SnO13 (R = Gd, Dy, Ho, Y, Er, Tm, and Yb). Ba5Er2Al2SnO13 exhibited a high proton conductivity without chemical doping (e.g., 0.01 S cm-1 at 303 °C), which is attributed to its high proton concentration and diffusion coefficient. The high diffusion coefficient of Ba5Er2Al2SnO13 can be attributed to the fast proton migration in the octahedral layers. The high proton concentration is attributed to full hydration in hydrated Ba5Er2Al2SnO13 and the large amount of intrinsic oxygen vacancies in the dry sample, as evidenced by both neutron diffraction and thermogravimetric analysis. Ba5Er2Al2SnO13 was found to exhibit high chemical stability under wet atmospheres of O2, air, H2, and CO2. High proton conductivity and high chemical stability indicate that Ba5Er2Al2SnO13 is a superior proton conductor. Ba5R2Al2SnO13 (R = Gd, Dy, Ho, Y, Tm, and Yb) exhibited high electrical conductivity in wet N2, suggesting that these materials also exhibit high proton conductivity. These findings will open new avenues for proton conductors. The high proton conductivity via full hydration and fast proton migration in octahedral layers in highly oxygen-deficient hexagonal perovskite-related materials would be an effective strategy for developing next-generation proton conductors.","author":[{"dropping-particle":"","family":"Matsuzaki","given":"Kohei","non-dropping-particle":"","parse-names":false,"suffix":""},{"dropping-particle":"","family":"Saito","given":"Kei","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Journal of the American Chemical Society","id":"ITEM-12","issue":"27","issued":{"date-parts":[["2024","7","10"]]},"page":"18544-18555","publisher":"American Chemical Society","title":"High Proton Conduction in the Octahedral Layers of Fully Hydrated Hexagonal Perovskite-Related Oxides","type":"article-journal","volume":"146"},"uris":["http://www.mendeley.com/documents/?uuid=af5b62f4-e8b2-39f9-8506-576c8c04ed6e"]}],"mendeley":{"formattedCitation":"&lt;sup&gt;29,31–41&lt;/sup&gt;","plainTextFormattedCitation":"29,31–41","previouslyFormattedCitation":"&lt;sup&gt;29,31,40,41,32–39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29,31–41</w:t>
      </w:r>
      <w:r w:rsidRPr="001E3806">
        <w:rPr>
          <w:bCs/>
          <w:lang w:val="en-US"/>
        </w:rPr>
        <w:fldChar w:fldCharType="end"/>
      </w:r>
    </w:p>
    <w:p w14:paraId="354C56DF" w14:textId="77777777" w:rsidR="0061024F" w:rsidRPr="001E3806" w:rsidRDefault="0061024F" w:rsidP="0061024F">
      <w:pPr>
        <w:pStyle w:val="RSCB02ArticleText"/>
        <w:ind w:firstLine="284"/>
        <w:rPr>
          <w:bCs/>
          <w:lang w:val="en-US"/>
        </w:rPr>
      </w:pPr>
      <w:r w:rsidRPr="001E3806">
        <w:rPr>
          <w:bCs/>
          <w:lang w:val="en-US"/>
        </w:rPr>
        <w:t xml:space="preserve">  Dual-ion, oxide-ion, and proton conductors generally exhibit both oxide-ion and proton conduction. The key transport properties of these charge carriers in oxide materials, such as transport number, oxide-ion conductivity, proton conductivity, oxide-ion diffusion coefficient, and proton diffusion coefficient, play a crucial role in the performance and applicability of these three types of conductors. In many proton-conducting materials, protons can be incorporated by hydration of dry materials. However, the transport properties in hydrated materials are unresolved issues.</w:t>
      </w:r>
    </w:p>
    <w:p w14:paraId="4CAD6F98" w14:textId="4ACD4D6A" w:rsidR="0061024F" w:rsidRPr="001E3806" w:rsidRDefault="0061024F" w:rsidP="0061024F">
      <w:pPr>
        <w:pStyle w:val="RSCB02ArticleText"/>
        <w:ind w:firstLine="284"/>
        <w:rPr>
          <w:bCs/>
          <w:lang w:val="en-US"/>
        </w:rPr>
      </w:pPr>
      <w:r w:rsidRPr="001E3806">
        <w:rPr>
          <w:bCs/>
          <w:lang w:val="en-US"/>
        </w:rPr>
        <w:t xml:space="preserve">  There are two important oxide-ion diffusion mechanisms.</w:t>
      </w:r>
      <w:r w:rsidRPr="001E3806">
        <w:rPr>
          <w:bCs/>
          <w:lang w:val="en-US"/>
        </w:rPr>
        <w:fldChar w:fldCharType="begin" w:fldLock="1"/>
      </w:r>
      <w:r w:rsidRPr="001E3806">
        <w:rPr>
          <w:bCs/>
          <w:lang w:val="en-US"/>
        </w:rPr>
        <w:instrText>ADDIN CSL_CITATION {"citationItems":[{"id":"ITEM-1","itemData":{"DOI":"10.2109/jcersj2.117.1055","ISSN":"1882-0743","abstract":"A brief review on the field of Solid State Ionics, including the diffusion pathway of mobile ions, crystal structure and materials, is presented. In the fluorite-structured ionic conductors such as ceria solid solution Ce 0.93Y0.07O1.96, bismuth oxide solid solution δ-Bi1.4Yb0.6O3 and copper iodide CuI, a similar curved diffusion pathway along the &lt;100&gt; directions is observed. In the ionic and mixed conductors with the cubic ABO3 perovskite-type structure such as lanthanum gallate and lanthanum cobaltite solid solutions, the mobile ions diffuse along a curved line keeping the interatomic distance between the B cation and O2-anion to some degree. The structure and diffusion path of double-perovskite-type La0.64Ti0.92Nb0. 08O2.99, K2NiF4-type (Pr0.9La 0.1)2(Ni0.74Cu0.21Ga 0.05)O4+δ , and apatite-type La 9.69(Si5.70Mg0.30)O26.24 are described. The diffusion paths of Li+ ions in La 0.62Li0.16TiO3 and Li0.6FePO 4 are two-and one-dimensional, respectively. ©2009 The Ceramic Society of Japan.","author":[{"dropping-particle":"","family":"Yashima","given":"Masatomo","non-dropping-particle":"","parse-names":false,"suffix":""}],"container-title":"Journal of the Ceramic Society of Japan","id":"ITEM-1","issue":"1370","issued":{"date-parts":[["2009"]]},"page":"1055-1059","publisher":"Ceramic Society of Japan","title":"Diffusion pathway of mobile ions and crystal structure of ionic and mixed conductors - A brief review","type":"article-journal","volume":"117"},"uris":["http://www.mendeley.com/documents/?uuid=6c159c90-1e65-3b51-af77-0f6fea97d13b"]},{"id":"ITEM-2","itemData":{"DOI":"10.1038/s41467-020-20859-w","ISSN":"2041-1723","abstract":"&lt;p&gt; Oxide-ion conductors are important in various applications such as solid-oxide fuel cells. Although zirconia-based materials are widely utilized, there remains a strong motivation to discover electrolyte materials with higher conductivity that lowers the working temperature of fuel cells, reducing cost. Oxide-ion conductors with hexagonal perovskite related structures are rare. Herein, we report oxide-ion conductors based on a hexagonal perovskite-related oxide Ba &lt;sub&gt;7&lt;/sub&gt; Nb &lt;sub&gt;4&lt;/sub&gt; MoO &lt;sub&gt;20&lt;/sub&gt; . Ba &lt;sub&gt;7&lt;/sub&gt; Nb &lt;sub&gt;3.9&lt;/sub&gt; Mo &lt;sub&gt;1.1&lt;/sub&gt; O &lt;sub&gt;20.05&lt;/sub&gt; shows a wide stability range and predominantly oxide-ion conduction in an oxygen partial pressure range from 2 × 10 &lt;sup&gt;−26&lt;/sup&gt; to 1 atm at 600 °C. Surprisingly, bulk conductivity of Ba &lt;sub&gt;7&lt;/sub&gt; Nb &lt;sub&gt;3.9&lt;/sub&gt; Mo &lt;sub&gt;1.1&lt;/sub&gt; O &lt;sub&gt;20.05&lt;/sub&gt; , 5.8 × 10 &lt;sup&gt;−4&lt;/sup&gt; S cm &lt;sup&gt;−1&lt;/sup&gt; , is remarkably high at 310 °C, and higher than Bi &lt;sub&gt;2&lt;/sub&gt; O &lt;sub&gt;3&lt;/sub&gt; - and zirconia-based materials. The high conductivity of Ba &lt;sub&gt;7&lt;/sub&gt; Nb &lt;sub&gt;3.9&lt;/sub&gt; Mo &lt;sub&gt;1.1&lt;/sub&gt; O &lt;sub&gt;20.05&lt;/sub&gt; is attributable to the interstitial-O5 oxygen site, providing two-dimensional oxide-ion O1−O5 interstitialcy diffusion through lattice-O1 and interstitial-O5 sites in the oxygen-deficient layer, and low activation energy for oxide-ion conductivity. Present findings demonstrate the ability of hexagonal perovskite related oxides as superior oxide-ion conductors. &lt;/p&gt;","author":[{"dropping-particle":"","family":"Yashima","given":"Masatomo","non-dropping-particle":"","parse-names":false,"suffix":""},{"dropping-particle":"","family":"Tsujiguchi","given":"Takafumi","non-dropping-particle":"","parse-names":false,"suffix":""},{"dropping-particle":"","family":"Sakuda","given":"Yuichi","non-dropping-particle":"","parse-names":false,"suffix":""},{"dropping-particle":"","family":"Yasui","given":"Yuta","non-dropping-particle":"","parse-names":false,"suffix":""},{"dropping-particle":"","family":"Zhou","given":"Yu","non-dropping-particle":"","parse-names":false,"suffix":""},{"dropping-particle":"","family":"Fujii","given":"Kotaro","non-dropping-particle":"","parse-names":false,"suffix":""},{"dropping-particle":"","family":"Torii","given":"Shuki","non-dropping-particle":"","parse-names":false,"suffix":""},{"dropping-particle":"","family":"Kamiyama","given":"Takashi","non-dropping-particle":"","parse-names":false,"suffix":""},{"dropping-particle":"","family":"Skinner","given":"Stephen J.","non-dropping-particle":"","parse-names":false,"suffix":""}],"container-title":"Nature Communications","id":"ITEM-2","issued":{"date-parts":[["2021","12","25"]]},"page":"556","publisher":"Nature Publishing Group","title":"High oxide-ion conductivity through the interstitial oxygen site in Ba&lt;sub&gt;7&lt;/sub&gt;Nb&lt;sub&gt;4&lt;/sub&gt;MoO&lt;sub&gt;20&lt;/sub&gt;-based hexagonal perovskite related oxides","type":"article-journal","volume":"12"},"uris":["http://www.mendeley.com/documents/?uuid=0fbd32b0-5507-38ac-879a-489b440434c5"]},{"id":"ITEM-3","itemData":{"DOI":"10.1021/ACS.CHEMREV.2C00913","ISSN":"0009-2665","abstract":"This Review presents an overview from the perspective of tetrahedral chemistry on various oxide ion-conducting materials containing tetrahedral moieties which have received continuous growing atten...","author":[{"dropping-particle":"","family":"Yang","given":"Xiaoyan","non-dropping-particle":"","parse-names":false,"suffix":""},{"dropping-particle":"","family":"Fernández-Carrión","given":"Alberto J.","non-dropping-particle":"","parse-names":false,"suffix":""},{"dropping-particle":"","family":"Kuang","given":"Xiaojun","non-dropping-particle":"","parse-names":false,"suffix":""}],"container-title":"Chemical Reviews","id":"ITEM-3","issue":"25","issued":{"date-parts":[["2023","7","24"]]},"page":"9356–9396","publisher":"American Chemical Society","title":"Oxide Ion-Conducting Materials Containing Tetrahedral Moieties: Structures and Conduction Mechanisms","type":"article-journal","volume":"123"},"uris":["http://www.mendeley.com/documents/?uuid=d3401f72-1ee2-377c-a43c-5cadbd3e5b7d"]}],"mendeley":{"formattedCitation":"&lt;sup&gt;11,34,42&lt;/sup&gt;","plainTextFormattedCitation":"11,34,42","previouslyFormattedCitation":"&lt;sup&gt;9,32,42&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11,34,42</w:t>
      </w:r>
      <w:r w:rsidRPr="001E3806">
        <w:rPr>
          <w:bCs/>
          <w:lang w:val="en-US"/>
        </w:rPr>
        <w:fldChar w:fldCharType="end"/>
      </w:r>
      <w:r w:rsidRPr="001E3806">
        <w:rPr>
          <w:bCs/>
          <w:lang w:val="en-US"/>
        </w:rPr>
        <w:t xml:space="preserve"> One is the conventional oxygen vacancy </w:t>
      </w:r>
      <w:r w:rsidRPr="001E3806">
        <w:rPr>
          <w:bCs/>
          <w:lang w:val="en-US"/>
        </w:rPr>
        <w:lastRenderedPageBreak/>
        <w:t xml:space="preserve">diffusion mechanism, and the other is the interstitialcy diffusion mechanism, also referred to as the kick-off or push-pull mechanism. Firstly, we consider an </w:t>
      </w:r>
      <w:proofErr w:type="spellStart"/>
      <w:r w:rsidRPr="001E3806">
        <w:rPr>
          <w:bCs/>
          <w:i/>
          <w:lang w:val="en-US"/>
        </w:rPr>
        <w:t>A</w:t>
      </w:r>
      <w:r w:rsidRPr="001E3806">
        <w:rPr>
          <w:bCs/>
          <w:lang w:val="en-US"/>
        </w:rPr>
        <w:t>O</w:t>
      </w:r>
      <w:r w:rsidRPr="001E3806">
        <w:rPr>
          <w:bCs/>
          <w:i/>
          <w:vertAlign w:val="subscript"/>
          <w:lang w:val="en-US"/>
        </w:rPr>
        <w:t>n</w:t>
      </w:r>
      <w:proofErr w:type="spellEnd"/>
      <w:r w:rsidRPr="001E3806">
        <w:rPr>
          <w:bCs/>
          <w:vertAlign w:val="subscript"/>
          <w:lang w:val="en-US"/>
        </w:rPr>
        <w:t>–</w:t>
      </w:r>
      <w:r w:rsidRPr="001E3806">
        <w:rPr>
          <w:bCs/>
          <w:i/>
          <w:vertAlign w:val="subscript"/>
          <w:lang w:val="en-US"/>
        </w:rPr>
        <w:t>δ</w:t>
      </w:r>
      <w:r w:rsidRPr="001E3806">
        <w:rPr>
          <w:bCs/>
          <w:lang w:val="en-US"/>
        </w:rPr>
        <w:t xml:space="preserve"> oxide-ion conductor via the oxygen vacancy mechanism. Here the </w:t>
      </w:r>
      <w:r w:rsidRPr="001E3806">
        <w:rPr>
          <w:bCs/>
          <w:i/>
          <w:lang w:val="en-US"/>
        </w:rPr>
        <w:t>A</w:t>
      </w:r>
      <w:r w:rsidRPr="001E3806">
        <w:rPr>
          <w:bCs/>
          <w:lang w:val="en-US"/>
        </w:rPr>
        <w:t xml:space="preserve"> denotes cations, </w:t>
      </w:r>
      <w:r w:rsidRPr="001E3806">
        <w:rPr>
          <w:bCs/>
          <w:i/>
          <w:lang w:val="en-US"/>
        </w:rPr>
        <w:t>n</w:t>
      </w:r>
      <w:r w:rsidRPr="001E3806">
        <w:rPr>
          <w:bCs/>
          <w:lang w:val="en-US"/>
        </w:rPr>
        <w:t xml:space="preserve"> represents the number of oxygen atoms, and the </w:t>
      </w:r>
      <w:r w:rsidRPr="001E3806">
        <w:rPr>
          <w:bCs/>
          <w:i/>
          <w:lang w:val="en-US"/>
        </w:rPr>
        <w:t>δ</w:t>
      </w:r>
      <w:r w:rsidRPr="001E3806">
        <w:rPr>
          <w:bCs/>
          <w:lang w:val="en-US"/>
        </w:rPr>
        <w:t xml:space="preserve"> denotes the amount of oxygen vacancies (e.g., </w:t>
      </w:r>
      <w:r w:rsidRPr="001E3806">
        <w:rPr>
          <w:bCs/>
          <w:i/>
          <w:lang w:val="en-US"/>
        </w:rPr>
        <w:t>A</w:t>
      </w:r>
      <w:r w:rsidRPr="001E3806">
        <w:rPr>
          <w:bCs/>
          <w:lang w:val="en-US"/>
        </w:rPr>
        <w:t xml:space="preserve"> = BaZr</w:t>
      </w:r>
      <w:r w:rsidRPr="001E3806">
        <w:rPr>
          <w:bCs/>
          <w:vertAlign w:val="subscript"/>
          <w:lang w:val="en-US"/>
        </w:rPr>
        <w:t>0.8</w:t>
      </w:r>
      <w:r w:rsidRPr="001E3806">
        <w:rPr>
          <w:bCs/>
          <w:lang w:val="en-US"/>
        </w:rPr>
        <w:t>Y</w:t>
      </w:r>
      <w:r w:rsidRPr="001E3806">
        <w:rPr>
          <w:bCs/>
          <w:vertAlign w:val="subscript"/>
          <w:lang w:val="en-US"/>
        </w:rPr>
        <w:t>0.2</w:t>
      </w:r>
      <w:r w:rsidRPr="001E3806">
        <w:rPr>
          <w:bCs/>
          <w:lang w:val="en-US"/>
        </w:rPr>
        <w:t xml:space="preserve"> and </w:t>
      </w:r>
      <w:r w:rsidRPr="001E3806">
        <w:rPr>
          <w:bCs/>
          <w:i/>
          <w:lang w:val="en-US"/>
        </w:rPr>
        <w:t>n</w:t>
      </w:r>
      <w:r w:rsidRPr="001E3806">
        <w:rPr>
          <w:bCs/>
          <w:lang w:val="en-US"/>
        </w:rPr>
        <w:t xml:space="preserve"> = 3 for BaZr</w:t>
      </w:r>
      <w:r w:rsidRPr="001E3806">
        <w:rPr>
          <w:bCs/>
          <w:vertAlign w:val="subscript"/>
          <w:lang w:val="en-US"/>
        </w:rPr>
        <w:t>0.8</w:t>
      </w:r>
      <w:r w:rsidRPr="001E3806">
        <w:rPr>
          <w:bCs/>
          <w:lang w:val="en-US"/>
        </w:rPr>
        <w:t>Y</w:t>
      </w:r>
      <w:r w:rsidRPr="001E3806">
        <w:rPr>
          <w:bCs/>
          <w:vertAlign w:val="subscript"/>
          <w:lang w:val="en-US"/>
        </w:rPr>
        <w:t>0.2</w:t>
      </w:r>
      <w:r w:rsidRPr="001E3806">
        <w:rPr>
          <w:bCs/>
          <w:lang w:val="en-US"/>
        </w:rPr>
        <w:t>O</w:t>
      </w:r>
      <w:r w:rsidRPr="001E3806">
        <w:rPr>
          <w:bCs/>
          <w:vertAlign w:val="subscript"/>
          <w:lang w:val="en-US"/>
        </w:rPr>
        <w:t>2.9</w:t>
      </w:r>
      <w:r w:rsidRPr="001E3806">
        <w:rPr>
          <w:bCs/>
          <w:lang w:val="en-US"/>
        </w:rPr>
        <w:t>). By hydration, water (H</w:t>
      </w:r>
      <w:r w:rsidRPr="001E3806">
        <w:rPr>
          <w:bCs/>
          <w:vertAlign w:val="subscript"/>
          <w:lang w:val="en-US"/>
        </w:rPr>
        <w:t>2</w:t>
      </w:r>
      <w:r w:rsidRPr="001E3806">
        <w:rPr>
          <w:bCs/>
          <w:lang w:val="en-US"/>
        </w:rPr>
        <w:t>O) can be incorporated as follows:</w:t>
      </w:r>
    </w:p>
    <w:p w14:paraId="349EF81B" w14:textId="5D08AEA1" w:rsidR="0061024F" w:rsidRPr="001E3806" w:rsidRDefault="0061024F" w:rsidP="0061024F">
      <w:pPr>
        <w:pStyle w:val="RSCB02ArticleText"/>
        <w:ind w:firstLine="284"/>
        <w:rPr>
          <w:bCs/>
          <w:lang w:val="en-US"/>
        </w:rPr>
      </w:pPr>
      <w:proofErr w:type="spellStart"/>
      <w:r w:rsidRPr="001E3806">
        <w:rPr>
          <w:bCs/>
          <w:i/>
          <w:iCs/>
          <w:lang w:val="en-US"/>
        </w:rPr>
        <w:t>A</w:t>
      </w:r>
      <w:r w:rsidRPr="001E3806">
        <w:rPr>
          <w:bCs/>
          <w:lang w:val="en-US"/>
        </w:rPr>
        <w:t>O</w:t>
      </w:r>
      <w:r w:rsidRPr="001E3806">
        <w:rPr>
          <w:bCs/>
          <w:i/>
          <w:vertAlign w:val="subscript"/>
          <w:lang w:val="en-US"/>
        </w:rPr>
        <w:t>n</w:t>
      </w:r>
      <w:r w:rsidRPr="001E3806">
        <w:rPr>
          <w:bCs/>
          <w:vertAlign w:val="subscript"/>
          <w:lang w:val="en-US"/>
        </w:rPr>
        <w:t>−</w:t>
      </w:r>
      <w:r w:rsidRPr="001E3806">
        <w:rPr>
          <w:bCs/>
          <w:i/>
          <w:vertAlign w:val="subscript"/>
          <w:lang w:val="en-US"/>
        </w:rPr>
        <w:t>δ</w:t>
      </w:r>
      <w:r w:rsidR="00762FE7" w:rsidRPr="001E3806">
        <w:rPr>
          <w:bCs/>
          <w:lang w:val="en-US"/>
        </w:rPr>
        <w:t>V</w:t>
      </w:r>
      <w:r w:rsidRPr="001E3806">
        <w:rPr>
          <w:bCs/>
          <w:i/>
          <w:vertAlign w:val="subscript"/>
          <w:lang w:val="en-US"/>
        </w:rPr>
        <w:t>δ</w:t>
      </w:r>
      <w:proofErr w:type="spellEnd"/>
      <w:r w:rsidRPr="001E3806">
        <w:rPr>
          <w:bCs/>
          <w:i/>
          <w:lang w:val="en-US"/>
        </w:rPr>
        <w:t xml:space="preserve"> </w:t>
      </w:r>
      <w:r w:rsidRPr="001E3806">
        <w:rPr>
          <w:bCs/>
          <w:lang w:val="en-US"/>
        </w:rPr>
        <w:t xml:space="preserve">+ </w:t>
      </w:r>
      <w:r w:rsidRPr="001E3806">
        <w:rPr>
          <w:bCs/>
          <w:i/>
          <w:iCs/>
          <w:lang w:val="en-US"/>
        </w:rPr>
        <w:t>x</w:t>
      </w:r>
      <w:r w:rsidRPr="001E3806">
        <w:rPr>
          <w:bCs/>
          <w:lang w:val="en-US"/>
        </w:rPr>
        <w:t>H</w:t>
      </w:r>
      <w:r w:rsidRPr="001E3806">
        <w:rPr>
          <w:bCs/>
          <w:vertAlign w:val="subscript"/>
          <w:lang w:val="en-US"/>
        </w:rPr>
        <w:t>2</w:t>
      </w:r>
      <w:r w:rsidRPr="001E3806">
        <w:rPr>
          <w:bCs/>
          <w:lang w:val="en-US"/>
        </w:rPr>
        <w:t xml:space="preserve">O → </w:t>
      </w:r>
      <w:r w:rsidRPr="001E3806">
        <w:rPr>
          <w:bCs/>
          <w:i/>
          <w:iCs/>
          <w:lang w:val="en-US"/>
        </w:rPr>
        <w:t>A</w:t>
      </w:r>
      <w:r w:rsidRPr="001E3806">
        <w:rPr>
          <w:bCs/>
          <w:lang w:val="en-US"/>
        </w:rPr>
        <w:t>O</w:t>
      </w:r>
      <w:r w:rsidRPr="001E3806">
        <w:rPr>
          <w:bCs/>
          <w:i/>
          <w:vertAlign w:val="subscript"/>
          <w:lang w:val="en-US"/>
        </w:rPr>
        <w:t>n</w:t>
      </w:r>
      <w:r w:rsidRPr="001E3806">
        <w:rPr>
          <w:bCs/>
          <w:vertAlign w:val="subscript"/>
          <w:lang w:val="en-US"/>
        </w:rPr>
        <w:t>−</w:t>
      </w:r>
      <w:r w:rsidRPr="001E3806">
        <w:rPr>
          <w:bCs/>
          <w:i/>
          <w:vertAlign w:val="subscript"/>
          <w:lang w:val="en-US"/>
        </w:rPr>
        <w:t>δ</w:t>
      </w:r>
      <w:r w:rsidRPr="001E3806">
        <w:rPr>
          <w:bCs/>
          <w:vertAlign w:val="subscript"/>
          <w:lang w:val="en-US"/>
        </w:rPr>
        <w:t>+</w:t>
      </w:r>
      <w:r w:rsidRPr="001E3806">
        <w:rPr>
          <w:bCs/>
          <w:i/>
          <w:iCs/>
          <w:vertAlign w:val="subscript"/>
          <w:lang w:val="en-US"/>
        </w:rPr>
        <w:t>x</w:t>
      </w:r>
      <w:bookmarkStart w:id="1" w:name="_Hlk199647772"/>
      <w:r w:rsidR="00731481" w:rsidRPr="001E3806">
        <w:rPr>
          <w:bCs/>
          <w:lang w:val="en-US"/>
        </w:rPr>
        <w:t>V</w:t>
      </w:r>
      <w:r w:rsidRPr="001E3806">
        <w:rPr>
          <w:bCs/>
          <w:i/>
          <w:vertAlign w:val="subscript"/>
          <w:lang w:val="en-US"/>
        </w:rPr>
        <w:t>δ</w:t>
      </w:r>
      <w:r w:rsidRPr="001E3806">
        <w:rPr>
          <w:bCs/>
          <w:vertAlign w:val="subscript"/>
          <w:lang w:val="en-US"/>
        </w:rPr>
        <w:t>−</w:t>
      </w:r>
      <w:r w:rsidRPr="001E3806">
        <w:rPr>
          <w:bCs/>
          <w:i/>
          <w:iCs/>
          <w:vertAlign w:val="subscript"/>
          <w:lang w:val="en-US"/>
        </w:rPr>
        <w:t>x</w:t>
      </w:r>
      <w:bookmarkEnd w:id="1"/>
      <w:r w:rsidRPr="001E3806">
        <w:rPr>
          <w:bCs/>
          <w:lang w:val="en-US"/>
        </w:rPr>
        <w:t>H</w:t>
      </w:r>
      <w:r w:rsidRPr="001E3806">
        <w:rPr>
          <w:bCs/>
          <w:vertAlign w:val="subscript"/>
          <w:lang w:val="en-US"/>
        </w:rPr>
        <w:t>2</w:t>
      </w:r>
      <w:r w:rsidRPr="001E3806">
        <w:rPr>
          <w:bCs/>
          <w:i/>
          <w:iCs/>
          <w:vertAlign w:val="subscript"/>
          <w:lang w:val="en-US"/>
        </w:rPr>
        <w:t>x</w:t>
      </w:r>
      <w:r w:rsidRPr="001E3806">
        <w:rPr>
          <w:bCs/>
          <w:lang w:val="en-US"/>
        </w:rPr>
        <w:t xml:space="preserve">  </w:t>
      </w:r>
      <w:proofErr w:type="gramStart"/>
      <w:r w:rsidRPr="001E3806">
        <w:rPr>
          <w:bCs/>
          <w:lang w:val="en-US"/>
        </w:rPr>
        <w:t xml:space="preserve">   (</w:t>
      </w:r>
      <w:proofErr w:type="gramEnd"/>
      <w:r w:rsidRPr="001E3806">
        <w:rPr>
          <w:bCs/>
          <w:lang w:val="en-US"/>
        </w:rPr>
        <w:t>1)</w:t>
      </w:r>
    </w:p>
    <w:p w14:paraId="51A0EE23" w14:textId="15258D58" w:rsidR="0061024F" w:rsidRPr="001E3806" w:rsidRDefault="0061024F" w:rsidP="007237F9">
      <w:pPr>
        <w:pStyle w:val="RSCB02ArticleText"/>
        <w:rPr>
          <w:bCs/>
          <w:lang w:val="en-US"/>
        </w:rPr>
      </w:pPr>
      <w:r w:rsidRPr="001E3806">
        <w:rPr>
          <w:bCs/>
          <w:lang w:val="en-US"/>
        </w:rPr>
        <w:t xml:space="preserve">where the </w:t>
      </w:r>
      <w:r w:rsidRPr="001E3806">
        <w:rPr>
          <w:bCs/>
          <w:i/>
          <w:lang w:val="en-US"/>
        </w:rPr>
        <w:t>x</w:t>
      </w:r>
      <w:r w:rsidRPr="001E3806">
        <w:rPr>
          <w:bCs/>
          <w:lang w:val="en-US"/>
        </w:rPr>
        <w:t xml:space="preserve"> denotes the amount of water uptake and </w:t>
      </w:r>
      <w:r w:rsidR="00762FE7" w:rsidRPr="001E3806">
        <w:rPr>
          <w:bCs/>
          <w:lang w:val="en-US"/>
        </w:rPr>
        <w:t xml:space="preserve">V </w:t>
      </w:r>
      <w:r w:rsidRPr="001E3806">
        <w:rPr>
          <w:bCs/>
          <w:lang w:val="en-US"/>
        </w:rPr>
        <w:t>represents the oxygen vacancy. Here, the contributions of electrons and electron holes are assumed to be negligible. An example of the defect reaction for hydration can be expressed using the Kröger-Vink notation as follows:</w:t>
      </w:r>
    </w:p>
    <w:p w14:paraId="25DC95C0" w14:textId="5CAC1E64" w:rsidR="0061024F" w:rsidRPr="001E3806" w:rsidRDefault="00000000" w:rsidP="0061024F">
      <w:pPr>
        <w:pStyle w:val="RSCB02ArticleText"/>
        <w:ind w:firstLine="284"/>
        <w:rPr>
          <w:bCs/>
          <w:lang w:val="en-US"/>
        </w:rPr>
      </w:pPr>
      <m:oMath>
        <m:sSubSup>
          <m:sSubSupPr>
            <m:ctrlPr>
              <w:rPr>
                <w:rFonts w:ascii="Cambria Math" w:hAnsi="Cambria Math"/>
                <w:bCs/>
                <w:lang w:val="en-US"/>
              </w:rPr>
            </m:ctrlPr>
          </m:sSubSupPr>
          <m:e>
            <m:r>
              <m:rPr>
                <m:sty m:val="p"/>
              </m:rPr>
              <w:rPr>
                <w:rFonts w:ascii="Cambria Math" w:hAnsi="Cambria Math"/>
                <w:lang w:val="en-US"/>
              </w:rPr>
              <m:t>O</m:t>
            </m:r>
          </m:e>
          <m:sub>
            <m:r>
              <m:rPr>
                <m:sty m:val="p"/>
              </m:rPr>
              <w:rPr>
                <w:rFonts w:ascii="Cambria Math" w:hAnsi="Cambria Math"/>
                <w:lang w:val="en-US"/>
              </w:rPr>
              <m:t>O</m:t>
            </m:r>
          </m:sub>
          <m:sup>
            <m:r>
              <m:rPr>
                <m:sty m:val="p"/>
              </m:rPr>
              <w:rPr>
                <w:rFonts w:ascii="Cambria Math" w:hAnsi="Cambria Math"/>
                <w:lang w:val="en-US"/>
              </w:rPr>
              <m:t>×</m:t>
            </m:r>
          </m:sup>
        </m:sSubSup>
      </m:oMath>
      <w:r w:rsidR="0061024F" w:rsidRPr="001E3806">
        <w:rPr>
          <w:bCs/>
          <w:lang w:val="en-US"/>
        </w:rPr>
        <w:t xml:space="preserve"> + </w:t>
      </w:r>
      <m:oMath>
        <m:sSubSup>
          <m:sSubSupPr>
            <m:ctrlPr>
              <w:rPr>
                <w:rFonts w:ascii="Cambria Math" w:hAnsi="Cambria Math"/>
                <w:bCs/>
                <w:lang w:val="en-US"/>
              </w:rPr>
            </m:ctrlPr>
          </m:sSubSupPr>
          <m:e>
            <m:r>
              <m:rPr>
                <m:sty m:val="p"/>
              </m:rPr>
              <w:rPr>
                <w:rFonts w:ascii="Cambria Math" w:hAnsi="Cambria Math"/>
                <w:lang w:val="en-US"/>
              </w:rPr>
              <m:t>V</m:t>
            </m:r>
          </m:e>
          <m:sub>
            <m:r>
              <m:rPr>
                <m:sty m:val="p"/>
              </m:rPr>
              <w:rPr>
                <w:rFonts w:ascii="Cambria Math" w:hAnsi="Cambria Math"/>
                <w:lang w:val="en-US"/>
              </w:rPr>
              <m:t>O</m:t>
            </m:r>
          </m:sub>
          <m:sup>
            <m:r>
              <m:rPr>
                <m:sty m:val="p"/>
              </m:rPr>
              <w:rPr>
                <w:rFonts w:ascii="Cambria Math" w:hAnsi="Cambria Math"/>
                <w:lang w:val="en-US"/>
              </w:rPr>
              <m:t>∙∙</m:t>
            </m:r>
          </m:sup>
        </m:sSubSup>
      </m:oMath>
      <w:r w:rsidR="0061024F" w:rsidRPr="001E3806">
        <w:rPr>
          <w:bCs/>
          <w:lang w:val="en-US"/>
        </w:rPr>
        <w:t xml:space="preserve"> + H</w:t>
      </w:r>
      <w:r w:rsidR="0061024F" w:rsidRPr="001E3806">
        <w:rPr>
          <w:bCs/>
          <w:vertAlign w:val="subscript"/>
          <w:lang w:val="en-US"/>
        </w:rPr>
        <w:t>2</w:t>
      </w:r>
      <w:r w:rsidR="0061024F" w:rsidRPr="001E3806">
        <w:rPr>
          <w:bCs/>
          <w:lang w:val="en-US"/>
        </w:rPr>
        <w:t>O → 2</w:t>
      </w:r>
      <m:oMath>
        <m:r>
          <m:rPr>
            <m:sty m:val="p"/>
          </m:rPr>
          <w:rPr>
            <w:rFonts w:ascii="Cambria Math" w:hAnsi="Cambria Math"/>
            <w:lang w:val="en-US"/>
          </w:rPr>
          <m:t>(</m:t>
        </m:r>
        <m:sSubSup>
          <m:sSubSupPr>
            <m:ctrlPr>
              <w:rPr>
                <w:rFonts w:ascii="Cambria Math" w:hAnsi="Cambria Math"/>
                <w:bCs/>
                <w:lang w:val="en-US"/>
              </w:rPr>
            </m:ctrlPr>
          </m:sSubSupPr>
          <m:e>
            <m:r>
              <m:rPr>
                <m:sty m:val="p"/>
              </m:rPr>
              <w:rPr>
                <w:rFonts w:ascii="Cambria Math" w:hAnsi="Cambria Math"/>
                <w:lang w:val="en-US"/>
              </w:rPr>
              <m:t>OH</m:t>
            </m:r>
          </m:e>
          <m:sub>
            <m:r>
              <m:rPr>
                <m:sty m:val="p"/>
              </m:rPr>
              <w:rPr>
                <w:rFonts w:ascii="Cambria Math" w:hAnsi="Cambria Math"/>
                <w:lang w:val="en-US"/>
              </w:rPr>
              <m:t>O</m:t>
            </m:r>
          </m:sub>
          <m:sup>
            <m:r>
              <m:rPr>
                <m:sty m:val="p"/>
              </m:rPr>
              <w:rPr>
                <w:rFonts w:ascii="Cambria Math" w:hAnsi="Cambria Math"/>
                <w:lang w:val="en-US"/>
              </w:rPr>
              <m:t xml:space="preserve"> ∙</m:t>
            </m:r>
          </m:sup>
        </m:sSubSup>
        <m:r>
          <w:rPr>
            <w:rFonts w:ascii="Cambria Math" w:hAnsi="Cambria Math"/>
            <w:lang w:val="en-US"/>
          </w:rPr>
          <m:t>)</m:t>
        </m:r>
      </m:oMath>
      <w:r w:rsidR="0061024F" w:rsidRPr="001E3806">
        <w:rPr>
          <w:bCs/>
          <w:lang w:val="en-US"/>
        </w:rPr>
        <w:t xml:space="preserve">       </w:t>
      </w:r>
      <w:proofErr w:type="gramStart"/>
      <w:r w:rsidR="0061024F" w:rsidRPr="001E3806">
        <w:rPr>
          <w:bCs/>
          <w:lang w:val="en-US"/>
        </w:rPr>
        <w:t xml:space="preserve">   (</w:t>
      </w:r>
      <w:proofErr w:type="gramEnd"/>
      <w:r w:rsidR="0061024F" w:rsidRPr="001E3806">
        <w:rPr>
          <w:bCs/>
          <w:lang w:val="en-US"/>
        </w:rPr>
        <w:t>2).</w:t>
      </w:r>
    </w:p>
    <w:p w14:paraId="66D027C2" w14:textId="77777777" w:rsidR="0064156E" w:rsidRPr="001E3806" w:rsidRDefault="0061024F" w:rsidP="007237F9">
      <w:pPr>
        <w:pStyle w:val="RSCB02ArticleText"/>
        <w:rPr>
          <w:bCs/>
          <w:lang w:val="en-US"/>
        </w:rPr>
      </w:pPr>
      <w:r w:rsidRPr="001E3806">
        <w:rPr>
          <w:bCs/>
          <w:lang w:val="en-US"/>
        </w:rPr>
        <w:t xml:space="preserve">The amount of water uptake </w:t>
      </w:r>
      <w:r w:rsidRPr="001E3806">
        <w:rPr>
          <w:bCs/>
          <w:i/>
          <w:lang w:val="en-US"/>
        </w:rPr>
        <w:t>x</w:t>
      </w:r>
      <w:r w:rsidRPr="001E3806">
        <w:rPr>
          <w:bCs/>
          <w:lang w:val="en-US"/>
        </w:rPr>
        <w:t xml:space="preserve"> increases with hydration, thus, the amount of oxygen vacancies (</w:t>
      </w:r>
      <w:r w:rsidRPr="001E3806">
        <w:rPr>
          <w:bCs/>
          <w:i/>
          <w:lang w:val="en-US"/>
        </w:rPr>
        <w:t>δ</w:t>
      </w:r>
      <w:r w:rsidRPr="001E3806">
        <w:rPr>
          <w:bCs/>
          <w:lang w:val="en-US"/>
        </w:rPr>
        <w:t>−</w:t>
      </w:r>
      <w:r w:rsidRPr="001E3806">
        <w:rPr>
          <w:bCs/>
          <w:i/>
          <w:iCs/>
          <w:lang w:val="en-US"/>
        </w:rPr>
        <w:t>x</w:t>
      </w:r>
      <w:r w:rsidRPr="001E3806">
        <w:rPr>
          <w:bCs/>
          <w:lang w:val="en-US"/>
        </w:rPr>
        <w:t>) decreases with hydration (Eq. 1). Therefore, the oxide-ion conductivity is expected to decrease by hydration. Indeed, the hydration-driven reduction of oxide-ion conductivity and diffusion coefficient can be seen in the literature.</w:t>
      </w:r>
      <w:r w:rsidRPr="001E3806">
        <w:rPr>
          <w:bCs/>
          <w:lang w:val="en-US"/>
        </w:rPr>
        <w:fldChar w:fldCharType="begin" w:fldLock="1"/>
      </w:r>
      <w:r w:rsidRPr="001E3806">
        <w:rPr>
          <w:bCs/>
          <w:lang w:val="en-US"/>
        </w:rPr>
        <w:instrText>ADDIN CSL_CITATION {"citationItems":[{"id":"ITEM-1","itemData":{"DOI":"10.1016/J.JPOWSOUR.2013.06.155","ISSN":"0378-7753","abstract":"Analysis of transport numbers is critical for assessing the suitability of an ion-conducting material for a given electrochemical application and the conditions for its employment. In this work, the proton, oxide-ion and electron transport numbers of the candidate protonic ceramic electrolyser and fuel cell material SrZr0.9Y0.1O3-δ (with the addition of 4 mol% ZnO as sintering aid) are measured in wet and dry oxidising atmospheres in the temperature range 700-850 C. The determination of proton transport numbers is analysed in detail, encompassing the suitability of equivalent circuits in different conditions and the inclusion of an external parallel resistance for the correction of electrode-polarisation effects (Gorelov method). It is confirmed that transport numbers are highly inaccurate if no polarisation correction is applied. In dry oxidising conditions oxide-ion transport numbers, to, lie in the range 0.63-0.78. The conductivity in wet oxidising conditions is dominated by protons and an electronic component, with the proton transport number increasing from 0.79 to 0.88 with increasing pH2O in the range 1.1 × 10-3 ≤ pH2O ≤ 1.27 × 10-2 atm at 700 C. © 2013 Elsevier B.V. All rights reserved.","author":[{"dropping-particle":"","family":"Pérez-Coll","given":"Domingo","non-dropping-particle":"","parse-names":false,"suffix":""},{"dropping-particle":"","family":"Heras-Juaristi","given":"Gemma","non-dropping-particle":"","parse-names":false,"suffix":""},{"dropping-particle":"","family":"Fagg","given":"Duncan P.","non-dropping-particle":"","parse-names":false,"suffix":""},{"dropping-particle":"","family":"Mather","given":"Glenn C.","non-dropping-particle":"","parse-names":false,"suffix":""}],"container-title":"Journal of Power Sources","id":"ITEM-1","issued":{"date-parts":[["2014","1","1"]]},"page":"445-455","publisher":"Elsevier","title":"Transport-number determination of a protonic ceramic electrolyte membrane via electrode-polarisation correction with the Gorelov method","type":"article-journal","volume":"245"},"uris":["http://www.mendeley.com/documents/?uuid=829d8083-30a4-33f8-92ee-08b6c76e84de"]},{"id":"ITEM-2","itemData":{"DOI":"10.1021/ACS.JPCLETT.2C00970/SUPPL_FILE/JZ2C00970_SI_001.PDF","ISSN":"19487185","PMID":"35506709","abstract":"Water incorporation into perovskite oxides generates protonic defects in the form of hydroxide ions. In this study, an indirect method to probe the thermodynamics of water incorporation is demonstrated. Acceptor-doped single-crystal samples of SrTiO3 were subjected to H218O/H216O exchange annealing at temperatures of 723 &lt; T/K &lt; 1023 at a water partial pressure of pH2O = 0.1 bar; from 18O diffusion profiles, measured by secondary ion mass spectrometry, oxygen tracer diffusion coefficients DO* were obtained. The decreased values of DO* for wet (relative to dry) conditions yielded ΔhydH = −(73 ± 15) kJ mol−1 and ΔhydS = −(148 ± 18) J mol−1 K−1 as the hydration enthalpy and entropy of SrTiO3. For T &lt; 1023 K and this pH2O, the experiments also indicate that oxygen exchange from H2O(g) is faster than that from O2(g) (with a lower activation enthalpy) and that the surface space-charge potential is decreased under wet conditions.","author":[{"dropping-particle":"","family":"Kler","given":"Joe","non-dropping-particle":"","parse-names":false,"suffix":""},{"dropping-particle":"","family":"Souza","given":"Roger A.","non-dropping-particle":"De","parse-names":false,"suffix":""}],"container-title":"Journal of Physical Chemistry Letters","id":"ITEM-2","issue":"18","issued":{"date-parts":[["2022"]]},"page":"4133-4138","publisher":"American Chemical Society","title":"Hydration Entropy and Enthalpy of a Perovskite Oxide from Oxygen Tracer Diffusion Experiments","type":"article-journal","volume":"13"},"uris":["http://www.mendeley.com/documents/?uuid=d5f7a3fb-8940-3dab-bc5e-5d5a9da8f576"]}],"mendeley":{"formattedCitation":"&lt;sup&gt;43,44&lt;/sup&gt;","plainTextFormattedCitation":"43,44","previouslyFormattedCitation":"&lt;sup&gt;43,44&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43,44</w:t>
      </w:r>
      <w:r w:rsidRPr="001E3806">
        <w:rPr>
          <w:bCs/>
          <w:lang w:val="en-US"/>
        </w:rPr>
        <w:fldChar w:fldCharType="end"/>
      </w:r>
      <w:r w:rsidRPr="001E3806">
        <w:rPr>
          <w:bCs/>
          <w:lang w:val="en-US"/>
        </w:rPr>
        <w:t xml:space="preserve"> </w:t>
      </w:r>
    </w:p>
    <w:p w14:paraId="1A69A2D8" w14:textId="5ACC3312" w:rsidR="0061024F" w:rsidRPr="001E3806" w:rsidRDefault="0061024F" w:rsidP="0064156E">
      <w:pPr>
        <w:pStyle w:val="RSCB02ArticleText"/>
        <w:ind w:firstLine="284"/>
        <w:rPr>
          <w:bCs/>
          <w:lang w:val="en-US"/>
        </w:rPr>
      </w:pPr>
      <w:r w:rsidRPr="001E3806">
        <w:rPr>
          <w:bCs/>
          <w:lang w:val="en-US"/>
        </w:rPr>
        <w:t>Next, we consider an</w:t>
      </w:r>
      <w:r w:rsidRPr="001E3806">
        <w:rPr>
          <w:rFonts w:hint="eastAsia"/>
          <w:bCs/>
          <w:lang w:val="en-US"/>
        </w:rPr>
        <w:t xml:space="preserve"> </w:t>
      </w:r>
      <w:proofErr w:type="spellStart"/>
      <w:r w:rsidRPr="001E3806">
        <w:rPr>
          <w:bCs/>
          <w:i/>
          <w:lang w:val="en-US"/>
        </w:rPr>
        <w:t>A</w:t>
      </w:r>
      <w:r w:rsidRPr="001E3806">
        <w:rPr>
          <w:bCs/>
          <w:lang w:val="en-US"/>
        </w:rPr>
        <w:t>O</w:t>
      </w:r>
      <w:r w:rsidRPr="001E3806">
        <w:rPr>
          <w:bCs/>
          <w:i/>
          <w:vertAlign w:val="subscript"/>
          <w:lang w:val="en-US"/>
        </w:rPr>
        <w:t>n</w:t>
      </w:r>
      <w:proofErr w:type="spellEnd"/>
      <w:r w:rsidRPr="001E3806">
        <w:rPr>
          <w:bCs/>
          <w:lang w:val="en-US"/>
        </w:rPr>
        <w:t xml:space="preserve"> oxide-ion conductor via the interstitialcy diffusion mechanism. Here the </w:t>
      </w:r>
      <w:r w:rsidRPr="001E3806">
        <w:rPr>
          <w:bCs/>
          <w:i/>
          <w:lang w:val="en-US"/>
        </w:rPr>
        <w:t>A</w:t>
      </w:r>
      <w:r w:rsidRPr="001E3806">
        <w:rPr>
          <w:bCs/>
          <w:lang w:val="en-US"/>
        </w:rPr>
        <w:t xml:space="preserve"> denotes cations</w:t>
      </w:r>
      <w:r w:rsidR="00762FE7" w:rsidRPr="001E3806">
        <w:rPr>
          <w:bCs/>
          <w:lang w:val="en-US"/>
        </w:rPr>
        <w:t xml:space="preserve"> and</w:t>
      </w:r>
      <w:r w:rsidRPr="001E3806">
        <w:rPr>
          <w:bCs/>
          <w:lang w:val="en-US"/>
        </w:rPr>
        <w:t xml:space="preserve"> </w:t>
      </w:r>
      <w:r w:rsidRPr="001E3806">
        <w:rPr>
          <w:bCs/>
          <w:i/>
          <w:lang w:val="en-US"/>
        </w:rPr>
        <w:t>n</w:t>
      </w:r>
      <w:r w:rsidRPr="001E3806">
        <w:rPr>
          <w:bCs/>
          <w:lang w:val="en-US"/>
        </w:rPr>
        <w:t xml:space="preserve"> is number of oxygen atoms (e.g., </w:t>
      </w:r>
      <w:r w:rsidR="00762FE7" w:rsidRPr="001E3806">
        <w:rPr>
          <w:bCs/>
          <w:i/>
          <w:lang w:val="en-US"/>
        </w:rPr>
        <w:t>A</w:t>
      </w:r>
      <w:r w:rsidR="00762FE7" w:rsidRPr="001E3806">
        <w:rPr>
          <w:bCs/>
          <w:lang w:val="en-US"/>
        </w:rPr>
        <w:t xml:space="preserve"> = Ba</w:t>
      </w:r>
      <w:r w:rsidR="00762FE7" w:rsidRPr="001E3806">
        <w:rPr>
          <w:bCs/>
          <w:vertAlign w:val="subscript"/>
          <w:lang w:val="en-US"/>
        </w:rPr>
        <w:t>7</w:t>
      </w:r>
      <w:r w:rsidR="00762FE7" w:rsidRPr="001E3806">
        <w:rPr>
          <w:bCs/>
          <w:lang w:val="en-US"/>
        </w:rPr>
        <w:t>Nb</w:t>
      </w:r>
      <w:r w:rsidR="00762FE7" w:rsidRPr="001E3806">
        <w:rPr>
          <w:bCs/>
          <w:vertAlign w:val="subscript"/>
          <w:lang w:val="en-US"/>
        </w:rPr>
        <w:t>4</w:t>
      </w:r>
      <w:r w:rsidR="00762FE7" w:rsidRPr="001E3806">
        <w:rPr>
          <w:bCs/>
          <w:lang w:val="en-US"/>
        </w:rPr>
        <w:t xml:space="preserve">Mo and </w:t>
      </w:r>
      <w:r w:rsidR="00762FE7" w:rsidRPr="001E3806">
        <w:rPr>
          <w:bCs/>
          <w:i/>
          <w:lang w:val="en-US"/>
        </w:rPr>
        <w:t>n</w:t>
      </w:r>
      <w:r w:rsidR="00762FE7" w:rsidRPr="001E3806">
        <w:rPr>
          <w:bCs/>
          <w:lang w:val="en-US"/>
        </w:rPr>
        <w:t xml:space="preserve"> = 20 for Ba</w:t>
      </w:r>
      <w:r w:rsidR="00762FE7" w:rsidRPr="001E3806">
        <w:rPr>
          <w:bCs/>
          <w:vertAlign w:val="subscript"/>
          <w:lang w:val="en-US"/>
        </w:rPr>
        <w:t>7</w:t>
      </w:r>
      <w:r w:rsidR="00762FE7" w:rsidRPr="001E3806">
        <w:rPr>
          <w:bCs/>
          <w:lang w:val="en-US"/>
        </w:rPr>
        <w:t>Nb</w:t>
      </w:r>
      <w:r w:rsidR="00762FE7" w:rsidRPr="001E3806">
        <w:rPr>
          <w:bCs/>
          <w:vertAlign w:val="subscript"/>
          <w:lang w:val="en-US"/>
        </w:rPr>
        <w:t>4</w:t>
      </w:r>
      <w:r w:rsidR="00762FE7" w:rsidRPr="001E3806">
        <w:rPr>
          <w:bCs/>
          <w:lang w:val="en-US"/>
        </w:rPr>
        <w:t>MoO</w:t>
      </w:r>
      <w:r w:rsidR="00762FE7" w:rsidRPr="001E3806">
        <w:rPr>
          <w:bCs/>
          <w:vertAlign w:val="subscript"/>
          <w:lang w:val="en-US"/>
        </w:rPr>
        <w:t>20</w:t>
      </w:r>
      <w:r w:rsidR="00762FE7" w:rsidRPr="001E3806">
        <w:rPr>
          <w:bCs/>
          <w:lang w:val="en-US"/>
        </w:rPr>
        <w:t xml:space="preserve">; </w:t>
      </w:r>
      <w:r w:rsidRPr="001E3806">
        <w:rPr>
          <w:bCs/>
          <w:i/>
          <w:lang w:val="en-US"/>
        </w:rPr>
        <w:t>A</w:t>
      </w:r>
      <w:r w:rsidRPr="001E3806">
        <w:rPr>
          <w:bCs/>
          <w:lang w:val="en-US"/>
        </w:rPr>
        <w:t xml:space="preserve"> = Pr</w:t>
      </w:r>
      <w:r w:rsidRPr="001E3806">
        <w:rPr>
          <w:bCs/>
          <w:vertAlign w:val="subscript"/>
          <w:lang w:val="en-US"/>
        </w:rPr>
        <w:t>2</w:t>
      </w:r>
      <w:r w:rsidRPr="001E3806">
        <w:rPr>
          <w:bCs/>
          <w:lang w:val="en-US"/>
        </w:rPr>
        <w:t>Ni</w:t>
      </w:r>
      <w:r w:rsidRPr="001E3806">
        <w:rPr>
          <w:bCs/>
          <w:vertAlign w:val="subscript"/>
          <w:lang w:val="en-US"/>
        </w:rPr>
        <w:t>0.75</w:t>
      </w:r>
      <w:r w:rsidRPr="001E3806">
        <w:rPr>
          <w:bCs/>
          <w:lang w:val="en-US"/>
        </w:rPr>
        <w:t>Cu</w:t>
      </w:r>
      <w:r w:rsidRPr="001E3806">
        <w:rPr>
          <w:bCs/>
          <w:vertAlign w:val="subscript"/>
          <w:lang w:val="en-US"/>
        </w:rPr>
        <w:t>0.25</w:t>
      </w:r>
      <w:r w:rsidRPr="001E3806">
        <w:rPr>
          <w:bCs/>
          <w:lang w:val="en-US"/>
        </w:rPr>
        <w:t xml:space="preserve"> and </w:t>
      </w:r>
      <w:r w:rsidRPr="001E3806">
        <w:rPr>
          <w:bCs/>
          <w:i/>
          <w:lang w:val="en-US"/>
        </w:rPr>
        <w:t>n</w:t>
      </w:r>
      <w:r w:rsidRPr="001E3806">
        <w:rPr>
          <w:bCs/>
          <w:lang w:val="en-US"/>
        </w:rPr>
        <w:t xml:space="preserve"> = 4</w:t>
      </w:r>
      <w:r w:rsidR="00EA346A" w:rsidRPr="001E3806">
        <w:rPr>
          <w:bCs/>
          <w:lang w:val="en-US"/>
        </w:rPr>
        <w:t>.19</w:t>
      </w:r>
      <w:r w:rsidRPr="001E3806">
        <w:rPr>
          <w:bCs/>
          <w:lang w:val="en-US"/>
        </w:rPr>
        <w:t xml:space="preserve"> for Pr</w:t>
      </w:r>
      <w:r w:rsidRPr="001E3806">
        <w:rPr>
          <w:bCs/>
          <w:vertAlign w:val="subscript"/>
          <w:lang w:val="en-US"/>
        </w:rPr>
        <w:t>2</w:t>
      </w:r>
      <w:r w:rsidRPr="001E3806">
        <w:rPr>
          <w:bCs/>
          <w:lang w:val="en-US"/>
        </w:rPr>
        <w:t>Ni</w:t>
      </w:r>
      <w:r w:rsidRPr="001E3806">
        <w:rPr>
          <w:bCs/>
          <w:vertAlign w:val="subscript"/>
          <w:lang w:val="en-US"/>
        </w:rPr>
        <w:t>0.75</w:t>
      </w:r>
      <w:r w:rsidRPr="001E3806">
        <w:rPr>
          <w:bCs/>
          <w:lang w:val="en-US"/>
        </w:rPr>
        <w:t>Cu</w:t>
      </w:r>
      <w:r w:rsidRPr="001E3806">
        <w:rPr>
          <w:bCs/>
          <w:vertAlign w:val="subscript"/>
          <w:lang w:val="en-US"/>
        </w:rPr>
        <w:t>0.25</w:t>
      </w:r>
      <w:r w:rsidRPr="001E3806">
        <w:rPr>
          <w:bCs/>
          <w:lang w:val="en-US"/>
        </w:rPr>
        <w:t>O</w:t>
      </w:r>
      <w:r w:rsidRPr="001E3806">
        <w:rPr>
          <w:bCs/>
          <w:vertAlign w:val="subscript"/>
          <w:lang w:val="en-US"/>
        </w:rPr>
        <w:t>4</w:t>
      </w:r>
      <w:r w:rsidR="00EA346A" w:rsidRPr="001E3806">
        <w:rPr>
          <w:bCs/>
          <w:vertAlign w:val="subscript"/>
          <w:lang w:val="en-US"/>
        </w:rPr>
        <w:t>.19</w:t>
      </w:r>
      <w:r w:rsidR="00762FE7" w:rsidRPr="001E3806">
        <w:rPr>
          <w:bCs/>
          <w:lang w:val="en-US"/>
        </w:rPr>
        <w:t xml:space="preserve"> (Ref. </w:t>
      </w:r>
      <w:r w:rsidRPr="001E3806">
        <w:rPr>
          <w:bCs/>
          <w:lang w:val="en-US"/>
        </w:rPr>
        <w:fldChar w:fldCharType="begin" w:fldLock="1"/>
      </w:r>
      <w:r w:rsidRPr="001E3806">
        <w:rPr>
          <w:bCs/>
          <w:lang w:val="en-US"/>
        </w:rPr>
        <w:instrText>ADDIN CSL_CITATION {"citationItems":[{"id":"ITEM-1","itemData":{"DOI":"10.1021/cm3021287","ISSN":"0897-4756","abstract":"We have investigated the crystal structure, nuclear- and electron-density distributions, electronic structure, and oxygen permeation rate of three K 2NiF 4-type oxides of Pr 2(Ni 0.75Cu 0.25) 0.95Ga 0.05O 4+δ, Pr 2Ni 0.75Cu 0.25O 4+δ, and Sr 2Ti 0.9Co 0.1O 4-ε, in order to study the role of d 10 Ga 3+, Jahn-Teller Cu 2+, and interstitial oxygen O3 in the high oxygen diffusivity of Pr 2(Ni 0.75Cu 0.25) 0.95Ga 0.05O 4+δ. The composition Pr 2(Ni 0.75Cu 0.25) 0.95Ga 0.05O 4+δ has a larger amount of interstitial oxygen O3 atoms (δ = 0.31 at room temperature (RT)) compared with Pr 2Ni 0.75Cu 0.25O 4+δ (δ = 0.19 at RT) and the oxygen deficient Sr 2Ti 0.9Co 0.1O 4-ε (ε = 0.02 at RT). The interstitial O3 atom is stabilized by (1) the substitution of (Ni,Cu) 2+ by higher valence Ga 3+, (2) static atomic displacements of the apical O2 oxygen, and (3) local relaxation near d 10 Ga 3+. Nuclear-density distributions of Pr 2(Ni 0.75Cu 0.25) 0.95Ga 0.05O 4+δ and Pr 2Ni 0.75Cu 0.25O 4+δ at high temperatures have visualized the -O2-O3-O2- diffusional pathway of oxide ions, which indicates an interstitialcy diffusion mechanism. Doping of the Jahn-Teller Cu 2+ in Pr 2NiO 4+δ stabilizes the high-temperature disordered tetragonal I4/mmm phase and makes the apical O2 atoms more mobile. The apical O2 is more mobile compared to the equatorial O1, because the longer covalent (Ni,Cu,Ga)-O2 bond is weaker than the shorter (Ni,Cu,Ga)-(equatorial O1) one, as evidenced by the experimental and theoretical electron-density analysis. The interstitial O3 is more mobile due to the lower coordination number (CN = 4) compared with the lattice O1 and O2 atoms (CN = 6). It was found that the minimum nuclear density on the O2-O3 pathway ρ N(T) is a useful microscopic parameter for the oxygen diffusivity. The ρ N(T) is regarded as the oxygen probability density at the bottleneck for diffusion. The oxygen permeation rate ρ P(T) increases with an increase of ρ N(T). The activation energy for oxygen diffusion estimated by the plots of log (the normalized oxygen permeation rate ρ P(T)/δ) against T -1 (reciprocal of absolute temperature) is relatively independent of temperature as well as the formation energy of oxygen atoms at the bottleneck from the plots of log(ρ N(T)/δ) against T -1. These results indicate that the amount of interstitial oxygen δ is proportional to the carrier concentration for the oxide-ion diffusion. Doping of higher-valence Ga 3+ at (Ni,Cu) 2+ site in Pr 2Ni 0.75Cu 0.25O 4+δ …","author":[{"dropping-particle":"","family":"Yashima","given":"Masatomo","non-dropping-particle":"","parse-names":false,"suffix":""},{"dropping-particle":"","family":"Yamada","given":"Hiroki","non-dropping-particle":"","parse-names":false,"suffix":""},{"dropping-particle":"","family":"Nuansaeng","given":"Sirikanda","non-dropping-particle":"","parse-names":false,"suffix":""},{"dropping-particle":"","family":"Ishihara","given":"Tatsumi","non-dropping-particle":"","parse-names":false,"suffix":""}],"container-title":"Chemistry of Materials","id":"ITEM-1","issue":"21","issued":{"date-parts":[["2012","11","13"]]},"page":"4100-4113","title":"Role of Ga &lt;sup&gt;3+&lt;/sup&gt; and Cu &lt;sup&gt;2+&lt;/sup&gt; in the High Interstitial Oxide-Ion Diffusivity of Pr &lt;sub&gt;2&lt;/sub&gt; NiO &lt;sub&gt;4&lt;/sub&gt; -Based Oxides: Design Concept of Interstitial Ion Conductors through the Higher-Valence d &lt;sup&gt;10&lt;/sup&gt; Dopant and Jahn–Teller Effect","type":"article-journal","volume":"24"},"uris":["http://www.mendeley.com/documents/?uuid=118b12cf-7d59-331c-8bf1-82b1cce3bde2"]}],"mendeley":{"formattedCitation":"&lt;sup&gt;45&lt;/sup&gt;","plainTextFormattedCitation":"45","previouslyFormattedCitation":"&lt;sup&gt;45&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45</w:t>
      </w:r>
      <w:r w:rsidRPr="001E3806">
        <w:rPr>
          <w:bCs/>
          <w:lang w:val="en-US"/>
        </w:rPr>
        <w:fldChar w:fldCharType="end"/>
      </w:r>
      <w:r w:rsidR="00762FE7" w:rsidRPr="001E3806">
        <w:rPr>
          <w:bCs/>
          <w:lang w:val="en-US"/>
        </w:rPr>
        <w:t>)).</w:t>
      </w:r>
      <w:r w:rsidRPr="001E3806">
        <w:rPr>
          <w:bCs/>
          <w:lang w:val="en-US"/>
        </w:rPr>
        <w:t xml:space="preserve"> By hydration, </w:t>
      </w:r>
      <w:r w:rsidR="0070147B" w:rsidRPr="001E3806">
        <w:rPr>
          <w:bCs/>
          <w:lang w:val="en-US"/>
        </w:rPr>
        <w:t xml:space="preserve">a </w:t>
      </w:r>
      <w:r w:rsidRPr="001E3806">
        <w:rPr>
          <w:bCs/>
          <w:lang w:val="en-US"/>
        </w:rPr>
        <w:t>water</w:t>
      </w:r>
      <w:r w:rsidR="0070147B" w:rsidRPr="001E3806">
        <w:rPr>
          <w:bCs/>
          <w:lang w:val="en-US"/>
        </w:rPr>
        <w:t xml:space="preserve"> molecule</w:t>
      </w:r>
      <w:r w:rsidRPr="001E3806">
        <w:rPr>
          <w:bCs/>
          <w:lang w:val="en-US"/>
        </w:rPr>
        <w:t xml:space="preserve"> H</w:t>
      </w:r>
      <w:r w:rsidRPr="001E3806">
        <w:rPr>
          <w:bCs/>
          <w:vertAlign w:val="subscript"/>
          <w:lang w:val="en-US"/>
        </w:rPr>
        <w:t>2</w:t>
      </w:r>
      <w:r w:rsidRPr="001E3806">
        <w:rPr>
          <w:bCs/>
          <w:lang w:val="en-US"/>
        </w:rPr>
        <w:t xml:space="preserve">O can be incorporated </w:t>
      </w:r>
      <w:r w:rsidR="00A76470" w:rsidRPr="001E3806">
        <w:rPr>
          <w:bCs/>
          <w:lang w:val="en-US"/>
        </w:rPr>
        <w:t>into the conductor making an additional oxygen atom and two protons H</w:t>
      </w:r>
      <w:r w:rsidR="00A76470" w:rsidRPr="001E3806">
        <w:rPr>
          <w:bCs/>
          <w:vertAlign w:val="superscript"/>
          <w:lang w:val="en-US"/>
        </w:rPr>
        <w:t>+</w:t>
      </w:r>
      <w:r w:rsidR="00A76470" w:rsidRPr="001E3806">
        <w:rPr>
          <w:bCs/>
          <w:lang w:val="en-US"/>
        </w:rPr>
        <w:t xml:space="preserve"> </w:t>
      </w:r>
      <w:r w:rsidRPr="001E3806">
        <w:rPr>
          <w:bCs/>
          <w:lang w:val="en-US"/>
        </w:rPr>
        <w:t>as follows:</w:t>
      </w:r>
    </w:p>
    <w:p w14:paraId="619905DE" w14:textId="5C055ACF" w:rsidR="0061024F" w:rsidRPr="001E3806" w:rsidRDefault="0061024F" w:rsidP="0061024F">
      <w:pPr>
        <w:pStyle w:val="RSCB02ArticleText"/>
        <w:ind w:firstLine="284"/>
        <w:rPr>
          <w:bCs/>
          <w:lang w:val="en-US"/>
        </w:rPr>
      </w:pPr>
      <w:proofErr w:type="spellStart"/>
      <w:r w:rsidRPr="001E3806">
        <w:rPr>
          <w:bCs/>
          <w:i/>
          <w:iCs/>
          <w:lang w:val="en-US"/>
        </w:rPr>
        <w:t>A</w:t>
      </w:r>
      <w:r w:rsidRPr="001E3806">
        <w:rPr>
          <w:bCs/>
          <w:lang w:val="en-US"/>
        </w:rPr>
        <w:t>O</w:t>
      </w:r>
      <w:r w:rsidRPr="001E3806">
        <w:rPr>
          <w:bCs/>
          <w:i/>
          <w:vertAlign w:val="subscript"/>
          <w:lang w:val="en-US"/>
        </w:rPr>
        <w:t>n</w:t>
      </w:r>
      <w:proofErr w:type="spellEnd"/>
      <w:r w:rsidRPr="001E3806">
        <w:rPr>
          <w:bCs/>
          <w:i/>
          <w:lang w:val="en-US"/>
        </w:rPr>
        <w:t xml:space="preserve"> </w:t>
      </w:r>
      <w:r w:rsidRPr="001E3806">
        <w:rPr>
          <w:bCs/>
          <w:lang w:val="en-US"/>
        </w:rPr>
        <w:t xml:space="preserve">+ </w:t>
      </w:r>
      <w:r w:rsidRPr="001E3806">
        <w:rPr>
          <w:bCs/>
          <w:i/>
          <w:iCs/>
          <w:lang w:val="en-US"/>
        </w:rPr>
        <w:t>x</w:t>
      </w:r>
      <w:r w:rsidRPr="001E3806">
        <w:rPr>
          <w:bCs/>
          <w:lang w:val="en-US"/>
        </w:rPr>
        <w:t>H</w:t>
      </w:r>
      <w:r w:rsidRPr="001E3806">
        <w:rPr>
          <w:bCs/>
          <w:vertAlign w:val="subscript"/>
          <w:lang w:val="en-US"/>
        </w:rPr>
        <w:t>2</w:t>
      </w:r>
      <w:r w:rsidRPr="001E3806">
        <w:rPr>
          <w:bCs/>
          <w:lang w:val="en-US"/>
        </w:rPr>
        <w:t xml:space="preserve">O → </w:t>
      </w:r>
      <w:r w:rsidRPr="001E3806">
        <w:rPr>
          <w:bCs/>
          <w:i/>
          <w:iCs/>
          <w:lang w:val="en-US"/>
        </w:rPr>
        <w:t>A</w:t>
      </w:r>
      <w:r w:rsidRPr="001E3806">
        <w:rPr>
          <w:bCs/>
          <w:lang w:val="en-US"/>
        </w:rPr>
        <w:t>O</w:t>
      </w:r>
      <w:r w:rsidRPr="001E3806">
        <w:rPr>
          <w:bCs/>
          <w:i/>
          <w:vertAlign w:val="subscript"/>
          <w:lang w:val="en-US"/>
        </w:rPr>
        <w:t>n</w:t>
      </w:r>
      <w:r w:rsidRPr="001E3806">
        <w:rPr>
          <w:bCs/>
          <w:vertAlign w:val="subscript"/>
          <w:lang w:val="en-US"/>
        </w:rPr>
        <w:t>+</w:t>
      </w:r>
      <w:r w:rsidRPr="001E3806">
        <w:rPr>
          <w:bCs/>
          <w:i/>
          <w:iCs/>
          <w:vertAlign w:val="subscript"/>
          <w:lang w:val="en-US"/>
        </w:rPr>
        <w:t>x</w:t>
      </w:r>
      <w:r w:rsidRPr="001E3806">
        <w:rPr>
          <w:bCs/>
          <w:lang w:val="en-US"/>
        </w:rPr>
        <w:t>H</w:t>
      </w:r>
      <w:r w:rsidRPr="001E3806">
        <w:rPr>
          <w:bCs/>
          <w:vertAlign w:val="subscript"/>
          <w:lang w:val="en-US"/>
        </w:rPr>
        <w:t>2</w:t>
      </w:r>
      <w:r w:rsidRPr="001E3806">
        <w:rPr>
          <w:bCs/>
          <w:i/>
          <w:iCs/>
          <w:vertAlign w:val="subscript"/>
          <w:lang w:val="en-US"/>
        </w:rPr>
        <w:t>x</w:t>
      </w:r>
      <w:r w:rsidRPr="001E3806">
        <w:rPr>
          <w:bCs/>
          <w:lang w:val="en-US"/>
        </w:rPr>
        <w:t xml:space="preserve">  </w:t>
      </w:r>
      <w:proofErr w:type="gramStart"/>
      <w:r w:rsidRPr="001E3806">
        <w:rPr>
          <w:bCs/>
          <w:lang w:val="en-US"/>
        </w:rPr>
        <w:t xml:space="preserve">   (</w:t>
      </w:r>
      <w:proofErr w:type="gramEnd"/>
      <w:r w:rsidRPr="001E3806">
        <w:rPr>
          <w:bCs/>
          <w:lang w:val="en-US"/>
        </w:rPr>
        <w:t>3)</w:t>
      </w:r>
    </w:p>
    <w:p w14:paraId="468307D7" w14:textId="77777777" w:rsidR="0061024F" w:rsidRPr="001E3806" w:rsidRDefault="0061024F" w:rsidP="007237F9">
      <w:pPr>
        <w:pStyle w:val="RSCB02ArticleText"/>
        <w:rPr>
          <w:bCs/>
          <w:lang w:val="en-US"/>
        </w:rPr>
      </w:pPr>
      <w:r w:rsidRPr="001E3806">
        <w:rPr>
          <w:bCs/>
          <w:lang w:val="en-US"/>
        </w:rPr>
        <w:t xml:space="preserve">where </w:t>
      </w:r>
      <w:r w:rsidRPr="001E3806">
        <w:rPr>
          <w:bCs/>
          <w:i/>
          <w:lang w:val="en-US"/>
        </w:rPr>
        <w:t>x</w:t>
      </w:r>
      <w:r w:rsidRPr="001E3806">
        <w:rPr>
          <w:bCs/>
          <w:lang w:val="en-US"/>
        </w:rPr>
        <w:t xml:space="preserve"> is the amount of water uptake, and the contributions of electron and electron hole are assumed to be negligible. If the excess oxygen atoms are assumed to be located at the interstitial oxygen site </w:t>
      </w:r>
      <w:proofErr w:type="spellStart"/>
      <w:r w:rsidRPr="001E3806">
        <w:rPr>
          <w:bCs/>
          <w:i/>
          <w:lang w:val="en-US"/>
        </w:rPr>
        <w:t>i</w:t>
      </w:r>
      <w:proofErr w:type="spellEnd"/>
      <w:r w:rsidRPr="001E3806">
        <w:rPr>
          <w:bCs/>
          <w:lang w:val="en-US"/>
        </w:rPr>
        <w:t>, an example of the defect reaction for hydration can be described as,</w:t>
      </w:r>
    </w:p>
    <w:p w14:paraId="2BD0960D" w14:textId="5479B168" w:rsidR="0061024F" w:rsidRPr="001E3806" w:rsidRDefault="00000000" w:rsidP="0061024F">
      <w:pPr>
        <w:pStyle w:val="RSCB02ArticleText"/>
        <w:ind w:firstLine="284"/>
        <w:rPr>
          <w:bCs/>
          <w:lang w:val="en-US"/>
        </w:rPr>
      </w:pPr>
      <m:oMath>
        <m:sSubSup>
          <m:sSubSupPr>
            <m:ctrlPr>
              <w:rPr>
                <w:rFonts w:ascii="Cambria Math" w:hAnsi="Cambria Math"/>
                <w:bCs/>
                <w:lang w:val="en-US"/>
              </w:rPr>
            </m:ctrlPr>
          </m:sSubSupPr>
          <m:e>
            <m:r>
              <m:rPr>
                <m:sty m:val="p"/>
              </m:rPr>
              <w:rPr>
                <w:rFonts w:ascii="Cambria Math" w:hAnsi="Cambria Math"/>
                <w:lang w:val="en-US"/>
              </w:rPr>
              <m:t>O</m:t>
            </m:r>
          </m:e>
          <m:sub>
            <m:r>
              <m:rPr>
                <m:sty m:val="p"/>
              </m:rPr>
              <w:rPr>
                <w:rFonts w:ascii="Cambria Math" w:hAnsi="Cambria Math"/>
                <w:lang w:val="en-US"/>
              </w:rPr>
              <m:t>O</m:t>
            </m:r>
          </m:sub>
          <m:sup>
            <m:r>
              <m:rPr>
                <m:sty m:val="p"/>
              </m:rPr>
              <w:rPr>
                <w:rFonts w:ascii="Cambria Math" w:hAnsi="Cambria Math"/>
                <w:lang w:val="en-US"/>
              </w:rPr>
              <m:t>×</m:t>
            </m:r>
          </m:sup>
        </m:sSubSup>
      </m:oMath>
      <w:r w:rsidR="0061024F" w:rsidRPr="001E3806">
        <w:rPr>
          <w:bCs/>
          <w:lang w:val="en-US"/>
        </w:rPr>
        <w:t xml:space="preserve"> + </w:t>
      </w:r>
      <m:oMath>
        <m:sSubSup>
          <m:sSubSupPr>
            <m:ctrlPr>
              <w:rPr>
                <w:rFonts w:ascii="Cambria Math" w:hAnsi="Cambria Math"/>
                <w:bCs/>
                <w:lang w:val="en-US"/>
              </w:rPr>
            </m:ctrlPr>
          </m:sSubSupPr>
          <m:e>
            <m:r>
              <m:rPr>
                <m:sty m:val="p"/>
              </m:rPr>
              <w:rPr>
                <w:rFonts w:ascii="Cambria Math" w:hAnsi="Cambria Math"/>
                <w:lang w:val="en-US"/>
              </w:rPr>
              <m:t>V</m:t>
            </m:r>
          </m:e>
          <m:sub>
            <m:r>
              <w:rPr>
                <w:rFonts w:ascii="Cambria Math" w:hAnsi="Cambria Math"/>
                <w:lang w:val="en-US"/>
              </w:rPr>
              <m:t>i</m:t>
            </m:r>
          </m:sub>
          <m:sup>
            <m:r>
              <m:rPr>
                <m:sty m:val="p"/>
              </m:rPr>
              <w:rPr>
                <w:rFonts w:ascii="Cambria Math" w:hAnsi="Cambria Math"/>
                <w:lang w:val="en-US"/>
              </w:rPr>
              <m:t>×</m:t>
            </m:r>
          </m:sup>
        </m:sSubSup>
      </m:oMath>
      <w:r w:rsidR="0061024F" w:rsidRPr="001E3806">
        <w:rPr>
          <w:bCs/>
          <w:lang w:val="en-US"/>
        </w:rPr>
        <w:t xml:space="preserve"> + H</w:t>
      </w:r>
      <w:r w:rsidR="0061024F" w:rsidRPr="001E3806">
        <w:rPr>
          <w:bCs/>
          <w:vertAlign w:val="subscript"/>
          <w:lang w:val="en-US"/>
        </w:rPr>
        <w:t>2</w:t>
      </w:r>
      <w:r w:rsidR="0061024F" w:rsidRPr="001E3806">
        <w:rPr>
          <w:bCs/>
          <w:lang w:val="en-US"/>
        </w:rPr>
        <w:t xml:space="preserve">O → </w:t>
      </w:r>
      <m:oMath>
        <m:sSubSup>
          <m:sSubSupPr>
            <m:ctrlPr>
              <w:rPr>
                <w:rFonts w:ascii="Cambria Math" w:hAnsi="Cambria Math"/>
                <w:bCs/>
                <w:lang w:val="en-US"/>
              </w:rPr>
            </m:ctrlPr>
          </m:sSubSupPr>
          <m:e>
            <m:r>
              <m:rPr>
                <m:sty m:val="p"/>
              </m:rPr>
              <w:rPr>
                <w:rFonts w:ascii="Cambria Math" w:hAnsi="Cambria Math"/>
                <w:lang w:val="en-US"/>
              </w:rPr>
              <m:t>OH</m:t>
            </m:r>
          </m:e>
          <m:sub>
            <m:r>
              <m:rPr>
                <m:sty m:val="p"/>
              </m:rPr>
              <w:rPr>
                <w:rFonts w:ascii="Cambria Math" w:hAnsi="Cambria Math"/>
                <w:lang w:val="en-US"/>
              </w:rPr>
              <m:t>O</m:t>
            </m:r>
          </m:sub>
          <m:sup>
            <m:r>
              <m:rPr>
                <m:sty m:val="p"/>
              </m:rPr>
              <w:rPr>
                <w:rFonts w:ascii="Cambria Math" w:hAnsi="Cambria Math"/>
                <w:lang w:val="en-US"/>
              </w:rPr>
              <m:t xml:space="preserve"> ∙</m:t>
            </m:r>
          </m:sup>
        </m:sSubSup>
      </m:oMath>
      <w:r w:rsidR="0061024F" w:rsidRPr="001E3806">
        <w:rPr>
          <w:bCs/>
          <w:lang w:val="en-US"/>
        </w:rPr>
        <w:t xml:space="preserve"> + </w:t>
      </w:r>
      <m:oMath>
        <m:sSubSup>
          <m:sSubSupPr>
            <m:ctrlPr>
              <w:rPr>
                <w:rFonts w:ascii="Cambria Math" w:hAnsi="Cambria Math"/>
                <w:bCs/>
                <w:lang w:val="en-US"/>
              </w:rPr>
            </m:ctrlPr>
          </m:sSubSupPr>
          <m:e>
            <m:r>
              <m:rPr>
                <m:sty m:val="p"/>
              </m:rPr>
              <w:rPr>
                <w:rFonts w:ascii="Cambria Math" w:hAnsi="Cambria Math"/>
                <w:lang w:val="en-US"/>
              </w:rPr>
              <m:t>OH</m:t>
            </m:r>
          </m:e>
          <m:sub>
            <m:r>
              <w:rPr>
                <w:rFonts w:ascii="Cambria Math" w:hAnsi="Cambria Math"/>
                <w:lang w:val="en-US"/>
              </w:rPr>
              <m:t>i</m:t>
            </m:r>
          </m:sub>
          <m:sup>
            <m:r>
              <m:rPr>
                <m:sty m:val="p"/>
              </m:rPr>
              <w:rPr>
                <w:rFonts w:ascii="Cambria Math" w:hAnsi="Cambria Math"/>
                <w:lang w:val="en-US"/>
              </w:rPr>
              <m:t xml:space="preserve"> '</m:t>
            </m:r>
          </m:sup>
        </m:sSubSup>
      </m:oMath>
      <w:r w:rsidR="0061024F" w:rsidRPr="001E3806">
        <w:rPr>
          <w:bCs/>
          <w:lang w:val="en-US"/>
        </w:rPr>
        <w:t xml:space="preserve">   </w:t>
      </w:r>
      <w:proofErr w:type="gramStart"/>
      <w:r w:rsidR="0061024F" w:rsidRPr="001E3806">
        <w:rPr>
          <w:bCs/>
          <w:lang w:val="en-US"/>
        </w:rPr>
        <w:t xml:space="preserve">   (</w:t>
      </w:r>
      <w:proofErr w:type="gramEnd"/>
      <w:r w:rsidR="0061024F" w:rsidRPr="001E3806">
        <w:rPr>
          <w:bCs/>
          <w:lang w:val="en-US"/>
        </w:rPr>
        <w:t>4).</w:t>
      </w:r>
    </w:p>
    <w:p w14:paraId="7C194D7B" w14:textId="5319FE4F" w:rsidR="0061024F" w:rsidRPr="001E3806" w:rsidRDefault="0061024F" w:rsidP="007237F9">
      <w:pPr>
        <w:pStyle w:val="RSCB02ArticleText"/>
        <w:rPr>
          <w:bCs/>
          <w:lang w:val="en-US"/>
        </w:rPr>
      </w:pPr>
      <w:r w:rsidRPr="001E3806">
        <w:rPr>
          <w:bCs/>
          <w:lang w:val="en-US"/>
        </w:rPr>
        <w:t xml:space="preserve">The amount of water uptake </w:t>
      </w:r>
      <w:r w:rsidRPr="001E3806">
        <w:rPr>
          <w:bCs/>
          <w:i/>
          <w:lang w:val="en-US"/>
        </w:rPr>
        <w:t>x</w:t>
      </w:r>
      <w:r w:rsidRPr="001E3806">
        <w:rPr>
          <w:bCs/>
          <w:lang w:val="en-US"/>
        </w:rPr>
        <w:t xml:space="preserve"> increases with hydration, therefore, the amount of excess interstitial oxygen atoms also increases with hydration (see Eq. 3). Therefore, the oxide-ion conductivity via the interstitialcy diffusion mechanism is expected to increase with hydration. However, the oxygen transport number has often been estimated assuming that the oxide-ion conductivity of a hydrated sample is equal to that of its dry one.</w:t>
      </w:r>
      <w:r w:rsidRPr="001E3806">
        <w:rPr>
          <w:bCs/>
          <w:lang w:val="en-US"/>
        </w:rPr>
        <w:fldChar w:fldCharType="begin" w:fldLock="1"/>
      </w:r>
      <w:r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perovskite","type":"article-journal","volume":"19"},"uris":["http://www.mendeley.com/documents/?uuid=f336b269-6ebf-3ef0-82ad-f407450d185c"]},{"id":"ITEM-2","itemData":{"DOI":"10.1002/SMLL.202106785","ISSN":"1613-6829","abstract":"fuel cells (SOFCs). [1-7] The high efficiency and fuel flexibility of SOFCs make them a promising technology for clean energy conversion. The development of SOFC devices requires materials with high oxide-ion conductivity and chemical and electrical stability. [2,3,8,9] However, commercially available oxide-ion electrolytes such as yttria-stabilized zirconia show sufficient conductivity only at temperatures above 700 °C, limiting the practical application of SOFCs in a wide range of fields. Therefore , there is a strong need for alternative materials with high ion conductivity at intermediate temperatures (300-600 °C). Discovery of oxide-ion conductors with new structures has been a challenging task. Since ion conduction in solid oxides is fundamentally related to their underlying crystal structures, high oxide-ion conductivity has been reported in a limited number of structure families. Examples include perovskites, [10-14] apatites, [15,16] fluorites, [17,18] and melilites, [19,20] among which perovskite-type oxides are one of the most well-studied structural families to date. The perovskite-type and related oxides can be broadly classified into four structural groups: a) AMO 3 perovskite-type, b) AMO 3-related, c) hexagonal perovskite-related, and d) modular structures. [21] Here, A and M represent, respectively, large and small cations. Many AMO 3 perovskites have been reported to be excellent oxide-ion conductors, such as LaGaO 3-based and Na 0.5 Bi 0.5 TiO 3-based materials. [11,12] Several compounds crystallizing in the AMX 3-related (e.g., a double perovskite PrBaCo 2 O 6−δ ; δ is the amount of oxygen deficiency) and modular structures (e.g., Dion-Jacobson phase CsBi 2 Ti 2 NbO 10−δ) have also been reported as promising oxide-ion conductors. [22-29] Hexagonal perovskite-related oxides are composed of hexagonal close-packed AO 3 (h) layers or sequences of hexagonal and cubic close-packed AO 3 (c) layers. [21,30-32] Oxygen-deficient AO 3−δ layers can be formed for both hexagonal and cubic layers (labeled h</w:instrText>
      </w:r>
      <w:r w:rsidRPr="001E3806">
        <w:rPr>
          <w:rFonts w:hint="eastAsia"/>
          <w:bCs/>
          <w:lang w:val="en-US"/>
        </w:rPr>
        <w:instrText>′</w:instrText>
      </w:r>
      <w:r w:rsidRPr="001E3806">
        <w:rPr>
          <w:bCs/>
          <w:lang w:val="en-US"/>
        </w:rPr>
        <w:instrText xml:space="preserve"> and c</w:instrText>
      </w:r>
      <w:r w:rsidRPr="001E3806">
        <w:rPr>
          <w:rFonts w:hint="eastAsia"/>
          <w:bCs/>
          <w:lang w:val="en-US"/>
        </w:rPr>
        <w:instrText>′</w:instrText>
      </w:r>
      <w:r w:rsidRPr="001E3806">
        <w:rPr>
          <w:bCs/>
          <w:lang w:val="en-US"/>
        </w:rPr>
        <w:instrText>, respectively). Despite the variety of crystal structures, pure oxide-ion conduction in hexagonal perovskite-related oxides has been limited so far, although electronic , proton, and mixed (oxide-ion and electronic) conductors have been reported in several compounds. [33-36] In 2016, significant oxide-ion conductivity was reported in Ba 3 NbMoO 8.5 , Solid oxide-ion conductors are crucial for enabling clean and efficient energy devices s…","author":[{"dropping-particle":"","family":"Murakami","given":"Taito","non-dropping-particle":"","parse-names":false,"suffix":""},{"dropping-particle":"","family":"Shibata","given":"Toshiya","non-dropping-particle":"","parse-names":false,"suffix":""},{"dropping-particle":"","family":"Yasui","given":"Yuta","non-dropping-particle":"","parse-names":false,"suffix":""},{"dropping-particle":"","family":"Fujii","given":"Kotaro","non-dropping-particle":"","parse-names":false,"suffix":""},{"dropping-particle":"","family":"Hester","given":"James R","non-dropping-particle":"","parse-names":false,"suffix":""},{"dropping-particle":"","family":"Yashima","given":"Masatomo","non-dropping-particle":"","parse-names":false,"suffix":""}],"container-title":"Small","id":"ITEM-2","issue":"10","issued":{"date-parts":[["2021","12","19"]]},"page":"2106785","publisher":"John Wiley &amp; Sons, Ltd","title":"High Oxide-Ion Conductivity in a Hexagonal Perovskite-Related Oxide Ba&lt;sub&gt;7&lt;/sub&gt;Ta&lt;sub&gt;3.7&lt;/sub&gt;Mo&lt;sub&gt;1.3&lt;/sub&gt;O&lt;sub&gt;20.15&lt;/sub&gt; with Cation Site Preference and Interstitial Oxide Ions","type":"article-journal","volume":"18"},"uris":["http://www.mendeley.com/documents/?uuid=4344c1cb-9ac5-31b2-8536-6b64b824c5d0"]},{"id":"ITEM-3","itemData":{"DOI":"10.1002/ADFM.202206777","ISSN":"1616-3028","abstract":"Proton conductors are promising materials for clean energy, but most available materials exhibit sufficient conductivity only when chemically substituted to create oxygen vacancies, which often leads to difficulty in sample preparation and chemical instability. Recently, proton conductors based on hexagonal perovskite-related oxides have been attracting attention as they exhibit high proton conductivity even without the chemical substitutions. However, their conduction mechanism has been elusive so far. Herein, taking three types of oxides with different stacking patterns of oxygen-deficient layers (β-Ba2ScAlO5, α-Ba2Sc0.83Al1.17O5, and BaAl2O4) as examples, the roles of close-packed double-octahedral layers and oxygen-deficient layers in proton conduction are shown. It is found that “undoped” β-Ba2ScAlO5, which adopts a structure having alternating double-octahedral layer and double-tetrahedral layer with intrinsically oxygen-deficient hexagonal BaO (h') layer, shows high proton conductivity (≈10−3 S cm−1 above 300 °C), comparable to representative proton conductors. In contrast, the structurally related oxides α-Ba2Sc0.83Al1.17O5 and BaAl2O4 exhibit lower conductivity. Ab initio mol</w:instrText>
      </w:r>
      <w:r w:rsidRPr="001E3806">
        <w:rPr>
          <w:rFonts w:hint="eastAsia"/>
          <w:bCs/>
          <w:lang w:val="en-US"/>
        </w:rPr>
        <w:instrText xml:space="preserve">ecular dynamics simulations revealed that protons in </w:instrText>
      </w:r>
      <w:r w:rsidRPr="001E3806">
        <w:rPr>
          <w:rFonts w:hint="eastAsia"/>
          <w:bCs/>
          <w:lang w:val="en-US"/>
        </w:rPr>
        <w:instrText>β</w:instrText>
      </w:r>
      <w:r w:rsidRPr="001E3806">
        <w:rPr>
          <w:rFonts w:hint="eastAsia"/>
          <w:bCs/>
          <w:lang w:val="en-US"/>
        </w:rPr>
        <w:instrText>-Ba2ScAlO5 migrate through the double-octahedral layer, while the h</w:instrText>
      </w:r>
      <w:r w:rsidRPr="001E3806">
        <w:rPr>
          <w:rFonts w:hint="eastAsia"/>
          <w:bCs/>
          <w:lang w:val="en-US"/>
        </w:rPr>
        <w:instrText>′</w:instrText>
      </w:r>
      <w:r w:rsidRPr="001E3806">
        <w:rPr>
          <w:rFonts w:hint="eastAsia"/>
          <w:bCs/>
          <w:lang w:val="en-US"/>
        </w:rPr>
        <w:instrText xml:space="preserve"> layer plays the role of a </w:instrText>
      </w:r>
      <w:r w:rsidRPr="001E3806">
        <w:rPr>
          <w:rFonts w:hint="eastAsia"/>
          <w:bCs/>
          <w:lang w:val="en-US"/>
        </w:rPr>
        <w:instrText>“</w:instrText>
      </w:r>
      <w:r w:rsidRPr="001E3806">
        <w:rPr>
          <w:rFonts w:hint="eastAsia"/>
          <w:bCs/>
          <w:lang w:val="en-US"/>
        </w:rPr>
        <w:instrText>proton reservoir</w:instrText>
      </w:r>
      <w:r w:rsidRPr="001E3806">
        <w:rPr>
          <w:rFonts w:hint="eastAsia"/>
          <w:bCs/>
          <w:lang w:val="en-US"/>
        </w:rPr>
        <w:instrText>”</w:instrText>
      </w:r>
      <w:r w:rsidRPr="001E3806">
        <w:rPr>
          <w:rFonts w:hint="eastAsia"/>
          <w:bCs/>
          <w:lang w:val="en-US"/>
        </w:rPr>
        <w:instrText xml:space="preserve"> that supplies proton carriers to the proton-conducting double-octahedral layers. The di</w:instrText>
      </w:r>
      <w:r w:rsidRPr="001E3806">
        <w:rPr>
          <w:bCs/>
          <w:lang w:val="en-US"/>
        </w:rPr>
        <w:instrText>stinct roles of the two layers in proton conduction provide a strategy for developing high-performance proton conductors.","author":[{"dropping-particle":"","family":"Murakami","given":"Taito","non-dropping-particle":"","parse-names":false,"suffix":""},{"dropping-particle":"","family":"Avdeev","given":"Maxim","non-dropping-particle":"","parse-names":false,"suffix":""},{"dropping-particle":"","family":"Morikawa","given":"Riho","non-dropping-particle":"","parse-names":false,"suffix":""},{"dropping-particle":"","family":"Hester","given":"James R","non-dropping-particle":"","parse-names":false,"suffix":""},{"dropping-particle":"","family":"Yashima","given":"Masatomo","non-dropping-particle":"","parse-names":false,"suffix":""},{"dropping-particle":"","family":"Murakami","given":"T","non-dropping-particle":"","parse-names":false,"suffix":""},{"dropping-particle":"","family":"Avdeev","given":"M","non-dropping-particle":"","parse-names":false,"suffix":""},{"dropping-particle":"","family":"Morikawa","given":"R","non-dropping-particle":"","parse-names":false,"suffix":""},{"dropping-particle":"","family":"Yashima","given":"M","non-dropping-particle":"","parse-names":false,"suffix":""},{"dropping-particle":"","family":"Hester","given":"J R","non-dropping-particle":"","parse-names":false,"suffix":""}],"container-title":"Advanced Functional Materials","id":"ITEM-3","issue":"7","issued":{"date-parts":[["2023"]]},"page":"2206777","publisher":"John Wiley &amp; Sons, Ltd","title":"High Proton Conductivity in β-Ba&lt;sub&gt;2&lt;/sub&gt;ScAlO&lt;sub&gt;5 &lt;/sub&gt;Enabled by Octahedral and Intrinsically Oxygen-Deficient Layers","type":"article-journal","volume":"33"},"uris":["http://www.mendeley.com/documents/?uuid=3fd7b97b-6233-397e-a12d-b63b132c0362"]}],"mendeley":{"formattedCitation":"&lt;sup&gt;29,35,38&lt;/sup&gt;","plainTextFormattedCitation":"29,35,38","previouslyFormattedCitation":"&lt;sup&gt;29,33,36&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29,35,38</w:t>
      </w:r>
      <w:r w:rsidRPr="001E3806">
        <w:rPr>
          <w:bCs/>
          <w:lang w:val="en-US"/>
        </w:rPr>
        <w:fldChar w:fldCharType="end"/>
      </w:r>
      <w:r w:rsidRPr="001E3806">
        <w:rPr>
          <w:bCs/>
          <w:lang w:val="en-US"/>
        </w:rPr>
        <w:t xml:space="preserve"> The effects of hydration on the oxide-ion conductivity, the oxygen transport number, and oxygen diffusivity have not been explored for interstitialcy oxide-ion conductors. </w:t>
      </w:r>
    </w:p>
    <w:p w14:paraId="71BE62F0" w14:textId="695F27F5" w:rsidR="0061024F" w:rsidRPr="001E3806" w:rsidRDefault="0061024F" w:rsidP="0061024F">
      <w:pPr>
        <w:pStyle w:val="RSCB02ArticleText"/>
        <w:ind w:firstLine="284"/>
        <w:rPr>
          <w:bCs/>
        </w:rPr>
      </w:pPr>
      <w:r w:rsidRPr="001E3806">
        <w:rPr>
          <w:bCs/>
          <w:lang w:val="en-US"/>
        </w:rPr>
        <w:t xml:space="preserve">  The first objective of this study is to determine the accurate oxygen and proton transport numbers by using both oxygen and water vapor concentration cells of a hexagonal perovskite-related oxide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This material was selected because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-based materials exhibit the interstitialcy diffusion of oxide ions and negligible electron and hole electron contributions to the electrical conductivity,</w:t>
      </w:r>
      <w:r w:rsidRPr="001E3806">
        <w:rPr>
          <w:bCs/>
          <w:lang w:val="en-US"/>
        </w:rPr>
        <w:fldChar w:fldCharType="begin" w:fldLock="1"/>
      </w:r>
      <w:r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perovskite","type":"article-journal","volume":"19"},"uris":["http://www.mendeley.com/documents/?uuid=f336b269-6ebf-3ef0-82ad-f407450d185c"]},{"id":"ITEM-2","itemData":{"DOI":"10.1038/s41467-020-20859-w","ISSN":"2041-1723","abstract":"&lt;p&gt; Oxide-ion conductors are important in various applications such as solid-oxide fuel cells. Although zirconia-based materials are widely utilized, there remains a strong motivation to discover electrolyte materials with higher conductivity that lowers the working temperature of fuel cells, reducing cost. Oxide-ion conductors with hexagonal perovskite related structures are rare. Herein, we report oxide-ion conductors based on a hexagonal perovskite-related oxide Ba &lt;sub&gt;7&lt;/sub&gt; Nb &lt;sub&gt;4&lt;/sub&gt; MoO &lt;sub&gt;20&lt;/sub&gt; . Ba &lt;sub&gt;7&lt;/sub&gt; Nb &lt;sub&gt;3.9&lt;/sub&gt; Mo &lt;sub&gt;1.1&lt;/sub&gt; O &lt;sub&gt;20.05&lt;/sub&gt; shows a wide stability range and predominantly oxide-ion conduction in an oxygen partial pressure range from 2 × 10 &lt;sup&gt;−26&lt;/sup&gt; to 1 atm at 600 °C. Surprisingly, bulk conductivity of Ba &lt;sub&gt;7&lt;/sub&gt; Nb &lt;sub&gt;3.9&lt;/sub&gt; Mo &lt;sub&gt;1.1&lt;/sub&gt; O &lt;sub&gt;20.05&lt;/sub&gt; , 5.8 × 10 &lt;sup&gt;−4&lt;/sup&gt; S cm &lt;sup&gt;−1&lt;/sup&gt; , is remarkably high at 310 °C, and higher than Bi &lt;sub&gt;2&lt;/sub&gt; O &lt;sub&gt;3&lt;/sub&gt; - and zirconia-based materials. The high conductivity of Ba &lt;sub&gt;7&lt;/sub&gt; Nb &lt;sub&gt;3.9&lt;/sub&gt; Mo &lt;sub&gt;1.1&lt;/sub&gt; O &lt;sub&gt;20.05&lt;/sub&gt; is attributable to the interstitial-O5 oxygen site, providing two-dimensional oxide-ion O1−O5 interstitialcy diffusion through lattice-O1 and interstitial-O5 sites in the oxygen-deficient layer, and low activation energy for oxide-ion conductivity. Present findings demonstrate the ability of hexagonal perovskite related oxides as superior oxide-ion conductors. &lt;/p&gt;","author":[{"dropping-particle":"","family":"Yashima","given":"Masatomo","non-dropping-particle":"","parse-names":false,"suffix":""},{"dropping-particle":"","family":"Tsujiguchi","given":"Takafumi","non-dropping-particle":"","parse-names":false,"suffix":""},{"dropping-particle":"","family":"Sakuda","given":"Yuichi","non-dropping-particle":"","parse-names":false,"suffix":""},{"dropping-particle":"","family":"Yasui","given":"Yuta","non-dropping-particle":"","parse-names":false,"suffix":""},{"dropping-particle":"","family":"Zhou","given":"Yu","non-dropping-particle":"","parse-names":false,"suffix":""},{"dropping-particle":"","family":"Fujii","given":"Kotaro","non-dropping-particle":"","parse-names":false,"suffix":""},{"dropping-particle":"","family":"Torii","given":"Shuki","non-dropping-particle":"","parse-names":false,"suffix":""},{"dropping-particle":"","family":"Kamiyama","given":"Takashi","non-dropping-particle":"","parse-names":false,"suffix":""},{"dropping-particle":"","family":"Skinner","given":"Stephen J.","non-dropping-particle":"","parse-names":false,"suffix":""}],"container-title":"Nature Communications","id":"ITEM-2","issued":{"date-parts":[["2021","12","25"]]},"page":"556","publisher":"Nature Publishing Group","title":"High oxide-ion conductivity through the interstitial oxygen site in Ba&lt;sub&gt;7&lt;/sub&gt;Nb&lt;sub&gt;4&lt;/sub&gt;MoO&lt;sub&gt;20&lt;/sub&gt;-based hexagonal perovskite related oxides","type":"article-journal","volume":"12"},"uris":["http://www.mendeley.com/documents/?uuid=0fbd32b0-5507-38ac-879a-489b440434c5"]},{"id":"ITEM-3","itemData":{"DOI":"10.2109/JCERSJ2.21192","ISSN":"1882-0743","abstract":"Oxide-ion conductors based on hexagonal perovskite-related oxide Ba 7 Nb 4 MoO 20 have attracted much attention due to high oxide-ion and proton conductivities and potential applications in many electrochemical devices such as solid oxide fuel cells (SOFCs). Herein, we report simultaneous improvement of oxide-ion conductivity and suppression of proton conductivity by Cr 6+ doping in Ba 7 Nb 4 MoO 20. New materials Ba 7 Nb 4¹x Cr x MoO 20+x/2 (x = 0.05, 0.1, 0.15, 0.2, 0.25, 0.3, 0.35, 0.4, 0.45, 0.5) were synthesized. It was found that Ba 7 Nb 3.8 Cr 0.2 MoO 20.1¹¤ (¤ is the amount of oxygen deficiency in Ba 7 Nb 3.8 Cr 0.2 MoO 20.1¹¤) exhibits high oxide-ion conductivity of 1.6 © 10 ¹3 S cm ¹1 at 508 °C and 1.1 © 10 ¹2 S cm ¹1 at 904 °C in static air and low proton transport number under wet conditions. Ba 7 Nb 3.8 Cr 0.2 MoO 20.1¹¤ also shows wide electrolyte domain in the oxygen partial pressure P(O 2) regions from 1 to 2.2 © 10 ¹27 atm (304 °C) and 1 to 1.5 © 10 ¹26 atm (604 °C), indicating extremely high chemical and electrical stability. The structure analyses have shown that Ba 7 Nb 3.8 Cr 0.2 MoO 20.1¹¤ is a hexagonal perovskite related oxide at 22 and 800 °C. The refined crystal structure of Ba 7 Nb 3.8 Cr 0.2 MoO 20.1¹¤ has oxygen-deficient cubic (c¤) close-packed Ba(O1) 2¹y (O5) z layer where y is the amount of oxygen vacancy at the tetrahedral O1 site and z is the amount of interstitial octahedral oxygen at the O5 site. The Cr bond valence sum indicates an oxidation number of +6: Cr 6+. The Cr 6+ cation is located at a crystallographic site near the c¤ layer, which leads to the excess oxygen and high conductivity, and is likely to suppress the proton conduction. Maximum-entropy method (MEM) analyses have demonstrated that oxide ions two-dimensionally migrate through the lattice O1 and interstitial O5 sites in the c¤ layer via the interstitialcy diffusion mechanism at 800 °C, which enables the high oxide-ion conduction. Cr 6+ doping in various hexagonal perovskite-related oxides would be a new strategy for the simultaneous improvement of oxide-ion conductivity and suppression of proton conduction.","author":[{"dropping-particle":"","family":"Sakuda","given":"Yuichi","non-dropping-particle":"","parse-names":false,"suffix":""},{"dropping-particle":"","family":"Hester","given":"James R.","non-dropping-particle":"","parse-names":false,"suffix":""},{"dropping-particle":"","family":"Yashima","given":"Masatomo","non-dropping-particle":"","parse-names":false,"suffix":""}],"container-title":"Journal of the Ceramic Society of Japan","id":"ITEM-3","issue":"7","issued":{"date-parts":[["2022","7","1"]]},"page":"442-447","publisher":"The Ceramic Society of Japan","title":"Improved oxide-ion and lower proton conduction of hexagonal perovskite-related oxides based on Ba&lt;sub&gt;7&lt;/sub&gt;Nb&lt;sub&gt;4&lt;/sub&gt;MoO&lt;sub&gt;20&lt;/sub&gt; by Cr&lt;sup&gt;6+&lt;/sup&gt; doping","type":"article-journal","volume":"130"},"uris":["http://www.mendeley.com/documents/?uuid=be3f2ac3-1d72-3873-83ed-991637e973f4"]},{"id":"ITEM-4","itemData":{"DOI":"10.1021/acs.inorgchem.2c00671","ISSN":"0020-1669","abstract":"Hexagonal perovskite-related oxides have garnered a great deal of research interest because of their high oxide-ion conductivity at intermediate temperatures, with Ba7Nb4MoO20 being a notable examp...","author":[{"dropping-particle":"","family":"Suzuki","given":"Yuki","non-dropping-particle":"","parse-names":false,"suffix":""},{"dropping-particle":"","family":"Murakami","given":"Taito","non-dropping-particle":"","parse-names":false,"suffix":""},{"dropping-particle":"","family":"Fujii","given":"Kotaro","non-dropping-particle":"","parse-names":false,"suffix":""},{"dropping-particle":"","family":"Hester","given":"James R.","non-dropping-particle":"","parse-names":false,"suffix":""},{"dropping-particle":"","family":"Yasui","given":"Yuta","non-dropping-particle":"","parse-names":false,"suffix":""},{"dropping-particle":"","family":"Yashima","given":"Masatomo","non-dropping-particle":"","parse-names":false,"suffix":""}],"container-title":"Inorganic Chemistry","id":"ITEM-4","issue":"19","issued":{"date-parts":[["2022","5","16"]]},"page":"7537-7545","publisher":"American Chemical Society","title":"Simultaneous Reduction of Proton Conductivity and Enhancement of Oxide-Ion Conductivity by Aliovalent Doping in Ba&lt;sub&gt;7&lt;/sub&gt;Nb&lt;sub&gt;4&lt;/sub&gt;MoO&lt;sub&gt;20&lt;/sub&gt;","type":"article-journal","volume":"61"},"uris":["http://www.mendeley.com/documents/?uuid=ba917795-60d9-371c-ade0-9075f22cc52e"]},{"id":"ITEM-5","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Materials","id":"ITEM-5","issue":"22","issued":{"date-parts":[["2023","11","14"]]},"page":"9774–9788","publisher":"American Chemical Society","title":"Dimer-Mediated Cooperative Mechanism of Ultrafast-Ion Conduction in Hexagonal Perovskite-Related Oxides","type":"article-journal","volume":"35"},"uris":["http://www.mendeley.com/documents/?uuid=0432974d-3ff5-3823-a81a-2b39497a2f7f"]}],"mendeley":{"formattedCitation":"&lt;sup&gt;17,29,34,36,37&lt;/sup&gt;","manualFormatting":"28","plainTextFormattedCitation":"17,29,34,36,37","previouslyFormattedCitation":"&lt;sup&gt;17,29,32,34,35&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28</w:t>
      </w:r>
      <w:r w:rsidRPr="001E3806">
        <w:rPr>
          <w:bCs/>
          <w:lang w:val="en-US"/>
        </w:rPr>
        <w:fldChar w:fldCharType="end"/>
      </w:r>
      <w:r w:rsidRPr="001E3806">
        <w:rPr>
          <w:bCs/>
          <w:lang w:val="en-US"/>
        </w:rPr>
        <w:t xml:space="preserve"> and have the oxygen transport number of unity in dry conditions.</w:t>
      </w:r>
      <w:r w:rsidRPr="001E3806">
        <w:rPr>
          <w:bCs/>
          <w:lang w:val="en-US"/>
        </w:rPr>
        <w:fldChar w:fldCharType="begin" w:fldLock="1"/>
      </w:r>
      <w:r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perovskite","type":"article-journal","volume":"19"},"uris":["http://www.mendeley.com/documents/?uuid=f336b269-6ebf-3ef0-82ad-f407450d185c"]},{"id":"ITEM-2","itemData":{"DOI":"10.1038/s41467-020-20859-w","ISSN":"2041-1723","abstract":"&lt;p&gt; Oxide-ion conductors are important in various applications such as solid-oxide fuel cells. Although zirconia-based materials are widely utilized, there remains a strong motivation to discover electrolyte materials with higher conductivity that lowers the working temperature of fuel cells, reducing cost. Oxide-ion conductors with hexagonal perovskite related structures are rare. Herein, we report oxide-ion conductors based on a hexagonal perovskite-related oxide Ba &lt;sub&gt;7&lt;/sub&gt; Nb &lt;sub&gt;4&lt;/sub&gt; MoO &lt;sub&gt;20&lt;/sub&gt; . Ba &lt;sub&gt;7&lt;/sub&gt; Nb &lt;sub&gt;3.9&lt;/sub&gt; Mo &lt;sub&gt;1.1&lt;/sub&gt; O &lt;sub&gt;20.05&lt;/sub&gt; shows a wide stability range and predominantly oxide-ion conduction in an oxygen partial pressure range from 2 × 10 &lt;sup&gt;−26&lt;/sup&gt; to 1 atm at 600 °C. Surprisingly, bulk conductivity of Ba &lt;sub&gt;7&lt;/sub&gt; Nb &lt;sub&gt;3.9&lt;/sub&gt; Mo &lt;sub&gt;1.1&lt;/sub&gt; O &lt;sub&gt;20.05&lt;/sub&gt; , 5.8 × 10 &lt;sup&gt;−4&lt;/sup&gt; S cm &lt;sup&gt;−1&lt;/sup&gt; , is remarkably high at 310 °C, and higher than Bi &lt;sub&gt;2&lt;/sub&gt; O &lt;sub&gt;3&lt;/sub&gt; - and zirconia-based materials. The high conductivity of Ba &lt;sub&gt;7&lt;/sub&gt; Nb &lt;sub&gt;3.9&lt;/sub&gt; Mo &lt;sub&gt;1.1&lt;/sub&gt; O &lt;sub&gt;20.05&lt;/sub&gt; is attributable to the interstitial-O5 oxygen site, providing two-dimensional oxide-ion O1−O5 interstitialcy diffusion through lattice-O1 and interstitial-O5 sites in the oxygen-deficient layer, and low activation energy for oxide-ion conductivity. Present findings demonstrate the ability of hexagonal perovskite related oxides as superior oxide-ion conductors. &lt;/p&gt;","author":[{"dropping-particle":"","family":"Yashima","given":"Masatomo","non-dropping-particle":"","parse-names":false,"suffix":""},{"dropping-particle":"","family":"Tsujiguchi","given":"Takafumi","non-dropping-particle":"","parse-names":false,"suffix":""},{"dropping-particle":"","family":"Sakuda","given":"Yuichi","non-dropping-particle":"","parse-names":false,"suffix":""},{"dropping-particle":"","family":"Yasui","given":"Yuta","non-dropping-particle":"","parse-names":false,"suffix":""},{"dropping-particle":"","family":"Zhou","given":"Yu","non-dropping-particle":"","parse-names":false,"suffix":""},{"dropping-particle":"","family":"Fujii","given":"Kotaro","non-dropping-particle":"","parse-names":false,"suffix":""},{"dropping-particle":"","family":"Torii","given":"Shuki","non-dropping-particle":"","parse-names":false,"suffix":""},{"dropping-particle":"","family":"Kamiyama","given":"Takashi","non-dropping-particle":"","parse-names":false,"suffix":""},{"dropping-particle":"","family":"Skinner","given":"Stephen J.","non-dropping-particle":"","parse-names":false,"suffix":""}],"container-title":"Nature Communications","id":"ITEM-2","issued":{"date-parts":[["2021","12","25"]]},"page":"556","publisher":"Nature Publishing Group","title":"High oxide-ion conductivity through the interstitial oxygen site in Ba&lt;sub&gt;7&lt;/sub&gt;Nb&lt;sub&gt;4&lt;/sub&gt;MoO&lt;sub&gt;20&lt;/sub&gt;-based hexagonal perovskite related oxides","type":"article-journal","volume":"12"},"uris":["http://www.mendeley.com/documents/?uuid=0fbd32b0-5507-38ac-879a-489b440434c5"]},{"id":"ITEM-3","itemData":{"DOI":"10.2109/JCERSJ2.21192","ISSN":"1882-0743","abstract":"Oxide-ion conductors based on hexagonal perovskite-related oxide Ba 7 Nb 4 MoO 20 have attracted much attention due to high oxide-ion and proton conductivities and potential applications in many electrochemical devices such as solid oxide fuel cells (SOFCs). Herein, we report simultaneous improvement of oxide-ion conductivity and suppression of proton conductivity by Cr 6+ doping in Ba 7 Nb 4 MoO 20. New materials Ba 7 Nb 4¹x Cr x MoO 20+x/2 (x = 0.05, 0.1, 0.15, 0.2, 0.25, 0.3, 0.35, 0.4, 0.45, 0.5) were synthesized. It was found that Ba 7 Nb 3.8 Cr 0.2 MoO 20.1¹¤ (¤ is the amount of oxygen deficiency in Ba 7 Nb 3.8 Cr 0.2 MoO 20.1¹¤) exhibits high oxide-ion conductivity of 1.6 © 10 ¹3 S cm ¹1 at 508 °C and 1.1 © 10 ¹2 S cm ¹1 at 904 °C in static air and low proton transport number under wet conditions. Ba 7 Nb 3.8 Cr 0.2 MoO 20.1¹¤ also shows wide electrolyte domain in the oxygen partial pressure P(O 2) regions from 1 to 2.2 © 10 ¹27 atm (304 °C) and 1 to 1.5 © 10 ¹26 atm (604 °C), indicating extremely high chemical and electrical stability. The structure analyses have shown that Ba 7 Nb 3.8 Cr 0.2 MoO 20.1¹¤ is a hexagonal perovskite related oxide at 22 and 800 °C. The refined crystal structure of Ba 7 Nb 3.8 Cr 0.2 MoO 20.1¹¤ has oxygen-deficient cubic (c¤) close-packed Ba(O1) 2¹y (O5) z layer where y is the amount of oxygen vacancy at the tetrahedral O1 site and z is the amount of interstitial octahedral oxygen at the O5 site. The Cr bond valence sum indicates an oxidation number of +6: Cr 6+. The Cr 6+ cation is located at a crystallographic site near the c¤ layer, which leads to the excess oxygen and high conductivity, and is likely to suppress the proton conduction. Maximum-entropy method (MEM) analyses have demonstrated that oxide ions two-dimensionally migrate through the lattice O1 and interstitial O5 sites in the c¤ layer via the interstitialcy diffusion mechanism at 800 °C, which enables the high oxide-ion conduction. Cr 6+ doping in various hexagonal perovskite-related oxides would be a new strategy for the simultaneous improvement of oxide-ion conductivity and suppression of proton conduction.","author":[{"dropping-particle":"","family":"Sakuda","given":"Yuichi","non-dropping-particle":"","parse-names":false,"suffix":""},{"dropping-particle":"","family":"Hester","given":"James R.","non-dropping-particle":"","parse-names":false,"suffix":""},{"dropping-particle":"","family":"Yashima","given":"Masatomo","non-dropping-particle":"","parse-names":false,"suffix":""}],"container-title":"Journal of the Ceramic Society of Japan","id":"ITEM-3","issue":"7","issued":{"date-parts":[["2022","7","1"]]},"page":"442-447","publisher":"The Ceramic Society of Japan","title":"Improved oxide-ion and lower proton conduction of hexagonal perovskite-related oxides based on Ba&lt;sub&gt;7&lt;/sub&gt;Nb&lt;sub&gt;4&lt;/sub&gt;MoO&lt;sub&gt;20&lt;/sub&gt; by Cr&lt;sup&gt;6+&lt;/sup&gt; doping","type":"article-journal","volume":"130"},"uris":["http://www.mendeley.com/documents/?uuid=be3f2ac3-1d72-3873-83ed-991637e973f4"]},{"id":"ITEM-4","itemData":{"DOI":"10.1021/acs.inorgchem.2c00671","ISSN":"0020-1669","abstract":"Hexagonal perovskite-related oxides have garnered a great deal of research interest because of their high oxide-ion conductivity at intermediate temperatures, with Ba7Nb4MoO20 being a notable examp...","author":[{"dropping-particle":"","family":"Suzuki","given":"Yuki","non-dropping-particle":"","parse-names":false,"suffix":""},{"dropping-particle":"","family":"Murakami","given":"Taito","non-dropping-particle":"","parse-names":false,"suffix":""},{"dropping-particle":"","family":"Fujii","given":"Kotaro","non-dropping-particle":"","parse-names":false,"suffix":""},{"dropping-particle":"","family":"Hester","given":"James R.","non-dropping-particle":"","parse-names":false,"suffix":""},{"dropping-particle":"","family":"Yasui","given":"Yuta","non-dropping-particle":"","parse-names":false,"suffix":""},{"dropping-particle":"","family":"Yashima","given":"Masatomo","non-dropping-particle":"","parse-names":false,"suffix":""}],"container-title":"Inorganic Chemistry","id":"ITEM-4","issue":"19","issued":{"date-parts":[["2022","5","16"]]},"page":"7537-7545","publisher":"American Chemical Society","title":"Simultaneous Reduction of Proton Conductivity and Enhancement of Oxide-Ion Conductivity by Aliovalent Doping in Ba&lt;sub&gt;7&lt;/sub&gt;Nb&lt;sub&gt;4&lt;/sub&gt;MoO&lt;sub&gt;20&lt;/sub&gt;","type":"article-journal","volume":"61"},"uris":["http://www.mendeley.com/documents/?uuid=ba917795-60d9-371c-ade0-9075f22cc52e"]},{"id":"ITEM-5","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Materials","id":"ITEM-5","issue":"22","issued":{"date-parts":[["2023","11","14"]]},"page":"9774–9788","publisher":"American Chemical Society","title":"Dimer-Mediated Cooperative Mechanism of Ultrafast-Ion Conduction in Hexagonal Perovskite-Related Oxides","type":"article-journal","volume":"35"},"uris":["http://www.mendeley.com/documents/?uuid=0432974d-3ff5-3823-a81a-2b39497a2f7f"]}],"mendeley":{"formattedCitation":"&lt;sup&gt;17,29,34,36,37&lt;/sup&gt;","plainTextFormattedCitation":"17,29,34,36,37","previouslyFormattedCitation":"&lt;sup&gt;17,29,32,34,35&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17,29,34,36,37</w:t>
      </w:r>
      <w:r w:rsidRPr="001E3806">
        <w:rPr>
          <w:bCs/>
          <w:lang w:val="en-US"/>
        </w:rPr>
        <w:fldChar w:fldCharType="end"/>
      </w:r>
      <w:r w:rsidRPr="001E3806">
        <w:rPr>
          <w:bCs/>
          <w:lang w:val="en-US"/>
        </w:rPr>
        <w:t xml:space="preserve"> The second purpose of this work is to investigate </w:t>
      </w:r>
      <w:r w:rsidRPr="001E3806">
        <w:rPr>
          <w:rFonts w:hint="eastAsia"/>
          <w:bCs/>
          <w:lang w:val="en-US"/>
        </w:rPr>
        <w:t>b</w:t>
      </w:r>
      <w:r w:rsidRPr="001E3806">
        <w:rPr>
          <w:bCs/>
          <w:lang w:val="en-US"/>
        </w:rPr>
        <w:t xml:space="preserve">oth the accurate oxide-ion and proton conductivities using the total ion conductivity and transport number data. The third purpose is to </w:t>
      </w:r>
      <w:r w:rsidRPr="001E3806">
        <w:rPr>
          <w:bCs/>
          <w:lang w:val="en-US"/>
        </w:rPr>
        <w:t>study the diffusion coefficient using not only the conductivity data but also the tracer diffusion experiments. We demonstrate that hydration enhances both oxygen conductivity and diffusivity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t>
      </w:r>
      <w:bookmarkStart w:id="2" w:name="_Hlk199839732"/>
      <w:r w:rsidRPr="001E3806">
        <w:rPr>
          <w:bCs/>
          <w:lang w:val="en-US"/>
        </w:rPr>
        <w:t xml:space="preserve">The fourth purpose of this work is to study the origins of this enhancement at the atomic scale. To this end, we performed molecular dynamics (MD) simulations using a neural network potential to enable the calculations of the large numbers of atoms over long time scales with an accuracy comparable to the </w:t>
      </w:r>
      <w:r w:rsidRPr="001E3806">
        <w:rPr>
          <w:bCs/>
          <w:i/>
          <w:lang w:val="en-US"/>
        </w:rPr>
        <w:t>ab initio</w:t>
      </w:r>
      <w:r w:rsidRPr="001E3806">
        <w:rPr>
          <w:bCs/>
          <w:lang w:val="en-US"/>
        </w:rPr>
        <w:t xml:space="preserve"> MD simulations.</w:t>
      </w:r>
      <w:r w:rsidRPr="001E3806">
        <w:rPr>
          <w:bCs/>
          <w:lang w:val="en-US"/>
        </w:rPr>
        <w:fldChar w:fldCharType="begin" w:fldLock="1"/>
      </w:r>
      <w:r w:rsidRPr="001E3806">
        <w:rPr>
          <w:bCs/>
          <w:lang w:val="en-US"/>
        </w:rPr>
        <w:instrText>ADDIN CSL_CITATION {"citationItems":[{"id":"ITEM-1","itemData":{"DOI":"10.1038/S43588-022-00349-3;SUBJMETA=1034,1035,1037,301,639;KWRD=ATOMISTIC+MODELS,COMPUTATIONAL+METHODS,MATERIALS+SCIENCE","ISSN":"26628457","abstract":"Interatomic potentials (IAPs), which describe the potential energy surface of atoms, are a fundamental input for atomistic simulations. However, existing IAPs are either fitted to narrow chemistries or too inaccurate for general applications. Here we report a universal IAP for materials based on graph neural networks with three-body interactions (M3GNet). The M3GNet IAP was trained on the massive database of structural relaxations performed by the Materials Project over the past ten years and has broad applications in structural relaxation, dynamic simulations and property prediction of materials across diverse chemical spaces. About 1.8 million materials from a screening of 31 million hypothetical crystal structures were identified to be potentially stable against existing Materials Project crystals based on M3GNet energies. Of the top 2,000 materials with the lowest energies above the convex hull, 1,578 were verified to be stable using density functional theory calculations. These results demonstrate a machine learning-accelerated pathway to the discovery of synthesizable materials with exceptional properties.","author":[{"dropping-particle":"","family":"Chen","given":"Chi","non-dropping-particle":"","parse-names":false,"suffix":""},{"dropping-particle":"","family":"Ong","given":"Shyue Ping","non-dropping-particle":"","parse-names":false,"suffix":""}],"container-title":"Nature Computational Science","id":"ITEM-1","issue":"11","issued":{"date-parts":[["2022","11","1"]]},"page":"718-728","publisher":"Springer Nature","title":"A universal graph deep learning interatomic potential for the periodic table","type":"article-journal","volume":"2"},"uris":["http://www.mendeley.com/documents/?uuid=d5531f20-c0dc-3eca-9c4d-56146d80db04"]},{"id":"ITEM-2","itemData":{"DOI":"10.1007/S10008-024-05862-1/FIGURES/10","ISSN":"14330768","abstract":"Low Mg diffusivity in solid-state oxides is an obstacle for the development of materials for Mg ion batteries, which are expected to have high capacity. In this study, we focused on NASICON-type and β-iron sulfate-type Mg2xHf1-xNb(PO4)3 that exhibit relatively high Mg ionic conductivity and investigated the Hf/Nb configuration and composition dependence of phase stability and ion conductivity by atomistic simulation using neural network potentials. The calculations show that the NASICON-type structure is slightly more stable and has higher Mg ionic conductivity than that of the β-iron sulfate-type. The effect of the Hf/Nb configuration was investigated and showed that the ordered stable structure had much lower ionic conductivity than the disordered structure. Furthermore, as the Mg ion concentration increased, the ionic conductivity increased monotonically at low concentrations but tended to converge to a constant value above a certain concentration. The saturation of the ionic conductivity despite increasing the Mg concentration may be due to the trapping effect of the Mg ions caused by the Hf vacancies as well as the Hf/Nb arrangement. Graphical Abstract: (Figure presented.).","author":[{"dropping-particle":"","family":"Makino","given":"Keisuke","non-dropping-particle":"","parse-names":false,"suffix":""},{"dropping-particle":"","family":"Tanibata","given":"Naoto","non-dropping-particle":"","parse-names":false,"suffix":""},{"dropping-particle":"","family":"Takeda","given":"Hayami","non-dropping-particle":"","parse-names":false,"suffix":""},{"dropping-particle":"","family":"Nakayama","given":"Masanobu","non-dropping-particle":"","parse-names":false,"suffix":""}],"container-title":"Journal of Solid State Electrochemistry","id":"ITEM-2","issue":"12","issued":{"date-parts":[["2024","12","1"]]},"page":"4471-4481","publisher":"Springer Science and Business Media Deutschland GmbH","title":"Computational studies on Mg ion conductivity in Mg2xHf1-x Nb(PO4)3 using neural network potential","type":"article-journal","volume":"28"},"uris":["http://www.mendeley.com/documents/?uuid=4ec21d05-99b0-318b-9cc7-73e12f326ffd"]}],"mendeley":{"formattedCitation":"&lt;sup&gt;46,47&lt;/sup&gt;","plainTextFormattedCitation":"46,47","previouslyFormattedCitation":"&lt;sup&gt;46,47&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46,47</w:t>
      </w:r>
      <w:r w:rsidRPr="001E3806">
        <w:rPr>
          <w:bCs/>
          <w:lang w:val="en-US"/>
        </w:rPr>
        <w:fldChar w:fldCharType="end"/>
      </w:r>
      <w:bookmarkEnd w:id="2"/>
      <w:r w:rsidRPr="001E3806">
        <w:rPr>
          <w:bCs/>
          <w:lang w:val="en-US"/>
        </w:rPr>
        <w:t xml:space="preserve"> Fop claimed that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exhibits high proton conductivity and a high proton transport number at 500 °C,</w:t>
      </w:r>
      <w:r w:rsidRPr="001E3806">
        <w:rPr>
          <w:bCs/>
          <w:lang w:val="en-US"/>
        </w:rPr>
        <w:fldChar w:fldCharType="begin" w:fldLock="1"/>
      </w:r>
      <w:r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perovskite","type":"article-journal","volume":"19"},"uris":["http://www.mendeley.com/documents/?uuid=f336b269-6ebf-3ef0-82ad-f407450d185c"]},{"id":"ITEM-2","itemData":{"DOI":"10.1039/D1TA03499E","ISSN":"20507496","abstract":"Solid oxide proton conductors are crucially emerging as key materials for enabling hydrogen-based energy conversion, storage, and electrochemical technologies. Oxides crystallising in the ideal ABO3perovskite structure, such as barium cerates and zirconates, are widely investigated thanks to their excellent proton conducting properties. Nevertheless, alternative structure-type solid oxide systems (hexagonal perovskite derivatives, brownmillerite, scheelite,etc.) can efficiently incorporate and enable the transport of protonic defects, with recent reports of materials exhibiting high ionic conductivity comparable to the conventional perovskite conductors. This perspective provides an overview of these alternative and less established proton conducting materials, with particular attention to the relationship between the structural and ionic conduction features and the mechanistic aspects. The goals are to highlight the differences between these materials and the traditional perovskites and to point out new potential crystal routes for the discovery of innovative solid oxide proton conductors.","author":[{"dropping-particle":"","family":"Fop","given":"Sacha","non-dropping-particle":"","parse-names":false,"suffix":""}],"container-title":"Journal of Materials Chemistry A","id":"ITEM-2","issue":"35","issued":{"date-parts":[["2021","9","14"]]},"page":"18836-18856","publisher":"Royal Society of Chemistry","title":"Solid oxide proton conductors beyond perovskites","type":"article-journal","volume":"9"},"uris":["http://www.mendeley.com/documents/?uuid=c72d8318-9bf4-3fa2-9301-048d4d745bc8"]}],"mendeley":{"formattedCitation":"&lt;sup&gt;7,29&lt;/sup&gt;","plainTextFormattedCitation":"7,29","previouslyFormattedCitation":"&lt;sup&gt;5,29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7,29</w:t>
      </w:r>
      <w:r w:rsidRPr="001E3806">
        <w:rPr>
          <w:bCs/>
          <w:lang w:val="en-US"/>
        </w:rPr>
        <w:fldChar w:fldCharType="end"/>
      </w:r>
      <w:r w:rsidRPr="001E3806">
        <w:rPr>
          <w:bCs/>
          <w:lang w:val="en-US"/>
        </w:rPr>
        <w:t xml:space="preserve"> and it is believed that this material is a proton conductor rather than oxide-ion conductor in wet atmospheres.</w:t>
      </w:r>
      <w:r w:rsidRPr="001E3806">
        <w:rPr>
          <w:bCs/>
          <w:lang w:val="en-US"/>
        </w:rPr>
        <w:fldChar w:fldCharType="begin" w:fldLock="1"/>
      </w:r>
      <w:r w:rsidRPr="001E3806">
        <w:rPr>
          <w:bCs/>
          <w:lang w:val="en-US"/>
        </w:rPr>
        <w:instrText>ADDIN CSL_CITATION {"citationItems":[{"id":"ITEM-1","itemData":{"DOI":"10.1021/acs.inorgchem.2c00671","ISSN":"0020-1669","abstract":"Hexagonal perovskite-related oxides have garnered a great deal of research interest because of their high oxide-ion conductivity at intermediate temperatures, with Ba7Nb4MoO20 being a notable examp...","author":[{"dropping-particle":"","family":"Suzuki","given":"Yuki","non-dropping-particle":"","parse-names":false,"suffix":""},{"dropping-particle":"","family":"Murakami","given":"Taito","non-dropping-particle":"","parse-names":false,"suffix":""},{"dropping-particle":"","family":"Fujii","given":"Kotaro","non-dropping-particle":"","parse-names":false,"suffix":""},{"dropping-particle":"","family":"Hester","given":"James R.","non-dropping-particle":"","parse-names":false,"suffix":""},{"dropping-particle":"","family":"Yasui","given":"Yuta","non-dropping-particle":"","parse-names":false,"suffix":""},{"dropping-particle":"","family":"Yashima","given":"Masatomo","non-dropping-particle":"","parse-names":false,"suffix":""}],"container-title":"Inorganic Chemistry","id":"ITEM-1","issue":"19","issued":{"date-parts":[["2022","5","16"]]},"page":"7537-7545","publisher":"American Chemical Society","title":"Simultaneous Reduction of Proton Conductivity and Enhancement of Oxide-Ion Conductivity by Aliovalent Doping in Ba&lt;sub&gt;7&lt;/sub&gt;Nb&lt;sub&gt;4&lt;/sub&gt;MoO&lt;sub&gt;20&lt;/sub&gt;","type":"article-journal","volume":"61"},"uris":["http://www.mendeley.com/documents/?uuid=ba917795-60d9-371c-ade0-9075f22cc52e"]},{"id":"ITEM-2","itemData":{"DOI":"10.2109/JCERSJ2.21192","ISSN":"1882-0743","abstract":"Oxide-ion conductors based on hexagonal perovskite-related oxide Ba 7 Nb 4 MoO 20 have attracted much attention due to high oxide-ion and proton conductivities and potential applications in many electrochemical devices such as solid oxide fuel cells (SOFCs). Herein, we report simultaneous improvement of oxide-ion conductivity and suppression of proton conductivity by Cr 6+ doping in Ba 7 Nb 4 MoO 20. New materials Ba 7 Nb 4¹x Cr x MoO 20+x/2 (x = 0.05, 0.1, 0.15, 0.2, 0.25, 0.3, 0.35, 0.4, 0.45, 0.5) were synthesized. It was found that Ba 7 Nb 3.8 Cr 0.2 MoO 20.1¹¤ (¤ is the amount of oxygen deficiency in Ba 7 Nb 3.8 Cr 0.2 MoO 20.1¹¤) exhibits high oxide-ion conductivity of 1.6 © 10 ¹3 S cm ¹1 at 508 °C and 1.1 © 10 ¹2 S cm ¹1 at 904 °C in static air and low proton transport number under wet conditions. Ba 7 Nb 3.8 Cr 0.2 MoO 20.1¹¤ also shows wide electrolyte domain in the oxygen partial pressure P(O 2) regions from 1 to 2.2 © 10 ¹27 atm (304 °C) and 1 to 1.5 © 10 ¹26 atm (604 °C), indicating extremely high chemical and electrical stability. The structure analyses have shown that Ba 7 Nb 3.8 Cr 0.2 MoO 20.1¹¤ is a hexagonal perovskite related oxide at 22 and 800 °C. The refined crystal structure of Ba 7 Nb 3.8 Cr 0.2 MoO 20.1¹¤ has oxygen-deficient cubic (c¤) close-packed Ba(O1) 2¹y (O5) z layer where y is the amount of oxygen vacancy at the tetrahedral O1 site and z is the amount of interstitial octahedral oxygen at the O5 site. The Cr bond valence sum indicates an oxidation number of +6: Cr 6+. The Cr 6+ cation is located at a crystallographic site near the c¤ layer, which leads to the excess oxygen and high conductivity, and is likely to suppress the proton conduction. Maximum-entropy method (MEM) analyses have demonstrated that oxide ions two-dimensionally migrate through the lattice O1 and interstitial O5 sites in the c¤ layer via the interstitialcy diffusion mechanism at 800 °C, which enables the high oxide-ion conduction. Cr 6+ doping in various hexagonal perovskite-related oxides would be a new strategy for the simultaneous improvement of oxide-ion conductivity and suppression of proton conduction.","author":[{"dropping-particle":"","family":"Sakuda","given":"Yuichi","non-dropping-particle":"","parse-names":false,"suffix":""},{"dropping-particle":"","family":"Hester","given":"James R.","non-dropping-particle":"","parse-names":false,"suffix":""},{"dropping-particle":"","family":"Yashima","given":"Masatomo","non-dropping-particle":"","parse-names":false,"suffix":""}],"container-title":"Journal of the Ceramic Society of Japan","id":"ITEM-2","issue":"7","issued":{"date-parts":[["2022","7","1"]]},"page":"442-447","publisher":"The Ceramic Society of Japan","title":"Improved oxide-ion and lower proton conduction of hexagonal perovskite-related oxides based on Ba&lt;sub&gt;7&lt;/sub&gt;Nb&lt;sub&gt;4&lt;/sub&gt;MoO&lt;sub&gt;20&lt;/sub&gt; by Cr&lt;sup&gt;6+&lt;/sup&gt; doping","type":"article-journal","volume":"130"},"uris":["http://www.mendeley.com/documents/?uuid=be3f2ac3-1d72-3873-83ed-991637e973f4"]},{"id":"ITEM-3","itemData":{"DOI":"10.1016/J.JEURCERAMSOC.2024.116702","ISSN":"0955-2219","abstract":"Proton conduction in the hexagonal perovskite-related oxide Ba7Nb4MoO20 (BNM) holds great potential for high-temperature fuel cells and electrolysis cells, especially at intermediate temperatures below 700°C. However, sintering BNM electrolytes leads to the formation of secondary phases that deteriorate proton-conducting properties. In this study, we propose facile microwave sintering combined with annealing to achieve high purity and structural integrity. We examine the sintering behavior of BNM and the effects of annealing on its density, microstructure, and purity, aiming to optimize the process. We successfully achieve a 98 % relative density in BNM after just 5 minutes of MWS at 1350°C. Furthermore, annealing at 1050°C significantly improves proton conduction in both the bulk and grain boundaries, highlighting the importance of purity when using BNM as an electrolyte. This approach markedly reduces processing time and energy consumption, offering a viable way for fabricating high-density, high-purity BNM ceramics.","author":[{"dropping-particle":"","family":"Choi","given":"Yoonseok","non-dropping-particle":"","parse-names":false,"suffix":""},{"dropping-particle":"","family":"Kim","given":"Hye Won","non-dropping-particle":"","parse-names":false,"suffix":""},{"dropping-particle":"","family":"Youn","given":"Yong","non-dropping-particle":"","parse-names":false,"suffix":""},{"dropping-particle":"","family":"Chun","given":"Phil Joo","non-dropping-particle":"","parse-names":false,"suffix":""},{"dropping-particle":"","family":"Kim","given":"Hye Sung","non-dropping-particle":"","parse-names":false,"suffix":""},{"dropping-particle":"","family":"Yu","given":"Ji Haeng","non-dropping-particle":"","parse-names":false,"suffix":""},{"dropping-particle":"","family":"Kim","given":"Sun Dong","non-dropping-particle":"","parse-names":false,"suffix":""},{"dropping-particle":"","family":"Kim","given":"Tae Woo","non-dropping-particle":"","parse-names":false,"suffix":""}],"container-title":"Journal of the European Ceramic Society","id":"ITEM-3","issue":"14","issued":{"date-parts":[["2024","11","1"]]},"page":"116702","publisher":"Elsevier","title":"Microwave-assisted sintering of a hexagonal perovskite-related protonic ceramic Ba7Nb4MoO20","type":"article-journal","volume":"44"},"uris":["http://www.mendeley.com/documents/?uuid=9bfbba34-128e-386e-9fbd-99165ec0ac7b"]},{"id":"ITEM-4","itemData":{"DOI":"10.1021/ACS.JPCC.4C02645/ASSET/IMAGES/LARGE/JP4C02645_0004.JPEG","ISSN":"19327455","abstract":"Hexagonal perovskite-related oxides, Ba7Nb4MoO20, Ba7Nb4-xMo1+xO20+(1/2)x (x = 0.1), Ba7Nb4-yWyMoO20+(1/2)y (y = 0.15), and Ba7Ta4-zMo1+zO20+(1/2)z (z = 0.3), have recently been reported to exhibit high oxide-ion and proton conductivity. These materials are of great interest in industrial applications, such as solid oxide fuel cells (SOFCs) and proton ceramic fuel cells (PCFCs) and are known for their unusual structures. Although the structures of Ba7Nb4MoO20 and their related materials were primarily analyzed by assuming an even distribution of Mo and Nb at each M (=Mo/Nb) site, solid-state nuclear magnetic resonance (NMR) spectra have revealed that Mo and Nb are unevenly distributed in Ba7Nb4MoO20. As it is crucial to determine whether the contributions to oxide-ion and proton conduction are the same for Mo and Nb, we focused on the signal differences among these as-prepared materials, namely, Ba7Nb4MoO20, Ba7Nb3.9Mo1.1O20.05, Ba7Nb3.85W0.15MoO20.075, and Ba7Ta3.7Mo1.3O20.15, using solid-state 95Mo and 93Nb NMR analysis. The 95Mo NMR similar predominant peaks revealed in Ba7Nb3.9Mo1.1O20.05, Ba7Nb3.85W0.15MoO20.075, and Ba7Ta3.7Mo1.3O20.15 are also attributed to the MoO4 tetrahedron near the oxide-ion conducting layer owing to the small quadrupolar coupling constant, |CQ|. Furthermore, a minor peak of 95Mo has been observed in Ba7Ta3.7Mo1.3O20.15, which is presumed to be a MoO5 polyhedron, MoO5 monomer, or (Mo/Ta)2O9 dimer, formed by the binding of the excess oxygen, represented by (1/2)z (z = 0.3) in the chemical formula. One shoulder peak in the 93Nb NMR spectrum of Ba7Nb4MoO20 could be attributed to the NbO4 tetrahedron near the ion conducting layer from its small quadrupolar coupling product, |PQ|, but its intensity is smaller than that considered from the occupancy factors. The small signal intensity is plausible because many are not regular NbO4 tetrahedrons in Ba7Nb4MoO20. In Ba7Nb4-xMo1+xO20+(1/2)x (x = 0.1), the intensity of NbO4 tetrahedron has been further reduced, indicating that the decrease is caused by the transformation of the residual NbO4 tetrahedron to NbO5 polyhedron, NbO5 monomer, or (Mo/Nb)2O9 dimer, by the binding of excess oxygen, represented by (1/2)x (x = 0.1) in the chemical formula. Thus, the solid-state NMR analysis of the local structure of Mo and Nb oxide polyhedra is a vital tool in analyzing nonstoichiometric ion conductors because it provides information on individual Mo and Nb local structures near the conducting lay…","author":[{"dropping-particle":"","family":"Tansho","given":"Masataka","non-dropping-particle":"","parse-names":false,"suffix":""},{"dropping-particle":"","family":"Goto","given":"Atsushi","non-dropping-particle":"","parse-names":false,"suffix":""},{"dropping-particle":"","family":"Ohki","given":"Shinobu","non-dropping-particle":"","parse-names":false,"suffix":""},{"dropping-particle":"","family":"Mogami","given":"Yuuki","non-dropping-particle":"","parse-names":false,"suffix":""},{"dropping-particle":"","family":"Yasui","given":"Yuta","non-dropping-particle":"","parse-names":false,"suffix":""},{"dropping-particle":"","family":"Sakuda","given":"Yuichi","non-dropping-particle":"","parse-names":false,"suffix":""},{"dropping-particle":"","family":"Fujii","given":"Kotaro","non-dropping-particle":"","parse-names":false,"suffix":""},{"dropping-particle":"","family":"Iijima","given":"Takahiro","non-dropping-particle":"","parse-names":false,"suffix":""},{"dropping-particle":"","family":"Yashima","given":"Masatomo","non-dropping-particle":"","parse-names":false,"suffix":""}],"container-title":"Journal of Physical Chemistry C","id":"ITEM-4","issue":"46","issued":{"date-parts":[["2024","11","21"]]},"page":"19679-19687","publisher":"American Chemical Society","title":"Solid-State 95Mo and 93Nb NMR Study of Ba7Nb4MoO20-Based Materials and Ba7Ta3.7Mo1.3O20.15","type":"article-journal","volume":"128"},"uris":["http://www.mendeley.com/documents/?uuid=4c6ddffc-3deb-3c71-96d1-8a876ab32833"]}],"mendeley":{"formattedCitation":"&lt;sup&gt;36,37,48,49&lt;/sup&gt;","plainTextFormattedCitation":"36,37,48,49","previouslyFormattedCitation":"&lt;sup&gt;34,35,48,49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36,37,48,49</w:t>
      </w:r>
      <w:r w:rsidRPr="001E3806">
        <w:rPr>
          <w:bCs/>
          <w:lang w:val="en-US"/>
        </w:rPr>
        <w:fldChar w:fldCharType="end"/>
      </w:r>
      <w:r w:rsidRPr="001E3806">
        <w:rPr>
          <w:bCs/>
          <w:lang w:val="en-US"/>
        </w:rPr>
        <w:t xml:space="preserve"> However, the present work will also demonstrate that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is an oxide-ion conductor, even in wet atmospheres, rather than a proton conductor.</w:t>
      </w:r>
    </w:p>
    <w:p w14:paraId="1CBAC2B4" w14:textId="77777777" w:rsidR="00D43F17" w:rsidRPr="001E3806" w:rsidRDefault="00D43F17" w:rsidP="00D43F17">
      <w:pPr>
        <w:pStyle w:val="RSCB04AHeadingSection"/>
        <w:rPr>
          <w:lang w:eastAsia="ja-JP"/>
        </w:rPr>
      </w:pPr>
      <w:bookmarkStart w:id="3" w:name="_Hlk162265751"/>
      <w:r w:rsidRPr="001E3806">
        <w:rPr>
          <w:rFonts w:hint="eastAsia"/>
          <w:lang w:eastAsia="ja-JP"/>
        </w:rPr>
        <w:t>Methods</w:t>
      </w:r>
      <w:bookmarkEnd w:id="3"/>
    </w:p>
    <w:p w14:paraId="3A3F4844" w14:textId="347C819C" w:rsidR="0061024F" w:rsidRPr="001E3806" w:rsidRDefault="0061024F" w:rsidP="0061024F">
      <w:pPr>
        <w:pStyle w:val="RSCB02ArticleText"/>
        <w:ind w:firstLine="284"/>
        <w:rPr>
          <w:bCs/>
          <w:lang w:val="en-US"/>
        </w:rPr>
      </w:pPr>
      <w:r w:rsidRPr="001E3806">
        <w:rPr>
          <w:bCs/>
          <w:lang w:val="en-US"/>
        </w:rPr>
        <w:t>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samples were synthesized by the solid-state reaction method.</w:t>
      </w:r>
      <w:r w:rsidRPr="001E3806">
        <w:rPr>
          <w:bCs/>
          <w:lang w:val="en-US"/>
        </w:rPr>
        <w:fldChar w:fldCharType="begin" w:fldLock="1"/>
      </w:r>
      <w:r w:rsidRPr="001E3806">
        <w:rPr>
          <w:bCs/>
          <w:lang w:val="en-US"/>
        </w:rPr>
        <w:instrText>ADDIN CSL_CITATION {"citationItems":[{"id":"ITEM-1","itemData":{"DOI":"10.1038/s41467-020-20859-w","ISSN":"2041-1723","abstract":"&lt;p&gt; Oxide-ion conductors are important in various applications such as solid-oxide fuel cells. Although zirconia-based materials are widely utilized, there remains a strong motivation to discover electrolyte materials with higher conductivity that lowers the working temperature of fuel cells, reducing cost. Oxide-ion conductors with hexagonal perovskite related structures are rare. Herein, we report oxide-ion conductors based on a hexagonal perovskite-related oxide Ba &lt;sub&gt;7&lt;/sub&gt; Nb &lt;sub&gt;4&lt;/sub&gt; MoO &lt;sub&gt;20&lt;/sub&gt; . Ba &lt;sub&gt;7&lt;/sub&gt; Nb &lt;sub&gt;3.9&lt;/sub&gt; Mo &lt;sub&gt;1.1&lt;/sub&gt; O &lt;sub&gt;20.05&lt;/sub&gt; shows a wide stability range and predominantly oxide-ion conduction in an oxygen partial pressure range from 2 × 10 &lt;sup&gt;−26&lt;/sup&gt; to 1 atm at 600 °C. Surprisingly, bulk conductivity of Ba &lt;sub&gt;7&lt;/sub&gt; Nb &lt;sub&gt;3.9&lt;/sub&gt; Mo &lt;sub&gt;1.1&lt;/sub&gt; O &lt;sub&gt;20.05&lt;/sub&gt; , 5.8 × 10 &lt;sup&gt;−4&lt;/sup&gt; S cm &lt;sup&gt;−1&lt;/sup&gt; , is remarkably high at 310 °C, and higher than Bi &lt;sub&gt;2&lt;/sub&gt; O &lt;sub&gt;3&lt;/sub&gt; - and zirconia-based materials. The high conductivity of Ba &lt;sub&gt;7&lt;/sub&gt; Nb &lt;sub&gt;3.9&lt;/sub&gt; Mo &lt;sub&gt;1.1&lt;/sub&gt; O &lt;sub&gt;20.05&lt;/sub&gt; is attributable to the interstitial-O5 oxygen site, providing two-dimensional oxide-ion O1−O5 interstitialcy diffusion through lattice-O1 and interstitial-O5 sites in the oxygen-deficient layer, and low activation energy for oxide-ion conductivity. Present findings demonstrate the ability of hexagonal perovskite related oxides as superior oxide-ion conductors. &lt;/p&gt;","author":[{"dropping-particle":"","family":"Yashima","given":"Masatomo","non-dropping-particle":"","parse-names":false,"suffix":""},{"dropping-particle":"","family":"Tsujiguchi","given":"Takafumi","non-dropping-particle":"","parse-names":false,"suffix":""},{"dropping-particle":"","family":"Sakuda","given":"Yuichi","non-dropping-particle":"","parse-names":false,"suffix":""},{"dropping-particle":"","family":"Yasui","given":"Yuta","non-dropping-particle":"","parse-names":false,"suffix":""},{"dropping-particle":"","family":"Zhou","given":"Yu","non-dropping-particle":"","parse-names":false,"suffix":""},{"dropping-particle":"","family":"Fujii","given":"Kotaro","non-dropping-particle":"","parse-names":false,"suffix":""},{"dropping-particle":"","family":"Torii","given":"Shuki","non-dropping-particle":"","parse-names":false,"suffix":""},{"dropping-particle":"","family":"Kamiyama","given":"Takashi","non-dropping-particle":"","parse-names":false,"suffix":""},{"dropping-particle":"","family":"Skinner","given":"Stephen J.","non-dropping-particle":"","parse-names":false,"suffix":""}],"container-title":"Nature Communications","id":"ITEM-1","issued":{"date-parts":[["2021","12","25"]]},"page":"556","publisher":"Nature Publishing Group","title":"High oxide-ion conductivity through the interstitial oxygen site in Ba&lt;sub&gt;7&lt;/sub&gt;Nb&lt;sub&gt;4&lt;/sub&gt;MoO&lt;sub&gt;20&lt;/sub&gt;-based hexagonal perovskite related oxides","type":"article-journal","volume":"12"},"uris":["http://www.mendeley.com/documents/?uuid=0fbd32b0-5507-38ac-879a-489b440434c5"]},{"id":"ITEM-2","itemData":{"DOI":"10.1021/ACS.CHEMMATER.3C02378","ISSN":"0897-4756","abstract":"Oxide-ion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Materials","id":"ITEM-2","issue":"22","issued":{"date-parts":[["2023","11","14"]]},"page":"9774–9788","publisher":"American Chemical Society","title":"Dimer-Mediated Cooperative Mechanism of Ultrafast-Ion Conduction in Hexagonal Perovskite-Related Oxides","type":"article-journal","volume":"35"},"uris":["http://www.mendeley.com/documents/?uuid=0432974d-3ff5-3823-a81a-2b39497a2f7f"]},{"id":"ITEM-3","itemData":{"DOI":"10.1021/ACS.JPCC.4C02645/ASSET/IMAGES/LARGE/JP4C02645_0004.JPEG","ISSN":"19327455","abstract":"Hexagonal perovskite-related oxides, Ba7Nb4MoO20, Ba7Nb4-xMo1+xO20+(1/2)x (x = 0.1), Ba7Nb4-yWyMoO20+(1/2)y (y = 0.15), and Ba7Ta4-zMo1+zO20+(1/2)z (z = 0.3), have recently been reported to exhibit high oxide-ion and proton conductivity. These materials are of great interest in industrial applications, such as solid oxide fuel cells (SOFCs) and proton ceramic fuel cells (PCFCs) and are known for their unusual structures. Although the structures of Ba7Nb4MoO20 and their related materials were primarily analyzed by assuming an even distribution of Mo and Nb at each M (=Mo/Nb) site, solid-state nuclear magnetic resonance (NMR) spectra have revealed that Mo and Nb are unevenly distributed in Ba7Nb4MoO20. As it is crucial to determine whether the contributions to oxide-ion and proton conduction are the same for Mo and Nb, we focused on the signal differences among these as-prepared materials, namely, Ba7Nb4MoO20, Ba7Nb3.9Mo1.1O20.05, Ba7Nb3.85W0.15MoO20.075, and Ba7Ta3.7Mo1.3O20.15, using solid-state 95Mo and 93Nb NMR analysis. The 95Mo NMR similar predominant peaks revealed in Ba7Nb3.9Mo1.1O20.05, Ba7Nb3.85W0.15MoO20.075, and Ba7Ta3.7Mo1.3O20.15 are also attributed to the MoO4 tetrahedron near the oxide-ion conducting layer owing to the small quadrupolar coupling constant, |CQ|. Furthermore, a minor peak of 95Mo has been observed in Ba7Ta3.7Mo1.3O20.15, which is presumed to be a MoO5 polyhedron, MoO5 monomer, or (Mo/Ta)2O9 dimer, formed by the binding of the excess oxygen, represented by (1/2)z (z = 0.3) in the chemical formula. One shoulder peak in the 93Nb NMR spectrum of Ba7Nb4MoO20 could be attributed to the NbO4 tetrahedron near the ion conducting layer from its small quadrupolar coupling product, |PQ|, but its intensity is smaller than that considered from the occupancy factors. The small signal intensity is plausible because many are not regular NbO4 tetrahedrons in Ba7Nb4MoO20. In Ba7Nb4-xMo1+xO20+(1/2)x (x = 0.1), the intensity of NbO4 tetrahedron has been further reduced, indicating that the decrease is caused by the transformation of the residual NbO4 tetrahedron to NbO5 polyhedron, NbO5 monomer, or (Mo/Nb)2O9 dimer, by the binding of excess oxygen, represented by (1/2)x (x = 0.1) in the chemical formula. Thus, the solid-state NMR analysis of the local structure of Mo and Nb oxide polyhedra is a vital tool in analyzing nonstoichiometric ion conductors because it provides information on individual Mo and Nb local structures near the conducting lay…","author":[{"dropping-particle":"","family":"Tansho","given":"Masataka","non-dropping-particle":"","parse-names":false,"suffix":""},{"dropping-particle":"","family":"Goto","given":"Atsushi","non-dropping-particle":"","parse-names":false,"suffix":""},{"dropping-particle":"","family":"Ohki","given":"Shinobu","non-dropping-particle":"","parse-names":false,"suffix":""},{"dropping-particle":"","family":"Mogami","given":"Yuuki","non-dropping-particle":"","parse-names":false,"suffix":""},{"dropping-particle":"","family":"Yasui","given":"Yuta","non-dropping-particle":"","parse-names":false,"suffix":""},{"dropping-particle":"","family":"Sakuda","given":"Yuichi","non-dropping-particle":"","parse-names":false,"suffix":""},{"dropping-particle":"","family":"Fujii","given":"Kotaro","non-dropping-particle":"","parse-names":false,"suffix":""},{"dropping-particle":"","family":"Iijima","given":"Takahiro","non-dropping-particle":"","parse-names":false,"suffix":""},{"dropping-particle":"","family":"Yashima","given":"Masatomo","non-dropping-particle":"","parse-names":false,"suffix":""}],"container-title":"Journal of Physical Chemistry C","id":"ITEM-3","issue":"46","issued":{"date-parts":[["2024","11","21"]]},"page":"19679-19687","publisher":"American Chemical Society","title":"Solid-State 95Mo and 93Nb NMR Study of Ba7Nb4MoO20-Based Materials and Ba7Ta3.7Mo1.3O20.15","type":"article-journal","volume":"128"},"uris":["http://www.mendeley.com/documents/?uuid=4c6ddffc-3deb-3c71-96d1-8a876ab32833"]}],"mendeley":{"formattedCitation":"&lt;sup&gt;17,34,49&lt;/sup&gt;","plainTextFormattedCitation":"17,34,49","previouslyFormattedCitation":"&lt;sup&gt;17,32,49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17,34,49</w:t>
      </w:r>
      <w:r w:rsidRPr="001E3806">
        <w:rPr>
          <w:bCs/>
          <w:lang w:val="en-US"/>
        </w:rPr>
        <w:fldChar w:fldCharType="end"/>
      </w:r>
      <w:r w:rsidRPr="001E3806">
        <w:rPr>
          <w:bCs/>
          <w:lang w:val="en-US"/>
        </w:rPr>
        <w:t xml:space="preserve"> BaCO</w:t>
      </w:r>
      <w:r w:rsidRPr="001E3806">
        <w:rPr>
          <w:bCs/>
          <w:vertAlign w:val="subscript"/>
          <w:lang w:val="en-US"/>
        </w:rPr>
        <w:t>3</w:t>
      </w:r>
      <w:r w:rsidRPr="001E3806">
        <w:rPr>
          <w:bCs/>
          <w:lang w:val="en-US"/>
        </w:rPr>
        <w:t>, Nb</w:t>
      </w:r>
      <w:r w:rsidRPr="001E3806">
        <w:rPr>
          <w:bCs/>
          <w:vertAlign w:val="subscript"/>
          <w:lang w:val="en-US"/>
        </w:rPr>
        <w:t>2</w:t>
      </w:r>
      <w:r w:rsidRPr="001E3806">
        <w:rPr>
          <w:bCs/>
          <w:lang w:val="en-US"/>
        </w:rPr>
        <w:t>O</w:t>
      </w:r>
      <w:r w:rsidRPr="001E3806">
        <w:rPr>
          <w:bCs/>
          <w:vertAlign w:val="subscript"/>
          <w:lang w:val="en-US"/>
        </w:rPr>
        <w:t>5</w:t>
      </w:r>
      <w:r w:rsidRPr="001E3806">
        <w:rPr>
          <w:bCs/>
          <w:lang w:val="en-US"/>
        </w:rPr>
        <w:t>, and MoO</w:t>
      </w:r>
      <w:r w:rsidRPr="001E3806">
        <w:rPr>
          <w:bCs/>
          <w:vertAlign w:val="subscript"/>
          <w:lang w:val="en-US"/>
        </w:rPr>
        <w:t>3</w:t>
      </w:r>
      <w:r w:rsidRPr="001E3806">
        <w:rPr>
          <w:bCs/>
          <w:lang w:val="en-US"/>
        </w:rPr>
        <w:t xml:space="preserve"> (purity &gt; 99.9%, Kojundo Chemical Co., Ltd.) were mixed and ground as ethanol slurries and dried powders using an agate mortar for 1 h. This was followed by calcination at 900 </w:t>
      </w:r>
      <w:r w:rsidRPr="001E3806">
        <w:rPr>
          <w:bCs/>
          <w:vertAlign w:val="superscript"/>
          <w:lang w:val="en-US"/>
        </w:rPr>
        <w:t>o</w:t>
      </w:r>
      <w:r w:rsidRPr="001E3806">
        <w:rPr>
          <w:bCs/>
          <w:lang w:val="en-US"/>
        </w:rPr>
        <w:t xml:space="preserve">C for 12 h in static air. The calcined powders were then ground for 1 h as ethanol slurries and dried powders, and then pressed uniaxially into pellets at approximately 150 MPa. These pellets were then sintered at 1100 </w:t>
      </w:r>
      <w:r w:rsidRPr="001E3806">
        <w:rPr>
          <w:bCs/>
          <w:vertAlign w:val="superscript"/>
          <w:lang w:val="en-US"/>
        </w:rPr>
        <w:t>o</w:t>
      </w:r>
      <w:r w:rsidRPr="001E3806">
        <w:rPr>
          <w:bCs/>
          <w:lang w:val="en-US"/>
        </w:rPr>
        <w:t xml:space="preserve">C for 24 h in static air. The product was crushed in a WC crusher, and then ground into powders in the agate mortar for 1 h. The powders were then ball-milled using yttria-stabilized zirconia (YSZ) balls (Fritsch, P7). These powders were then isostatically pressed into pellets at 150 MPa and sintered in static air at 1200 </w:t>
      </w:r>
      <w:r w:rsidRPr="001E3806">
        <w:rPr>
          <w:bCs/>
          <w:vertAlign w:val="superscript"/>
          <w:lang w:val="en-US"/>
        </w:rPr>
        <w:t>o</w:t>
      </w:r>
      <w:r w:rsidRPr="001E3806">
        <w:rPr>
          <w:bCs/>
          <w:lang w:val="en-US"/>
        </w:rPr>
        <w:t>C for 12 h.</w:t>
      </w:r>
    </w:p>
    <w:p w14:paraId="28C4376A" w14:textId="5C7CB2D0" w:rsidR="0061024F" w:rsidRPr="001E3806" w:rsidRDefault="0061024F" w:rsidP="0061024F">
      <w:pPr>
        <w:pStyle w:val="RSCB02ArticleText"/>
        <w:ind w:firstLine="284"/>
        <w:rPr>
          <w:bCs/>
          <w:lang w:val="en-US"/>
        </w:rPr>
      </w:pPr>
      <w:r w:rsidRPr="001E3806">
        <w:rPr>
          <w:bCs/>
          <w:lang w:val="en-US"/>
        </w:rPr>
        <w:t xml:space="preserve">  The X-ray powder diffraction pattern of the milled sample was measured using a laboratory-based X-ray diffractometer (Bruker AXS D8 Advance) with Cu Kα radiation. Thermogravimetric (TG) data were collected for a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 xml:space="preserve">20 </w:t>
      </w:r>
      <w:r w:rsidRPr="001E3806">
        <w:rPr>
          <w:bCs/>
          <w:lang w:val="en-US"/>
        </w:rPr>
        <w:t xml:space="preserve">pellet using a NETZSCH STA 449 F3. The pellet was heated to 900 </w:t>
      </w:r>
      <w:r w:rsidRPr="001E3806">
        <w:rPr>
          <w:bCs/>
          <w:vertAlign w:val="superscript"/>
          <w:lang w:val="en-US"/>
        </w:rPr>
        <w:t>o</w:t>
      </w:r>
      <w:r w:rsidRPr="001E3806">
        <w:rPr>
          <w:bCs/>
          <w:lang w:val="en-US"/>
        </w:rPr>
        <w:t xml:space="preserve">C at a rate of 10 </w:t>
      </w:r>
      <w:r w:rsidRPr="001E3806">
        <w:rPr>
          <w:bCs/>
          <w:vertAlign w:val="superscript"/>
          <w:lang w:val="en-US"/>
        </w:rPr>
        <w:t>o</w:t>
      </w:r>
      <w:r w:rsidRPr="001E3806">
        <w:rPr>
          <w:bCs/>
          <w:lang w:val="en-US"/>
        </w:rPr>
        <w:t>C min</w:t>
      </w:r>
      <w:r w:rsidRPr="001E3806">
        <w:rPr>
          <w:bCs/>
          <w:vertAlign w:val="superscript"/>
          <w:lang w:val="en-US"/>
        </w:rPr>
        <w:t>−1</w:t>
      </w:r>
      <w:r w:rsidRPr="001E3806">
        <w:rPr>
          <w:bCs/>
          <w:lang w:val="en-US"/>
        </w:rPr>
        <w:t xml:space="preserve"> in dry air (water vapor partial pressure: </w:t>
      </w:r>
      <w:r w:rsidRPr="001E3806">
        <w:rPr>
          <w:bCs/>
          <w:i/>
          <w:lang w:val="en-US"/>
        </w:rPr>
        <w:t>p</w:t>
      </w:r>
      <w:r w:rsidRPr="001E3806">
        <w:rPr>
          <w:bCs/>
          <w:lang w:val="en-US"/>
        </w:rPr>
        <w:t>H</w:t>
      </w:r>
      <w:r w:rsidRPr="001E3806">
        <w:rPr>
          <w:bCs/>
          <w:vertAlign w:val="subscript"/>
          <w:lang w:val="en-US"/>
        </w:rPr>
        <w:t>2</w:t>
      </w:r>
      <w:r w:rsidRPr="001E3806">
        <w:rPr>
          <w:bCs/>
          <w:lang w:val="en-US"/>
        </w:rPr>
        <w:t>O &lt; 1.5 × 10</w:t>
      </w:r>
      <w:r w:rsidRPr="001E3806">
        <w:rPr>
          <w:bCs/>
          <w:vertAlign w:val="superscript"/>
          <w:lang w:val="en-US"/>
        </w:rPr>
        <w:t>‒4</w:t>
      </w:r>
      <w:r w:rsidRPr="001E3806">
        <w:rPr>
          <w:bCs/>
          <w:lang w:val="en-US"/>
        </w:rPr>
        <w:t xml:space="preserve"> atm) and held at 900 </w:t>
      </w:r>
      <w:r w:rsidRPr="001E3806">
        <w:rPr>
          <w:bCs/>
          <w:vertAlign w:val="superscript"/>
          <w:lang w:val="en-US"/>
        </w:rPr>
        <w:t>o</w:t>
      </w:r>
      <w:r w:rsidRPr="001E3806">
        <w:rPr>
          <w:bCs/>
          <w:lang w:val="en-US"/>
        </w:rPr>
        <w:t>C for 1 h. The dry air flow was then changed to a wet air flow (</w:t>
      </w:r>
      <w:r w:rsidRPr="001E3806">
        <w:rPr>
          <w:bCs/>
          <w:i/>
          <w:lang w:val="en-US"/>
        </w:rPr>
        <w:t>p</w:t>
      </w:r>
      <w:r w:rsidRPr="001E3806">
        <w:rPr>
          <w:bCs/>
          <w:lang w:val="en-US"/>
        </w:rPr>
        <w:t>H</w:t>
      </w:r>
      <w:r w:rsidRPr="001E3806">
        <w:rPr>
          <w:bCs/>
          <w:vertAlign w:val="subscript"/>
          <w:lang w:val="en-US"/>
        </w:rPr>
        <w:t>2</w:t>
      </w:r>
      <w:r w:rsidRPr="001E3806">
        <w:rPr>
          <w:bCs/>
          <w:lang w:val="en-US"/>
        </w:rPr>
        <w:t xml:space="preserve">O = 0.021 atm) and the sample was equilibrated at 100 </w:t>
      </w:r>
      <w:r w:rsidRPr="001E3806">
        <w:rPr>
          <w:bCs/>
          <w:vertAlign w:val="superscript"/>
          <w:lang w:val="en-US"/>
        </w:rPr>
        <w:t>o</w:t>
      </w:r>
      <w:r w:rsidRPr="001E3806">
        <w:rPr>
          <w:bCs/>
          <w:lang w:val="en-US"/>
        </w:rPr>
        <w:t xml:space="preserve">C intervals from 900 </w:t>
      </w:r>
      <w:r w:rsidRPr="001E3806">
        <w:rPr>
          <w:bCs/>
          <w:vertAlign w:val="superscript"/>
          <w:lang w:val="en-US"/>
        </w:rPr>
        <w:t>o</w:t>
      </w:r>
      <w:r w:rsidRPr="001E3806">
        <w:rPr>
          <w:bCs/>
          <w:lang w:val="en-US"/>
        </w:rPr>
        <w:t xml:space="preserve">C to 100 </w:t>
      </w:r>
      <w:r w:rsidRPr="001E3806">
        <w:rPr>
          <w:bCs/>
          <w:vertAlign w:val="superscript"/>
          <w:lang w:val="en-US"/>
        </w:rPr>
        <w:t>o</w:t>
      </w:r>
      <w:r w:rsidRPr="001E3806">
        <w:rPr>
          <w:bCs/>
          <w:lang w:val="en-US"/>
        </w:rPr>
        <w:t xml:space="preserve">C and 30 </w:t>
      </w:r>
      <w:r w:rsidRPr="001E3806">
        <w:rPr>
          <w:bCs/>
          <w:vertAlign w:val="superscript"/>
          <w:lang w:val="en-US"/>
        </w:rPr>
        <w:t>o</w:t>
      </w:r>
      <w:r w:rsidRPr="001E3806">
        <w:rPr>
          <w:bCs/>
          <w:lang w:val="en-US"/>
        </w:rPr>
        <w:t>C, with 4 h stabilization period at each temperature.</w:t>
      </w:r>
    </w:p>
    <w:p w14:paraId="0A8EA7C4" w14:textId="63314AAE" w:rsidR="0061024F" w:rsidRPr="001E3806" w:rsidRDefault="0061024F" w:rsidP="0061024F">
      <w:pPr>
        <w:pStyle w:val="RSCB02ArticleText"/>
        <w:ind w:firstLine="284"/>
        <w:rPr>
          <w:bCs/>
          <w:lang w:val="en-US"/>
        </w:rPr>
      </w:pPr>
      <w:r w:rsidRPr="001E3806">
        <w:rPr>
          <w:bCs/>
          <w:lang w:val="en-US"/>
        </w:rPr>
        <w:t xml:space="preserve">   To prepare the samples for measuring of the concentration cells and AC impedance spectra, platinum (Pt) paste and Pt wires were attached to the sintered pellets</w:t>
      </w:r>
      <w:r w:rsidR="0031296D" w:rsidRPr="001E3806">
        <w:rPr>
          <w:bCs/>
          <w:lang w:val="en-US"/>
        </w:rPr>
        <w:t xml:space="preserve"> (</w:t>
      </w:r>
      <w:r w:rsidR="00020BF6" w:rsidRPr="001E3806">
        <w:rPr>
          <w:bCs/>
          <w:lang w:val="en-US"/>
        </w:rPr>
        <w:t>sizes of pellets: 16</w:t>
      </w:r>
      <w:r w:rsidR="0031296D" w:rsidRPr="001E3806">
        <w:rPr>
          <w:bCs/>
          <w:lang w:val="en-US"/>
        </w:rPr>
        <w:t xml:space="preserve"> mm in diameter and </w:t>
      </w:r>
      <w:r w:rsidR="00020BF6" w:rsidRPr="001E3806">
        <w:rPr>
          <w:bCs/>
          <w:lang w:val="en-US"/>
        </w:rPr>
        <w:t>1.3</w:t>
      </w:r>
      <w:r w:rsidR="0031296D" w:rsidRPr="001E3806">
        <w:rPr>
          <w:bCs/>
          <w:lang w:val="en-US"/>
        </w:rPr>
        <w:t xml:space="preserve"> mm in height</w:t>
      </w:r>
      <w:r w:rsidR="00020BF6" w:rsidRPr="001E3806">
        <w:rPr>
          <w:bCs/>
          <w:lang w:val="en-US"/>
        </w:rPr>
        <w:t xml:space="preserve"> for the concentration cells and 4.0 mm in diameter and 12 mm in height for the impedance measurements</w:t>
      </w:r>
      <w:r w:rsidR="0031296D" w:rsidRPr="001E3806">
        <w:rPr>
          <w:bCs/>
          <w:lang w:val="en-US"/>
        </w:rPr>
        <w:t>)</w:t>
      </w:r>
      <w:r w:rsidRPr="001E3806">
        <w:rPr>
          <w:bCs/>
          <w:lang w:val="en-US"/>
        </w:rPr>
        <w:t xml:space="preserve">. The pellets were then heated in static air at 1000 </w:t>
      </w:r>
      <w:r w:rsidRPr="001E3806">
        <w:rPr>
          <w:bCs/>
          <w:vertAlign w:val="superscript"/>
          <w:lang w:val="en-US"/>
        </w:rPr>
        <w:t>o</w:t>
      </w:r>
      <w:r w:rsidRPr="001E3806">
        <w:rPr>
          <w:bCs/>
          <w:lang w:val="en-US"/>
        </w:rPr>
        <w:t>C for 1 h to remove the organics from the Pt paste. The AC total conductivity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was determined from the reciprocal of the total resistivity, which is the sum of the bulk and grain boundary resistivities. The AC total conductivity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was evaluated as a function of temperature from 613 to 396 </w:t>
      </w:r>
      <w:r w:rsidRPr="001E3806">
        <w:rPr>
          <w:bCs/>
          <w:vertAlign w:val="superscript"/>
          <w:lang w:val="en-US"/>
        </w:rPr>
        <w:t>o</w:t>
      </w:r>
      <w:r w:rsidRPr="001E3806">
        <w:rPr>
          <w:bCs/>
          <w:lang w:val="en-US"/>
        </w:rPr>
        <w:t xml:space="preserve">C on cooling after heating up to 900 </w:t>
      </w:r>
      <w:r w:rsidRPr="001E3806">
        <w:rPr>
          <w:bCs/>
          <w:vertAlign w:val="superscript"/>
          <w:lang w:val="en-US"/>
        </w:rPr>
        <w:t>o</w:t>
      </w:r>
      <w:r w:rsidRPr="001E3806">
        <w:rPr>
          <w:bCs/>
          <w:lang w:val="en-US"/>
        </w:rPr>
        <w:t xml:space="preserve">C using AC impedance </w:t>
      </w:r>
      <w:r w:rsidRPr="001E3806">
        <w:rPr>
          <w:bCs/>
          <w:lang w:val="en-US"/>
        </w:rPr>
        <w:lastRenderedPageBreak/>
        <w:t>spectroscopy in flowing dry air (</w:t>
      </w:r>
      <w:r w:rsidRPr="001E3806">
        <w:rPr>
          <w:bCs/>
          <w:i/>
          <w:lang w:val="en-US"/>
        </w:rPr>
        <w:t>p</w:t>
      </w:r>
      <w:r w:rsidRPr="001E3806">
        <w:rPr>
          <w:bCs/>
          <w:lang w:val="en-US"/>
        </w:rPr>
        <w:t>H</w:t>
      </w:r>
      <w:r w:rsidRPr="001E3806">
        <w:rPr>
          <w:bCs/>
          <w:vertAlign w:val="subscript"/>
          <w:lang w:val="en-US"/>
        </w:rPr>
        <w:t>2</w:t>
      </w:r>
      <w:r w:rsidRPr="001E3806">
        <w:rPr>
          <w:bCs/>
          <w:lang w:val="en-US"/>
        </w:rPr>
        <w:t>O &lt; 1.5 × 10</w:t>
      </w:r>
      <w:r w:rsidRPr="001E3806">
        <w:rPr>
          <w:bCs/>
          <w:vertAlign w:val="superscript"/>
          <w:lang w:val="en-US"/>
        </w:rPr>
        <w:t>‒4</w:t>
      </w:r>
      <w:r w:rsidRPr="001E3806">
        <w:rPr>
          <w:bCs/>
          <w:lang w:val="en-US"/>
        </w:rPr>
        <w:t xml:space="preserve"> atm) and wet air (</w:t>
      </w:r>
      <w:r w:rsidRPr="001E3806">
        <w:rPr>
          <w:bCs/>
          <w:i/>
          <w:lang w:val="en-US"/>
        </w:rPr>
        <w:t>p</w:t>
      </w:r>
      <w:r w:rsidRPr="001E3806">
        <w:rPr>
          <w:bCs/>
          <w:lang w:val="en-US"/>
        </w:rPr>
        <w:t>H</w:t>
      </w:r>
      <w:r w:rsidRPr="001E3806">
        <w:rPr>
          <w:bCs/>
          <w:vertAlign w:val="subscript"/>
          <w:lang w:val="en-US"/>
        </w:rPr>
        <w:t>2</w:t>
      </w:r>
      <w:r w:rsidRPr="001E3806">
        <w:rPr>
          <w:bCs/>
          <w:lang w:val="en-US"/>
        </w:rPr>
        <w:t>O = 0.021 atm), respectively, at a flow rate of 100 mL min</w:t>
      </w:r>
      <w:r w:rsidRPr="001E3806">
        <w:rPr>
          <w:bCs/>
          <w:vertAlign w:val="superscript"/>
          <w:lang w:val="en-US"/>
        </w:rPr>
        <w:t>−1</w:t>
      </w:r>
      <w:r w:rsidRPr="001E3806">
        <w:rPr>
          <w:bCs/>
          <w:lang w:val="en-US"/>
        </w:rPr>
        <w:t xml:space="preserve">. Impedance spectra were recorded using a </w:t>
      </w:r>
      <w:proofErr w:type="spellStart"/>
      <w:r w:rsidRPr="001E3806">
        <w:rPr>
          <w:bCs/>
          <w:lang w:val="en-US"/>
        </w:rPr>
        <w:t>Solartron</w:t>
      </w:r>
      <w:proofErr w:type="spellEnd"/>
      <w:r w:rsidRPr="001E3806">
        <w:rPr>
          <w:bCs/>
          <w:lang w:val="en-US"/>
        </w:rPr>
        <w:t xml:space="preserve"> 1260 impedance </w:t>
      </w:r>
      <w:proofErr w:type="spellStart"/>
      <w:r w:rsidRPr="001E3806">
        <w:rPr>
          <w:bCs/>
          <w:lang w:val="en-US"/>
        </w:rPr>
        <w:t>analyser</w:t>
      </w:r>
      <w:proofErr w:type="spellEnd"/>
      <w:r w:rsidRPr="001E3806">
        <w:rPr>
          <w:bCs/>
          <w:lang w:val="en-US"/>
        </w:rPr>
        <w:t xml:space="preserve"> in the frequency range of 1 MHz to 1 Hz at an applied alternating voltage of 100 mV.</w:t>
      </w:r>
    </w:p>
    <w:p w14:paraId="1DC6BDE8" w14:textId="12F3E73B" w:rsidR="0061024F" w:rsidRPr="001E3806" w:rsidRDefault="0061024F" w:rsidP="0061024F">
      <w:pPr>
        <w:pStyle w:val="RSCB02ArticleText"/>
        <w:ind w:firstLine="284"/>
        <w:rPr>
          <w:bCs/>
          <w:lang w:val="en-US"/>
        </w:rPr>
      </w:pPr>
      <w:r w:rsidRPr="001E3806">
        <w:rPr>
          <w:bCs/>
          <w:lang w:val="en-US"/>
        </w:rPr>
        <w:t xml:space="preserve">  The oxygen transport number </w:t>
      </w:r>
      <w:r w:rsidRPr="001E3806">
        <w:rPr>
          <w:bCs/>
          <w:i/>
          <w:iCs/>
          <w:lang w:val="en-US"/>
        </w:rPr>
        <w:t>t</w:t>
      </w:r>
      <w:r w:rsidRPr="001E3806">
        <w:rPr>
          <w:bCs/>
          <w:vertAlign w:val="subscript"/>
          <w:lang w:val="en-US"/>
        </w:rPr>
        <w:t>wet/O/EMF</w:t>
      </w:r>
      <w:r w:rsidRPr="001E3806">
        <w:rPr>
          <w:bCs/>
          <w:lang w:val="en-US"/>
        </w:rPr>
        <w:t xml:space="preserve"> and the proton transport number </w:t>
      </w:r>
      <w:r w:rsidRPr="001E3806">
        <w:rPr>
          <w:bCs/>
          <w:i/>
          <w:iCs/>
          <w:lang w:val="en-US"/>
        </w:rPr>
        <w:t>t</w:t>
      </w:r>
      <w:r w:rsidRPr="001E3806">
        <w:rPr>
          <w:bCs/>
          <w:vertAlign w:val="subscript"/>
          <w:lang w:val="en-US"/>
        </w:rPr>
        <w:t>H/EMF</w:t>
      </w:r>
      <w:r w:rsidRPr="001E3806">
        <w:rPr>
          <w:bCs/>
          <w:lang w:val="en-US"/>
        </w:rPr>
        <w:t xml:space="preserve">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were evaluated in wet atmospheres using electromotive force (EMF) measurements, with both oxygen and water vapor concentration cells at 500 and 600 </w:t>
      </w:r>
      <w:r w:rsidRPr="001E3806">
        <w:rPr>
          <w:bCs/>
          <w:vertAlign w:val="superscript"/>
          <w:lang w:val="en-US"/>
        </w:rPr>
        <w:t>o</w:t>
      </w:r>
      <w:r w:rsidRPr="001E3806">
        <w:rPr>
          <w:bCs/>
          <w:lang w:val="en-US"/>
        </w:rPr>
        <w:t xml:space="preserve">C. </w:t>
      </w:r>
      <w:r w:rsidR="000B3CFE" w:rsidRPr="001E3806">
        <w:rPr>
          <w:bCs/>
          <w:lang w:val="en-US"/>
        </w:rPr>
        <w:t xml:space="preserve">Measurements at 400 </w:t>
      </w:r>
      <w:r w:rsidR="000B3CFE" w:rsidRPr="001E3806">
        <w:rPr>
          <w:bCs/>
          <w:vertAlign w:val="superscript"/>
          <w:lang w:val="en-US"/>
        </w:rPr>
        <w:t>o</w:t>
      </w:r>
      <w:r w:rsidR="000B3CFE" w:rsidRPr="001E3806">
        <w:rPr>
          <w:bCs/>
          <w:lang w:val="en-US"/>
        </w:rPr>
        <w:t xml:space="preserve">C were unsuccessful due to slow kinetics. </w:t>
      </w:r>
      <w:r w:rsidRPr="001E3806">
        <w:rPr>
          <w:bCs/>
          <w:lang w:val="en-US"/>
        </w:rPr>
        <w:t>The conce</w:t>
      </w:r>
      <w:r w:rsidRPr="001E3806">
        <w:rPr>
          <w:rFonts w:hint="eastAsia"/>
          <w:bCs/>
          <w:lang w:val="en-US"/>
        </w:rPr>
        <w:t>n</w:t>
      </w:r>
      <w:r w:rsidRPr="001E3806">
        <w:rPr>
          <w:bCs/>
          <w:lang w:val="en-US"/>
        </w:rPr>
        <w:t xml:space="preserve">tration cell was heated in static air at 800 </w:t>
      </w:r>
      <w:r w:rsidRPr="001E3806">
        <w:rPr>
          <w:bCs/>
          <w:vertAlign w:val="superscript"/>
          <w:lang w:val="en-US"/>
        </w:rPr>
        <w:t>o</w:t>
      </w:r>
      <w:r w:rsidRPr="001E3806">
        <w:rPr>
          <w:bCs/>
          <w:lang w:val="en-US"/>
        </w:rPr>
        <w:t xml:space="preserve">C for 1 h to seal, then cooled to 600 </w:t>
      </w:r>
      <w:r w:rsidRPr="001E3806">
        <w:rPr>
          <w:bCs/>
          <w:vertAlign w:val="superscript"/>
          <w:lang w:val="en-US"/>
        </w:rPr>
        <w:t>o</w:t>
      </w:r>
      <w:r w:rsidRPr="001E3806">
        <w:rPr>
          <w:bCs/>
          <w:lang w:val="en-US"/>
        </w:rPr>
        <w:t xml:space="preserve">C, and the EMF was measured at this temperature. The cell was then cooled to 500 </w:t>
      </w:r>
      <w:r w:rsidRPr="001E3806">
        <w:rPr>
          <w:bCs/>
          <w:vertAlign w:val="superscript"/>
          <w:lang w:val="en-US"/>
        </w:rPr>
        <w:t>o</w:t>
      </w:r>
      <w:r w:rsidRPr="001E3806">
        <w:rPr>
          <w:bCs/>
          <w:lang w:val="en-US"/>
        </w:rPr>
        <w:t>C, and the EMF was measured at this temperature. The sum of the proton and oxygen transport numbers (</w:t>
      </w:r>
      <w:r w:rsidRPr="001E3806">
        <w:rPr>
          <w:bCs/>
          <w:i/>
          <w:iCs/>
          <w:lang w:val="en-US"/>
        </w:rPr>
        <w:t>t</w:t>
      </w:r>
      <w:r w:rsidRPr="001E3806">
        <w:rPr>
          <w:bCs/>
          <w:vertAlign w:val="subscript"/>
          <w:lang w:val="en-US"/>
        </w:rPr>
        <w:t>H/EMF</w:t>
      </w:r>
      <w:r w:rsidRPr="001E3806">
        <w:rPr>
          <w:bCs/>
          <w:lang w:val="en-US"/>
        </w:rPr>
        <w:t xml:space="preserve"> + </w:t>
      </w:r>
      <w:r w:rsidRPr="001E3806">
        <w:rPr>
          <w:bCs/>
          <w:i/>
          <w:iCs/>
          <w:lang w:val="en-US"/>
        </w:rPr>
        <w:t>t</w:t>
      </w:r>
      <w:r w:rsidRPr="001E3806">
        <w:rPr>
          <w:bCs/>
          <w:vertAlign w:val="subscript"/>
          <w:lang w:val="en-US"/>
        </w:rPr>
        <w:t>wet/O/EMF</w:t>
      </w:r>
      <w:r w:rsidRPr="001E3806">
        <w:rPr>
          <w:bCs/>
          <w:lang w:val="en-US"/>
        </w:rPr>
        <w:t>) was estimated using an oxygen concentration cell and the following Nernst equation:</w:t>
      </w:r>
    </w:p>
    <w:p w14:paraId="6C702D7E" w14:textId="5B97C66F" w:rsidR="0061024F" w:rsidRPr="001E3806" w:rsidRDefault="0061024F" w:rsidP="00CE5F87">
      <w:pPr>
        <w:pStyle w:val="RSCB02ArticleText"/>
        <w:spacing w:line="240" w:lineRule="auto"/>
        <w:ind w:firstLine="284"/>
        <w:rPr>
          <w:bCs/>
          <w:lang w:val="en-US"/>
        </w:rPr>
      </w:pPr>
      <w:r w:rsidRPr="001E3806">
        <w:rPr>
          <w:bCs/>
          <w:lang w:val="en-US"/>
        </w:rPr>
        <w:t>EMF = (</w:t>
      </w:r>
      <w:r w:rsidRPr="001E3806">
        <w:rPr>
          <w:bCs/>
          <w:i/>
          <w:iCs/>
          <w:lang w:val="en-US"/>
        </w:rPr>
        <w:t>t</w:t>
      </w:r>
      <w:r w:rsidRPr="001E3806">
        <w:rPr>
          <w:bCs/>
          <w:vertAlign w:val="subscript"/>
          <w:lang w:val="en-US"/>
        </w:rPr>
        <w:t>H/EMF</w:t>
      </w:r>
      <w:r w:rsidRPr="001E3806">
        <w:rPr>
          <w:bCs/>
          <w:lang w:val="en-US"/>
        </w:rPr>
        <w:t xml:space="preserve"> + </w:t>
      </w:r>
      <w:r w:rsidRPr="001E3806">
        <w:rPr>
          <w:bCs/>
          <w:i/>
          <w:iCs/>
          <w:lang w:val="en-US"/>
        </w:rPr>
        <w:t>t</w:t>
      </w:r>
      <w:r w:rsidRPr="001E3806">
        <w:rPr>
          <w:bCs/>
          <w:vertAlign w:val="subscript"/>
          <w:lang w:val="en-US"/>
        </w:rPr>
        <w:t>wet/O/EMF</w:t>
      </w:r>
      <w:r w:rsidRPr="001E3806">
        <w:rPr>
          <w:bCs/>
          <w:lang w:val="en-US"/>
        </w:rPr>
        <w:t xml:space="preserve">) </w:t>
      </w:r>
      <m:oMath>
        <m:r>
          <w:rPr>
            <w:rFonts w:ascii="Cambria Math" w:hAnsi="Cambria Math"/>
            <w:lang w:val="en-US"/>
          </w:rPr>
          <m:t>RT</m:t>
        </m:r>
        <m:r>
          <m:rPr>
            <m:sty m:val="p"/>
          </m:rPr>
          <w:rPr>
            <w:rFonts w:ascii="Cambria Math" w:hAnsi="Cambria Math"/>
            <w:lang w:val="en-US"/>
          </w:rPr>
          <m:t>ln</m:t>
        </m:r>
        <m:r>
          <w:rPr>
            <w:rFonts w:ascii="Cambria Math" w:hAnsi="Cambria Math"/>
            <w:lang w:val="en-US"/>
          </w:rPr>
          <m:t>(</m:t>
        </m:r>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r>
          <w:rPr>
            <w:rFonts w:ascii="Cambria Math" w:hAnsi="Cambria Math"/>
            <w:lang w:val="en-US"/>
          </w:rPr>
          <m:t>/</m:t>
        </m:r>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r>
          <w:rPr>
            <w:rFonts w:ascii="Cambria Math" w:hAnsi="Cambria Math"/>
            <w:lang w:val="en-US"/>
          </w:rPr>
          <m:t>)/(4F)</m:t>
        </m:r>
      </m:oMath>
      <w:r w:rsidRPr="001E3806">
        <w:rPr>
          <w:bCs/>
          <w:lang w:val="en-US"/>
        </w:rPr>
        <w:t xml:space="preserve">      </w:t>
      </w:r>
      <w:proofErr w:type="gramStart"/>
      <w:r w:rsidRPr="001E3806">
        <w:rPr>
          <w:bCs/>
          <w:lang w:val="en-US"/>
        </w:rPr>
        <w:t xml:space="preserve">   (</w:t>
      </w:r>
      <w:proofErr w:type="gramEnd"/>
      <w:r w:rsidRPr="001E3806">
        <w:rPr>
          <w:bCs/>
          <w:lang w:val="en-US"/>
        </w:rPr>
        <w:t>5)</w:t>
      </w:r>
    </w:p>
    <w:p w14:paraId="268E2E2A" w14:textId="7F113C24" w:rsidR="0061024F" w:rsidRPr="001E3806" w:rsidRDefault="0061024F" w:rsidP="007237F9">
      <w:pPr>
        <w:pStyle w:val="RSCB02ArticleText"/>
        <w:spacing w:line="240" w:lineRule="auto"/>
        <w:rPr>
          <w:bCs/>
          <w:lang w:val="en-US"/>
        </w:rPr>
      </w:pPr>
      <w:r w:rsidRPr="001E3806">
        <w:rPr>
          <w:bCs/>
          <w:lang w:val="en-US"/>
        </w:rPr>
        <w:t xml:space="preserve">where </w:t>
      </w:r>
      <w:r w:rsidRPr="001E3806">
        <w:rPr>
          <w:bCs/>
          <w:i/>
          <w:lang w:val="en-US"/>
        </w:rPr>
        <w:t>F</w:t>
      </w:r>
      <w:r w:rsidRPr="001E3806">
        <w:rPr>
          <w:bCs/>
          <w:lang w:val="en-US"/>
        </w:rPr>
        <w:t xml:space="preserve"> is the Faraday constant, </w:t>
      </w:r>
      <w:r w:rsidRPr="001E3806">
        <w:rPr>
          <w:bCs/>
          <w:i/>
          <w:lang w:val="en-US"/>
        </w:rPr>
        <w:t>R</w:t>
      </w:r>
      <w:r w:rsidRPr="001E3806">
        <w:rPr>
          <w:bCs/>
          <w:lang w:val="en-US"/>
        </w:rPr>
        <w:t xml:space="preserve"> is the gas constant, </w:t>
      </w:r>
      <w:r w:rsidRPr="001E3806">
        <w:rPr>
          <w:bCs/>
          <w:i/>
          <w:lang w:val="en-US"/>
        </w:rPr>
        <w:t>T</w:t>
      </w:r>
      <w:r w:rsidRPr="001E3806">
        <w:rPr>
          <w:bCs/>
          <w:lang w:val="en-US"/>
        </w:rPr>
        <w:t xml:space="preserve"> is the absolute temperature. The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oMath>
      <w:r w:rsidRPr="001E3806">
        <w:rPr>
          <w:bCs/>
          <w:lang w:val="en-US"/>
        </w:rPr>
        <w:t xml:space="preserve"> and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oMath>
      <w:r w:rsidRPr="001E3806">
        <w:rPr>
          <w:bCs/>
          <w:lang w:val="en-US"/>
        </w:rPr>
        <w:t xml:space="preserve"> are the oxygen partial pressures of the first (I) and second (II) compartments, respectively. The cell representation of the oxygen and water vapor concentration cells can be written as follows: </w:t>
      </w:r>
    </w:p>
    <w:p w14:paraId="378DD09C" w14:textId="61D7EA8F" w:rsidR="0061024F" w:rsidRPr="001E3806" w:rsidRDefault="00000000" w:rsidP="007237F9">
      <w:pPr>
        <w:pStyle w:val="RSCB02ArticleText"/>
        <w:spacing w:line="276" w:lineRule="auto"/>
        <w:ind w:firstLine="284"/>
        <w:rPr>
          <w:bCs/>
          <w:lang w:val="en-US"/>
        </w:rPr>
      </w:pP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oMath>
      <w:r w:rsidR="0061024F" w:rsidRPr="001E3806">
        <w:rPr>
          <w:bCs/>
          <w:lang w:val="en-US"/>
        </w:rPr>
        <w:t xml:space="preserv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oMath>
      <w:r w:rsidR="0061024F" w:rsidRPr="001E3806">
        <w:rPr>
          <w:bCs/>
          <w:lang w:val="en-US"/>
        </w:rPr>
        <w:t>, Pt |Ba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|Pt,</w:t>
      </w:r>
      <w:r w:rsidR="0061024F" w:rsidRPr="001E3806">
        <w:rPr>
          <w:bCs/>
          <w:i/>
          <w:lang w:val="en-US"/>
        </w:rPr>
        <w:t xml:space="preserv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oMath>
      <w:r w:rsidR="0061024F" w:rsidRPr="001E3806">
        <w:rPr>
          <w:bCs/>
          <w:lang w:val="en-US"/>
        </w:rPr>
        <w:t xml:space="preserv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oMath>
    </w:p>
    <w:p w14:paraId="17E57753" w14:textId="3DB97534" w:rsidR="00E219AD" w:rsidRPr="001E3806" w:rsidRDefault="0061024F" w:rsidP="007237F9">
      <w:pPr>
        <w:pStyle w:val="RSCB02ArticleText"/>
        <w:spacing w:line="276" w:lineRule="auto"/>
        <w:rPr>
          <w:bCs/>
          <w:lang w:val="en-US"/>
        </w:rPr>
      </w:pPr>
      <w:r w:rsidRPr="001E3806">
        <w:rPr>
          <w:bCs/>
          <w:lang w:val="en-US"/>
        </w:rPr>
        <w:t xml:space="preserve">Here,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oMath>
      <w:r w:rsidRPr="001E3806">
        <w:rPr>
          <w:bCs/>
          <w:lang w:val="en-US"/>
        </w:rPr>
        <w:t xml:space="preserve"> and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oMath>
      <w:r w:rsidRPr="001E3806">
        <w:rPr>
          <w:bCs/>
          <w:lang w:val="en-US"/>
        </w:rPr>
        <w:t xml:space="preserve"> are the water vapor partial pressures of the first (I) and second (II) compartments, respectively.</w:t>
      </w:r>
      <w:r w:rsidR="00F23716" w:rsidRPr="001E3806">
        <w:rPr>
          <w:bCs/>
          <w:lang w:val="en-US"/>
        </w:rPr>
        <w:t xml:space="preserve"> </w:t>
      </w:r>
      <w:r w:rsidR="007F75F8" w:rsidRPr="001E3806">
        <w:rPr>
          <w:bCs/>
          <w:lang w:val="en-US"/>
        </w:rPr>
        <w:t>In</w:t>
      </w:r>
      <w:r w:rsidR="00F23716" w:rsidRPr="001E3806">
        <w:rPr>
          <w:bCs/>
          <w:lang w:val="en-US"/>
        </w:rPr>
        <w:t xml:space="preserve"> the oxygen concentration </w:t>
      </w:r>
      <w:r w:rsidR="007F75F8" w:rsidRPr="001E3806">
        <w:rPr>
          <w:bCs/>
          <w:lang w:val="en-US"/>
        </w:rPr>
        <w:t xml:space="preserve">cell </w:t>
      </w:r>
      <w:r w:rsidR="00F23716" w:rsidRPr="001E3806">
        <w:rPr>
          <w:bCs/>
          <w:lang w:val="en-US"/>
        </w:rPr>
        <w:t>illustrated in Fig. S1</w:t>
      </w:r>
      <w:r w:rsidR="00A16BA1" w:rsidRPr="001E3806">
        <w:rPr>
          <w:bCs/>
          <w:lang w:val="en-US"/>
        </w:rPr>
        <w:t>a</w:t>
      </w:r>
      <w:r w:rsidR="00F23716" w:rsidRPr="001E3806">
        <w:rPr>
          <w:bCs/>
          <w:lang w:val="en-US"/>
        </w:rPr>
        <w:t>, we set</w:t>
      </w:r>
      <w:r w:rsidRPr="001E3806">
        <w:rPr>
          <w:bCs/>
          <w:lang w:val="en-US"/>
        </w:rPr>
        <w:t xml:space="preserv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oMath>
      <w:r w:rsidR="00F23716" w:rsidRPr="001E3806">
        <w:rPr>
          <w:bCs/>
          <w:lang w:val="en-US"/>
        </w:rPr>
        <w:t xml:space="preserve"> =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oMath>
      <w:r w:rsidR="00F23716" w:rsidRPr="001E3806">
        <w:rPr>
          <w:bCs/>
          <w:lang w:val="en-US"/>
        </w:rPr>
        <w:t xml:space="preserve"> = 0.021 atm and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oMath>
      <w:r w:rsidR="00F23716" w:rsidRPr="001E3806">
        <w:rPr>
          <w:bCs/>
          <w:lang w:val="en-US"/>
        </w:rPr>
        <w:t xml:space="preserve"> = </w:t>
      </w:r>
      <w:r w:rsidR="004E11B2" w:rsidRPr="001E3806">
        <w:rPr>
          <w:bCs/>
          <w:lang w:val="en-US"/>
        </w:rPr>
        <w:t>0.2 atm</w:t>
      </w:r>
      <w:r w:rsidR="00F23716" w:rsidRPr="001E3806">
        <w:rPr>
          <w:bCs/>
          <w:lang w:val="en-US"/>
        </w:rPr>
        <w:t xml:space="preserve">, </w:t>
      </w:r>
      <w:r w:rsidR="004E11B2" w:rsidRPr="001E3806">
        <w:rPr>
          <w:bCs/>
          <w:lang w:val="en-US"/>
        </w:rPr>
        <w:t xml:space="preserve">and </w:t>
      </w:r>
      <w:r w:rsidR="007D28F0" w:rsidRPr="001E3806">
        <w:rPr>
          <w:bCs/>
          <w:lang w:val="en-US"/>
        </w:rPr>
        <w:t xml:space="preserve">then </w:t>
      </w:r>
      <w:r w:rsidR="004E11B2" w:rsidRPr="001E3806">
        <w:rPr>
          <w:bCs/>
          <w:lang w:val="en-US"/>
        </w:rPr>
        <w:t xml:space="preserve">the EMF was measured </w:t>
      </w:r>
      <w:r w:rsidR="007F5E8F" w:rsidRPr="001E3806">
        <w:rPr>
          <w:bCs/>
          <w:lang w:val="en-US"/>
        </w:rPr>
        <w:t xml:space="preserve">at 600 and 500 </w:t>
      </w:r>
      <w:r w:rsidR="007F5E8F" w:rsidRPr="001E3806">
        <w:rPr>
          <w:bCs/>
          <w:vertAlign w:val="superscript"/>
          <w:lang w:val="en-US"/>
        </w:rPr>
        <w:t>o</w:t>
      </w:r>
      <w:r w:rsidR="007F5E8F" w:rsidRPr="001E3806">
        <w:rPr>
          <w:bCs/>
          <w:lang w:val="en-US"/>
        </w:rPr>
        <w:t xml:space="preserve">C at each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oMath>
      <w:r w:rsidR="007F5E8F" w:rsidRPr="001E3806">
        <w:rPr>
          <w:bCs/>
          <w:lang w:val="en-US"/>
        </w:rPr>
        <w:t xml:space="preserve"> of 0.04, 0.10, 0.2</w:t>
      </w:r>
      <w:r w:rsidR="00F50B25" w:rsidRPr="001E3806">
        <w:rPr>
          <w:bCs/>
          <w:lang w:val="en-US"/>
        </w:rPr>
        <w:t>0</w:t>
      </w:r>
      <w:r w:rsidR="007F5E8F" w:rsidRPr="001E3806">
        <w:rPr>
          <w:bCs/>
          <w:lang w:val="en-US"/>
        </w:rPr>
        <w:t xml:space="preserve">, and 1 atm. In the oxygen concentration </w:t>
      </w:r>
      <w:r w:rsidR="007F75F8" w:rsidRPr="001E3806">
        <w:rPr>
          <w:bCs/>
          <w:lang w:val="en-US"/>
        </w:rPr>
        <w:t xml:space="preserve">cell </w:t>
      </w:r>
      <w:r w:rsidR="007749BF" w:rsidRPr="001E3806">
        <w:rPr>
          <w:bCs/>
          <w:lang w:val="en-US"/>
        </w:rPr>
        <w:t>of</w:t>
      </w:r>
      <w:r w:rsidR="007F5E8F" w:rsidRPr="001E3806">
        <w:rPr>
          <w:bCs/>
          <w:lang w:val="en-US"/>
        </w:rPr>
        <w:t xml:space="preserve"> Fig. S1b, we set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oMath>
      <w:r w:rsidR="007F5E8F" w:rsidRPr="001E3806">
        <w:rPr>
          <w:bCs/>
          <w:lang w:val="en-US"/>
        </w:rPr>
        <w:t xml:space="preserve"> =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oMath>
      <w:r w:rsidR="007F5E8F" w:rsidRPr="001E3806">
        <w:rPr>
          <w:bCs/>
          <w:lang w:val="en-US"/>
        </w:rPr>
        <w:t xml:space="preserve"> = 0.021 atm and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oMath>
      <w:r w:rsidR="007F5E8F" w:rsidRPr="001E3806">
        <w:rPr>
          <w:bCs/>
          <w:lang w:val="en-US"/>
        </w:rPr>
        <w:t xml:space="preserve"> = 0.2 atm, and the EMF was measured at 500 </w:t>
      </w:r>
      <w:r w:rsidR="007F5E8F" w:rsidRPr="001E3806">
        <w:rPr>
          <w:bCs/>
          <w:vertAlign w:val="superscript"/>
          <w:lang w:val="en-US"/>
        </w:rPr>
        <w:t>o</w:t>
      </w:r>
      <w:r w:rsidR="007F5E8F" w:rsidRPr="001E3806">
        <w:rPr>
          <w:bCs/>
          <w:lang w:val="en-US"/>
        </w:rPr>
        <w:t xml:space="preserve">C at each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oMath>
      <w:r w:rsidR="007F5E8F" w:rsidRPr="001E3806">
        <w:rPr>
          <w:bCs/>
          <w:lang w:val="en-US"/>
        </w:rPr>
        <w:t xml:space="preserve"> of 0.04, 0.10, 0.2</w:t>
      </w:r>
      <w:r w:rsidR="00F50B25" w:rsidRPr="001E3806">
        <w:rPr>
          <w:bCs/>
          <w:lang w:val="en-US"/>
        </w:rPr>
        <w:t>0</w:t>
      </w:r>
      <w:r w:rsidR="007F5E8F" w:rsidRPr="001E3806">
        <w:rPr>
          <w:bCs/>
          <w:lang w:val="en-US"/>
        </w:rPr>
        <w:t>, and 1 atm to confirm the accuracy of EMF</w:t>
      </w:r>
      <w:r w:rsidR="00462662" w:rsidRPr="001E3806">
        <w:rPr>
          <w:bCs/>
          <w:lang w:val="en-US"/>
        </w:rPr>
        <w:t xml:space="preserve"> values</w:t>
      </w:r>
      <w:r w:rsidR="007F5E8F" w:rsidRPr="001E3806">
        <w:rPr>
          <w:bCs/>
          <w:lang w:val="en-US"/>
        </w:rPr>
        <w:t>.</w:t>
      </w:r>
      <w:r w:rsidR="00CA2575" w:rsidRPr="001E3806">
        <w:rPr>
          <w:bCs/>
          <w:lang w:val="en-US"/>
        </w:rPr>
        <w:t xml:space="preserve"> </w:t>
      </w:r>
    </w:p>
    <w:p w14:paraId="5688B1DC" w14:textId="04D42000" w:rsidR="0061024F" w:rsidRPr="001E3806" w:rsidRDefault="007F75F8" w:rsidP="007237F9">
      <w:pPr>
        <w:pStyle w:val="RSCB02ArticleText"/>
        <w:spacing w:line="276" w:lineRule="auto"/>
        <w:ind w:firstLine="284"/>
        <w:rPr>
          <w:bCs/>
          <w:lang w:val="en-US"/>
        </w:rPr>
      </w:pPr>
      <w:r w:rsidRPr="001E3806">
        <w:rPr>
          <w:bCs/>
          <w:lang w:val="en-US"/>
        </w:rPr>
        <w:t xml:space="preserve">In the </w:t>
      </w:r>
      <w:r w:rsidR="0045579F" w:rsidRPr="001E3806">
        <w:rPr>
          <w:bCs/>
          <w:lang w:val="en-US"/>
        </w:rPr>
        <w:t xml:space="preserve">water </w:t>
      </w:r>
      <w:r w:rsidRPr="001E3806">
        <w:rPr>
          <w:bCs/>
          <w:lang w:val="en-US"/>
        </w:rPr>
        <w:t xml:space="preserve">vapor concentration </w:t>
      </w:r>
      <w:r w:rsidR="00A16BA1" w:rsidRPr="001E3806">
        <w:rPr>
          <w:bCs/>
          <w:lang w:val="en-US"/>
        </w:rPr>
        <w:t xml:space="preserve">cell </w:t>
      </w:r>
      <w:r w:rsidRPr="001E3806">
        <w:rPr>
          <w:bCs/>
          <w:lang w:val="en-US"/>
        </w:rPr>
        <w:t>illustrated in Fig. S1</w:t>
      </w:r>
      <w:r w:rsidR="00A16BA1" w:rsidRPr="001E3806">
        <w:rPr>
          <w:bCs/>
          <w:lang w:val="en-US"/>
        </w:rPr>
        <w:t>c</w:t>
      </w:r>
      <w:r w:rsidRPr="001E3806">
        <w:rPr>
          <w:bCs/>
          <w:lang w:val="en-US"/>
        </w:rPr>
        <w:t xml:space="preserve">, we set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oMath>
      <w:r w:rsidR="00296556" w:rsidRPr="001E3806">
        <w:rPr>
          <w:bCs/>
          <w:lang w:val="en-US"/>
        </w:rPr>
        <w:t xml:space="preserve"> =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oMath>
      <w:r w:rsidR="00296556" w:rsidRPr="001E3806">
        <w:rPr>
          <w:bCs/>
          <w:lang w:val="en-US"/>
        </w:rPr>
        <w:t xml:space="preserve"> = 0.2 atm and</w:t>
      </w:r>
      <w:r w:rsidRPr="001E3806">
        <w:rPr>
          <w:bCs/>
          <w:lang w:val="en-US"/>
        </w:rPr>
        <w:t xml:space="preserve">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oMath>
      <w:r w:rsidRPr="001E3806">
        <w:rPr>
          <w:bCs/>
          <w:lang w:val="en-US"/>
        </w:rPr>
        <w:t xml:space="preserve"> = 0.021 atm, and then the EMF was measured at 600 and 500 </w:t>
      </w:r>
      <w:r w:rsidRPr="001E3806">
        <w:rPr>
          <w:bCs/>
          <w:vertAlign w:val="superscript"/>
          <w:lang w:val="en-US"/>
        </w:rPr>
        <w:t>o</w:t>
      </w:r>
      <w:r w:rsidRPr="001E3806">
        <w:rPr>
          <w:bCs/>
          <w:lang w:val="en-US"/>
        </w:rPr>
        <w:t xml:space="preserve">C at each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oMath>
      <w:r w:rsidR="00BA0C7E" w:rsidRPr="001E3806">
        <w:rPr>
          <w:bCs/>
          <w:lang w:val="en-US"/>
        </w:rPr>
        <w:t xml:space="preserve"> </w:t>
      </w:r>
      <w:r w:rsidRPr="001E3806">
        <w:rPr>
          <w:bCs/>
          <w:lang w:val="en-US"/>
        </w:rPr>
        <w:t>of 0.0</w:t>
      </w:r>
      <w:r w:rsidR="008736C2" w:rsidRPr="001E3806">
        <w:rPr>
          <w:bCs/>
          <w:lang w:val="en-US"/>
        </w:rPr>
        <w:t>09</w:t>
      </w:r>
      <w:r w:rsidRPr="001E3806">
        <w:rPr>
          <w:bCs/>
          <w:lang w:val="en-US"/>
        </w:rPr>
        <w:t>, 0.</w:t>
      </w:r>
      <w:r w:rsidR="008736C2" w:rsidRPr="001E3806">
        <w:rPr>
          <w:bCs/>
          <w:lang w:val="en-US"/>
        </w:rPr>
        <w:t>0</w:t>
      </w:r>
      <w:r w:rsidRPr="001E3806">
        <w:rPr>
          <w:bCs/>
          <w:lang w:val="en-US"/>
        </w:rPr>
        <w:t>1</w:t>
      </w:r>
      <w:r w:rsidR="008736C2" w:rsidRPr="001E3806">
        <w:rPr>
          <w:bCs/>
          <w:lang w:val="en-US"/>
        </w:rPr>
        <w:t>2</w:t>
      </w:r>
      <w:r w:rsidRPr="001E3806">
        <w:rPr>
          <w:bCs/>
          <w:lang w:val="en-US"/>
        </w:rPr>
        <w:t>, 0.0</w:t>
      </w:r>
      <w:r w:rsidR="008736C2" w:rsidRPr="001E3806">
        <w:rPr>
          <w:bCs/>
          <w:lang w:val="en-US"/>
        </w:rPr>
        <w:t>16</w:t>
      </w:r>
      <w:r w:rsidRPr="001E3806">
        <w:rPr>
          <w:bCs/>
          <w:lang w:val="en-US"/>
        </w:rPr>
        <w:t xml:space="preserve">, and </w:t>
      </w:r>
      <w:r w:rsidR="008736C2" w:rsidRPr="001E3806">
        <w:rPr>
          <w:bCs/>
          <w:lang w:val="en-US"/>
        </w:rPr>
        <w:t>0.02</w:t>
      </w:r>
      <w:r w:rsidRPr="001E3806">
        <w:rPr>
          <w:bCs/>
          <w:lang w:val="en-US"/>
        </w:rPr>
        <w:t>1 atm. In the</w:t>
      </w:r>
      <w:r w:rsidR="0045579F" w:rsidRPr="001E3806">
        <w:rPr>
          <w:bCs/>
          <w:lang w:val="en-US"/>
        </w:rPr>
        <w:t xml:space="preserve"> water</w:t>
      </w:r>
      <w:r w:rsidRPr="001E3806">
        <w:rPr>
          <w:bCs/>
          <w:lang w:val="en-US"/>
        </w:rPr>
        <w:t xml:space="preserve"> vapor concentration </w:t>
      </w:r>
      <w:r w:rsidR="008736C2" w:rsidRPr="001E3806">
        <w:rPr>
          <w:bCs/>
          <w:lang w:val="en-US"/>
        </w:rPr>
        <w:t xml:space="preserve">cell </w:t>
      </w:r>
      <w:r w:rsidRPr="001E3806">
        <w:rPr>
          <w:bCs/>
          <w:lang w:val="en-US"/>
        </w:rPr>
        <w:t>of Fig. S1</w:t>
      </w:r>
      <w:r w:rsidR="008736C2" w:rsidRPr="001E3806">
        <w:rPr>
          <w:bCs/>
          <w:lang w:val="en-US"/>
        </w:rPr>
        <w:t>d</w:t>
      </w:r>
      <w:r w:rsidRPr="001E3806">
        <w:rPr>
          <w:bCs/>
          <w:lang w:val="en-US"/>
        </w:rPr>
        <w:t xml:space="preserve">, we set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m:t>
            </m:r>
          </m:sup>
        </m:sSubSup>
      </m:oMath>
      <w:r w:rsidR="008736C2" w:rsidRPr="001E3806">
        <w:rPr>
          <w:bCs/>
          <w:lang w:val="en-US"/>
        </w:rPr>
        <w:t xml:space="preserve"> =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O</m:t>
                </m:r>
              </m:e>
              <m:sub>
                <m:r>
                  <m:rPr>
                    <m:sty m:val="p"/>
                  </m:rPr>
                  <w:rPr>
                    <w:rFonts w:ascii="Cambria Math" w:hAnsi="Cambria Math"/>
                    <w:lang w:val="en-US"/>
                  </w:rPr>
                  <m:t>2</m:t>
                </m:r>
              </m:sub>
            </m:sSub>
          </m:sub>
          <m:sup>
            <m:r>
              <m:rPr>
                <m:sty m:val="p"/>
              </m:rPr>
              <w:rPr>
                <w:rFonts w:ascii="Cambria Math" w:hAnsi="Cambria Math"/>
                <w:lang w:val="en-US"/>
              </w:rPr>
              <m:t>II</m:t>
            </m:r>
          </m:sup>
        </m:sSubSup>
      </m:oMath>
      <w:r w:rsidR="008736C2" w:rsidRPr="001E3806">
        <w:rPr>
          <w:bCs/>
          <w:lang w:val="en-US"/>
        </w:rPr>
        <w:t xml:space="preserve"> = 0.2 atm and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oMath>
      <w:r w:rsidR="008736C2" w:rsidRPr="001E3806">
        <w:rPr>
          <w:bCs/>
          <w:lang w:val="en-US"/>
        </w:rPr>
        <w:t xml:space="preserve"> = 0.021 atm, and then the EMF was measured at 500 </w:t>
      </w:r>
      <w:r w:rsidR="008736C2" w:rsidRPr="001E3806">
        <w:rPr>
          <w:bCs/>
          <w:vertAlign w:val="superscript"/>
          <w:lang w:val="en-US"/>
        </w:rPr>
        <w:t>o</w:t>
      </w:r>
      <w:r w:rsidR="008736C2" w:rsidRPr="001E3806">
        <w:rPr>
          <w:bCs/>
          <w:lang w:val="en-US"/>
        </w:rPr>
        <w:t xml:space="preserve">C at each </w:t>
      </w:r>
      <m:oMath>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oMath>
      <w:r w:rsidR="008736C2" w:rsidRPr="001E3806">
        <w:rPr>
          <w:bCs/>
          <w:lang w:val="en-US"/>
        </w:rPr>
        <w:t xml:space="preserve"> of 0.009, 0.012, 0.016, and 0.021</w:t>
      </w:r>
      <w:r w:rsidRPr="001E3806">
        <w:rPr>
          <w:bCs/>
          <w:lang w:val="en-US"/>
        </w:rPr>
        <w:t xml:space="preserve"> atm to confirm the accuracy of EMF values.</w:t>
      </w:r>
      <w:r w:rsidR="00924659" w:rsidRPr="001E3806">
        <w:rPr>
          <w:bCs/>
          <w:lang w:val="en-US"/>
        </w:rPr>
        <w:t xml:space="preserve"> </w:t>
      </w:r>
      <w:r w:rsidR="0061024F" w:rsidRPr="001E3806">
        <w:rPr>
          <w:bCs/>
          <w:lang w:val="en-US"/>
        </w:rPr>
        <w:t xml:space="preserve">The water vapor concentration cell and the following Nernst equation were used to estimate the </w:t>
      </w:r>
      <w:r w:rsidR="0061024F" w:rsidRPr="001E3806">
        <w:rPr>
          <w:bCs/>
          <w:i/>
          <w:iCs/>
          <w:lang w:val="en-US"/>
        </w:rPr>
        <w:t>t</w:t>
      </w:r>
      <w:r w:rsidR="0061024F" w:rsidRPr="001E3806">
        <w:rPr>
          <w:bCs/>
          <w:vertAlign w:val="subscript"/>
          <w:lang w:val="en-US"/>
        </w:rPr>
        <w:t>H/EMF</w:t>
      </w:r>
      <w:r w:rsidR="0061024F" w:rsidRPr="001E3806">
        <w:rPr>
          <w:bCs/>
          <w:lang w:val="en-US"/>
        </w:rPr>
        <w:t>:</w:t>
      </w:r>
    </w:p>
    <w:p w14:paraId="551C1FCF" w14:textId="0ED231F2" w:rsidR="0061024F" w:rsidRPr="001E3806" w:rsidRDefault="0061024F" w:rsidP="00CE5F87">
      <w:pPr>
        <w:pStyle w:val="RSCB02ArticleText"/>
        <w:spacing w:line="240" w:lineRule="auto"/>
        <w:ind w:firstLine="284"/>
        <w:rPr>
          <w:bCs/>
          <w:lang w:val="en-US"/>
        </w:rPr>
      </w:pPr>
      <w:r w:rsidRPr="001E3806">
        <w:rPr>
          <w:bCs/>
          <w:lang w:val="en-US"/>
        </w:rPr>
        <w:t>EMF = –</w:t>
      </w:r>
      <w:r w:rsidRPr="001E3806">
        <w:rPr>
          <w:bCs/>
          <w:i/>
          <w:iCs/>
          <w:lang w:val="en-US"/>
        </w:rPr>
        <w:t xml:space="preserve"> t</w:t>
      </w:r>
      <w:r w:rsidRPr="001E3806">
        <w:rPr>
          <w:bCs/>
          <w:vertAlign w:val="subscript"/>
          <w:lang w:val="en-US"/>
        </w:rPr>
        <w:t>H/EMF</w:t>
      </w:r>
      <w:r w:rsidRPr="001E3806">
        <w:rPr>
          <w:bCs/>
          <w:lang w:val="en-US"/>
        </w:rPr>
        <w:t xml:space="preserve"> </w:t>
      </w:r>
      <m:oMath>
        <m:r>
          <w:rPr>
            <w:rFonts w:ascii="Cambria Math" w:hAnsi="Cambria Math"/>
            <w:lang w:val="en-US"/>
          </w:rPr>
          <m:t>RT</m:t>
        </m:r>
        <m:r>
          <m:rPr>
            <m:sty m:val="p"/>
          </m:rPr>
          <w:rPr>
            <w:rFonts w:ascii="Cambria Math" w:hAnsi="Cambria Math"/>
            <w:lang w:val="en-US"/>
          </w:rPr>
          <m:t xml:space="preserve">ln </m:t>
        </m:r>
        <m:r>
          <w:rPr>
            <w:rFonts w:ascii="Cambria Math" w:hAnsi="Cambria Math"/>
            <w:lang w:val="en-US"/>
          </w:rPr>
          <m:t>(</m:t>
        </m:r>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II</m:t>
            </m:r>
          </m:sup>
        </m:sSubSup>
        <m:r>
          <w:rPr>
            <w:rFonts w:ascii="Cambria Math" w:hAnsi="Cambria Math"/>
            <w:lang w:val="en-US"/>
          </w:rPr>
          <m:t>/</m:t>
        </m:r>
        <m:sSubSup>
          <m:sSubSupPr>
            <m:ctrlPr>
              <w:rPr>
                <w:rFonts w:ascii="Cambria Math" w:hAnsi="Cambria Math"/>
                <w:bCs/>
                <w:i/>
                <w:lang w:val="en-US"/>
              </w:rPr>
            </m:ctrlPr>
          </m:sSubSupPr>
          <m:e>
            <m:r>
              <w:rPr>
                <w:rFonts w:ascii="Cambria Math" w:hAnsi="Cambria Math"/>
                <w:lang w:val="en-US"/>
              </w:rPr>
              <m:t>P</m:t>
            </m:r>
          </m:e>
          <m:sub>
            <m:sSub>
              <m:sSubPr>
                <m:ctrlPr>
                  <w:rPr>
                    <w:rFonts w:ascii="Cambria Math" w:hAnsi="Cambria Math"/>
                    <w:bCs/>
                    <w:iCs/>
                    <w:lang w:val="en-US"/>
                  </w:rPr>
                </m:ctrlPr>
              </m:sSubPr>
              <m:e>
                <m:r>
                  <m:rPr>
                    <m:sty m:val="p"/>
                  </m:rPr>
                  <w:rPr>
                    <w:rFonts w:ascii="Cambria Math" w:hAnsi="Cambria Math"/>
                    <w:lang w:val="en-US"/>
                  </w:rPr>
                  <m:t>H</m:t>
                </m:r>
              </m:e>
              <m:sub>
                <m:r>
                  <m:rPr>
                    <m:sty m:val="p"/>
                  </m:rPr>
                  <w:rPr>
                    <w:rFonts w:ascii="Cambria Math" w:hAnsi="Cambria Math"/>
                    <w:lang w:val="en-US"/>
                  </w:rPr>
                  <m:t>2</m:t>
                </m:r>
              </m:sub>
            </m:sSub>
            <m:r>
              <m:rPr>
                <m:sty m:val="p"/>
              </m:rPr>
              <w:rPr>
                <w:rFonts w:ascii="Cambria Math" w:hAnsi="Cambria Math"/>
                <w:lang w:val="en-US"/>
              </w:rPr>
              <m:t>O</m:t>
            </m:r>
          </m:sub>
          <m:sup>
            <m:r>
              <m:rPr>
                <m:sty m:val="p"/>
              </m:rPr>
              <w:rPr>
                <w:rFonts w:ascii="Cambria Math" w:hAnsi="Cambria Math"/>
                <w:lang w:val="en-US"/>
              </w:rPr>
              <m:t>I</m:t>
            </m:r>
          </m:sup>
        </m:sSubSup>
        <m:r>
          <w:rPr>
            <w:rFonts w:ascii="Cambria Math" w:hAnsi="Cambria Math"/>
            <w:lang w:val="en-US"/>
          </w:rPr>
          <m:t>)/(2F)</m:t>
        </m:r>
      </m:oMath>
      <w:r w:rsidRPr="001E3806">
        <w:rPr>
          <w:bCs/>
          <w:lang w:val="en-US"/>
        </w:rPr>
        <w:t xml:space="preserve"> </w:t>
      </w:r>
      <w:r w:rsidR="00945582" w:rsidRPr="001E3806">
        <w:rPr>
          <w:bCs/>
          <w:lang w:val="en-US"/>
        </w:rPr>
        <w:t xml:space="preserve">               </w:t>
      </w:r>
      <w:proofErr w:type="gramStart"/>
      <w:r w:rsidR="00945582" w:rsidRPr="001E3806">
        <w:rPr>
          <w:bCs/>
          <w:lang w:val="en-US"/>
        </w:rPr>
        <w:t xml:space="preserve">   </w:t>
      </w:r>
      <w:r w:rsidRPr="001E3806">
        <w:rPr>
          <w:bCs/>
          <w:lang w:val="en-US"/>
        </w:rPr>
        <w:t>(</w:t>
      </w:r>
      <w:proofErr w:type="gramEnd"/>
      <w:r w:rsidRPr="001E3806">
        <w:rPr>
          <w:bCs/>
          <w:lang w:val="en-US"/>
        </w:rPr>
        <w:t>6)</w:t>
      </w:r>
    </w:p>
    <w:p w14:paraId="32FD2EB4" w14:textId="433AB505" w:rsidR="0061024F" w:rsidRPr="001E3806" w:rsidRDefault="0061024F" w:rsidP="0061024F">
      <w:pPr>
        <w:pStyle w:val="RSCB02ArticleText"/>
        <w:ind w:firstLine="284"/>
        <w:rPr>
          <w:bCs/>
          <w:lang w:val="en-US"/>
        </w:rPr>
      </w:pPr>
      <w:r w:rsidRPr="001E3806">
        <w:rPr>
          <w:bCs/>
          <w:lang w:val="en-US"/>
        </w:rPr>
        <w:t xml:space="preserve">The isotope effect </w:t>
      </w:r>
      <w:r w:rsidRPr="001E3806">
        <w:rPr>
          <w:rFonts w:hint="eastAsia"/>
          <w:bCs/>
          <w:lang w:val="en-US"/>
        </w:rPr>
        <w:t>of</w:t>
      </w:r>
      <w:r w:rsidRPr="001E3806">
        <w:rPr>
          <w:bCs/>
          <w:lang w:val="en-US"/>
        </w:rPr>
        <w:t xml:space="preserve"> </w:t>
      </w:r>
      <w:r w:rsidR="0096057C" w:rsidRPr="001E3806">
        <w:rPr>
          <w:bCs/>
          <w:lang w:val="en-US"/>
        </w:rPr>
        <w:t xml:space="preserve">a </w:t>
      </w:r>
      <w:r w:rsidRPr="001E3806">
        <w:rPr>
          <w:bCs/>
          <w:lang w:val="en-US"/>
        </w:rPr>
        <w:t>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t>
      </w:r>
      <w:r w:rsidR="0096057C" w:rsidRPr="001E3806">
        <w:rPr>
          <w:bCs/>
          <w:lang w:val="en-US"/>
        </w:rPr>
        <w:t>pellet (</w:t>
      </w:r>
      <w:r w:rsidR="00020BF6" w:rsidRPr="001E3806">
        <w:rPr>
          <w:bCs/>
          <w:lang w:val="en-US"/>
        </w:rPr>
        <w:t xml:space="preserve">size of the pellet: </w:t>
      </w:r>
      <w:r w:rsidR="0096057C" w:rsidRPr="001E3806">
        <w:rPr>
          <w:bCs/>
          <w:lang w:val="en-US"/>
        </w:rPr>
        <w:t>4.3 mm in diam</w:t>
      </w:r>
      <w:r w:rsidR="0031296D" w:rsidRPr="001E3806">
        <w:rPr>
          <w:bCs/>
          <w:lang w:val="en-US"/>
        </w:rPr>
        <w:t>e</w:t>
      </w:r>
      <w:r w:rsidR="0096057C" w:rsidRPr="001E3806">
        <w:rPr>
          <w:bCs/>
          <w:lang w:val="en-US"/>
        </w:rPr>
        <w:t xml:space="preserve">ter and 11 mm in height) </w:t>
      </w:r>
      <w:r w:rsidRPr="001E3806">
        <w:rPr>
          <w:bCs/>
          <w:lang w:val="en-US"/>
        </w:rPr>
        <w:t>was evaluated by the direct current (DC) electrical conductivity measurements taken using the DC four-probe method in H</w:t>
      </w:r>
      <w:r w:rsidRPr="001E3806">
        <w:rPr>
          <w:bCs/>
          <w:vertAlign w:val="subscript"/>
          <w:lang w:val="en-US"/>
        </w:rPr>
        <w:t>2</w:t>
      </w:r>
      <w:r w:rsidRPr="001E3806">
        <w:rPr>
          <w:bCs/>
          <w:lang w:val="en-US"/>
        </w:rPr>
        <w:t xml:space="preserve">O- and </w:t>
      </w:r>
      <w:r w:rsidRPr="001E3806">
        <w:rPr>
          <w:rFonts w:hint="eastAsia"/>
          <w:bCs/>
          <w:lang w:val="en-US"/>
        </w:rPr>
        <w:t>D</w:t>
      </w:r>
      <w:r w:rsidRPr="001E3806">
        <w:rPr>
          <w:bCs/>
          <w:vertAlign w:val="subscript"/>
          <w:lang w:val="en-US"/>
        </w:rPr>
        <w:t>2</w:t>
      </w:r>
      <w:r w:rsidRPr="001E3806">
        <w:rPr>
          <w:bCs/>
          <w:lang w:val="en-US"/>
        </w:rPr>
        <w:t>O-</w:t>
      </w:r>
      <w:r w:rsidRPr="001E3806">
        <w:rPr>
          <w:rFonts w:hint="eastAsia"/>
          <w:bCs/>
          <w:lang w:val="en-US"/>
        </w:rPr>
        <w:t xml:space="preserve">saturated </w:t>
      </w:r>
      <w:r w:rsidRPr="001E3806">
        <w:rPr>
          <w:bCs/>
          <w:lang w:val="en-US"/>
        </w:rPr>
        <w:t>air with a water vapor partial pressure of 0.021 atm (</w:t>
      </w:r>
      <w:r w:rsidRPr="001E3806">
        <w:rPr>
          <w:bCs/>
          <w:i/>
          <w:lang w:val="en-US"/>
        </w:rPr>
        <w:t>p</w:t>
      </w:r>
      <w:r w:rsidRPr="001E3806">
        <w:rPr>
          <w:rFonts w:hint="eastAsia"/>
          <w:bCs/>
          <w:lang w:val="en-US"/>
        </w:rPr>
        <w:t>H</w:t>
      </w:r>
      <w:r w:rsidRPr="001E3806">
        <w:rPr>
          <w:bCs/>
          <w:vertAlign w:val="subscript"/>
          <w:lang w:val="en-US"/>
        </w:rPr>
        <w:t>2</w:t>
      </w:r>
      <w:r w:rsidRPr="001E3806">
        <w:rPr>
          <w:bCs/>
          <w:lang w:val="en-US"/>
        </w:rPr>
        <w:t>O =</w:t>
      </w:r>
      <w:r w:rsidRPr="001E3806">
        <w:rPr>
          <w:rFonts w:hint="eastAsia"/>
          <w:bCs/>
          <w:lang w:val="en-US"/>
        </w:rPr>
        <w:t xml:space="preserve"> </w:t>
      </w:r>
      <w:r w:rsidRPr="001E3806">
        <w:rPr>
          <w:bCs/>
          <w:i/>
          <w:lang w:val="en-US"/>
        </w:rPr>
        <w:t>p</w:t>
      </w:r>
      <w:r w:rsidRPr="001E3806">
        <w:rPr>
          <w:bCs/>
          <w:lang w:val="en-US"/>
        </w:rPr>
        <w:t>D</w:t>
      </w:r>
      <w:r w:rsidRPr="001E3806">
        <w:rPr>
          <w:bCs/>
          <w:vertAlign w:val="subscript"/>
          <w:lang w:val="en-US"/>
        </w:rPr>
        <w:t>2</w:t>
      </w:r>
      <w:r w:rsidRPr="001E3806">
        <w:rPr>
          <w:bCs/>
          <w:lang w:val="en-US"/>
        </w:rPr>
        <w:t>O = 0.021 atm).</w:t>
      </w:r>
    </w:p>
    <w:p w14:paraId="35F57573" w14:textId="6D5075ED" w:rsidR="0061024F" w:rsidRPr="001E3806" w:rsidRDefault="0061024F" w:rsidP="0061024F">
      <w:pPr>
        <w:pStyle w:val="RSCB02ArticleText"/>
        <w:ind w:firstLine="284"/>
        <w:rPr>
          <w:bCs/>
          <w:lang w:val="en-US"/>
        </w:rPr>
      </w:pPr>
      <w:r w:rsidRPr="001E3806">
        <w:rPr>
          <w:bCs/>
          <w:lang w:val="en-US"/>
        </w:rPr>
        <w:tab/>
        <w:t>Tracer diffusion experiments were carried out on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pellets using isotope exchange depth profiling (IEDP) coupled with secondary ion mass spectrometry (SIMS). Prior to the experiments, each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pellet was polished with diamond spray media down to a finish of 0.25 μm. </w:t>
      </w:r>
      <w:r w:rsidRPr="001E3806">
        <w:rPr>
          <w:bCs/>
          <w:lang w:val="en-US"/>
        </w:rPr>
        <w:t xml:space="preserve">The polished samples were pre-annealed in either </w:t>
      </w:r>
      <w:r w:rsidRPr="001E3806">
        <w:rPr>
          <w:bCs/>
          <w:vertAlign w:val="superscript"/>
          <w:lang w:val="en-US"/>
        </w:rPr>
        <w:t>16</w:t>
      </w:r>
      <w:r w:rsidRPr="001E3806">
        <w:rPr>
          <w:bCs/>
          <w:lang w:val="en-US"/>
        </w:rPr>
        <w:t>O</w:t>
      </w:r>
      <w:r w:rsidRPr="001E3806">
        <w:rPr>
          <w:bCs/>
          <w:vertAlign w:val="subscript"/>
          <w:lang w:val="en-US"/>
        </w:rPr>
        <w:t>2</w:t>
      </w:r>
      <w:r w:rsidRPr="001E3806">
        <w:rPr>
          <w:bCs/>
          <w:lang w:val="en-US"/>
        </w:rPr>
        <w:t xml:space="preserve"> or H</w:t>
      </w:r>
      <w:r w:rsidRPr="001E3806">
        <w:rPr>
          <w:bCs/>
          <w:vertAlign w:val="subscript"/>
          <w:lang w:val="en-US"/>
        </w:rPr>
        <w:t>2</w:t>
      </w:r>
      <w:r w:rsidRPr="001E3806">
        <w:rPr>
          <w:bCs/>
          <w:vertAlign w:val="superscript"/>
          <w:lang w:val="en-US"/>
        </w:rPr>
        <w:t>16</w:t>
      </w:r>
      <w:r w:rsidRPr="001E3806">
        <w:rPr>
          <w:bCs/>
          <w:lang w:val="en-US"/>
        </w:rPr>
        <w:t xml:space="preserve">O of natural isotopic abundance for 5 h. The samples were then annealed for 1 h in either </w:t>
      </w:r>
      <w:r w:rsidRPr="001E3806">
        <w:rPr>
          <w:bCs/>
          <w:vertAlign w:val="superscript"/>
          <w:lang w:val="en-US"/>
        </w:rPr>
        <w:t>18</w:t>
      </w:r>
      <w:r w:rsidRPr="001E3806">
        <w:rPr>
          <w:bCs/>
          <w:lang w:val="en-US"/>
        </w:rPr>
        <w:t xml:space="preserve">O-enriched gas (200 mbar) or a mixture of </w:t>
      </w:r>
      <w:r w:rsidRPr="001E3806">
        <w:rPr>
          <w:bCs/>
          <w:vertAlign w:val="superscript"/>
          <w:lang w:val="en-US"/>
        </w:rPr>
        <w:t>18</w:t>
      </w:r>
      <w:r w:rsidRPr="001E3806">
        <w:rPr>
          <w:bCs/>
          <w:lang w:val="en-US"/>
        </w:rPr>
        <w:t>O</w:t>
      </w:r>
      <w:r w:rsidR="00E96728" w:rsidRPr="001E3806">
        <w:rPr>
          <w:bCs/>
          <w:vertAlign w:val="subscript"/>
          <w:lang w:val="en-US"/>
        </w:rPr>
        <w:t>2</w:t>
      </w:r>
      <w:r w:rsidRPr="001E3806">
        <w:rPr>
          <w:bCs/>
          <w:lang w:val="en-US"/>
        </w:rPr>
        <w:t xml:space="preserve"> (200 mbar) and H</w:t>
      </w:r>
      <w:r w:rsidRPr="001E3806">
        <w:rPr>
          <w:bCs/>
          <w:vertAlign w:val="subscript"/>
          <w:lang w:val="en-US"/>
        </w:rPr>
        <w:t>2</w:t>
      </w:r>
      <w:r w:rsidRPr="001E3806">
        <w:rPr>
          <w:bCs/>
          <w:vertAlign w:val="superscript"/>
          <w:lang w:val="en-US"/>
        </w:rPr>
        <w:t>18</w:t>
      </w:r>
      <w:r w:rsidRPr="001E3806">
        <w:rPr>
          <w:bCs/>
          <w:lang w:val="en-US"/>
        </w:rPr>
        <w:t>O (30 mbar). Following the exchange annealing, the samples were cut perpendicular to the original surface and the exposed cross sections were polished to 0.25 μm finish. The diffusion profiles were measured using Time-of-Flight Secondary Ion Mass Spectrometry (ToF-SIMS) with a ToF-SIMS.5 instrument (IONTOF GmbH) with Bi</w:t>
      </w:r>
      <w:r w:rsidRPr="001E3806">
        <w:rPr>
          <w:bCs/>
          <w:vertAlign w:val="superscript"/>
          <w:lang w:val="en-US"/>
        </w:rPr>
        <w:t>+</w:t>
      </w:r>
      <w:r w:rsidRPr="001E3806">
        <w:rPr>
          <w:bCs/>
          <w:lang w:val="en-US"/>
        </w:rPr>
        <w:t xml:space="preserve"> ions at an energy of 25 keV. The oxygen tracer diffusion and surface exchange coefficient values were calculated by fitting the diffusion profiles to Crank’s solution of Fick’s second law of diffusion, using a </w:t>
      </w:r>
      <w:proofErr w:type="spellStart"/>
      <w:r w:rsidRPr="001E3806">
        <w:rPr>
          <w:bCs/>
          <w:lang w:val="en-US"/>
        </w:rPr>
        <w:t>Matlab</w:t>
      </w:r>
      <w:proofErr w:type="spellEnd"/>
      <w:r w:rsidRPr="001E3806">
        <w:rPr>
          <w:bCs/>
          <w:lang w:val="en-US"/>
        </w:rPr>
        <w:t xml:space="preserve"> application TraceX.</w:t>
      </w:r>
      <w:r w:rsidRPr="001E3806">
        <w:rPr>
          <w:bCs/>
          <w:lang w:val="en-US"/>
        </w:rPr>
        <w:fldChar w:fldCharType="begin" w:fldLock="1"/>
      </w:r>
      <w:r w:rsidRPr="001E3806">
        <w:rPr>
          <w:bCs/>
          <w:lang w:val="en-US"/>
        </w:rPr>
        <w:instrText>ADDIN CSL_CITATION {"citationItems":[{"id":"ITEM-1","itemData":{"author":[{"dropping-particle":"","family":"Samuel J Cooper","given":"","non-dropping-particle":"","parse-names":false,"suffix":""}],"id":"ITEM-1","issued":{"date-parts":[["2016"]]},"title":"Quantifying the transport properties of solid oxide fuel cell electrodes","type":"article-journal"},"uris":["http://www.mendeley.com/documents/?uuid=0565286b-7b2d-3ba6-a5c4-a1287d82ab24"]}],"mendeley":{"formattedCitation":"&lt;sup&gt;50&lt;/sup&gt;","plainTextFormattedCitation":"50","previouslyFormattedCitation":"&lt;sup&gt;50&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50</w:t>
      </w:r>
      <w:r w:rsidRPr="001E3806">
        <w:rPr>
          <w:bCs/>
          <w:lang w:val="en-US"/>
        </w:rPr>
        <w:fldChar w:fldCharType="end"/>
      </w:r>
    </w:p>
    <w:p w14:paraId="24A79040" w14:textId="5FE8BC9F" w:rsidR="0061024F" w:rsidRPr="001E3806" w:rsidRDefault="0061024F" w:rsidP="0061024F">
      <w:pPr>
        <w:pStyle w:val="RSCB02ArticleText"/>
        <w:ind w:firstLine="284"/>
        <w:rPr>
          <w:bCs/>
        </w:rPr>
      </w:pPr>
      <w:bookmarkStart w:id="4" w:name="_Hlk203309549"/>
      <w:bookmarkStart w:id="5" w:name="_Hlk203228958"/>
      <w:bookmarkStart w:id="6" w:name="_Hlk203229186"/>
      <w:bookmarkStart w:id="7" w:name="_Hlk199839676"/>
      <w:r w:rsidRPr="001E3806">
        <w:rPr>
          <w:bCs/>
          <w:lang w:val="en-US"/>
        </w:rPr>
        <w:t>Molecular dynamics (MD) simulations of the dry material Ba</w:t>
      </w:r>
      <w:r w:rsidRPr="001E3806">
        <w:rPr>
          <w:bCs/>
          <w:vertAlign w:val="subscript"/>
          <w:lang w:val="en-US"/>
        </w:rPr>
        <w:t>63</w:t>
      </w:r>
      <w:r w:rsidRPr="001E3806">
        <w:rPr>
          <w:bCs/>
          <w:lang w:val="en-US"/>
        </w:rPr>
        <w:t>Nb</w:t>
      </w:r>
      <w:r w:rsidRPr="001E3806">
        <w:rPr>
          <w:bCs/>
          <w:vertAlign w:val="subscript"/>
          <w:lang w:val="en-US"/>
        </w:rPr>
        <w:t>36</w:t>
      </w:r>
      <w:r w:rsidRPr="001E3806">
        <w:rPr>
          <w:bCs/>
          <w:lang w:val="en-US"/>
        </w:rPr>
        <w:t>Mo</w:t>
      </w:r>
      <w:r w:rsidRPr="001E3806">
        <w:rPr>
          <w:bCs/>
          <w:vertAlign w:val="subscript"/>
          <w:lang w:val="en-US"/>
        </w:rPr>
        <w:t>9</w:t>
      </w:r>
      <w:r w:rsidRPr="001E3806">
        <w:rPr>
          <w:bCs/>
          <w:lang w:val="en-US"/>
        </w:rPr>
        <w:t>O</w:t>
      </w:r>
      <w:r w:rsidRPr="001E3806">
        <w:rPr>
          <w:bCs/>
          <w:vertAlign w:val="subscript"/>
          <w:lang w:val="en-US"/>
        </w:rPr>
        <w:t>180</w:t>
      </w:r>
      <w:r w:rsidRPr="001E3806">
        <w:rPr>
          <w:bCs/>
          <w:lang w:val="en-US"/>
        </w:rPr>
        <w:t xml:space="preserve"> ~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w:t>
      </w:r>
      <w:r w:rsidRPr="001E3806">
        <w:rPr>
          <w:bCs/>
          <w:vertAlign w:val="subscript"/>
          <w:lang w:val="en-US"/>
        </w:rPr>
        <w:t>9</w:t>
      </w:r>
      <w:r w:rsidRPr="001E3806">
        <w:rPr>
          <w:bCs/>
          <w:lang w:val="en-US"/>
        </w:rPr>
        <w:t xml:space="preserve"> and the hydrated compound Ba</w:t>
      </w:r>
      <w:r w:rsidRPr="001E3806">
        <w:rPr>
          <w:bCs/>
          <w:vertAlign w:val="subscript"/>
          <w:lang w:val="en-US"/>
        </w:rPr>
        <w:t>63</w:t>
      </w:r>
      <w:r w:rsidRPr="001E3806">
        <w:rPr>
          <w:bCs/>
          <w:lang w:val="en-US"/>
        </w:rPr>
        <w:t>Nb</w:t>
      </w:r>
      <w:r w:rsidRPr="001E3806">
        <w:rPr>
          <w:bCs/>
          <w:vertAlign w:val="subscript"/>
          <w:lang w:val="en-US"/>
        </w:rPr>
        <w:t>36</w:t>
      </w:r>
      <w:r w:rsidRPr="001E3806">
        <w:rPr>
          <w:bCs/>
          <w:lang w:val="en-US"/>
        </w:rPr>
        <w:t>Mo</w:t>
      </w:r>
      <w:r w:rsidRPr="001E3806">
        <w:rPr>
          <w:bCs/>
          <w:vertAlign w:val="subscript"/>
          <w:lang w:val="en-US"/>
        </w:rPr>
        <w:t>9</w:t>
      </w:r>
      <w:r w:rsidRPr="001E3806">
        <w:rPr>
          <w:bCs/>
          <w:lang w:val="en-US"/>
        </w:rPr>
        <w:t>O</w:t>
      </w:r>
      <w:r w:rsidRPr="001E3806">
        <w:rPr>
          <w:bCs/>
          <w:vertAlign w:val="subscript"/>
          <w:lang w:val="en-US"/>
        </w:rPr>
        <w:t>183</w:t>
      </w:r>
      <w:r w:rsidRPr="001E3806">
        <w:rPr>
          <w:bCs/>
          <w:lang w:val="en-US"/>
        </w:rPr>
        <w:t>H</w:t>
      </w:r>
      <w:r w:rsidRPr="001E3806">
        <w:rPr>
          <w:bCs/>
          <w:vertAlign w:val="subscript"/>
          <w:lang w:val="en-US"/>
        </w:rPr>
        <w:t>6</w:t>
      </w:r>
      <w:r w:rsidRPr="001E3806">
        <w:rPr>
          <w:bCs/>
          <w:lang w:val="en-US"/>
        </w:rPr>
        <w:t xml:space="preserve"> ~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·0.3 H</w:t>
      </w:r>
      <w:r w:rsidRPr="001E3806">
        <w:rPr>
          <w:bCs/>
          <w:vertAlign w:val="subscript"/>
          <w:lang w:val="en-US"/>
        </w:rPr>
        <w:t>2</w:t>
      </w:r>
      <w:r w:rsidRPr="001E3806">
        <w:rPr>
          <w:bCs/>
          <w:lang w:val="en-US"/>
        </w:rPr>
        <w:t>O)</w:t>
      </w:r>
      <w:r w:rsidRPr="001E3806">
        <w:rPr>
          <w:bCs/>
          <w:vertAlign w:val="subscript"/>
          <w:lang w:val="en-US"/>
        </w:rPr>
        <w:t>9</w:t>
      </w:r>
      <w:r w:rsidRPr="001E3806">
        <w:rPr>
          <w:bCs/>
          <w:lang w:val="en-US"/>
        </w:rPr>
        <w:t xml:space="preserve"> were performed </w:t>
      </w:r>
      <w:r w:rsidR="006871AE" w:rsidRPr="001E3806">
        <w:rPr>
          <w:bCs/>
          <w:lang w:val="en-US"/>
        </w:rPr>
        <w:t xml:space="preserve">with 3 × 3 × 1 supercells </w:t>
      </w:r>
      <w:r w:rsidRPr="001E3806">
        <w:rPr>
          <w:bCs/>
          <w:lang w:val="en-US"/>
        </w:rPr>
        <w:t xml:space="preserve">at </w:t>
      </w:r>
      <w:bookmarkEnd w:id="4"/>
      <w:r w:rsidR="001C7FFC" w:rsidRPr="001E3806">
        <w:rPr>
          <w:bCs/>
          <w:lang w:val="en-US"/>
        </w:rPr>
        <w:t xml:space="preserve">a high temperature </w:t>
      </w:r>
      <w:r w:rsidRPr="001E3806">
        <w:rPr>
          <w:bCs/>
          <w:lang w:val="en-US"/>
        </w:rPr>
        <w:t>1200 K</w:t>
      </w:r>
      <w:r w:rsidR="001C7FFC" w:rsidRPr="001E3806">
        <w:rPr>
          <w:bCs/>
          <w:lang w:val="en-US"/>
        </w:rPr>
        <w:t xml:space="preserve"> to accelerate the oxide-ion diffusion </w:t>
      </w:r>
      <w:bookmarkStart w:id="8" w:name="_Hlk203229763"/>
      <w:r w:rsidR="001C7FFC" w:rsidRPr="001E3806">
        <w:rPr>
          <w:bCs/>
          <w:lang w:val="en-US"/>
        </w:rPr>
        <w:t xml:space="preserve">and </w:t>
      </w:r>
      <w:r w:rsidR="00CB0E5D" w:rsidRPr="001E3806">
        <w:rPr>
          <w:bCs/>
          <w:lang w:val="en-US"/>
        </w:rPr>
        <w:t xml:space="preserve">to investigate </w:t>
      </w:r>
      <w:bookmarkEnd w:id="8"/>
      <w:r w:rsidR="001C7FFC" w:rsidRPr="001E3806">
        <w:rPr>
          <w:bCs/>
          <w:lang w:val="en-US"/>
        </w:rPr>
        <w:t xml:space="preserve">the effect of hydration on oxide-ion diffusivity. </w:t>
      </w:r>
      <w:r w:rsidR="00956779" w:rsidRPr="001E3806">
        <w:rPr>
          <w:bCs/>
          <w:lang w:val="en-US"/>
        </w:rPr>
        <w:t>The MD simulations were carried out</w:t>
      </w:r>
      <w:r w:rsidRPr="001E3806">
        <w:rPr>
          <w:bCs/>
          <w:lang w:val="en-US"/>
        </w:rPr>
        <w:t xml:space="preserve"> using universal interatomic potentials based on graph neural networks with three-body interactions (M3GNet).</w:t>
      </w:r>
      <w:r w:rsidRPr="001E3806">
        <w:rPr>
          <w:bCs/>
          <w:lang w:val="en-US"/>
        </w:rPr>
        <w:fldChar w:fldCharType="begin" w:fldLock="1"/>
      </w:r>
      <w:r w:rsidRPr="001E3806">
        <w:rPr>
          <w:bCs/>
          <w:lang w:val="en-US"/>
        </w:rPr>
        <w:instrText>ADDIN CSL_CITATION {"citationItems":[{"id":"ITEM-1","itemData":{"DOI":"10.1038/S43588-022-00349-3;SUBJMETA=1034,1035,1037,301,639;KWRD=ATOMISTIC+MODELS,COMPUTATIONAL+METHODS,MATERIALS+SCIENCE","ISSN":"26628457","abstract":"Interatomic potentials (IAPs), which describe the potential energy surface of atoms, are a fundamental input for atomistic simulations. However, existing IAPs are either fitted to narrow chemistries or too inaccurate for general applications. Here we report a universal IAP for materials based on graph neural networks with three-body interactions (M3GNet). The M3GNet IAP was trained on the massive database of structural relaxations performed by the Materials Project over the past ten years and has broad applications in structural relaxation, dynamic simulations and property prediction of materials across diverse chemical spaces. About 1.8 million materials from a screening of 31 million hypothetical crystal structures were identified to be potentially stable against existing Materials Project crystals based on M3GNet energies. Of the top 2,000 materials with the lowest energies above the convex hull, 1,578 were verified to be stable using density functional theory calculations. These results demonstrate a machine learning-accelerated pathway to the discovery of synthesizable materials with exceptional properties.","author":[{"dropping-particle":"","family":"Chen","given":"Chi","non-dropping-particle":"","parse-names":false,"suffix":""},{"dropping-particle":"","family":"Ong","given":"Shyue Ping","non-dropping-particle":"","parse-names":false,"suffix":""}],"container-title":"Nature Computational Science","id":"ITEM-1","issue":"11","issued":{"date-parts":[["2022","11","1"]]},"page":"718-728","publisher":"Springer Nature","title":"A universal graph deep learning interatomic potential for the periodic table","type":"article-journal","volume":"2"},"uris":["http://www.mendeley.com/documents/?uuid=d5531f20-c0dc-3eca-9c4d-56146d80db04"]}],"mendeley":{"formattedCitation":"&lt;sup&gt;46&lt;/sup&gt;","plainTextFormattedCitation":"46","previouslyFormattedCitation":"&lt;sup&gt;46&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46</w:t>
      </w:r>
      <w:r w:rsidRPr="001E3806">
        <w:rPr>
          <w:bCs/>
          <w:lang w:val="en-US"/>
        </w:rPr>
        <w:fldChar w:fldCharType="end"/>
      </w:r>
      <w:bookmarkEnd w:id="5"/>
      <w:r w:rsidRPr="001E3806">
        <w:rPr>
          <w:bCs/>
          <w:lang w:val="en-US"/>
        </w:rPr>
        <w:t xml:space="preserve"> </w:t>
      </w:r>
      <w:bookmarkEnd w:id="6"/>
      <w:r w:rsidRPr="001E3806">
        <w:rPr>
          <w:bCs/>
          <w:lang w:val="en-US"/>
        </w:rPr>
        <w:t>We refer to these simulations as M3GNet-MD simulations. These simulations were carried out using a home-made MD program and the Atomic Simulation Environment (ASE).</w:t>
      </w:r>
      <w:r w:rsidRPr="001E3806">
        <w:rPr>
          <w:bCs/>
          <w:lang w:val="en-US"/>
        </w:rPr>
        <w:fldChar w:fldCharType="begin" w:fldLock="1"/>
      </w:r>
      <w:r w:rsidRPr="001E3806">
        <w:rPr>
          <w:bCs/>
          <w:lang w:val="en-US"/>
        </w:rPr>
        <w:instrText>ADDIN CSL_CITATION {"citationItems":[{"id":"ITEM-1","itemData":{"DOI":"10.1088/1361-648X/AA680E","ISSN":"0953-8984","PMID":"28323250","abstract":"The atomic simulation environment (ASE) is a software package written in the Python programming language with the aim of setting up, steering, and analyzing atomistic simulations. In ASE, tasks are fully scripted in Python. The powerful syntax of Python combined with the NumPy array library make it possible to perform very complex simulation tasks. For example, a sequence of calculations may be performed with the use of a simple 'for-loop' construction. Calculations of energy, forces, stresses and other quantities are performed through interfaces to many external electronic structure codes or force fields using a uniform interface. On top of this calculator interface, ASE provides modules for performing many standard simulation tasks such as structure optimization, molecular dynamics, handling of constraints and performing nudged elastic band calculations.","author":[{"dropping-particle":"","family":"Hjorth Larsen","given":"Ask","non-dropping-particle":"","parse-names":false,"suffix":""},{"dropping-particle":"","family":"JØrgen Mortensen","given":"Jens","non-dropping-particle":"","parse-names":false,"suffix":""},{"dropping-particle":"","family":"Blomqvist","given":"Jakob","non-dropping-particle":"","parse-names":false,"suffix":""},{"dropping-particle":"","family":"Castelli","given":"Ivano E.","non-dropping-particle":"","parse-names":false,"suffix":""},{"dropping-particle":"","family":"Christensen","given":"Rune","non-dropping-particle":"","parse-names":false,"suffix":""},{"dropping-particle":"","family":"Dułak","given":"Marcin","non-dropping-particle":"","parse-names":false,"suffix":""},{"dropping-particle":"","family":"Friis","given":"Jesper","non-dropping-particle":"","parse-names":false,"suffix":""},{"dropping-particle":"","family":"Groves","given":"Michael N.","non-dropping-particle":"","parse-names":false,"suffix":""},{"dropping-particle":"","family":"Hammer","given":"BjØrk","non-dropping-particle":"","parse-names":false,"suffix":""},{"dropping-particle":"","family":"Hargus","given":"Cory","non-dropping-particle":"","parse-names":false,"suffix":""},{"dropping-particle":"","family":"Hermes","given":"Eric D.","non-dropping-particle":"","parse-names":false,"suffix":""},{"dropping-particle":"","family":"Jennings","given":"Paul C.","non-dropping-particle":"","parse-names":false,"suffix":""},{"dropping-particle":"","family":"Bjerre Jensen","given":"Peter","non-dropping-particle":"","parse-names":false,"suffix":""},{"dropping-particle":"","family":"Kermode","given":"James","non-dropping-particle":"","parse-names":false,"suffix":""},{"dropping-particle":"","family":"Kitchin","given":"John R.","non-dropping-particle":"","parse-names":false,"suffix":""},{"dropping-particle":"","family":"Leonhard Kolsbjerg","given":"Esben","non-dropping-particle":"","parse-names":false,"suffix":""},{"dropping-particle":"","family":"Kubal","given":"Joseph","non-dropping-particle":"","parse-names":false,"suffix":""},{"dropping-particle":"","family":"Kaasbjerg","given":"Kristen","non-dropping-particle":"","parse-names":false,"suffix":""},{"dropping-particle":"","family":"Lysgaard","given":"Steen","non-dropping-particle":"","parse-names":false,"suffix":""},{"dropping-particle":"","family":"Bergmann Maronsson","given":"Jón","non-dropping-particle":"","parse-names":false,"suffix":""},{"dropping-particle":"","family":"Maxson","given":"Tristan","non-dropping-particle":"","parse-names":false,"suffix":""},{"dropping-particle":"","family":"Olsen","given":"Thomas","non-dropping-particle":"","parse-names":false,"suffix":""},{"dropping-particle":"","family":"Pastewka","given":"Lars","non-dropping-particle":"","parse-names":false,"suffix":""},{"dropping-particle":"","family":"Peterson","given":"Andrew","non-dropping-particle":"","parse-names":false,"suffix":""},{"dropping-particle":"","family":"Rostgaard","given":"Carsten","non-dropping-particle":"","parse-names":false,"suffix":""},{"dropping-particle":"","family":"SchiØtz","given":"Jakob","non-dropping-particle":"","parse-names":false,"suffix":""},{"dropping-particle":"","family":"Schütt","given":"Ole","non-dropping-particle":"","parse-names":false,"suffix":""},{"dropping-particle":"","family":"Strange","given":"Mikkel","non-dropping-particle":"","parse-names":false,"suffix":""},{"dropping-particle":"","family":"Thygesen","given":"Kristian S.","non-dropping-particle":"","parse-names":false,"suffix":""},{"dropping-particle":"","family":"Vegge","given":"Tejs","non-dropping-particle":"","parse-names":false,"suffix":""},{"dropping-particle":"","family":"Vilhelmsen","given":"Lasse","non-dropping-particle":"","parse-names":false,"suffix":""},{"dropping-particle":"","family":"Walter","given":"Michael","non-dropping-particle":"","parse-names":false,"suffix":""},{"dropping-particle":"","family":"Zeng","given":"Zhenhua","non-dropping-particle":"","parse-names":false,"suffix":""},{"dropping-particle":"","family":"Jacobsen","given":"Karsten W.","non-dropping-particle":"","parse-names":false,"suffix":""}],"container-title":"Journal of Physics: Condensed Matter","id":"ITEM-1","issue":"27","issued":{"date-parts":[["2017","6","7"]]},"page":"273002","publisher":"IOP Publishing","title":"The atomic simulation environment—a Python library for working with atoms","type":"article-journal","volume":"29"},"uris":["http://www.mendeley.com/documents/?uuid=175bb138-9b63-3405-adfb-7ad5857a3b7d"]}],"mendeley":{"formattedCitation":"&lt;sup&gt;51&lt;/sup&gt;","plainTextFormattedCitation":"51","previouslyFormattedCitation":"&lt;sup&gt;51&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51</w:t>
      </w:r>
      <w:r w:rsidRPr="001E3806">
        <w:rPr>
          <w:bCs/>
          <w:lang w:val="en-US"/>
        </w:rPr>
        <w:fldChar w:fldCharType="end"/>
      </w:r>
      <w:r w:rsidRPr="001E3806">
        <w:rPr>
          <w:bCs/>
          <w:lang w:val="en-US"/>
        </w:rPr>
        <w:t xml:space="preserve"> We </w:t>
      </w:r>
      <w:r w:rsidR="0052472E" w:rsidRPr="001E3806">
        <w:rPr>
          <w:bCs/>
          <w:lang w:val="en-US" w:eastAsia="ja-JP"/>
        </w:rPr>
        <w:t>employ</w:t>
      </w:r>
      <w:r w:rsidRPr="001E3806">
        <w:rPr>
          <w:bCs/>
          <w:lang w:val="en-US"/>
        </w:rPr>
        <w:t xml:space="preserve">ed </w:t>
      </w:r>
      <w:r w:rsidR="0052472E" w:rsidRPr="001E3806">
        <w:rPr>
          <w:bCs/>
          <w:lang w:val="en-US"/>
        </w:rPr>
        <w:t xml:space="preserve">structural </w:t>
      </w:r>
      <w:r w:rsidRPr="001E3806">
        <w:rPr>
          <w:bCs/>
          <w:lang w:val="en-US"/>
        </w:rPr>
        <w:t xml:space="preserve">models in which the Mo atoms </w:t>
      </w:r>
      <w:r w:rsidR="0052472E" w:rsidRPr="001E3806">
        <w:rPr>
          <w:bCs/>
          <w:lang w:val="en-US"/>
        </w:rPr>
        <w:t xml:space="preserve">exclusively </w:t>
      </w:r>
      <w:r w:rsidRPr="001E3806">
        <w:rPr>
          <w:bCs/>
          <w:lang w:val="en-US"/>
        </w:rPr>
        <w:t xml:space="preserve">occupy the </w:t>
      </w:r>
      <w:r w:rsidRPr="001E3806">
        <w:rPr>
          <w:bCs/>
          <w:i/>
          <w:iCs/>
          <w:lang w:val="en-US"/>
        </w:rPr>
        <w:t>M</w:t>
      </w:r>
      <w:r w:rsidRPr="001E3806">
        <w:rPr>
          <w:bCs/>
          <w:lang w:val="en-US"/>
        </w:rPr>
        <w:t>2 cation site near the oxygen-deficient cubic close-packed layer</w:t>
      </w:r>
      <w:r w:rsidR="00260200" w:rsidRPr="001E3806">
        <w:rPr>
          <w:bCs/>
          <w:lang w:val="en-US"/>
        </w:rPr>
        <w:t>,</w:t>
      </w:r>
      <w:r w:rsidR="00574511" w:rsidRPr="001E3806">
        <w:rPr>
          <w:rFonts w:ascii="Times New Roman" w:eastAsiaTheme="minorEastAsia" w:hAnsi="Times New Roman" w:cstheme="minorBidi"/>
          <w:w w:val="100"/>
          <w:sz w:val="21"/>
          <w:szCs w:val="21"/>
          <w:lang w:val="en-US" w:eastAsia="ja-JP"/>
        </w:rPr>
        <w:t xml:space="preserve"> </w:t>
      </w:r>
      <w:r w:rsidR="00574511" w:rsidRPr="001E3806">
        <w:rPr>
          <w:bCs/>
          <w:lang w:val="en-US"/>
        </w:rPr>
        <w:t>additional oxygen atoms due to hydration exist near the Mo atoms</w:t>
      </w:r>
      <w:r w:rsidR="00260200" w:rsidRPr="001E3806">
        <w:rPr>
          <w:bCs/>
          <w:lang w:val="en-US"/>
        </w:rPr>
        <w:t>, and protons exist in the palmierite blocks</w:t>
      </w:r>
      <w:r w:rsidR="0052472E" w:rsidRPr="001E3806">
        <w:rPr>
          <w:bCs/>
          <w:lang w:val="en-US"/>
        </w:rPr>
        <w:t>.</w:t>
      </w:r>
      <w:r w:rsidRPr="001E3806">
        <w:rPr>
          <w:bCs/>
          <w:lang w:val="en-US"/>
        </w:rPr>
        <w:t xml:space="preserve"> </w:t>
      </w:r>
      <w:r w:rsidR="0052472E" w:rsidRPr="001E3806">
        <w:rPr>
          <w:bCs/>
          <w:lang w:val="en-US"/>
        </w:rPr>
        <w:t>These models</w:t>
      </w:r>
      <w:r w:rsidR="00DC28E2" w:rsidRPr="001E3806">
        <w:rPr>
          <w:bCs/>
          <w:lang w:val="en-US"/>
        </w:rPr>
        <w:t xml:space="preserve"> were </w:t>
      </w:r>
      <w:r w:rsidR="0052472E" w:rsidRPr="001E3806">
        <w:rPr>
          <w:bCs/>
          <w:lang w:val="en-US"/>
        </w:rPr>
        <w:t>constructed</w:t>
      </w:r>
      <w:r w:rsidR="00DC28E2" w:rsidRPr="001E3806">
        <w:rPr>
          <w:bCs/>
          <w:lang w:val="en-US"/>
        </w:rPr>
        <w:t xml:space="preserve"> based on the minimum</w:t>
      </w:r>
      <w:r w:rsidR="0052472E" w:rsidRPr="001E3806">
        <w:rPr>
          <w:bCs/>
          <w:lang w:val="en-US"/>
        </w:rPr>
        <w:t>-</w:t>
      </w:r>
      <w:r w:rsidR="00DC28E2" w:rsidRPr="001E3806">
        <w:rPr>
          <w:bCs/>
          <w:lang w:val="en-US"/>
        </w:rPr>
        <w:t xml:space="preserve">energy </w:t>
      </w:r>
      <w:r w:rsidR="0052472E" w:rsidRPr="001E3806">
        <w:rPr>
          <w:bCs/>
          <w:lang w:val="en-US"/>
        </w:rPr>
        <w:t xml:space="preserve">structure </w:t>
      </w:r>
      <w:r w:rsidR="0043771E" w:rsidRPr="001E3806">
        <w:rPr>
          <w:bCs/>
          <w:lang w:val="en-US"/>
        </w:rPr>
        <w:t xml:space="preserve">and ab initio molecular dynamics results </w:t>
      </w:r>
      <w:r w:rsidR="00DC28E2" w:rsidRPr="001E3806">
        <w:rPr>
          <w:bCs/>
          <w:lang w:val="en-US"/>
        </w:rPr>
        <w:t xml:space="preserve">reported </w:t>
      </w:r>
      <w:r w:rsidRPr="001E3806">
        <w:rPr>
          <w:bCs/>
          <w:lang w:val="en-US"/>
        </w:rPr>
        <w:t>in the literature.</w:t>
      </w:r>
      <w:r w:rsidR="0043771E" w:rsidRPr="001E3806">
        <w:rPr>
          <w:bCs/>
          <w:vertAlign w:val="superscript"/>
          <w:lang w:val="en-US"/>
        </w:rPr>
        <w:t>15,</w:t>
      </w:r>
      <w:r w:rsidRPr="001E3806">
        <w:rPr>
          <w:bCs/>
          <w:lang w:val="en-US"/>
        </w:rPr>
        <w:fldChar w:fldCharType="begin" w:fldLock="1"/>
      </w:r>
      <w:r w:rsidRPr="001E3806">
        <w:rPr>
          <w:bCs/>
          <w:lang w:val="en-US"/>
        </w:rPr>
        <w:instrText>ADDIN CSL_CITATION {"citationItems":[{"id":"ITEM-1","itemData":{"DOI":"10.1038/s41467-023-37802-4","ISSN":"2041-1723","abstract":"The chemical order and disorder of solids have a decisive influence on the material properties. There are numerous materials exhibiting chemical order/disorder of atoms with similar X-ray atomic scattering factors and similar neutron scattering lengths. It is difficult to investigate such order/disorder hidden in the data obtained from conventional diffraction methods. Herein, we quantitatively determined the Mo/Nb order in the high ion conductor Ba7Nb4MoO20 by a technique combining resonant X-ray diffraction, solid-state nuclear magnetic resonance (NMR) and first-principle calculations. NMR provided direct evidence that Mo atoms occupy only the M2 site near the intrinsically oxygen-deficient ion-conducting layer. Resonant X-ray diffraction determined the occupancy factors of Mo atoms at the M2 and other sites to be 0.50 and 0.00, respectively. These findings provide a basis for the development of ion conductors. This combined technique would open a new avenue for in-depth investigation of the hidden chemical order/disorder in materials. Chemical order/disorder in materials can be difficult to determine for atoms with similar X-ray scattering factors and neutron scattering lengths. Here authors use resonant XRD and NMR to elucidate hidden Mo/Nb chemical order in disordered hexagonal perovskite Ba7Nb4MoO20, with Mo atoms found to be localized near the ion-conducting oxygen deficient layer.","author":[{"dropping-particle":"","family":"Yasui","given":"Yuta","non-dropping-particle":"","parse-names":false,"suffix":""},{"dropping-particle":"","family":"Tansho","given":"Masataka","non-dropping-particle":"","parse-names":false,"suffix":""},{"dropping-particle":"","family":"Fujii","given":"Kotaro","non-dropping-particle":"","parse-names":false,"suffix":""},{"dropping-particle":"","family":"Sakuda","given":"Yuichi","non-dropping-particle":"","parse-names":false,"suffix":""},{"dropping-particle":"","family":"Goto","given":"Atsushi","non-dropping-particle":"","parse-names":false,"suffix":""},{"dropping-particle":"","family":"Ohki","given":"Shinobu","non-dropping-particle":"","parse-names":false,"suffix":""},{"dropping-particle":"","family":"Mogami","given":"Yuuki","non-dropping-particle":"","parse-names":false,"suffix":""},{"dropping-particle":"","family":"Iijima","given":"Takahiro","non-dropping-particle":"","parse-names":false,"suffix":""},{"dropping-particle":"","family":"Kobayashi","given":"Shintaro","non-dropping-particle":"","parse-names":false,"suffix":""},{"dropping-particle":"","family":"Kawaguchi","given":"Shogo","non-dropping-particle":"","parse-names":false,"suffix":""},{"dropping-particle":"","family":"Osaka","given":"Keiichi","non-dropping-particle":"","parse-names":false,"suffix":""},{"dropping-particle":"","family":"Ikeda","given":"Kazutaka","non-dropping-particle":"","parse-names":false,"suffix":""},{"dropping-particle":"","family":"Otomo","given":"Toshiya","non-dropping-particle":"","parse-names":false,"suffix":""},{"dropping-particle":"","family":"Yashima","given":"Masatomo","non-dropping-particle":"","parse-names":false,"suffix":""}],"container-title":"Nature Communications ","id":"ITEM-1","issued":{"date-parts":[["2023","4","24"]]},"page":"2337","publisher":"Nature Publishing Group","title":"Hidden chemical order in disordered Ba&lt;sub&gt;7&lt;/sub&gt;Nb&lt;sub&gt;4&lt;/sub&gt;MoO&lt;sub&gt;20&lt;/sub&gt; revealed by resonant X-ray diffraction and solid-state NMR","type":"article-journal","volume":"14"},"uris":["http://www.mendeley.com/documents/?uuid=1f633cfd-2fde-33d7-adf7-f532123ac310"]}],"mendeley":{"formattedCitation":"&lt;sup&gt;52&lt;/sup&gt;","plainTextFormattedCitation":"52","previouslyFormattedCitation":"&lt;sup&gt;52&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52</w:t>
      </w:r>
      <w:r w:rsidRPr="001E3806">
        <w:rPr>
          <w:bCs/>
          <w:lang w:val="en-US"/>
        </w:rPr>
        <w:fldChar w:fldCharType="end"/>
      </w:r>
      <w:r w:rsidRPr="001E3806">
        <w:rPr>
          <w:bCs/>
          <w:lang w:val="en-US"/>
        </w:rPr>
        <w:t xml:space="preserve"> First, the atomic coordinates were optimized using static DFT calculations in the </w:t>
      </w:r>
      <w:r w:rsidRPr="001E3806">
        <w:rPr>
          <w:bCs/>
          <w:i/>
          <w:iCs/>
          <w:lang w:val="en-US"/>
        </w:rPr>
        <w:t>P</w:t>
      </w:r>
      <w:r w:rsidRPr="001E3806">
        <w:rPr>
          <w:bCs/>
          <w:lang w:val="en-US"/>
        </w:rPr>
        <w:t>1 space group, with a convergence condition of 0.02 eV Å</w:t>
      </w:r>
      <w:r w:rsidRPr="001E3806">
        <w:rPr>
          <w:bCs/>
          <w:vertAlign w:val="superscript"/>
          <w:lang w:val="en-US"/>
        </w:rPr>
        <w:t>–1</w:t>
      </w:r>
      <w:r w:rsidRPr="001E3806">
        <w:rPr>
          <w:bCs/>
          <w:lang w:val="en-US"/>
        </w:rPr>
        <w:t>. Static DFT calculations were performed using the Vienna ab initio simulation package (VASP)</w:t>
      </w:r>
      <w:r w:rsidRPr="001E3806">
        <w:rPr>
          <w:bCs/>
          <w:lang w:val="en-US"/>
        </w:rPr>
        <w:fldChar w:fldCharType="begin" w:fldLock="1"/>
      </w:r>
      <w:r w:rsidRPr="001E3806">
        <w:rPr>
          <w:bCs/>
          <w:lang w:val="en-US"/>
        </w:rPr>
        <w:instrText>ADDIN CSL_CITATION {"citationItems":[{"id":"ITEM-1","itemData":{"DOI":"10.1103/PhysRevB.59.1758","ISSN":"1550235X","abstract":"The formal relationship between ultrasoft (US) Vanderbilt-type pseudopotentials and Blöchl’s projector augmented wave (PAW) method is derived. It is shown that the total energy functional for US pseudopotentials can be obtained by linearization of two terms in a slightly modified PAW total energy functional. The Hamilton operator, the forces, and the stress tensor are derived for this modified PAW functional. A simple way to implement the PAW method in existing plane-wave codes supporting US pseudopotentials is pointed out. In addition, critical tests are presented to compare the accuracy and efficiency of the PAW and the US pseudopotential method with relaxed core all electron methods. These tests include small molecules (Formula presented) and several bulk systems (diamond, Si, V, Li, Ca, (Formula presented) Fe, Co, Ni). Particular attention is paid to the bulk properties and magnetic energies of Fe, Co, and Ni. © 1999 The American Physical Society.","author":[{"dropping-particle":"","family":"Kresse","given":"G.","non-dropping-particle":"","parse-names":false,"suffix":""},{"dropping-particle":"","family":"Joubert","given":"D.","non-dropping-particle":"","parse-names":false,"suffix":""}],"container-title":"Physical Review B","id":"ITEM-1","issue":"3","issued":{"date-parts":[["1999","1","15"]]},"page":"1758","publisher":"American Physical Society","title":"From ultrasoft pseudopotentials to the projector augmented-wave method","type":"article-journal","volume":"59"},"uris":["http://www.mendeley.com/documents/?uuid=95e41b8e-f930-3c9f-b84c-ab033c77dbfe"]}],"mendeley":{"formattedCitation":"&lt;sup&gt;53&lt;/sup&gt;","plainTextFormattedCitation":"53","previouslyFormattedCitation":"&lt;sup&gt;53&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53</w:t>
      </w:r>
      <w:r w:rsidRPr="001E3806">
        <w:rPr>
          <w:bCs/>
          <w:lang w:val="en-US"/>
        </w:rPr>
        <w:fldChar w:fldCharType="end"/>
      </w:r>
      <w:r w:rsidRPr="001E3806">
        <w:rPr>
          <w:bCs/>
          <w:lang w:val="en-US"/>
        </w:rPr>
        <w:t xml:space="preserve"> for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w:t>
      </w:r>
      <w:r w:rsidRPr="001E3806">
        <w:rPr>
          <w:bCs/>
          <w:vertAlign w:val="subscript"/>
          <w:lang w:val="en-US"/>
        </w:rPr>
        <w:t>9</w:t>
      </w:r>
      <w:r w:rsidRPr="001E3806">
        <w:rPr>
          <w:bCs/>
          <w:lang w:val="en-US"/>
        </w:rPr>
        <w:t xml:space="preserve"> and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·0.3 H</w:t>
      </w:r>
      <w:r w:rsidRPr="001E3806">
        <w:rPr>
          <w:bCs/>
          <w:vertAlign w:val="subscript"/>
          <w:lang w:val="en-US"/>
        </w:rPr>
        <w:t>2</w:t>
      </w:r>
      <w:r w:rsidRPr="001E3806">
        <w:rPr>
          <w:bCs/>
          <w:lang w:val="en-US"/>
        </w:rPr>
        <w:t>O)</w:t>
      </w:r>
      <w:r w:rsidRPr="001E3806">
        <w:rPr>
          <w:bCs/>
          <w:vertAlign w:val="subscript"/>
          <w:lang w:val="en-US"/>
        </w:rPr>
        <w:t>9</w:t>
      </w:r>
      <w:r w:rsidRPr="001E3806">
        <w:rPr>
          <w:bCs/>
          <w:lang w:val="en-US"/>
        </w:rPr>
        <w:t xml:space="preserve">. A 1 × 1 × 1 set of </w:t>
      </w:r>
      <w:r w:rsidRPr="001E3806">
        <w:rPr>
          <w:bCs/>
          <w:i/>
          <w:lang w:val="en-US"/>
        </w:rPr>
        <w:t>k</w:t>
      </w:r>
      <w:r w:rsidRPr="001E3806">
        <w:rPr>
          <w:bCs/>
          <w:lang w:val="en-US"/>
        </w:rPr>
        <w:t>-point meshes was used in the Monkhorst–Pack scheme. Projector augmented wave (PAW) potentials were used for Ba, Nb, Mo, O</w:t>
      </w:r>
      <w:r w:rsidR="007D0791" w:rsidRPr="001E3806">
        <w:rPr>
          <w:bCs/>
          <w:lang w:val="en-US"/>
        </w:rPr>
        <w:t>,</w:t>
      </w:r>
      <w:r w:rsidRPr="001E3806">
        <w:rPr>
          <w:bCs/>
          <w:lang w:val="en-US"/>
        </w:rPr>
        <w:t xml:space="preserve"> and H atoms, as well as plane-wave basis sets with a cutoff of 400 eV and Perdew–Burke–Ernzerhof (PBE) GGA functionals. The structures were then relaxed using M3GNet. </w:t>
      </w:r>
      <w:bookmarkStart w:id="9" w:name="_Hlk203300150"/>
      <w:r w:rsidRPr="001E3806">
        <w:rPr>
          <w:bCs/>
          <w:lang w:val="en-US"/>
        </w:rPr>
        <w:t xml:space="preserve">The resulting structures were consistent with those </w:t>
      </w:r>
      <w:r w:rsidR="0011006E" w:rsidRPr="001E3806">
        <w:rPr>
          <w:bCs/>
          <w:lang w:val="en-US"/>
        </w:rPr>
        <w:t>obtained from</w:t>
      </w:r>
      <w:r w:rsidRPr="001E3806">
        <w:rPr>
          <w:bCs/>
          <w:lang w:val="en-US"/>
        </w:rPr>
        <w:t xml:space="preserve"> the aforementioned DFT </w:t>
      </w:r>
      <w:r w:rsidR="00BB66FC" w:rsidRPr="001E3806">
        <w:rPr>
          <w:bCs/>
          <w:lang w:val="en-US"/>
        </w:rPr>
        <w:t>optimizations as well as with experimental structures reported in the literature</w:t>
      </w:r>
      <w:r w:rsidRPr="001E3806">
        <w:rPr>
          <w:bCs/>
          <w:lang w:val="en-US"/>
        </w:rPr>
        <w:t>.</w:t>
      </w:r>
      <w:r w:rsidR="00BB66FC" w:rsidRPr="001E3806">
        <w:rPr>
          <w:bCs/>
          <w:vertAlign w:val="superscript"/>
          <w:lang w:val="en-US"/>
        </w:rPr>
        <w:t>52</w:t>
      </w:r>
      <w:r w:rsidRPr="001E3806">
        <w:rPr>
          <w:bCs/>
          <w:lang w:val="en-US"/>
        </w:rPr>
        <w:t xml:space="preserve"> </w:t>
      </w:r>
      <w:bookmarkEnd w:id="9"/>
      <w:r w:rsidRPr="001E3806">
        <w:rPr>
          <w:bCs/>
          <w:lang w:val="en-US"/>
        </w:rPr>
        <w:t>M3GNet-MD simulations were performed at 1200 K in the NVT ensemble with a time step of 1 fs. Mean-square displacement (MSD) was calculated by averaging the dynamic heterogeneity using a shifted time series of several thousand initial times to smooth fluctuations.</w:t>
      </w:r>
      <w:r w:rsidRPr="001E3806">
        <w:rPr>
          <w:bCs/>
          <w:lang w:val="en-US"/>
        </w:rPr>
        <w:fldChar w:fldCharType="begin" w:fldLock="1"/>
      </w:r>
      <w:r w:rsidRPr="001E3806">
        <w:rPr>
          <w:bCs/>
          <w:lang w:val="en-US"/>
        </w:rPr>
        <w:instrText>ADDIN CSL_CITATION {"citationItems":[{"id":"ITEM-1","itemData":{"DOI":"10.1007/978-3-319-42391-3","ISBN":"978-3-319-42389-0","ISSN":"14370859","abstract":"This book discusses the physics of the dynamics of ions in various ionically conducting materials, and applications including electrical energy generation and storage. The experimental techniques for measurements and characterization, molecular dynamics simulations, the theories of ion dynamics, and applications are all addressed by the authors, who are experts in their fields. The experimental techniques of measurement and characterization of dynamics of ions in glassy, crystalline, and liquid ionic conductors are introduced with the dual purpose of introducing the reader to the experimental activities of the field, and preparing the reader to understand the physical quantities derived from experiments. These experimental techniques include calorimetry, conductivity relaxation, nuclear magnetic resonance, light scattering, neutron scattering, and others. Methods of molecular dynamics simulations are introduced to teach the reader to utilize the technique for practical applications to specific problems.","author":[{"dropping-particle":"","family":"Habasaki","given":"Junko","non-dropping-particle":"","parse-names":false,"suffix":""},{"dropping-particle":"","family":"León","given":"Carlos","non-dropping-particle":"","parse-names":false,"suffix":""},{"dropping-particle":"","family":"Ngai","given":"K. L.","non-dropping-particle":"","parse-names":false,"suffix":""}],"container-title":"Springer International","id":"ITEM-1","issued":{"date-parts":[["2017"]]},"title":"Dynamics of Glassy, Crystalline and Liquid Ionic Conductors","type":"article-journal","volume":"132"},"uris":["http://www.mendeley.com/documents/?uuid=3a3fe561-5b87-327f-b4c5-5b86e3677748"]}],"mendeley":{"formattedCitation":"&lt;sup&gt;54&lt;/sup&gt;","plainTextFormattedCitation":"54","previouslyFormattedCitation":"&lt;sup&gt;54&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54</w:t>
      </w:r>
      <w:r w:rsidRPr="001E3806">
        <w:rPr>
          <w:bCs/>
          <w:lang w:val="en-US"/>
        </w:rPr>
        <w:fldChar w:fldCharType="end"/>
      </w:r>
      <w:r w:rsidRPr="001E3806">
        <w:rPr>
          <w:bCs/>
          <w:lang w:val="en-US"/>
        </w:rPr>
        <w:t xml:space="preserve"> The OVITO program was used </w:t>
      </w:r>
      <w:bookmarkEnd w:id="7"/>
      <w:r w:rsidRPr="001E3806">
        <w:rPr>
          <w:bCs/>
          <w:lang w:val="en-US"/>
        </w:rPr>
        <w:t>to visualize the snapshots from the M3GNet-MD simulations.</w:t>
      </w:r>
      <w:r w:rsidRPr="001E3806">
        <w:rPr>
          <w:bCs/>
          <w:lang w:val="en-US"/>
        </w:rPr>
        <w:fldChar w:fldCharType="begin" w:fldLock="1"/>
      </w:r>
      <w:r w:rsidRPr="001E3806">
        <w:rPr>
          <w:bCs/>
          <w:lang w:val="en-US"/>
        </w:rPr>
        <w:instrText>ADDIN CSL_CITATION {"citationItems":[{"id":"ITEM-1","itemData":{"DOI":"10.1088/0965-0393/18/1/015012","ISSN":"0965-0393","abstract":"The Open Visualization Tool (OVITO) is a new 3D visualization software designed for post-processing atomistic data obtained from molecular dynamics or Monte Carlo simulations. Unique analysis, editing and animations functions are integrated into its easy-to-use graphical user interface. The software is written in object-oriented C++, controllable via Python scripts and easily extendable through a plug-in interface. It is distributed as open-source software and can be downloaded from the website http://ovito.sourceforge.net/. © 2010 IOP Publishing Ltd.","author":[{"dropping-particle":"","family":"Stukowski","given":"Alexander","non-dropping-particle":"","parse-names":false,"suffix":""}],"container-title":"Modelling and Simulation in Materials Science and Engineering","id":"ITEM-1","issue":"1","issued":{"date-parts":[["2009","12","15"]]},"page":"015012","publisher":"IOP Publishing","title":"Visualization and analysis of atomistic simulation data with OVITO–the Open Visualization Tool","type":"article-journal","volume":"18"},"uris":["http://www.mendeley.com/documents/?uuid=d37ecc01-abd0-3ffd-bbde-7f4b2018bc0c"]}],"mendeley":{"formattedCitation":"&lt;sup&gt;55&lt;/sup&gt;","plainTextFormattedCitation":"55","previouslyFormattedCitation":"&lt;sup&gt;55&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55</w:t>
      </w:r>
      <w:r w:rsidRPr="001E3806">
        <w:rPr>
          <w:bCs/>
          <w:lang w:val="en-US"/>
        </w:rPr>
        <w:fldChar w:fldCharType="end"/>
      </w:r>
    </w:p>
    <w:p w14:paraId="277AEA61" w14:textId="6DED7F2F" w:rsidR="00D43F17" w:rsidRPr="001E3806" w:rsidRDefault="00D43F17" w:rsidP="00D43F17">
      <w:pPr>
        <w:pStyle w:val="RSCB04AHeadingSection"/>
        <w:rPr>
          <w:lang w:eastAsia="ja-JP"/>
        </w:rPr>
      </w:pPr>
      <w:r w:rsidRPr="001E3806">
        <w:rPr>
          <w:lang w:eastAsia="ja-JP"/>
        </w:rPr>
        <w:t xml:space="preserve"> Results and Discussion</w:t>
      </w:r>
    </w:p>
    <w:p w14:paraId="301D4C39" w14:textId="215102C8" w:rsidR="0061024F" w:rsidRPr="001E3806" w:rsidRDefault="0064156E" w:rsidP="0061024F">
      <w:pPr>
        <w:pStyle w:val="RSCB02ArticleText"/>
        <w:ind w:firstLine="284"/>
        <w:rPr>
          <w:bCs/>
          <w:lang w:val="en-US"/>
        </w:rPr>
      </w:pPr>
      <w:r w:rsidRPr="001E3806">
        <w:rPr>
          <w:rFonts w:ascii="Times New Roman"/>
          <w:noProof/>
          <w:sz w:val="22"/>
          <w:lang w:val="ja-JP"/>
        </w:rPr>
        <w:lastRenderedPageBreak/>
        <mc:AlternateContent>
          <mc:Choice Requires="wps">
            <w:drawing>
              <wp:anchor distT="45720" distB="45720" distL="114300" distR="114300" simplePos="0" relativeHeight="251702272" behindDoc="0" locked="0" layoutInCell="1" allowOverlap="1" wp14:anchorId="4AB59B47" wp14:editId="47429497">
                <wp:simplePos x="0" y="0"/>
                <wp:positionH relativeFrom="margin">
                  <wp:posOffset>10348</wp:posOffset>
                </wp:positionH>
                <wp:positionV relativeFrom="paragraph">
                  <wp:posOffset>1472565</wp:posOffset>
                </wp:positionV>
                <wp:extent cx="3181985" cy="5686425"/>
                <wp:effectExtent l="0" t="0" r="0" b="9525"/>
                <wp:wrapSquare wrapText="bothSides"/>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985" cy="5686425"/>
                        </a:xfrm>
                        <a:prstGeom prst="rect">
                          <a:avLst/>
                        </a:prstGeom>
                        <a:solidFill>
                          <a:srgbClr val="FFFFFF"/>
                        </a:solidFill>
                        <a:ln w="9525">
                          <a:noFill/>
                          <a:miter lim="800000"/>
                          <a:headEnd/>
                          <a:tailEnd/>
                        </a:ln>
                      </wps:spPr>
                      <wps:txbx>
                        <w:txbxContent>
                          <w:p w14:paraId="2E40EB9D" w14:textId="77777777" w:rsidR="00982388" w:rsidRDefault="00982388" w:rsidP="0064156E">
                            <w:pPr>
                              <w:jc w:val="center"/>
                              <w:rPr>
                                <w:rFonts w:ascii="Times New Roman"/>
                                <w:szCs w:val="10"/>
                                <w:lang w:eastAsia="ja-JP"/>
                              </w:rPr>
                            </w:pPr>
                            <w:r>
                              <w:rPr>
                                <w:noProof/>
                              </w:rPr>
                              <w:drawing>
                                <wp:inline distT="0" distB="0" distL="0" distR="0" wp14:anchorId="4B4E4A88" wp14:editId="158E1F59">
                                  <wp:extent cx="2404737" cy="4507992"/>
                                  <wp:effectExtent l="0" t="0" r="0" b="6985"/>
                                  <wp:docPr id="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71276" name="図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4938" cy="4527114"/>
                                          </a:xfrm>
                                          <a:prstGeom prst="rect">
                                            <a:avLst/>
                                          </a:prstGeom>
                                        </pic:spPr>
                                      </pic:pic>
                                    </a:graphicData>
                                  </a:graphic>
                                </wp:inline>
                              </w:drawing>
                            </w:r>
                            <w:r w:rsidDel="00B30AD1">
                              <w:rPr>
                                <w:noProof/>
                                <w:lang w:eastAsia="ja-JP"/>
                              </w:rPr>
                              <w:t xml:space="preserve"> </w:t>
                            </w:r>
                          </w:p>
                          <w:p w14:paraId="0B9BA3EE" w14:textId="77777777" w:rsidR="00982388" w:rsidRPr="00D77C38" w:rsidRDefault="00982388" w:rsidP="0064156E">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Fig. 1</w:t>
                            </w:r>
                            <w:r w:rsidRPr="00D77C38">
                              <w:rPr>
                                <w:rFonts w:cs="Arial"/>
                                <w:color w:val="000000" w:themeColor="text1"/>
                                <w:sz w:val="18"/>
                                <w:szCs w:val="18"/>
                                <w:lang w:eastAsia="ja-JP"/>
                              </w:rPr>
                              <w:t xml:space="preserve"> (a) X-ray powder diffraction pattern of Ba</w:t>
                            </w:r>
                            <w:r w:rsidRPr="00D77C38">
                              <w:rPr>
                                <w:rFonts w:cs="Arial"/>
                                <w:color w:val="000000" w:themeColor="text1"/>
                                <w:sz w:val="18"/>
                                <w:szCs w:val="18"/>
                                <w:vertAlign w:val="subscript"/>
                                <w:lang w:eastAsia="ja-JP"/>
                              </w:rPr>
                              <w:t>7</w:t>
                            </w:r>
                            <w:r w:rsidRPr="00D77C38">
                              <w:rPr>
                                <w:rFonts w:cs="Arial"/>
                                <w:color w:val="000000" w:themeColor="text1"/>
                                <w:sz w:val="18"/>
                                <w:szCs w:val="18"/>
                                <w:lang w:eastAsia="ja-JP"/>
                              </w:rPr>
                              <w:t>Nb</w:t>
                            </w:r>
                            <w:r w:rsidRPr="00D77C38">
                              <w:rPr>
                                <w:rFonts w:cs="Arial"/>
                                <w:color w:val="000000" w:themeColor="text1"/>
                                <w:sz w:val="18"/>
                                <w:szCs w:val="18"/>
                                <w:vertAlign w:val="subscript"/>
                                <w:lang w:eastAsia="ja-JP"/>
                              </w:rPr>
                              <w:t>4</w:t>
                            </w:r>
                            <w:r w:rsidRPr="00D77C38">
                              <w:rPr>
                                <w:rFonts w:cs="Arial"/>
                                <w:color w:val="000000" w:themeColor="text1"/>
                                <w:sz w:val="18"/>
                                <w:szCs w:val="18"/>
                                <w:lang w:eastAsia="ja-JP"/>
                              </w:rPr>
                              <w:t>MoO</w:t>
                            </w:r>
                            <w:r w:rsidRPr="00D77C38">
                              <w:rPr>
                                <w:rFonts w:cs="Arial"/>
                                <w:color w:val="000000" w:themeColor="text1"/>
                                <w:sz w:val="18"/>
                                <w:szCs w:val="18"/>
                                <w:vertAlign w:val="subscript"/>
                                <w:lang w:eastAsia="ja-JP"/>
                              </w:rPr>
                              <w:t>20</w:t>
                            </w:r>
                            <w:r w:rsidRPr="00D77C38">
                              <w:rPr>
                                <w:rFonts w:cs="Arial"/>
                                <w:color w:val="000000" w:themeColor="text1"/>
                                <w:sz w:val="18"/>
                                <w:szCs w:val="18"/>
                                <w:lang w:eastAsia="ja-JP"/>
                              </w:rPr>
                              <w:t xml:space="preserve"> at room temperature. (b) Thermogravimetric (TG) data of Ba</w:t>
                            </w:r>
                            <w:r w:rsidRPr="00D77C38">
                              <w:rPr>
                                <w:rFonts w:cs="Arial"/>
                                <w:color w:val="000000" w:themeColor="text1"/>
                                <w:sz w:val="18"/>
                                <w:szCs w:val="18"/>
                                <w:vertAlign w:val="subscript"/>
                                <w:lang w:eastAsia="ja-JP"/>
                              </w:rPr>
                              <w:t>7</w:t>
                            </w:r>
                            <w:r w:rsidRPr="00D77C38">
                              <w:rPr>
                                <w:rFonts w:cs="Arial"/>
                                <w:color w:val="000000" w:themeColor="text1"/>
                                <w:sz w:val="18"/>
                                <w:szCs w:val="18"/>
                                <w:lang w:eastAsia="ja-JP"/>
                              </w:rPr>
                              <w:t>Nb</w:t>
                            </w:r>
                            <w:r w:rsidRPr="00D77C38">
                              <w:rPr>
                                <w:rFonts w:cs="Arial"/>
                                <w:color w:val="000000" w:themeColor="text1"/>
                                <w:sz w:val="18"/>
                                <w:szCs w:val="18"/>
                                <w:vertAlign w:val="subscript"/>
                                <w:lang w:eastAsia="ja-JP"/>
                              </w:rPr>
                              <w:t>4</w:t>
                            </w:r>
                            <w:r w:rsidRPr="00D77C38">
                              <w:rPr>
                                <w:rFonts w:cs="Arial"/>
                                <w:color w:val="000000" w:themeColor="text1"/>
                                <w:sz w:val="18"/>
                                <w:szCs w:val="18"/>
                                <w:lang w:eastAsia="ja-JP"/>
                              </w:rPr>
                              <w:t>MoO</w:t>
                            </w:r>
                            <w:r w:rsidRPr="00D77C38">
                              <w:rPr>
                                <w:rFonts w:cs="Arial"/>
                                <w:color w:val="000000" w:themeColor="text1"/>
                                <w:sz w:val="18"/>
                                <w:szCs w:val="18"/>
                                <w:vertAlign w:val="subscript"/>
                                <w:lang w:eastAsia="ja-JP"/>
                              </w:rPr>
                              <w:t>20</w:t>
                            </w:r>
                            <w:r w:rsidRPr="00D77C38">
                              <w:rPr>
                                <w:rFonts w:cs="Arial"/>
                                <w:color w:val="000000" w:themeColor="text1"/>
                                <w:sz w:val="18"/>
                                <w:szCs w:val="18"/>
                                <w:lang w:eastAsia="ja-JP"/>
                              </w:rPr>
                              <w:t xml:space="preserve"> </w:t>
                            </w:r>
                            <w:r>
                              <w:rPr>
                                <w:rFonts w:cs="Arial"/>
                                <w:color w:val="000000" w:themeColor="text1"/>
                                <w:sz w:val="18"/>
                                <w:szCs w:val="18"/>
                                <w:lang w:eastAsia="ja-JP"/>
                              </w:rPr>
                              <w:t xml:space="preserve">obtained </w:t>
                            </w:r>
                            <w:r w:rsidRPr="00D77C38">
                              <w:rPr>
                                <w:rFonts w:cs="Arial"/>
                                <w:color w:val="000000" w:themeColor="text1"/>
                                <w:sz w:val="18"/>
                                <w:szCs w:val="18"/>
                                <w:lang w:eastAsia="ja-JP"/>
                              </w:rPr>
                              <w:t xml:space="preserve">by </w:t>
                            </w:r>
                            <w:r>
                              <w:rPr>
                                <w:rFonts w:cs="Arial"/>
                                <w:color w:val="000000" w:themeColor="text1"/>
                                <w:sz w:val="18"/>
                                <w:szCs w:val="18"/>
                                <w:lang w:eastAsia="ja-JP"/>
                              </w:rPr>
                              <w:t xml:space="preserve">an </w:t>
                            </w:r>
                            <w:r w:rsidRPr="00D77C38">
                              <w:rPr>
                                <w:rFonts w:cs="Arial"/>
                                <w:color w:val="000000" w:themeColor="text1"/>
                                <w:sz w:val="18"/>
                                <w:szCs w:val="18"/>
                                <w:lang w:eastAsia="ja-JP"/>
                              </w:rPr>
                              <w:t>equilibrium isotherm on cooling in wet air (</w:t>
                            </w:r>
                            <w:r w:rsidRPr="00D77C38">
                              <w:rPr>
                                <w:rFonts w:cs="Arial"/>
                                <w:i/>
                                <w:color w:val="000000" w:themeColor="text1"/>
                                <w:sz w:val="18"/>
                                <w:szCs w:val="18"/>
                                <w:lang w:eastAsia="ja-JP"/>
                              </w:rPr>
                              <w:t>p</w:t>
                            </w:r>
                            <w:r w:rsidRPr="00D77C38">
                              <w:rPr>
                                <w:rFonts w:cs="Arial"/>
                                <w:color w:val="000000" w:themeColor="text1"/>
                                <w:sz w:val="18"/>
                                <w:szCs w:val="18"/>
                                <w:lang w:eastAsia="ja-JP"/>
                              </w:rPr>
                              <w:t>H</w:t>
                            </w:r>
                            <w:r w:rsidRPr="00D77C38">
                              <w:rPr>
                                <w:rFonts w:cs="Arial"/>
                                <w:color w:val="000000" w:themeColor="text1"/>
                                <w:sz w:val="18"/>
                                <w:szCs w:val="18"/>
                                <w:vertAlign w:val="subscript"/>
                                <w:lang w:eastAsia="ja-JP"/>
                              </w:rPr>
                              <w:t>2</w:t>
                            </w:r>
                            <w:r w:rsidRPr="00D77C38">
                              <w:rPr>
                                <w:rFonts w:cs="Arial"/>
                                <w:color w:val="000000" w:themeColor="text1"/>
                                <w:sz w:val="18"/>
                                <w:szCs w:val="18"/>
                                <w:lang w:eastAsia="ja-JP"/>
                              </w:rPr>
                              <w:t>O = 0.021 atm). (c) Temperature dependence of the numbers of oxide ion 20+</w:t>
                            </w:r>
                            <w:r w:rsidRPr="00D77C38">
                              <w:rPr>
                                <w:rFonts w:cs="Arial"/>
                                <w:i/>
                                <w:color w:val="000000" w:themeColor="text1"/>
                                <w:sz w:val="18"/>
                                <w:szCs w:val="18"/>
                                <w:lang w:eastAsia="ja-JP"/>
                              </w:rPr>
                              <w:t>y</w:t>
                            </w:r>
                            <w:r w:rsidRPr="00D77C38">
                              <w:rPr>
                                <w:rFonts w:cs="Arial"/>
                                <w:color w:val="000000" w:themeColor="text1"/>
                                <w:sz w:val="18"/>
                                <w:szCs w:val="18"/>
                                <w:lang w:eastAsia="ja-JP"/>
                              </w:rPr>
                              <w:t xml:space="preserve"> and proton 2</w:t>
                            </w:r>
                            <w:r w:rsidRPr="00D77C38">
                              <w:rPr>
                                <w:rFonts w:cs="Arial"/>
                                <w:i/>
                                <w:color w:val="000000" w:themeColor="text1"/>
                                <w:sz w:val="18"/>
                                <w:szCs w:val="18"/>
                                <w:lang w:eastAsia="ja-JP"/>
                              </w:rPr>
                              <w:t>y</w:t>
                            </w:r>
                            <w:r w:rsidRPr="00D77C38">
                              <w:rPr>
                                <w:rFonts w:cs="Arial"/>
                                <w:color w:val="000000" w:themeColor="text1"/>
                                <w:sz w:val="18"/>
                                <w:szCs w:val="18"/>
                                <w:lang w:eastAsia="ja-JP"/>
                              </w:rPr>
                              <w:t xml:space="preserve"> in Ba</w:t>
                            </w:r>
                            <w:r w:rsidRPr="00D77C38">
                              <w:rPr>
                                <w:rFonts w:cs="Arial"/>
                                <w:color w:val="000000" w:themeColor="text1"/>
                                <w:sz w:val="18"/>
                                <w:szCs w:val="18"/>
                                <w:vertAlign w:val="subscript"/>
                                <w:lang w:eastAsia="ja-JP"/>
                              </w:rPr>
                              <w:t>7</w:t>
                            </w:r>
                            <w:r w:rsidRPr="00D77C38">
                              <w:rPr>
                                <w:rFonts w:cs="Arial"/>
                                <w:color w:val="000000" w:themeColor="text1"/>
                                <w:sz w:val="18"/>
                                <w:szCs w:val="18"/>
                                <w:lang w:eastAsia="ja-JP"/>
                              </w:rPr>
                              <w:t>Nb</w:t>
                            </w:r>
                            <w:r w:rsidRPr="00D77C38">
                              <w:rPr>
                                <w:rFonts w:cs="Arial"/>
                                <w:color w:val="000000" w:themeColor="text1"/>
                                <w:sz w:val="18"/>
                                <w:szCs w:val="18"/>
                                <w:vertAlign w:val="subscript"/>
                                <w:lang w:eastAsia="ja-JP"/>
                              </w:rPr>
                              <w:t>4</w:t>
                            </w:r>
                            <w:r w:rsidRPr="00D77C38">
                              <w:rPr>
                                <w:rFonts w:cs="Arial"/>
                                <w:color w:val="000000" w:themeColor="text1"/>
                                <w:sz w:val="18"/>
                                <w:szCs w:val="18"/>
                                <w:lang w:eastAsia="ja-JP"/>
                              </w:rPr>
                              <w:t>MoO</w:t>
                            </w:r>
                            <w:r w:rsidRPr="00D77C38">
                              <w:rPr>
                                <w:rFonts w:cs="Arial"/>
                                <w:color w:val="000000" w:themeColor="text1"/>
                                <w:sz w:val="18"/>
                                <w:szCs w:val="18"/>
                                <w:vertAlign w:val="subscript"/>
                                <w:lang w:eastAsia="ja-JP"/>
                              </w:rPr>
                              <w:t>20</w:t>
                            </w:r>
                            <w:r w:rsidRPr="00D77C38">
                              <w:rPr>
                                <w:rFonts w:cs="Arial"/>
                                <w:color w:val="000000" w:themeColor="text1"/>
                                <w:sz w:val="18"/>
                                <w:szCs w:val="18"/>
                                <w:lang w:val="de-DE" w:eastAsia="ja-JP"/>
                              </w:rPr>
                              <w:t>∙</w:t>
                            </w:r>
                            <w:r w:rsidRPr="00D77C38">
                              <w:rPr>
                                <w:rFonts w:cs="Arial"/>
                                <w:i/>
                                <w:iCs/>
                                <w:color w:val="000000" w:themeColor="text1"/>
                                <w:sz w:val="18"/>
                                <w:szCs w:val="18"/>
                                <w:lang w:val="de-DE" w:eastAsia="ja-JP"/>
                              </w:rPr>
                              <w:t xml:space="preserve">y </w:t>
                            </w:r>
                            <w:r w:rsidRPr="00D77C38">
                              <w:rPr>
                                <w:rFonts w:cs="Arial"/>
                                <w:color w:val="000000" w:themeColor="text1"/>
                                <w:sz w:val="18"/>
                                <w:szCs w:val="18"/>
                                <w:lang w:val="de-DE" w:eastAsia="ja-JP"/>
                              </w:rPr>
                              <w:t>H</w:t>
                            </w:r>
                            <w:r w:rsidRPr="00D77C38">
                              <w:rPr>
                                <w:rFonts w:cs="Arial"/>
                                <w:color w:val="000000" w:themeColor="text1"/>
                                <w:sz w:val="18"/>
                                <w:szCs w:val="18"/>
                                <w:vertAlign w:val="subscript"/>
                                <w:lang w:val="de-DE" w:eastAsia="ja-JP"/>
                              </w:rPr>
                              <w:t>2</w:t>
                            </w:r>
                            <w:r w:rsidRPr="00D77C38">
                              <w:rPr>
                                <w:rFonts w:cs="Arial"/>
                                <w:color w:val="000000" w:themeColor="text1"/>
                                <w:sz w:val="18"/>
                                <w:szCs w:val="18"/>
                                <w:lang w:val="de-DE" w:eastAsia="ja-JP"/>
                              </w:rPr>
                              <w:t>O in wet air, calculated from</w:t>
                            </w:r>
                            <w:r>
                              <w:rPr>
                                <w:rFonts w:cs="Arial"/>
                                <w:color w:val="000000" w:themeColor="text1"/>
                                <w:sz w:val="18"/>
                                <w:szCs w:val="18"/>
                                <w:lang w:val="de-DE" w:eastAsia="ja-JP"/>
                              </w:rPr>
                              <w:t xml:space="preserve"> panel</w:t>
                            </w:r>
                            <w:r w:rsidRPr="00D77C38">
                              <w:rPr>
                                <w:rFonts w:cs="Arial"/>
                                <w:color w:val="000000" w:themeColor="text1"/>
                                <w:sz w:val="18"/>
                                <w:szCs w:val="18"/>
                                <w:lang w:val="de-DE" w:eastAsia="ja-JP"/>
                              </w:rPr>
                              <w:t xml:space="preserve"> (b).</w:t>
                            </w:r>
                          </w:p>
                          <w:p w14:paraId="6CEC9648" w14:textId="77777777" w:rsidR="00982388" w:rsidRPr="001921ED" w:rsidRDefault="00982388" w:rsidP="0064156E">
                            <w:pPr>
                              <w:spacing w:line="240" w:lineRule="exact"/>
                              <w:rPr>
                                <w:rFonts w:cs="Arial"/>
                                <w:lang w:eastAsia="ja-JP"/>
                              </w:rPr>
                            </w:pP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59B47" id="テキスト ボックス 10" o:spid="_x0000_s1028" type="#_x0000_t202" style="position:absolute;left:0;text-align:left;margin-left:.8pt;margin-top:115.95pt;width:250.55pt;height:447.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" stroked="f">
                <v:textbox inset="0,,0">
                  <w:txbxContent>
                    <w:p w14:paraId="2E40EB9D" w14:textId="77777777" w:rsidR="00982388" w:rsidRDefault="00982388" w:rsidP="0064156E">
                      <w:pPr>
                        <w:jc w:val="center"/>
                        <w:rPr>
                          <w:rFonts w:ascii="Times New Roman"/>
                          <w:szCs w:val="10"/>
                          <w:lang w:eastAsia="ja-JP"/>
                        </w:rPr>
                      </w:pPr>
                      <w:r>
                        <w:rPr>
                          <w:noProof/>
                        </w:rPr>
                        <w:drawing>
                          <wp:inline distT="0" distB="0" distL="0" distR="0" wp14:anchorId="4B4E4A88" wp14:editId="158E1F59">
                            <wp:extent cx="2404737" cy="4507992"/>
                            <wp:effectExtent l="0" t="0" r="0" b="6985"/>
                            <wp:docPr id="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71276" name="図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14938" cy="4527114"/>
                                    </a:xfrm>
                                    <a:prstGeom prst="rect">
                                      <a:avLst/>
                                    </a:prstGeom>
                                  </pic:spPr>
                                </pic:pic>
                              </a:graphicData>
                            </a:graphic>
                          </wp:inline>
                        </w:drawing>
                      </w:r>
                      <w:r w:rsidDel="00B30AD1">
                        <w:rPr>
                          <w:noProof/>
                          <w:lang w:eastAsia="ja-JP"/>
                        </w:rPr>
                        <w:t xml:space="preserve"> </w:t>
                      </w:r>
                    </w:p>
                    <w:p w14:paraId="0B9BA3EE" w14:textId="77777777" w:rsidR="00982388" w:rsidRPr="00D77C38" w:rsidRDefault="00982388" w:rsidP="0064156E">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Fig. 1</w:t>
                      </w:r>
                      <w:r w:rsidRPr="00D77C38">
                        <w:rPr>
                          <w:rFonts w:cs="Arial"/>
                          <w:color w:val="000000" w:themeColor="text1"/>
                          <w:sz w:val="18"/>
                          <w:szCs w:val="18"/>
                          <w:lang w:eastAsia="ja-JP"/>
                        </w:rPr>
                        <w:t xml:space="preserve"> (a) X-ray powder diffraction pattern of Ba</w:t>
                      </w:r>
                      <w:r w:rsidRPr="00D77C38">
                        <w:rPr>
                          <w:rFonts w:cs="Arial"/>
                          <w:color w:val="000000" w:themeColor="text1"/>
                          <w:sz w:val="18"/>
                          <w:szCs w:val="18"/>
                          <w:vertAlign w:val="subscript"/>
                          <w:lang w:eastAsia="ja-JP"/>
                        </w:rPr>
                        <w:t>7</w:t>
                      </w:r>
                      <w:r w:rsidRPr="00D77C38">
                        <w:rPr>
                          <w:rFonts w:cs="Arial"/>
                          <w:color w:val="000000" w:themeColor="text1"/>
                          <w:sz w:val="18"/>
                          <w:szCs w:val="18"/>
                          <w:lang w:eastAsia="ja-JP"/>
                        </w:rPr>
                        <w:t>Nb</w:t>
                      </w:r>
                      <w:r w:rsidRPr="00D77C38">
                        <w:rPr>
                          <w:rFonts w:cs="Arial"/>
                          <w:color w:val="000000" w:themeColor="text1"/>
                          <w:sz w:val="18"/>
                          <w:szCs w:val="18"/>
                          <w:vertAlign w:val="subscript"/>
                          <w:lang w:eastAsia="ja-JP"/>
                        </w:rPr>
                        <w:t>4</w:t>
                      </w:r>
                      <w:r w:rsidRPr="00D77C38">
                        <w:rPr>
                          <w:rFonts w:cs="Arial"/>
                          <w:color w:val="000000" w:themeColor="text1"/>
                          <w:sz w:val="18"/>
                          <w:szCs w:val="18"/>
                          <w:lang w:eastAsia="ja-JP"/>
                        </w:rPr>
                        <w:t>MoO</w:t>
                      </w:r>
                      <w:r w:rsidRPr="00D77C38">
                        <w:rPr>
                          <w:rFonts w:cs="Arial"/>
                          <w:color w:val="000000" w:themeColor="text1"/>
                          <w:sz w:val="18"/>
                          <w:szCs w:val="18"/>
                          <w:vertAlign w:val="subscript"/>
                          <w:lang w:eastAsia="ja-JP"/>
                        </w:rPr>
                        <w:t>20</w:t>
                      </w:r>
                      <w:r w:rsidRPr="00D77C38">
                        <w:rPr>
                          <w:rFonts w:cs="Arial"/>
                          <w:color w:val="000000" w:themeColor="text1"/>
                          <w:sz w:val="18"/>
                          <w:szCs w:val="18"/>
                          <w:lang w:eastAsia="ja-JP"/>
                        </w:rPr>
                        <w:t xml:space="preserve"> at room temperature. (b) Thermogravimetric (TG) data of Ba</w:t>
                      </w:r>
                      <w:r w:rsidRPr="00D77C38">
                        <w:rPr>
                          <w:rFonts w:cs="Arial"/>
                          <w:color w:val="000000" w:themeColor="text1"/>
                          <w:sz w:val="18"/>
                          <w:szCs w:val="18"/>
                          <w:vertAlign w:val="subscript"/>
                          <w:lang w:eastAsia="ja-JP"/>
                        </w:rPr>
                        <w:t>7</w:t>
                      </w:r>
                      <w:r w:rsidRPr="00D77C38">
                        <w:rPr>
                          <w:rFonts w:cs="Arial"/>
                          <w:color w:val="000000" w:themeColor="text1"/>
                          <w:sz w:val="18"/>
                          <w:szCs w:val="18"/>
                          <w:lang w:eastAsia="ja-JP"/>
                        </w:rPr>
                        <w:t>Nb</w:t>
                      </w:r>
                      <w:r w:rsidRPr="00D77C38">
                        <w:rPr>
                          <w:rFonts w:cs="Arial"/>
                          <w:color w:val="000000" w:themeColor="text1"/>
                          <w:sz w:val="18"/>
                          <w:szCs w:val="18"/>
                          <w:vertAlign w:val="subscript"/>
                          <w:lang w:eastAsia="ja-JP"/>
                        </w:rPr>
                        <w:t>4</w:t>
                      </w:r>
                      <w:r w:rsidRPr="00D77C38">
                        <w:rPr>
                          <w:rFonts w:cs="Arial"/>
                          <w:color w:val="000000" w:themeColor="text1"/>
                          <w:sz w:val="18"/>
                          <w:szCs w:val="18"/>
                          <w:lang w:eastAsia="ja-JP"/>
                        </w:rPr>
                        <w:t>MoO</w:t>
                      </w:r>
                      <w:r w:rsidRPr="00D77C38">
                        <w:rPr>
                          <w:rFonts w:cs="Arial"/>
                          <w:color w:val="000000" w:themeColor="text1"/>
                          <w:sz w:val="18"/>
                          <w:szCs w:val="18"/>
                          <w:vertAlign w:val="subscript"/>
                          <w:lang w:eastAsia="ja-JP"/>
                        </w:rPr>
                        <w:t>20</w:t>
                      </w:r>
                      <w:r w:rsidRPr="00D77C38">
                        <w:rPr>
                          <w:rFonts w:cs="Arial"/>
                          <w:color w:val="000000" w:themeColor="text1"/>
                          <w:sz w:val="18"/>
                          <w:szCs w:val="18"/>
                          <w:lang w:eastAsia="ja-JP"/>
                        </w:rPr>
                        <w:t xml:space="preserve"> </w:t>
                      </w:r>
                      <w:r>
                        <w:rPr>
                          <w:rFonts w:cs="Arial"/>
                          <w:color w:val="000000" w:themeColor="text1"/>
                          <w:sz w:val="18"/>
                          <w:szCs w:val="18"/>
                          <w:lang w:eastAsia="ja-JP"/>
                        </w:rPr>
                        <w:t xml:space="preserve">obtained </w:t>
                      </w:r>
                      <w:r w:rsidRPr="00D77C38">
                        <w:rPr>
                          <w:rFonts w:cs="Arial"/>
                          <w:color w:val="000000" w:themeColor="text1"/>
                          <w:sz w:val="18"/>
                          <w:szCs w:val="18"/>
                          <w:lang w:eastAsia="ja-JP"/>
                        </w:rPr>
                        <w:t xml:space="preserve">by </w:t>
                      </w:r>
                      <w:r>
                        <w:rPr>
                          <w:rFonts w:cs="Arial"/>
                          <w:color w:val="000000" w:themeColor="text1"/>
                          <w:sz w:val="18"/>
                          <w:szCs w:val="18"/>
                          <w:lang w:eastAsia="ja-JP"/>
                        </w:rPr>
                        <w:t xml:space="preserve">an </w:t>
                      </w:r>
                      <w:r w:rsidRPr="00D77C38">
                        <w:rPr>
                          <w:rFonts w:cs="Arial"/>
                          <w:color w:val="000000" w:themeColor="text1"/>
                          <w:sz w:val="18"/>
                          <w:szCs w:val="18"/>
                          <w:lang w:eastAsia="ja-JP"/>
                        </w:rPr>
                        <w:t>equilibrium isotherm on cooling in wet air (</w:t>
                      </w:r>
                      <w:r w:rsidRPr="00D77C38">
                        <w:rPr>
                          <w:rFonts w:cs="Arial"/>
                          <w:i/>
                          <w:color w:val="000000" w:themeColor="text1"/>
                          <w:sz w:val="18"/>
                          <w:szCs w:val="18"/>
                          <w:lang w:eastAsia="ja-JP"/>
                        </w:rPr>
                        <w:t>p</w:t>
                      </w:r>
                      <w:r w:rsidRPr="00D77C38">
                        <w:rPr>
                          <w:rFonts w:cs="Arial"/>
                          <w:color w:val="000000" w:themeColor="text1"/>
                          <w:sz w:val="18"/>
                          <w:szCs w:val="18"/>
                          <w:lang w:eastAsia="ja-JP"/>
                        </w:rPr>
                        <w:t>H</w:t>
                      </w:r>
                      <w:r w:rsidRPr="00D77C38">
                        <w:rPr>
                          <w:rFonts w:cs="Arial"/>
                          <w:color w:val="000000" w:themeColor="text1"/>
                          <w:sz w:val="18"/>
                          <w:szCs w:val="18"/>
                          <w:vertAlign w:val="subscript"/>
                          <w:lang w:eastAsia="ja-JP"/>
                        </w:rPr>
                        <w:t>2</w:t>
                      </w:r>
                      <w:r w:rsidRPr="00D77C38">
                        <w:rPr>
                          <w:rFonts w:cs="Arial"/>
                          <w:color w:val="000000" w:themeColor="text1"/>
                          <w:sz w:val="18"/>
                          <w:szCs w:val="18"/>
                          <w:lang w:eastAsia="ja-JP"/>
                        </w:rPr>
                        <w:t>O = 0.021 atm). (c) Temperature dependence of the numbers of oxide ion 20+</w:t>
                      </w:r>
                      <w:r w:rsidRPr="00D77C38">
                        <w:rPr>
                          <w:rFonts w:cs="Arial"/>
                          <w:i/>
                          <w:color w:val="000000" w:themeColor="text1"/>
                          <w:sz w:val="18"/>
                          <w:szCs w:val="18"/>
                          <w:lang w:eastAsia="ja-JP"/>
                        </w:rPr>
                        <w:t>y</w:t>
                      </w:r>
                      <w:r w:rsidRPr="00D77C38">
                        <w:rPr>
                          <w:rFonts w:cs="Arial"/>
                          <w:color w:val="000000" w:themeColor="text1"/>
                          <w:sz w:val="18"/>
                          <w:szCs w:val="18"/>
                          <w:lang w:eastAsia="ja-JP"/>
                        </w:rPr>
                        <w:t xml:space="preserve"> and proton 2</w:t>
                      </w:r>
                      <w:r w:rsidRPr="00D77C38">
                        <w:rPr>
                          <w:rFonts w:cs="Arial"/>
                          <w:i/>
                          <w:color w:val="000000" w:themeColor="text1"/>
                          <w:sz w:val="18"/>
                          <w:szCs w:val="18"/>
                          <w:lang w:eastAsia="ja-JP"/>
                        </w:rPr>
                        <w:t>y</w:t>
                      </w:r>
                      <w:r w:rsidRPr="00D77C38">
                        <w:rPr>
                          <w:rFonts w:cs="Arial"/>
                          <w:color w:val="000000" w:themeColor="text1"/>
                          <w:sz w:val="18"/>
                          <w:szCs w:val="18"/>
                          <w:lang w:eastAsia="ja-JP"/>
                        </w:rPr>
                        <w:t xml:space="preserve"> in Ba</w:t>
                      </w:r>
                      <w:r w:rsidRPr="00D77C38">
                        <w:rPr>
                          <w:rFonts w:cs="Arial"/>
                          <w:color w:val="000000" w:themeColor="text1"/>
                          <w:sz w:val="18"/>
                          <w:szCs w:val="18"/>
                          <w:vertAlign w:val="subscript"/>
                          <w:lang w:eastAsia="ja-JP"/>
                        </w:rPr>
                        <w:t>7</w:t>
                      </w:r>
                      <w:r w:rsidRPr="00D77C38">
                        <w:rPr>
                          <w:rFonts w:cs="Arial"/>
                          <w:color w:val="000000" w:themeColor="text1"/>
                          <w:sz w:val="18"/>
                          <w:szCs w:val="18"/>
                          <w:lang w:eastAsia="ja-JP"/>
                        </w:rPr>
                        <w:t>Nb</w:t>
                      </w:r>
                      <w:r w:rsidRPr="00D77C38">
                        <w:rPr>
                          <w:rFonts w:cs="Arial"/>
                          <w:color w:val="000000" w:themeColor="text1"/>
                          <w:sz w:val="18"/>
                          <w:szCs w:val="18"/>
                          <w:vertAlign w:val="subscript"/>
                          <w:lang w:eastAsia="ja-JP"/>
                        </w:rPr>
                        <w:t>4</w:t>
                      </w:r>
                      <w:r w:rsidRPr="00D77C38">
                        <w:rPr>
                          <w:rFonts w:cs="Arial"/>
                          <w:color w:val="000000" w:themeColor="text1"/>
                          <w:sz w:val="18"/>
                          <w:szCs w:val="18"/>
                          <w:lang w:eastAsia="ja-JP"/>
                        </w:rPr>
                        <w:t>MoO</w:t>
                      </w:r>
                      <w:r w:rsidRPr="00D77C38">
                        <w:rPr>
                          <w:rFonts w:cs="Arial"/>
                          <w:color w:val="000000" w:themeColor="text1"/>
                          <w:sz w:val="18"/>
                          <w:szCs w:val="18"/>
                          <w:vertAlign w:val="subscript"/>
                          <w:lang w:eastAsia="ja-JP"/>
                        </w:rPr>
                        <w:t>20</w:t>
                      </w:r>
                      <w:r w:rsidRPr="00D77C38">
                        <w:rPr>
                          <w:rFonts w:cs="Arial"/>
                          <w:color w:val="000000" w:themeColor="text1"/>
                          <w:sz w:val="18"/>
                          <w:szCs w:val="18"/>
                          <w:lang w:val="de-DE" w:eastAsia="ja-JP"/>
                        </w:rPr>
                        <w:t>∙</w:t>
                      </w:r>
                      <w:r w:rsidRPr="00D77C38">
                        <w:rPr>
                          <w:rFonts w:cs="Arial"/>
                          <w:i/>
                          <w:iCs/>
                          <w:color w:val="000000" w:themeColor="text1"/>
                          <w:sz w:val="18"/>
                          <w:szCs w:val="18"/>
                          <w:lang w:val="de-DE" w:eastAsia="ja-JP"/>
                        </w:rPr>
                        <w:t xml:space="preserve">y </w:t>
                      </w:r>
                      <w:r w:rsidRPr="00D77C38">
                        <w:rPr>
                          <w:rFonts w:cs="Arial"/>
                          <w:color w:val="000000" w:themeColor="text1"/>
                          <w:sz w:val="18"/>
                          <w:szCs w:val="18"/>
                          <w:lang w:val="de-DE" w:eastAsia="ja-JP"/>
                        </w:rPr>
                        <w:t>H</w:t>
                      </w:r>
                      <w:r w:rsidRPr="00D77C38">
                        <w:rPr>
                          <w:rFonts w:cs="Arial"/>
                          <w:color w:val="000000" w:themeColor="text1"/>
                          <w:sz w:val="18"/>
                          <w:szCs w:val="18"/>
                          <w:vertAlign w:val="subscript"/>
                          <w:lang w:val="de-DE" w:eastAsia="ja-JP"/>
                        </w:rPr>
                        <w:t>2</w:t>
                      </w:r>
                      <w:r w:rsidRPr="00D77C38">
                        <w:rPr>
                          <w:rFonts w:cs="Arial"/>
                          <w:color w:val="000000" w:themeColor="text1"/>
                          <w:sz w:val="18"/>
                          <w:szCs w:val="18"/>
                          <w:lang w:val="de-DE" w:eastAsia="ja-JP"/>
                        </w:rPr>
                        <w:t>O in wet air, calculated from</w:t>
                      </w:r>
                      <w:r>
                        <w:rPr>
                          <w:rFonts w:cs="Arial"/>
                          <w:color w:val="000000" w:themeColor="text1"/>
                          <w:sz w:val="18"/>
                          <w:szCs w:val="18"/>
                          <w:lang w:val="de-DE" w:eastAsia="ja-JP"/>
                        </w:rPr>
                        <w:t xml:space="preserve"> panel</w:t>
                      </w:r>
                      <w:r w:rsidRPr="00D77C38">
                        <w:rPr>
                          <w:rFonts w:cs="Arial"/>
                          <w:color w:val="000000" w:themeColor="text1"/>
                          <w:sz w:val="18"/>
                          <w:szCs w:val="18"/>
                          <w:lang w:val="de-DE" w:eastAsia="ja-JP"/>
                        </w:rPr>
                        <w:t xml:space="preserve"> (b).</w:t>
                      </w:r>
                    </w:p>
                    <w:p w14:paraId="6CEC9648" w14:textId="77777777" w:rsidR="00982388" w:rsidRPr="001921ED" w:rsidRDefault="00982388" w:rsidP="0064156E">
                      <w:pPr>
                        <w:spacing w:line="240" w:lineRule="exact"/>
                        <w:rPr>
                          <w:rFonts w:cs="Arial"/>
                          <w:lang w:eastAsia="ja-JP"/>
                        </w:rPr>
                      </w:pPr>
                    </w:p>
                  </w:txbxContent>
                </v:textbox>
                <w10:wrap type="square" anchorx="margin"/>
              </v:shape>
            </w:pict>
          </mc:Fallback>
        </mc:AlternateContent>
      </w:r>
      <w:r w:rsidRPr="001E3806">
        <w:rPr>
          <w:rFonts w:ascii="Times New Roman"/>
          <w:noProof/>
          <w:sz w:val="22"/>
          <w:lang w:val="ja-JP"/>
        </w:rPr>
        <w:t xml:space="preserve"> </w:t>
      </w:r>
      <w:r w:rsidR="0061024F" w:rsidRPr="001E3806">
        <w:rPr>
          <w:bCs/>
          <w:lang w:val="en-US"/>
        </w:rPr>
        <w:t>Dense pellets of 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 xml:space="preserve"> were synthesized by the solid-state-reaction method (Relative density &gt; 97%). The cation ratio of 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 xml:space="preserve">, as analyzed by inductively coupled plasma-optical emission spectroscopy (ICP-OES), was found to be Ba: Nb: Mo = 7.0: 4.0: 1.0, which was the same as that of the nominal composition. The X-ray diffraction (XRD) pattern of </w:t>
      </w:r>
      <w:bookmarkStart w:id="10" w:name="_Hlk186639348"/>
      <w:r w:rsidR="0061024F" w:rsidRPr="001E3806">
        <w:rPr>
          <w:bCs/>
          <w:lang w:val="en-US"/>
        </w:rPr>
        <w:t>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bookmarkEnd w:id="10"/>
      <w:r w:rsidR="0061024F" w:rsidRPr="001E3806">
        <w:rPr>
          <w:bCs/>
          <w:lang w:val="en-US"/>
        </w:rPr>
        <w:t xml:space="preserve"> powders indicated that it was a single primitive hexagonal phase with the 7H polytype (Fig. 1a), which is </w:t>
      </w:r>
      <w:r w:rsidR="00F31CBC" w:rsidRPr="001E3806">
        <w:rPr>
          <w:rFonts w:hint="eastAsia"/>
          <w:bCs/>
          <w:lang w:val="en-US" w:eastAsia="ja-JP"/>
        </w:rPr>
        <w:t>consistent</w:t>
      </w:r>
      <w:r w:rsidR="0061024F" w:rsidRPr="001E3806">
        <w:rPr>
          <w:bCs/>
          <w:lang w:val="en-US"/>
        </w:rPr>
        <w:t xml:space="preserve"> with the literature.</w:t>
      </w:r>
      <w:r w:rsidR="0061024F" w:rsidRPr="001E3806">
        <w:rPr>
          <w:bCs/>
          <w:lang w:val="en-US"/>
        </w:rPr>
        <w:fldChar w:fldCharType="begin" w:fldLock="1"/>
      </w:r>
      <w:r w:rsidR="0061024F" w:rsidRPr="001E3806">
        <w:rPr>
          <w:bCs/>
          <w:lang w:val="en-US"/>
        </w:rPr>
        <w:instrText>ADDIN CSL_CITATION {"citationItems":[{"id":"ITEM-1","itemData":{"DOI":"10.1021/cm981011i","ISSN":"08974756","abstract":"A new cation deficient hexagonal perovskite with the unusual polytype 7H (hhchhcc) has been obtained in the Ba-Mo-Nb-O system for the Ba7Nh4MoO20 composition. It crystallizes in the P3̄m1 space group (No. 164) with hexagonal lattice parameters a = 5.8644(2) Å and c = 16.5272(4) Å. The crystal structure has been studied by means of X-ray powder diffraction, electron diffraction, high-resolution electron microscopy, and neutron powder diffraction. The unit cell of Ba7Nb4MoO20 can be seen as an ordered intergrowth along the c-axis of the structural units corresponding to the 12R and the palmierite polytypes. Both types of blocks are isolated through the cationic vacancies, giving rise to a layered structure. The existence of two cationic empty sites per unit cell is probably the reason for the 7H polytype containing two hh pairs being adopted. © 1999 American Chemical Society.","author":[{"dropping-particle":"","family":"García-González","given":"E.","non-dropping-particle":"","parse-names":false,"suffix":""},{"dropping-particle":"","family":"Parras","given":"M.","non-dropping-particle":"","parse-names":false,"suffix":""},{"dropping-particle":"","family":"González-Calbet","given":"J. M.","non-dropping-particle":"","parse-names":false,"suffix":""}],"container-title":"Chemistry of Materials","id":"ITEM-1","issue":"2","issued":{"date-parts":[["1999"]]},"page":"433-437","publisher":"American Chemical Society","title":"Crystal structure of an unusual polytype: 7H-Ba&lt;sub&gt;7&lt;/sub&gt;Nb&lt;sub&gt;4&lt;/sub&gt;MoO&lt;sub&gt;20&lt;/sub&gt;","type":"article-journal","volume":"11"},"uris":["http://www.mendeley.com/documents/?uuid=955a8da5-13fc-3c37-b3b5-9f752308dbae"]},{"id":"ITEM-2","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Materials","id":"ITEM-2","issue":"7","issued":{"date-parts":[["2020","7","2"]]},"page":"752-757","publisher":"Nature Research","title":"High oxide ion and proton conductivity in a disordered hexagonal perovskite","type":"article-journal","volume":"19"},"uris":["http://www.mendeley.com/documents/?uuid=f336b269-6ebf-3ef0-82ad-f407450d185c"]},{"id":"ITEM-3","itemData":{"DOI":"10.1021/acs.chemmater.1c01141","ISSN":"0897-4756","abstract":"High ionic conductivity has been recently reported in hexagonal perovskite derivative materials. These systems constitute a promising class of novel electrolytes for application in hydrogen-based energy technologies. Herein, we performed the first in situ hydration neutron diffraction experiments and atomistic calculations for the determination of the water absorption and ionic conduction mechanisms in the dual-ion conductor Ba7Nb4MoO20. Our results demonstrate a remarkable mechanism of water uptake and proton incorporation, assisted by the ability of the structure of accommodating substantial stacking and anion disorder. Simulations show high dynamic and rotational flexibility of the variable coordination MOx units, a crucial factor in enabling fast ionic transport along the palmierite-like layers. Such flexibility contributes to delocalization of the proton defects and to the creation of a frustrated proton sublattice with high proton mobility and low energy diffusion pathways. These insights provide design principles for the discovery of innovative ionic conductors crystallizing in related hexagonal systems or disordered oxide structures.","author":[{"dropping-particle":"","family":"Fop","given":"Sacha","non-dropping-particle":"","parse-names":false,"suffix":""},{"dropping-particle":"","family":"Dawson","given":"James A.","non-dropping-particle":"","parse-names":false,"suffix":""},{"dropping-particle":"","family":"Fortes","given":"Andrew Dominic","non-dropping-particle":"","parse-names":false,"suffix":""},{"dropping-particle":"","family":"Ritter","given":"Clemens","non-dropping-particle":"","parse-names":false,"suffix":""},{"dropping-particle":"","family":"McLaughlin","given":"Abbie C.","non-dropping-particle":"","parse-names":false,"suffix":""}],"container-title":"Chemistry of Materials","id":"ITEM-3","issue":"12","issued":{"date-parts":[["2021","6","22"]]},"page":"4651-4660","publisher":"American Chemical Society (ACS)","title":"Hydration and Ionic Conduction Mechanisms of Hexagonal Perovskite Derivatives","type":"article-journal","volume":"33"},"uris":["http://www.mendeley.com/documents/?uuid=b83f530a-e753-3db3-851f-8ff6d0702c38"]},{"id":"ITEM-4","itemData":{"DOI":"10.1038/s41467-023-37802-4","ISSN":"2041-1723","abstract":"The chemical order and disorder of solids have a decisive influence on the material properties. There are numerous materials exhibiting chemical order/disorder of atoms with similar X-ray atomic scattering factors and similar neutron scattering lengths. It is difficult to investigate such order/disorder hidden in the data obtained from conventional diffraction methods. Herein, we quantitatively determined the Mo/Nb order in the high ion conductor Ba7Nb4MoO20 by a technique combining resonant X-ray diffraction, solid-state nuclear magnetic resonance (NMR) and first-principle calculations. NMR provided direct evidence that Mo atoms occupy only the M2 site near the intrinsically oxygen-deficient ion-conducting layer. Resonant X-ray diffraction determined the occupancy factors of Mo atoms at the M2 and other sites to be 0.50 and 0.00, respectively. These findings provide a basis for the development of ion conductors. This combined technique would open a new avenue for in-depth investigation of the hidden chemical order/disorder in materials. Chemical order/disorder in materials can be difficult to determine for atoms with similar X-ray scattering factors and neutron scattering lengths. Here authors use resonant XRD and NMR to elucidate hidden Mo/Nb chemical order in disordered hexagonal perovskite Ba7Nb4MoO20, with Mo atoms found to be localized near the ion-conducting oxygen deficient layer.","author":[{"dropping-particle":"","family":"Yasui","given":"Yuta","non-dropping-particle":"","parse-names":false,"suffix":""},{"dropping-particle":"","family":"Tansho","given":"Masataka","non-dropping-particle":"","parse-names":false,"suffix":""},{"dropping-particle":"","family":"Fujii","given":"Kotaro","non-dropping-particle":"","parse-names":false,"suffix":""},{"dropping-particle":"","family":"Sakuda","given":"Yuichi","non-dropping-particle":"","parse-names":false,"suffix":""},{"dropping-particle":"","family":"Goto","given":"Atsushi","non-dropping-particle":"","parse-names":false,"suffix":""},{"dropping-particle":"","family":"Ohki","given":"Shinobu","non-dropping-particle":"","parse-names":false,"suffix":""},{"dropping-particle":"","family":"Mogami","given":"Yuuki","non-dropping-particle":"","parse-names":false,"suffix":""},{"dropping-particle":"","family":"Iijima","given":"Takahiro","non-dropping-particle":"","parse-names":false,"suffix":""},{"dropping-particle":"","family":"Kobayashi","given":"Shintaro","non-dropping-particle":"","parse-names":false,"suffix":""},{"dropping-particle":"","family":"Kawaguchi","given":"Shogo","non-dropping-particle":"","parse-names":false,"suffix":""},{"dropping-particle":"","family":"Osaka","given":"Keiichi","non-dropping-particle":"","parse-names":false,"suffix":""},{"dropping-particle":"","family":"Ikeda","given":"Kazutaka","non-dropping-particle":"","parse-names":false,"suffix":""},{"dropping-particle":"","family":"Otomo","given":"Toshiya","non-dropping-particle":"","parse-names":false,"suffix":""},{"dropping-particle":"","family":"Yashima","given":"Masatomo","non-dropping-particle":"","parse-names":false,"suffix":""}],"container-title":"Nature Communications ","id":"ITEM-4","issued":{"date-parts":[["2023","4","24"]]},"page":"2337","publisher":"Nature Publishing Group","title":"Hidden chemical order in disordered Ba&lt;sub&gt;7&lt;/sub&gt;Nb&lt;sub&gt;4&lt;/sub&gt;MoO&lt;sub&gt;20&lt;/sub&gt; revealed by resonant X-ray diffraction and solid-state NMR","type":"article-journal","volume":"14"},"uris":["http://www.mendeley.com/documents/?uuid=1f633cfd-2fde-33d7-adf7-f532123ac310"]}],"mendeley":{"formattedCitation":"&lt;sup&gt;29,52,56,57&lt;/sup&gt;","plainTextFormattedCitation":"29,52,56,57","previouslyFormattedCitation":"&lt;sup&gt;29,52,56,57&lt;/sup&gt;"},"properties":{"noteIndex":0},"schema":"https://github.com/citation-style-language/schema/raw/master/csl-citation.json"}</w:instrText>
      </w:r>
      <w:r w:rsidR="0061024F" w:rsidRPr="001E3806">
        <w:rPr>
          <w:bCs/>
          <w:lang w:val="en-US"/>
        </w:rPr>
        <w:fldChar w:fldCharType="separate"/>
      </w:r>
      <w:r w:rsidR="0061024F" w:rsidRPr="001E3806">
        <w:rPr>
          <w:bCs/>
          <w:noProof/>
          <w:vertAlign w:val="superscript"/>
          <w:lang w:val="en-US"/>
        </w:rPr>
        <w:t>29,52,56,57</w:t>
      </w:r>
      <w:r w:rsidR="0061024F" w:rsidRPr="001E3806">
        <w:rPr>
          <w:bCs/>
          <w:lang w:val="en-US"/>
        </w:rPr>
        <w:fldChar w:fldCharType="end"/>
      </w:r>
      <w:r w:rsidR="0061024F" w:rsidRPr="001E3806">
        <w:rPr>
          <w:bCs/>
          <w:lang w:val="en-US"/>
        </w:rPr>
        <w:t xml:space="preserve"> Thermogravimetric (TG) data indicated hydration of </w:t>
      </w:r>
      <w:r w:rsidR="00DF63AB" w:rsidRPr="001E3806">
        <w:rPr>
          <w:bCs/>
          <w:lang w:val="en-US"/>
        </w:rPr>
        <w:t xml:space="preserve">a </w:t>
      </w:r>
      <w:r w:rsidR="0061024F" w:rsidRPr="001E3806">
        <w:rPr>
          <w:bCs/>
          <w:lang w:val="en-US"/>
        </w:rPr>
        <w:t>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 xml:space="preserve"> </w:t>
      </w:r>
      <w:r w:rsidR="00DF63AB" w:rsidRPr="001E3806">
        <w:rPr>
          <w:bCs/>
          <w:lang w:val="en-US"/>
        </w:rPr>
        <w:t>pellet</w:t>
      </w:r>
      <w:r w:rsidR="0061024F" w:rsidRPr="001E3806">
        <w:rPr>
          <w:bCs/>
          <w:lang w:val="en-US"/>
        </w:rPr>
        <w:t xml:space="preserve"> in wet air on cooling (water vapor partial pressure </w:t>
      </w:r>
      <w:r w:rsidR="0061024F" w:rsidRPr="001E3806">
        <w:rPr>
          <w:bCs/>
          <w:i/>
          <w:lang w:val="en-US"/>
        </w:rPr>
        <w:t>p</w:t>
      </w:r>
      <w:r w:rsidR="0061024F" w:rsidRPr="001E3806">
        <w:rPr>
          <w:bCs/>
          <w:lang w:val="en-US"/>
        </w:rPr>
        <w:t>H</w:t>
      </w:r>
      <w:r w:rsidR="0061024F" w:rsidRPr="001E3806">
        <w:rPr>
          <w:bCs/>
          <w:vertAlign w:val="subscript"/>
          <w:lang w:val="en-US"/>
        </w:rPr>
        <w:t>2</w:t>
      </w:r>
      <w:r w:rsidR="0061024F" w:rsidRPr="001E3806">
        <w:rPr>
          <w:bCs/>
          <w:lang w:val="en-US"/>
        </w:rPr>
        <w:t xml:space="preserve">O = 0.021 atm), </w:t>
      </w:r>
      <w:r w:rsidRPr="001E3806">
        <w:rPr>
          <w:bCs/>
          <w:lang w:val="en-US"/>
        </w:rPr>
        <w:t xml:space="preserve"> </w:t>
      </w:r>
      <w:r w:rsidR="0061024F" w:rsidRPr="001E3806">
        <w:rPr>
          <w:bCs/>
          <w:lang w:val="en-US"/>
        </w:rPr>
        <w:t xml:space="preserve">showing the increase of the numbers of oxide ions and protons during cooling (Fig. 1b,c). The SEM observation showed the average grain size to be 1.8 </w:t>
      </w:r>
      <w:r w:rsidR="0061024F" w:rsidRPr="001E3806">
        <w:rPr>
          <w:rFonts w:hint="eastAsia"/>
          <w:bCs/>
          <w:lang w:val="en-US"/>
        </w:rPr>
        <w:t>µ</w:t>
      </w:r>
      <w:r w:rsidR="0061024F" w:rsidRPr="001E3806">
        <w:rPr>
          <w:bCs/>
          <w:lang w:val="en-US"/>
        </w:rPr>
        <w:t>m (Fig. S2).</w:t>
      </w:r>
    </w:p>
    <w:p w14:paraId="6F01FB73" w14:textId="3A5921C8" w:rsidR="0061024F" w:rsidRPr="001E3806" w:rsidRDefault="0061024F" w:rsidP="0061024F">
      <w:pPr>
        <w:pStyle w:val="RSCB02ArticleText"/>
        <w:rPr>
          <w:bCs/>
          <w:lang w:val="en-US"/>
        </w:rPr>
      </w:pPr>
      <w:r w:rsidRPr="001E3806">
        <w:rPr>
          <w:bCs/>
          <w:lang w:val="en-US"/>
        </w:rPr>
        <w:t>To investigate the total alternating current (AC) electrical conductivity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its AC impedance spectra were measured at high temperatures in wet air (</w:t>
      </w:r>
      <w:r w:rsidRPr="001E3806">
        <w:rPr>
          <w:bCs/>
          <w:i/>
          <w:lang w:val="en-US"/>
        </w:rPr>
        <w:t>p</w:t>
      </w:r>
      <w:r w:rsidRPr="001E3806">
        <w:rPr>
          <w:bCs/>
          <w:lang w:val="en-US"/>
        </w:rPr>
        <w:t>H</w:t>
      </w:r>
      <w:r w:rsidRPr="001E3806">
        <w:rPr>
          <w:bCs/>
          <w:vertAlign w:val="subscript"/>
          <w:lang w:val="en-US"/>
        </w:rPr>
        <w:t>2</w:t>
      </w:r>
      <w:r w:rsidRPr="001E3806">
        <w:rPr>
          <w:bCs/>
          <w:lang w:val="en-US"/>
        </w:rPr>
        <w:t>O = 0.021 atm) and in dry air (</w:t>
      </w:r>
      <w:r w:rsidRPr="001E3806">
        <w:rPr>
          <w:bCs/>
          <w:i/>
          <w:lang w:val="en-US"/>
        </w:rPr>
        <w:t>p</w:t>
      </w:r>
      <w:r w:rsidRPr="001E3806">
        <w:rPr>
          <w:bCs/>
          <w:lang w:val="en-US"/>
        </w:rPr>
        <w:t>H</w:t>
      </w:r>
      <w:r w:rsidRPr="001E3806">
        <w:rPr>
          <w:bCs/>
          <w:vertAlign w:val="subscript"/>
          <w:lang w:val="en-US"/>
        </w:rPr>
        <w:t>2</w:t>
      </w:r>
      <w:r w:rsidRPr="001E3806">
        <w:rPr>
          <w:bCs/>
          <w:lang w:val="en-US"/>
        </w:rPr>
        <w:t>O &lt; 1.5 × 10</w:t>
      </w:r>
      <w:r w:rsidRPr="001E3806">
        <w:rPr>
          <w:bCs/>
          <w:vertAlign w:val="superscript"/>
          <w:lang w:val="en-US"/>
        </w:rPr>
        <w:t>–4</w:t>
      </w:r>
      <w:r w:rsidRPr="001E3806">
        <w:rPr>
          <w:bCs/>
          <w:lang w:val="en-US"/>
        </w:rPr>
        <w:t xml:space="preserve"> atm) (Figs. 2 and S3). Equivalent </w:t>
      </w:r>
      <w:r w:rsidRPr="001E3806">
        <w:rPr>
          <w:bCs/>
          <w:lang w:val="en-US"/>
        </w:rPr>
        <w:t>circuit analyses were performed to extract the total AC conductivity (Fig. S4). Fig. 2c shows the Arrhenius plots of total AC conductivities for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in wet air </w:t>
      </w:r>
      <w:r w:rsidRPr="001E3806">
        <w:rPr>
          <w:bCs/>
          <w:i/>
          <w:iCs/>
          <w:lang w:val="en-US"/>
        </w:rPr>
        <w:sym w:font="Symbol" w:char="F073"/>
      </w:r>
      <w:r w:rsidRPr="001E3806">
        <w:rPr>
          <w:bCs/>
          <w:vertAlign w:val="subscript"/>
          <w:lang w:val="en-US"/>
        </w:rPr>
        <w:t>wet</w:t>
      </w:r>
      <w:r w:rsidRPr="001E3806">
        <w:rPr>
          <w:bCs/>
          <w:lang w:val="en-US"/>
        </w:rPr>
        <w:t xml:space="preserve"> and in dry air </w:t>
      </w:r>
      <w:r w:rsidRPr="001E3806">
        <w:rPr>
          <w:bCs/>
          <w:i/>
          <w:iCs/>
          <w:lang w:val="en-US"/>
        </w:rPr>
        <w:sym w:font="Symbol" w:char="F073"/>
      </w:r>
      <w:r w:rsidRPr="001E3806">
        <w:rPr>
          <w:bCs/>
          <w:vertAlign w:val="subscript"/>
          <w:lang w:val="en-US"/>
        </w:rPr>
        <w:t>dry</w:t>
      </w:r>
      <w:r w:rsidRPr="001E3806">
        <w:rPr>
          <w:bCs/>
          <w:lang w:val="en-US"/>
        </w:rPr>
        <w:t xml:space="preserve">. The obtained </w:t>
      </w:r>
      <w:r w:rsidRPr="001E3806">
        <w:rPr>
          <w:bCs/>
          <w:i/>
          <w:iCs/>
          <w:lang w:val="en-US"/>
        </w:rPr>
        <w:sym w:font="Symbol" w:char="F073"/>
      </w:r>
      <w:r w:rsidRPr="001E3806">
        <w:rPr>
          <w:bCs/>
          <w:vertAlign w:val="subscript"/>
          <w:lang w:val="en-US"/>
        </w:rPr>
        <w:t>wet</w:t>
      </w:r>
      <w:r w:rsidRPr="001E3806">
        <w:rPr>
          <w:bCs/>
          <w:lang w:val="en-US"/>
        </w:rPr>
        <w:t xml:space="preserve"> and </w:t>
      </w:r>
      <w:r w:rsidRPr="001E3806">
        <w:rPr>
          <w:bCs/>
          <w:i/>
          <w:iCs/>
          <w:lang w:val="en-US"/>
        </w:rPr>
        <w:sym w:font="Symbol" w:char="F073"/>
      </w:r>
      <w:r w:rsidRPr="001E3806">
        <w:rPr>
          <w:bCs/>
          <w:vertAlign w:val="subscript"/>
          <w:lang w:val="en-US"/>
        </w:rPr>
        <w:t>dry</w:t>
      </w:r>
      <w:r w:rsidRPr="001E3806">
        <w:rPr>
          <w:bCs/>
          <w:lang w:val="en-US"/>
        </w:rPr>
        <w:t xml:space="preserve"> values (solid lines in Fig. 2c) were close to those reported in the literature (dashed lines in Fig. 2c).</w:t>
      </w:r>
      <w:r w:rsidRPr="001E3806">
        <w:rPr>
          <w:bCs/>
          <w:lang w:val="en-US"/>
        </w:rPr>
        <w:fldChar w:fldCharType="begin" w:fldLock="1"/>
      </w:r>
      <w:r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mendeley":{"formattedCitation":"&lt;sup&gt;29&lt;/sup&gt;","plainTextFormattedCitation":"29","previouslyFormattedCitation":"&lt;sup&gt;29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29</w:t>
      </w:r>
      <w:r w:rsidRPr="001E3806">
        <w:rPr>
          <w:bCs/>
          <w:lang w:val="en-US"/>
        </w:rPr>
        <w:fldChar w:fldCharType="end"/>
      </w:r>
      <w:r w:rsidRPr="001E3806">
        <w:rPr>
          <w:bCs/>
          <w:lang w:val="en-US"/>
        </w:rPr>
        <w:t xml:space="preserve"> The </w:t>
      </w:r>
      <w:r w:rsidRPr="001E3806">
        <w:rPr>
          <w:bCs/>
          <w:i/>
          <w:iCs/>
          <w:lang w:val="en-US"/>
        </w:rPr>
        <w:sym w:font="Symbol" w:char="F073"/>
      </w:r>
      <w:r w:rsidRPr="001E3806">
        <w:rPr>
          <w:bCs/>
          <w:vertAlign w:val="subscript"/>
          <w:lang w:val="en-US"/>
        </w:rPr>
        <w:t>wet</w:t>
      </w:r>
      <w:r w:rsidRPr="001E3806">
        <w:rPr>
          <w:bCs/>
          <w:lang w:val="en-US"/>
        </w:rPr>
        <w:t xml:space="preserve"> was higher than </w:t>
      </w:r>
      <w:r w:rsidRPr="001E3806">
        <w:rPr>
          <w:bCs/>
          <w:i/>
          <w:iCs/>
          <w:lang w:val="en-US"/>
        </w:rPr>
        <w:sym w:font="Symbol" w:char="F073"/>
      </w:r>
      <w:r w:rsidRPr="001E3806">
        <w:rPr>
          <w:bCs/>
          <w:vertAlign w:val="subscript"/>
          <w:lang w:val="en-US"/>
        </w:rPr>
        <w:t>dry</w:t>
      </w:r>
      <w:r w:rsidRPr="001E3806">
        <w:rPr>
          <w:bCs/>
          <w:lang w:val="en-US"/>
        </w:rPr>
        <w:t xml:space="preserve"> at each temperature. The apparent oxygen transport number was calculated by the following simple equation (7):</w:t>
      </w:r>
    </w:p>
    <w:p w14:paraId="3A185553" w14:textId="60A042ED" w:rsidR="0061024F" w:rsidRPr="001E3806" w:rsidRDefault="0061024F" w:rsidP="00CE5F87">
      <w:pPr>
        <w:pStyle w:val="RSCB02ArticleText"/>
        <w:spacing w:line="240" w:lineRule="auto"/>
        <w:rPr>
          <w:bCs/>
          <w:lang w:val="en-US"/>
        </w:rPr>
      </w:pPr>
      <w:proofErr w:type="spellStart"/>
      <w:r w:rsidRPr="001E3806">
        <w:rPr>
          <w:bCs/>
          <w:i/>
          <w:iCs/>
          <w:lang w:val="en-US"/>
        </w:rPr>
        <w:t>t</w:t>
      </w:r>
      <w:r w:rsidRPr="001E3806">
        <w:rPr>
          <w:bCs/>
          <w:vertAlign w:val="subscript"/>
          <w:lang w:val="en-US"/>
        </w:rPr>
        <w:t>O</w:t>
      </w:r>
      <w:proofErr w:type="spellEnd"/>
      <w:r w:rsidRPr="001E3806">
        <w:rPr>
          <w:bCs/>
          <w:vertAlign w:val="subscript"/>
          <w:lang w:val="en-US"/>
        </w:rPr>
        <w:t>/app</w:t>
      </w:r>
      <w:r w:rsidRPr="001E3806">
        <w:rPr>
          <w:bCs/>
          <w:lang w:val="en-US"/>
        </w:rPr>
        <w:t xml:space="preserve"> = </w:t>
      </w:r>
      <m:oMath>
        <m:f>
          <m:fPr>
            <m:ctrlPr>
              <w:rPr>
                <w:rFonts w:ascii="Cambria Math" w:hAnsi="Cambria Math"/>
                <w:bCs/>
                <w:i/>
                <w:lang w:val="en-US"/>
              </w:rPr>
            </m:ctrlPr>
          </m:fPr>
          <m:num>
            <m:sSub>
              <m:sSubPr>
                <m:ctrlPr>
                  <w:rPr>
                    <w:rFonts w:ascii="Cambria Math" w:hAnsi="Cambria Math"/>
                    <w:bCs/>
                    <w:vertAlign w:val="subscript"/>
                    <w:lang w:val="en-US"/>
                  </w:rPr>
                </m:ctrlPr>
              </m:sSubPr>
              <m:e>
                <m:r>
                  <w:rPr>
                    <w:rFonts w:ascii="Cambria Math" w:hAnsi="Cambria Math"/>
                    <w:lang w:val="en-US"/>
                  </w:rPr>
                  <m:t>σ</m:t>
                </m:r>
              </m:e>
              <m:sub>
                <m:r>
                  <m:rPr>
                    <m:sty m:val="p"/>
                  </m:rPr>
                  <w:rPr>
                    <w:rFonts w:ascii="Cambria Math" w:hAnsi="Cambria Math"/>
                    <w:vertAlign w:val="subscript"/>
                    <w:lang w:val="en-US"/>
                  </w:rPr>
                  <m:t>dry</m:t>
                </m:r>
              </m:sub>
            </m:sSub>
          </m:num>
          <m:den>
            <m:sSub>
              <m:sSubPr>
                <m:ctrlPr>
                  <w:rPr>
                    <w:rFonts w:ascii="Cambria Math" w:hAnsi="Cambria Math"/>
                    <w:bCs/>
                    <w:vertAlign w:val="subscript"/>
                    <w:lang w:val="en-US"/>
                  </w:rPr>
                </m:ctrlPr>
              </m:sSubPr>
              <m:e>
                <m:r>
                  <w:rPr>
                    <w:rFonts w:ascii="Cambria Math" w:hAnsi="Cambria Math"/>
                    <w:lang w:val="en-US"/>
                  </w:rPr>
                  <m:t>σ</m:t>
                </m:r>
              </m:e>
              <m:sub>
                <m:r>
                  <m:rPr>
                    <m:sty m:val="p"/>
                  </m:rPr>
                  <w:rPr>
                    <w:rFonts w:ascii="Cambria Math" w:hAnsi="Cambria Math"/>
                    <w:vertAlign w:val="subscript"/>
                    <w:lang w:val="en-US"/>
                  </w:rPr>
                  <m:t>wet</m:t>
                </m:r>
              </m:sub>
            </m:sSub>
          </m:den>
        </m:f>
      </m:oMath>
      <w:r w:rsidRPr="001E3806">
        <w:rPr>
          <w:bCs/>
          <w:lang w:val="en-US"/>
        </w:rPr>
        <w:t xml:space="preserve">  </w:t>
      </w:r>
      <w:proofErr w:type="gramStart"/>
      <w:r w:rsidRPr="001E3806">
        <w:rPr>
          <w:bCs/>
          <w:lang w:val="en-US"/>
        </w:rPr>
        <w:t xml:space="preserve">   (</w:t>
      </w:r>
      <w:proofErr w:type="gramEnd"/>
      <w:r w:rsidRPr="001E3806">
        <w:rPr>
          <w:bCs/>
          <w:lang w:val="en-US"/>
        </w:rPr>
        <w:t>7).</w:t>
      </w:r>
    </w:p>
    <w:p w14:paraId="528E3661" w14:textId="6BB6EBDB" w:rsidR="0061024F" w:rsidRPr="001E3806" w:rsidRDefault="0061024F" w:rsidP="00B47AA6">
      <w:pPr>
        <w:pStyle w:val="RSCB02ArticleText"/>
        <w:rPr>
          <w:bCs/>
          <w:lang w:val="en-US"/>
        </w:rPr>
      </w:pPr>
      <w:r w:rsidRPr="001E3806">
        <w:rPr>
          <w:bCs/>
          <w:lang w:val="en-US"/>
        </w:rPr>
        <w:t xml:space="preserve">The apparent oxygen transport number </w:t>
      </w:r>
      <w:r w:rsidRPr="001E3806">
        <w:rPr>
          <w:bCs/>
          <w:i/>
          <w:iCs/>
          <w:lang w:val="en-US"/>
        </w:rPr>
        <w:t>t</w:t>
      </w:r>
      <w:r w:rsidRPr="001E3806">
        <w:rPr>
          <w:bCs/>
          <w:vertAlign w:val="subscript"/>
          <w:lang w:val="en-US"/>
        </w:rPr>
        <w:t>O/app</w:t>
      </w:r>
      <w:r w:rsidRPr="001E3806">
        <w:rPr>
          <w:bCs/>
          <w:lang w:val="en-US"/>
        </w:rPr>
        <w:t xml:space="preserve"> (= 0.27–0.39) was low (Fig. 3a). The apparent proton transport number </w:t>
      </w:r>
      <w:r w:rsidRPr="001E3806">
        <w:rPr>
          <w:bCs/>
          <w:i/>
          <w:iCs/>
          <w:lang w:val="en-US"/>
        </w:rPr>
        <w:t>t</w:t>
      </w:r>
      <w:r w:rsidRPr="001E3806">
        <w:rPr>
          <w:bCs/>
          <w:vertAlign w:val="subscript"/>
          <w:lang w:val="en-US"/>
        </w:rPr>
        <w:t>H/app</w:t>
      </w:r>
      <w:r w:rsidRPr="001E3806">
        <w:rPr>
          <w:bCs/>
          <w:lang w:val="en-US"/>
        </w:rPr>
        <w:t xml:space="preserve"> was estimated using the following equation (8). </w:t>
      </w:r>
    </w:p>
    <w:p w14:paraId="34C9104A" w14:textId="436C0340" w:rsidR="0061024F" w:rsidRPr="001E3806" w:rsidRDefault="0061024F" w:rsidP="00CE5F87">
      <w:pPr>
        <w:pStyle w:val="RSCB02ArticleText"/>
        <w:spacing w:line="240" w:lineRule="auto"/>
        <w:rPr>
          <w:bCs/>
          <w:lang w:val="en-US"/>
        </w:rPr>
      </w:pP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/app</w:t>
      </w:r>
      <w:r w:rsidRPr="001E3806">
        <w:rPr>
          <w:bCs/>
          <w:lang w:val="en-US"/>
        </w:rPr>
        <w:t xml:space="preserve"> = </w:t>
      </w:r>
      <m:oMath>
        <m:f>
          <m:fPr>
            <m:ctrlPr>
              <w:rPr>
                <w:rFonts w:ascii="Cambria Math" w:hAnsi="Cambria Math"/>
                <w:bCs/>
                <w:i/>
                <w:lang w:val="en-US"/>
              </w:rPr>
            </m:ctrlPr>
          </m:fPr>
          <m:num>
            <m:sSub>
              <m:sSubPr>
                <m:ctrlPr>
                  <w:rPr>
                    <w:rFonts w:ascii="Cambria Math" w:hAnsi="Cambria Math"/>
                    <w:bCs/>
                    <w:vertAlign w:val="subscript"/>
                    <w:lang w:val="en-US"/>
                  </w:rPr>
                </m:ctrlPr>
              </m:sSubPr>
              <m:e>
                <m:r>
                  <w:rPr>
                    <w:rFonts w:ascii="Cambria Math" w:hAnsi="Cambria Math"/>
                    <w:lang w:val="en-US"/>
                  </w:rPr>
                  <m:t>σ</m:t>
                </m:r>
              </m:e>
              <m:sub>
                <m:r>
                  <m:rPr>
                    <m:sty m:val="p"/>
                  </m:rPr>
                  <w:rPr>
                    <w:rFonts w:ascii="Cambria Math" w:hAnsi="Cambria Math"/>
                    <w:vertAlign w:val="subscript"/>
                    <w:lang w:val="en-US"/>
                  </w:rPr>
                  <m:t>wet</m:t>
                </m:r>
              </m:sub>
            </m:sSub>
            <m:r>
              <m:rPr>
                <m:sty m:val="p"/>
              </m:rPr>
              <w:rPr>
                <w:rFonts w:ascii="Cambria Math" w:hAnsi="Cambria Math"/>
                <w:lang w:val="en-US"/>
              </w:rPr>
              <m:t>-</m:t>
            </m:r>
            <m:sSub>
              <m:sSubPr>
                <m:ctrlPr>
                  <w:rPr>
                    <w:rFonts w:ascii="Cambria Math" w:hAnsi="Cambria Math"/>
                    <w:bCs/>
                    <w:vertAlign w:val="subscript"/>
                    <w:lang w:val="en-US"/>
                  </w:rPr>
                </m:ctrlPr>
              </m:sSubPr>
              <m:e>
                <m:r>
                  <w:rPr>
                    <w:rFonts w:ascii="Cambria Math" w:hAnsi="Cambria Math"/>
                    <w:lang w:val="en-US"/>
                  </w:rPr>
                  <m:t>σ</m:t>
                </m:r>
              </m:e>
              <m:sub>
                <m:r>
                  <m:rPr>
                    <m:sty m:val="p"/>
                  </m:rPr>
                  <w:rPr>
                    <w:rFonts w:ascii="Cambria Math" w:hAnsi="Cambria Math"/>
                    <w:vertAlign w:val="subscript"/>
                    <w:lang w:val="en-US"/>
                  </w:rPr>
                  <m:t>dry</m:t>
                </m:r>
              </m:sub>
            </m:sSub>
          </m:num>
          <m:den>
            <m:sSub>
              <m:sSubPr>
                <m:ctrlPr>
                  <w:rPr>
                    <w:rFonts w:ascii="Cambria Math" w:hAnsi="Cambria Math"/>
                    <w:bCs/>
                    <w:vertAlign w:val="subscript"/>
                    <w:lang w:val="en-US"/>
                  </w:rPr>
                </m:ctrlPr>
              </m:sSubPr>
              <m:e>
                <m:r>
                  <w:rPr>
                    <w:rFonts w:ascii="Cambria Math" w:hAnsi="Cambria Math"/>
                    <w:lang w:val="en-US"/>
                  </w:rPr>
                  <m:t>σ</m:t>
                </m:r>
              </m:e>
              <m:sub>
                <m:r>
                  <m:rPr>
                    <m:sty m:val="p"/>
                  </m:rPr>
                  <w:rPr>
                    <w:rFonts w:ascii="Cambria Math" w:hAnsi="Cambria Math"/>
                    <w:vertAlign w:val="subscript"/>
                    <w:lang w:val="en-US"/>
                  </w:rPr>
                  <m:t>wet</m:t>
                </m:r>
              </m:sub>
            </m:sSub>
          </m:den>
        </m:f>
      </m:oMath>
      <w:r w:rsidRPr="001E3806">
        <w:rPr>
          <w:bCs/>
          <w:lang w:val="en-US"/>
        </w:rPr>
        <w:t xml:space="preserve">  </w:t>
      </w:r>
      <w:proofErr w:type="gramStart"/>
      <w:r w:rsidRPr="001E3806">
        <w:rPr>
          <w:bCs/>
          <w:lang w:val="en-US"/>
        </w:rPr>
        <w:t xml:space="preserve">   (</w:t>
      </w:r>
      <w:proofErr w:type="gramEnd"/>
      <w:r w:rsidRPr="001E3806">
        <w:rPr>
          <w:bCs/>
          <w:lang w:val="en-US"/>
        </w:rPr>
        <w:t>8)</w:t>
      </w:r>
    </w:p>
    <w:p w14:paraId="2082B3B0" w14:textId="5DC5F334" w:rsidR="0061024F" w:rsidRPr="001E3806" w:rsidRDefault="0061024F" w:rsidP="009234A6">
      <w:pPr>
        <w:pStyle w:val="RSCB02ArticleText"/>
        <w:rPr>
          <w:bCs/>
          <w:lang w:val="en-US"/>
        </w:rPr>
      </w:pPr>
      <w:r w:rsidRPr="001E3806">
        <w:rPr>
          <w:bCs/>
          <w:lang w:val="en-US"/>
        </w:rPr>
        <w:t>The</w:t>
      </w:r>
      <w:r w:rsidRPr="001E3806">
        <w:rPr>
          <w:bCs/>
          <w:i/>
          <w:iCs/>
          <w:lang w:val="en-US"/>
        </w:rPr>
        <w:t xml:space="preserve"> </w:t>
      </w: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/app</w:t>
      </w:r>
      <w:r w:rsidRPr="001E3806">
        <w:rPr>
          <w:bCs/>
          <w:lang w:val="en-US"/>
        </w:rPr>
        <w:t xml:space="preserve"> values (= 0.73–0.61) were large (Fig. 3b), which was consistent with the literature.</w:t>
      </w:r>
      <w:r w:rsidRPr="001E3806">
        <w:rPr>
          <w:bCs/>
          <w:lang w:val="en-US"/>
        </w:rPr>
        <w:fldChar w:fldCharType="begin" w:fldLock="1"/>
      </w:r>
      <w:r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mendeley":{"formattedCitation":"&lt;sup&gt;29&lt;/sup&gt;","plainTextFormattedCitation":"29","previouslyFormattedCitation":"&lt;sup&gt;29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29</w:t>
      </w:r>
      <w:r w:rsidRPr="001E3806">
        <w:rPr>
          <w:bCs/>
          <w:lang w:val="en-US"/>
        </w:rPr>
        <w:fldChar w:fldCharType="end"/>
      </w:r>
      <w:r w:rsidRPr="001E3806">
        <w:rPr>
          <w:bCs/>
          <w:lang w:val="en-US"/>
        </w:rPr>
        <w:t xml:space="preserve"> At first glance, it appears that </w:t>
      </w:r>
      <w:r w:rsidR="009234A6" w:rsidRPr="001E3806">
        <w:rPr>
          <w:rFonts w:cstheme="minorHAnsi"/>
          <w:noProof/>
          <w:sz w:val="22"/>
          <w:lang w:val="ja-JP"/>
        </w:rPr>
        <mc:AlternateContent>
          <mc:Choice Requires="wps">
            <w:drawing>
              <wp:anchor distT="45720" distB="45720" distL="114300" distR="114300" simplePos="0" relativeHeight="251708416" behindDoc="0" locked="0" layoutInCell="1" allowOverlap="1" wp14:anchorId="69EAB612" wp14:editId="6C57B35E">
                <wp:simplePos x="0" y="0"/>
                <wp:positionH relativeFrom="margin">
                  <wp:posOffset>3312160</wp:posOffset>
                </wp:positionH>
                <wp:positionV relativeFrom="paragraph">
                  <wp:posOffset>3810635</wp:posOffset>
                </wp:positionV>
                <wp:extent cx="3145790" cy="4758055"/>
                <wp:effectExtent l="0" t="0" r="0" b="4445"/>
                <wp:wrapSquare wrapText="bothSides"/>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4758055"/>
                        </a:xfrm>
                        <a:prstGeom prst="rect">
                          <a:avLst/>
                        </a:prstGeom>
                        <a:solidFill>
                          <a:srgbClr val="FFFFFF"/>
                        </a:solidFill>
                        <a:ln w="9525">
                          <a:noFill/>
                          <a:miter lim="800000"/>
                          <a:headEnd/>
                          <a:tailEnd/>
                        </a:ln>
                      </wps:spPr>
                      <wps:txbx>
                        <w:txbxContent>
                          <w:p w14:paraId="654273FB" w14:textId="77777777" w:rsidR="00982388" w:rsidRPr="001E3806" w:rsidRDefault="00982388" w:rsidP="009234A6">
                            <w:pPr>
                              <w:jc w:val="center"/>
                              <w:rPr>
                                <w:rFonts w:ascii="Times New Roman"/>
                                <w:szCs w:val="10"/>
                                <w:lang w:eastAsia="ja-JP"/>
                              </w:rPr>
                            </w:pPr>
                            <w:r w:rsidDel="00B30AD1">
                              <w:rPr>
                                <w:noProof/>
                                <w:lang w:eastAsia="ja-JP"/>
                              </w:rPr>
                              <w:t xml:space="preserve"> </w:t>
                            </w:r>
                            <w:r w:rsidRPr="001E3806">
                              <w:rPr>
                                <w:noProof/>
                              </w:rPr>
                              <w:drawing>
                                <wp:inline distT="0" distB="0" distL="0" distR="0" wp14:anchorId="5A36BA49" wp14:editId="00956D85">
                                  <wp:extent cx="2821060" cy="2969537"/>
                                  <wp:effectExtent l="0" t="0" r="0" b="2540"/>
                                  <wp:docPr id="176007023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82132" name=""/>
                                          <pic:cNvPicPr/>
                                        </pic:nvPicPr>
                                        <pic:blipFill>
                                          <a:blip r:embed="rId18"/>
                                          <a:stretch>
                                            <a:fillRect/>
                                          </a:stretch>
                                        </pic:blipFill>
                                        <pic:spPr>
                                          <a:xfrm>
                                            <a:off x="0" y="0"/>
                                            <a:ext cx="2844363" cy="2994067"/>
                                          </a:xfrm>
                                          <a:prstGeom prst="rect">
                                            <a:avLst/>
                                          </a:prstGeom>
                                        </pic:spPr>
                                      </pic:pic>
                                    </a:graphicData>
                                  </a:graphic>
                                </wp:inline>
                              </w:drawing>
                            </w:r>
                          </w:p>
                          <w:p w14:paraId="416852A1" w14:textId="77777777" w:rsidR="00982388" w:rsidRPr="001921ED" w:rsidRDefault="00982388" w:rsidP="009234A6">
                            <w:pPr>
                              <w:spacing w:line="240" w:lineRule="exact"/>
                              <w:jc w:val="both"/>
                              <w:rPr>
                                <w:rFonts w:cs="Arial"/>
                                <w:lang w:eastAsia="ja-JP"/>
                              </w:rPr>
                            </w:pPr>
                            <w:r w:rsidRPr="001E3806">
                              <w:rPr>
                                <w:rFonts w:cs="Arial"/>
                                <w:b/>
                                <w:color w:val="000000" w:themeColor="text1"/>
                                <w:sz w:val="18"/>
                                <w:szCs w:val="18"/>
                                <w:lang w:eastAsia="ja-JP"/>
                              </w:rPr>
                              <w:t xml:space="preserve">Fig. </w:t>
                            </w:r>
                            <w:r w:rsidRPr="001E3806">
                              <w:rPr>
                                <w:rFonts w:cs="Arial" w:hint="eastAsia"/>
                                <w:b/>
                                <w:color w:val="000000" w:themeColor="text1"/>
                                <w:sz w:val="18"/>
                                <w:szCs w:val="18"/>
                                <w:lang w:eastAsia="ja-JP"/>
                              </w:rPr>
                              <w:t>2</w:t>
                            </w:r>
                            <w:r w:rsidRPr="001E3806">
                              <w:rPr>
                                <w:rFonts w:cs="Arial"/>
                                <w:color w:val="000000" w:themeColor="text1"/>
                                <w:sz w:val="18"/>
                                <w:szCs w:val="18"/>
                                <w:lang w:eastAsia="ja-JP"/>
                              </w:rPr>
                              <w:t xml:space="preserve"> Complex impedance plane plots of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(a) at 512 °C in dry air and (b) at 501 °C in wet air (</w:t>
                            </w:r>
                            <w:r w:rsidRPr="001E3806">
                              <w:rPr>
                                <w:rFonts w:cs="Arial"/>
                                <w:i/>
                                <w:color w:val="000000" w:themeColor="text1"/>
                                <w:sz w:val="18"/>
                                <w:szCs w:val="18"/>
                                <w:lang w:eastAsia="ja-JP"/>
                              </w:rPr>
                              <w:t>p</w:t>
                            </w:r>
                            <w:r w:rsidRPr="001E3806">
                              <w:rPr>
                                <w:rFonts w:cs="Arial"/>
                                <w:color w:val="000000" w:themeColor="text1"/>
                                <w:sz w:val="18"/>
                                <w:szCs w:val="18"/>
                                <w:lang w:eastAsia="ja-JP"/>
                              </w:rPr>
                              <w:t>H</w:t>
                            </w:r>
                            <w:r w:rsidRPr="001E3806">
                              <w:rPr>
                                <w:rFonts w:cs="Arial"/>
                                <w:color w:val="000000" w:themeColor="text1"/>
                                <w:sz w:val="18"/>
                                <w:szCs w:val="18"/>
                                <w:vertAlign w:val="subscript"/>
                                <w:lang w:eastAsia="ja-JP"/>
                              </w:rPr>
                              <w:t>2</w:t>
                            </w:r>
                            <w:r w:rsidRPr="001E3806">
                              <w:rPr>
                                <w:rFonts w:cs="Arial"/>
                                <w:color w:val="000000" w:themeColor="text1"/>
                                <w:sz w:val="18"/>
                                <w:szCs w:val="18"/>
                                <w:lang w:eastAsia="ja-JP"/>
                              </w:rPr>
                              <w:t xml:space="preserve">O = 0.021 atm). A black rhombus represents the measured data and a red line denotes the curve obtained by equivalent circuit analysis. (c) Arrhenius plots of the total AC electrical conductivity </w:t>
                            </w:r>
                            <w:r w:rsidRPr="001E3806">
                              <w:rPr>
                                <w:rFonts w:cs="Arial"/>
                                <w:i/>
                                <w:iCs/>
                                <w:color w:val="000000" w:themeColor="text1"/>
                                <w:sz w:val="18"/>
                                <w:szCs w:val="18"/>
                                <w:lang w:eastAsia="ja-JP"/>
                              </w:rPr>
                              <w:sym w:font="Symbol" w:char="F073"/>
                            </w:r>
                            <w:r w:rsidRPr="001E3806">
                              <w:rPr>
                                <w:rFonts w:cs="Arial"/>
                                <w:color w:val="000000" w:themeColor="text1"/>
                                <w:sz w:val="18"/>
                                <w:szCs w:val="18"/>
                                <w:vertAlign w:val="subscript"/>
                                <w:lang w:eastAsia="ja-JP"/>
                              </w:rPr>
                              <w:t>total</w:t>
                            </w:r>
                            <w:r w:rsidRPr="001E3806">
                              <w:rPr>
                                <w:rFonts w:cs="Arial"/>
                                <w:color w:val="000000" w:themeColor="text1"/>
                                <w:sz w:val="18"/>
                                <w:szCs w:val="18"/>
                                <w:lang w:eastAsia="ja-JP"/>
                              </w:rPr>
                              <w:t xml:space="preserve"> of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in wet air (</w:t>
                            </w:r>
                            <w:r w:rsidRPr="001E3806">
                              <w:rPr>
                                <w:rFonts w:cs="Arial"/>
                                <w:i/>
                                <w:color w:val="000000" w:themeColor="text1"/>
                                <w:sz w:val="18"/>
                                <w:szCs w:val="18"/>
                                <w:lang w:eastAsia="ja-JP"/>
                              </w:rPr>
                              <w:t>p</w:t>
                            </w:r>
                            <w:r w:rsidRPr="001E3806">
                              <w:rPr>
                                <w:rFonts w:cs="Arial"/>
                                <w:color w:val="000000" w:themeColor="text1"/>
                                <w:sz w:val="18"/>
                                <w:szCs w:val="18"/>
                                <w:lang w:eastAsia="ja-JP"/>
                              </w:rPr>
                              <w:t>H</w:t>
                            </w:r>
                            <w:r w:rsidRPr="001E3806">
                              <w:rPr>
                                <w:rFonts w:cs="Arial"/>
                                <w:color w:val="000000" w:themeColor="text1"/>
                                <w:sz w:val="18"/>
                                <w:szCs w:val="18"/>
                                <w:vertAlign w:val="subscript"/>
                                <w:lang w:eastAsia="ja-JP"/>
                              </w:rPr>
                              <w:t>2</w:t>
                            </w:r>
                            <w:r w:rsidRPr="001E3806">
                              <w:rPr>
                                <w:rFonts w:cs="Arial"/>
                                <w:color w:val="000000" w:themeColor="text1"/>
                                <w:sz w:val="18"/>
                                <w:szCs w:val="18"/>
                                <w:lang w:eastAsia="ja-JP"/>
                              </w:rPr>
                              <w:t>O = 0.021 atm; blue closed circles and line) and dry air (red closed squares and line). The activation energ</w:t>
                            </w:r>
                            <w:r w:rsidRPr="001E3806">
                              <w:rPr>
                                <w:rFonts w:cs="Arial" w:hint="eastAsia"/>
                                <w:color w:val="000000" w:themeColor="text1"/>
                                <w:sz w:val="18"/>
                                <w:szCs w:val="18"/>
                                <w:lang w:eastAsia="ja-JP"/>
                              </w:rPr>
                              <w:t>y</w:t>
                            </w:r>
                            <w:r w:rsidRPr="001E3806">
                              <w:rPr>
                                <w:rFonts w:cs="Arial"/>
                                <w:color w:val="000000" w:themeColor="text1"/>
                                <w:sz w:val="18"/>
                                <w:szCs w:val="18"/>
                                <w:lang w:eastAsia="ja-JP"/>
                              </w:rPr>
                              <w:t xml:space="preserve"> in dry conditions, 0.60(3) eV, is comparable with that in wet atmospheres,</w:t>
                            </w:r>
                            <w:r w:rsidRPr="001E3806" w:rsidDel="0034121D">
                              <w:rPr>
                                <w:rFonts w:cs="Arial"/>
                                <w:color w:val="000000" w:themeColor="text1"/>
                                <w:sz w:val="18"/>
                                <w:szCs w:val="18"/>
                                <w:lang w:eastAsia="ja-JP"/>
                              </w:rPr>
                              <w:t xml:space="preserve"> </w:t>
                            </w:r>
                            <w:r w:rsidRPr="001E3806">
                              <w:rPr>
                                <w:rFonts w:cs="Arial"/>
                                <w:color w:val="000000" w:themeColor="text1"/>
                                <w:sz w:val="18"/>
                                <w:szCs w:val="18"/>
                                <w:lang w:eastAsia="ja-JP"/>
                              </w:rPr>
                              <w:t>0.508(5) eV, suggesting that the mobile ionic species remain similar in both conditions.</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AB612" id="テキスト ボックス 11" o:spid="_x0000_s1029" type="#_x0000_t202" style="position:absolute;left:0;text-align:left;margin-left:260.8pt;margin-top:300.05pt;width:247.7pt;height:374.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" stroked="f">
                <v:textbox inset="0,,0">
                  <w:txbxContent>
                    <w:p w14:paraId="654273FB" w14:textId="77777777" w:rsidR="00982388" w:rsidRPr="001E3806" w:rsidRDefault="00982388" w:rsidP="009234A6">
                      <w:pPr>
                        <w:jc w:val="center"/>
                        <w:rPr>
                          <w:rFonts w:ascii="Times New Roman"/>
                          <w:szCs w:val="10"/>
                          <w:lang w:eastAsia="ja-JP"/>
                        </w:rPr>
                      </w:pPr>
                      <w:r w:rsidDel="00B30AD1">
                        <w:rPr>
                          <w:noProof/>
                          <w:lang w:eastAsia="ja-JP"/>
                        </w:rPr>
                        <w:t xml:space="preserve"> </w:t>
                      </w:r>
                      <w:r w:rsidRPr="001E3806">
                        <w:rPr>
                          <w:noProof/>
                        </w:rPr>
                        <w:drawing>
                          <wp:inline distT="0" distB="0" distL="0" distR="0" wp14:anchorId="5A36BA49" wp14:editId="00956D85">
                            <wp:extent cx="2821060" cy="2969537"/>
                            <wp:effectExtent l="0" t="0" r="0" b="2540"/>
                            <wp:docPr id="176007023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82132" name=""/>
                                    <pic:cNvPicPr/>
                                  </pic:nvPicPr>
                                  <pic:blipFill>
                                    <a:blip r:embed="rId19"/>
                                    <a:stretch>
                                      <a:fillRect/>
                                    </a:stretch>
                                  </pic:blipFill>
                                  <pic:spPr>
                                    <a:xfrm>
                                      <a:off x="0" y="0"/>
                                      <a:ext cx="2844363" cy="2994067"/>
                                    </a:xfrm>
                                    <a:prstGeom prst="rect">
                                      <a:avLst/>
                                    </a:prstGeom>
                                  </pic:spPr>
                                </pic:pic>
                              </a:graphicData>
                            </a:graphic>
                          </wp:inline>
                        </w:drawing>
                      </w:r>
                    </w:p>
                    <w:p w14:paraId="416852A1" w14:textId="77777777" w:rsidR="00982388" w:rsidRPr="001921ED" w:rsidRDefault="00982388" w:rsidP="009234A6">
                      <w:pPr>
                        <w:spacing w:line="240" w:lineRule="exact"/>
                        <w:jc w:val="both"/>
                        <w:rPr>
                          <w:rFonts w:cs="Arial"/>
                          <w:lang w:eastAsia="ja-JP"/>
                        </w:rPr>
                      </w:pPr>
                      <w:r w:rsidRPr="001E3806">
                        <w:rPr>
                          <w:rFonts w:cs="Arial"/>
                          <w:b/>
                          <w:color w:val="000000" w:themeColor="text1"/>
                          <w:sz w:val="18"/>
                          <w:szCs w:val="18"/>
                          <w:lang w:eastAsia="ja-JP"/>
                        </w:rPr>
                        <w:t xml:space="preserve">Fig. </w:t>
                      </w:r>
                      <w:r w:rsidRPr="001E3806">
                        <w:rPr>
                          <w:rFonts w:cs="Arial" w:hint="eastAsia"/>
                          <w:b/>
                          <w:color w:val="000000" w:themeColor="text1"/>
                          <w:sz w:val="18"/>
                          <w:szCs w:val="18"/>
                          <w:lang w:eastAsia="ja-JP"/>
                        </w:rPr>
                        <w:t>2</w:t>
                      </w:r>
                      <w:r w:rsidRPr="001E3806">
                        <w:rPr>
                          <w:rFonts w:cs="Arial"/>
                          <w:color w:val="000000" w:themeColor="text1"/>
                          <w:sz w:val="18"/>
                          <w:szCs w:val="18"/>
                          <w:lang w:eastAsia="ja-JP"/>
                        </w:rPr>
                        <w:t xml:space="preserve"> Complex impedance plane plots of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(a) at 512 °C in dry air and (b) at 501 °C in wet air (</w:t>
                      </w:r>
                      <w:r w:rsidRPr="001E3806">
                        <w:rPr>
                          <w:rFonts w:cs="Arial"/>
                          <w:i/>
                          <w:color w:val="000000" w:themeColor="text1"/>
                          <w:sz w:val="18"/>
                          <w:szCs w:val="18"/>
                          <w:lang w:eastAsia="ja-JP"/>
                        </w:rPr>
                        <w:t>p</w:t>
                      </w:r>
                      <w:r w:rsidRPr="001E3806">
                        <w:rPr>
                          <w:rFonts w:cs="Arial"/>
                          <w:color w:val="000000" w:themeColor="text1"/>
                          <w:sz w:val="18"/>
                          <w:szCs w:val="18"/>
                          <w:lang w:eastAsia="ja-JP"/>
                        </w:rPr>
                        <w:t>H</w:t>
                      </w:r>
                      <w:r w:rsidRPr="001E3806">
                        <w:rPr>
                          <w:rFonts w:cs="Arial"/>
                          <w:color w:val="000000" w:themeColor="text1"/>
                          <w:sz w:val="18"/>
                          <w:szCs w:val="18"/>
                          <w:vertAlign w:val="subscript"/>
                          <w:lang w:eastAsia="ja-JP"/>
                        </w:rPr>
                        <w:t>2</w:t>
                      </w:r>
                      <w:r w:rsidRPr="001E3806">
                        <w:rPr>
                          <w:rFonts w:cs="Arial"/>
                          <w:color w:val="000000" w:themeColor="text1"/>
                          <w:sz w:val="18"/>
                          <w:szCs w:val="18"/>
                          <w:lang w:eastAsia="ja-JP"/>
                        </w:rPr>
                        <w:t xml:space="preserve">O = 0.021 atm). A black rhombus represents the measured data and a red line denotes the curve obtained by equivalent circuit analysis. (c) Arrhenius plots of the total AC electrical conductivity </w:t>
                      </w:r>
                      <w:r w:rsidRPr="001E3806">
                        <w:rPr>
                          <w:rFonts w:cs="Arial"/>
                          <w:i/>
                          <w:iCs/>
                          <w:color w:val="000000" w:themeColor="text1"/>
                          <w:sz w:val="18"/>
                          <w:szCs w:val="18"/>
                          <w:lang w:eastAsia="ja-JP"/>
                        </w:rPr>
                        <w:sym w:font="Symbol" w:char="F073"/>
                      </w:r>
                      <w:r w:rsidRPr="001E3806">
                        <w:rPr>
                          <w:rFonts w:cs="Arial"/>
                          <w:color w:val="000000" w:themeColor="text1"/>
                          <w:sz w:val="18"/>
                          <w:szCs w:val="18"/>
                          <w:vertAlign w:val="subscript"/>
                          <w:lang w:eastAsia="ja-JP"/>
                        </w:rPr>
                        <w:t>total</w:t>
                      </w:r>
                      <w:r w:rsidRPr="001E3806">
                        <w:rPr>
                          <w:rFonts w:cs="Arial"/>
                          <w:color w:val="000000" w:themeColor="text1"/>
                          <w:sz w:val="18"/>
                          <w:szCs w:val="18"/>
                          <w:lang w:eastAsia="ja-JP"/>
                        </w:rPr>
                        <w:t xml:space="preserve"> of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in wet air (</w:t>
                      </w:r>
                      <w:r w:rsidRPr="001E3806">
                        <w:rPr>
                          <w:rFonts w:cs="Arial"/>
                          <w:i/>
                          <w:color w:val="000000" w:themeColor="text1"/>
                          <w:sz w:val="18"/>
                          <w:szCs w:val="18"/>
                          <w:lang w:eastAsia="ja-JP"/>
                        </w:rPr>
                        <w:t>p</w:t>
                      </w:r>
                      <w:r w:rsidRPr="001E3806">
                        <w:rPr>
                          <w:rFonts w:cs="Arial"/>
                          <w:color w:val="000000" w:themeColor="text1"/>
                          <w:sz w:val="18"/>
                          <w:szCs w:val="18"/>
                          <w:lang w:eastAsia="ja-JP"/>
                        </w:rPr>
                        <w:t>H</w:t>
                      </w:r>
                      <w:r w:rsidRPr="001E3806">
                        <w:rPr>
                          <w:rFonts w:cs="Arial"/>
                          <w:color w:val="000000" w:themeColor="text1"/>
                          <w:sz w:val="18"/>
                          <w:szCs w:val="18"/>
                          <w:vertAlign w:val="subscript"/>
                          <w:lang w:eastAsia="ja-JP"/>
                        </w:rPr>
                        <w:t>2</w:t>
                      </w:r>
                      <w:r w:rsidRPr="001E3806">
                        <w:rPr>
                          <w:rFonts w:cs="Arial"/>
                          <w:color w:val="000000" w:themeColor="text1"/>
                          <w:sz w:val="18"/>
                          <w:szCs w:val="18"/>
                          <w:lang w:eastAsia="ja-JP"/>
                        </w:rPr>
                        <w:t>O = 0.021 atm; blue closed circles and line) and dry air (red closed squares and line). The activation energ</w:t>
                      </w:r>
                      <w:r w:rsidRPr="001E3806">
                        <w:rPr>
                          <w:rFonts w:cs="Arial" w:hint="eastAsia"/>
                          <w:color w:val="000000" w:themeColor="text1"/>
                          <w:sz w:val="18"/>
                          <w:szCs w:val="18"/>
                          <w:lang w:eastAsia="ja-JP"/>
                        </w:rPr>
                        <w:t>y</w:t>
                      </w:r>
                      <w:r w:rsidRPr="001E3806">
                        <w:rPr>
                          <w:rFonts w:cs="Arial"/>
                          <w:color w:val="000000" w:themeColor="text1"/>
                          <w:sz w:val="18"/>
                          <w:szCs w:val="18"/>
                          <w:lang w:eastAsia="ja-JP"/>
                        </w:rPr>
                        <w:t xml:space="preserve"> in dry conditions, 0.60(3) eV, is comparable with that in wet atmospheres,</w:t>
                      </w:r>
                      <w:r w:rsidRPr="001E3806" w:rsidDel="0034121D">
                        <w:rPr>
                          <w:rFonts w:cs="Arial"/>
                          <w:color w:val="000000" w:themeColor="text1"/>
                          <w:sz w:val="18"/>
                          <w:szCs w:val="18"/>
                          <w:lang w:eastAsia="ja-JP"/>
                        </w:rPr>
                        <w:t xml:space="preserve"> </w:t>
                      </w:r>
                      <w:r w:rsidRPr="001E3806">
                        <w:rPr>
                          <w:rFonts w:cs="Arial"/>
                          <w:color w:val="000000" w:themeColor="text1"/>
                          <w:sz w:val="18"/>
                          <w:szCs w:val="18"/>
                          <w:lang w:eastAsia="ja-JP"/>
                        </w:rPr>
                        <w:t>0.508(5) eV, suggesting that the mobile ionic species remain similar in both conditions.</w:t>
                      </w:r>
                    </w:p>
                  </w:txbxContent>
                </v:textbox>
                <w10:wrap type="square" anchorx="margin"/>
              </v:shape>
            </w:pict>
          </mc:Fallback>
        </mc:AlternateContent>
      </w:r>
      <w:r w:rsidRPr="001E3806">
        <w:rPr>
          <w:bCs/>
          <w:lang w:val="en-US"/>
        </w:rPr>
        <w:t>protons are the main conducting species in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in wet </w:t>
      </w:r>
      <w:r w:rsidR="009234A6" w:rsidRPr="001E3806">
        <w:rPr>
          <w:rFonts w:ascii="Times New Roman"/>
          <w:noProof/>
          <w:sz w:val="22"/>
          <w:lang w:val="ja-JP"/>
        </w:rPr>
        <w:lastRenderedPageBreak/>
        <mc:AlternateContent>
          <mc:Choice Requires="wps">
            <w:drawing>
              <wp:anchor distT="45720" distB="45720" distL="114300" distR="114300" simplePos="0" relativeHeight="251706368" behindDoc="0" locked="0" layoutInCell="1" allowOverlap="1" wp14:anchorId="4656FCB7" wp14:editId="4F706795">
                <wp:simplePos x="0" y="0"/>
                <wp:positionH relativeFrom="margin">
                  <wp:posOffset>-6985</wp:posOffset>
                </wp:positionH>
                <wp:positionV relativeFrom="paragraph">
                  <wp:posOffset>3175</wp:posOffset>
                </wp:positionV>
                <wp:extent cx="6473190" cy="5334000"/>
                <wp:effectExtent l="0" t="0" r="3810" b="0"/>
                <wp:wrapSquare wrapText="bothSides"/>
                <wp:docPr id="1116966889" name="テキスト ボックス 1116966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190" cy="5334000"/>
                        </a:xfrm>
                        <a:prstGeom prst="rect">
                          <a:avLst/>
                        </a:prstGeom>
                        <a:solidFill>
                          <a:srgbClr val="FFFFFF"/>
                        </a:solidFill>
                        <a:ln w="9525">
                          <a:noFill/>
                          <a:miter lim="800000"/>
                          <a:headEnd/>
                          <a:tailEnd/>
                        </a:ln>
                      </wps:spPr>
                      <wps:txbx>
                        <w:txbxContent>
                          <w:p w14:paraId="685CBD02" w14:textId="77777777" w:rsidR="00982388" w:rsidRDefault="00982388" w:rsidP="0064156E">
                            <w:pPr>
                              <w:jc w:val="center"/>
                              <w:rPr>
                                <w:rFonts w:ascii="Times New Roman"/>
                                <w:szCs w:val="10"/>
                                <w:lang w:eastAsia="ja-JP"/>
                              </w:rPr>
                            </w:pPr>
                            <w:r w:rsidDel="00B30AD1">
                              <w:rPr>
                                <w:noProof/>
                                <w:lang w:eastAsia="ja-JP"/>
                              </w:rPr>
                              <w:t xml:space="preserve"> </w:t>
                            </w:r>
                            <w:r>
                              <w:rPr>
                                <w:rFonts w:ascii="Arial" w:hAnsi="Arial" w:cs="Arial"/>
                                <w:noProof/>
                                <w:color w:val="000000"/>
                                <w:bdr w:val="none" w:sz="0" w:space="0" w:color="auto" w:frame="1"/>
                              </w:rPr>
                              <w:drawing>
                                <wp:inline distT="0" distB="0" distL="0" distR="0" wp14:anchorId="29F03C93" wp14:editId="223CFC29">
                                  <wp:extent cx="6132009" cy="3803650"/>
                                  <wp:effectExtent l="0" t="0" r="2540" b="6350"/>
                                  <wp:docPr id="30" name="図 30" descr="https://lh7-rt.googleusercontent.com/docsz/AD_4nXd_yDKn8p71uYX16GMRjLTGD_r4PhMPEZbcsCrgrFhHiPkTgen9bIhX2cjiD3MCfwm45c091apwYj-ZWcDQQvsxOVgvt8cOkh5DJ-4JovnyGfxqOZ7zNbnbUL2EK95b4uSjnY7t0w?key=zV7M9g_tRA0UYAh7g34G8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_yDKn8p71uYX16GMRjLTGD_r4PhMPEZbcsCrgrFhHiPkTgen9bIhX2cjiD3MCfwm45c091apwYj-ZWcDQQvsxOVgvt8cOkh5DJ-4JovnyGfxqOZ7zNbnbUL2EK95b4uSjnY7t0w?key=zV7M9g_tRA0UYAh7g34G8w"/>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0677" cy="3833838"/>
                                          </a:xfrm>
                                          <a:prstGeom prst="rect">
                                            <a:avLst/>
                                          </a:prstGeom>
                                          <a:noFill/>
                                          <a:ln>
                                            <a:noFill/>
                                          </a:ln>
                                        </pic:spPr>
                                      </pic:pic>
                                    </a:graphicData>
                                  </a:graphic>
                                </wp:inline>
                              </w:drawing>
                            </w:r>
                          </w:p>
                          <w:p w14:paraId="48CBDC01" w14:textId="77777777" w:rsidR="00982388" w:rsidRPr="00D77C38" w:rsidRDefault="00982388" w:rsidP="0064156E">
                            <w:pPr>
                              <w:adjustRightInd w:val="0"/>
                              <w:snapToGrid w:val="0"/>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3</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 xml:space="preserve">(a) Oxygen and (b) proton transport numbers at different temperatures. </w:t>
                            </w:r>
                            <w:r>
                              <w:rPr>
                                <w:rFonts w:cs="Arial"/>
                                <w:color w:val="000000" w:themeColor="text1"/>
                                <w:sz w:val="18"/>
                                <w:szCs w:val="18"/>
                                <w:lang w:eastAsia="ja-JP"/>
                              </w:rPr>
                              <w:t>In panel (a), the red and squares and dashed line denote t</w:t>
                            </w:r>
                            <w:r w:rsidRPr="005A2DA3">
                              <w:rPr>
                                <w:rFonts w:cs="Arial"/>
                                <w:color w:val="000000" w:themeColor="text1"/>
                                <w:sz w:val="18"/>
                                <w:szCs w:val="18"/>
                                <w:lang w:eastAsia="ja-JP"/>
                              </w:rPr>
                              <w:t>he</w:t>
                            </w:r>
                            <w:r>
                              <w:rPr>
                                <w:rFonts w:cs="Arial"/>
                                <w:color w:val="000000" w:themeColor="text1"/>
                                <w:sz w:val="18"/>
                                <w:szCs w:val="18"/>
                                <w:lang w:eastAsia="ja-JP"/>
                              </w:rPr>
                              <w:t xml:space="preserve"> </w:t>
                            </w:r>
                            <w:r w:rsidRPr="005A2DA3">
                              <w:rPr>
                                <w:rFonts w:cs="Arial"/>
                                <w:color w:val="000000" w:themeColor="text1"/>
                                <w:sz w:val="18"/>
                                <w:szCs w:val="18"/>
                                <w:lang w:eastAsia="ja-JP"/>
                              </w:rPr>
                              <w:t>apparent oxygen transport number</w:t>
                            </w:r>
                            <w:r>
                              <w:rPr>
                                <w:rFonts w:cs="Arial"/>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O</w:t>
                            </w:r>
                            <w:proofErr w:type="spellEnd"/>
                            <w:r w:rsidRPr="005A2DA3">
                              <w:rPr>
                                <w:rFonts w:cs="Arial"/>
                                <w:color w:val="000000" w:themeColor="text1"/>
                                <w:sz w:val="18"/>
                                <w:szCs w:val="18"/>
                                <w:vertAlign w:val="subscript"/>
                                <w:lang w:eastAsia="ja-JP"/>
                              </w:rPr>
                              <w:t>/app</w:t>
                            </w:r>
                            <w:r>
                              <w:rPr>
                                <w:rFonts w:cs="Arial"/>
                                <w:color w:val="000000" w:themeColor="text1"/>
                                <w:sz w:val="18"/>
                                <w:szCs w:val="18"/>
                                <w:lang w:eastAsia="ja-JP"/>
                              </w:rPr>
                              <w:t>, which is estimated using equation (7). In panel (b), the blue squares and dashed line represent the</w:t>
                            </w:r>
                            <w:r w:rsidRPr="005A2DA3">
                              <w:rPr>
                                <w:rFonts w:cs="Arial"/>
                                <w:color w:val="000000" w:themeColor="text1"/>
                                <w:sz w:val="18"/>
                                <w:szCs w:val="18"/>
                                <w:lang w:eastAsia="ja-JP"/>
                              </w:rPr>
                              <w:t xml:space="preserve"> </w:t>
                            </w:r>
                            <w:r>
                              <w:rPr>
                                <w:rFonts w:cs="Arial"/>
                                <w:color w:val="000000" w:themeColor="text1"/>
                                <w:sz w:val="18"/>
                                <w:szCs w:val="18"/>
                                <w:lang w:eastAsia="ja-JP"/>
                              </w:rPr>
                              <w:t xml:space="preserve">apparent </w:t>
                            </w:r>
                            <w:r w:rsidRPr="005A2DA3">
                              <w:rPr>
                                <w:rFonts w:cs="Arial"/>
                                <w:color w:val="000000" w:themeColor="text1"/>
                                <w:sz w:val="18"/>
                                <w:szCs w:val="18"/>
                                <w:lang w:eastAsia="ja-JP"/>
                              </w:rPr>
                              <w:t xml:space="preserve">proton transport number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/app</w:t>
                            </w:r>
                            <w:r>
                              <w:rPr>
                                <w:rFonts w:cs="Arial"/>
                                <w:color w:val="000000" w:themeColor="text1"/>
                                <w:sz w:val="18"/>
                                <w:szCs w:val="18"/>
                                <w:lang w:eastAsia="ja-JP"/>
                              </w:rPr>
                              <w:t xml:space="preserve">, which is </w:t>
                            </w:r>
                            <w:r w:rsidRPr="005A2DA3">
                              <w:rPr>
                                <w:rFonts w:cs="Arial"/>
                                <w:color w:val="000000" w:themeColor="text1"/>
                                <w:sz w:val="18"/>
                                <w:szCs w:val="18"/>
                                <w:lang w:eastAsia="ja-JP"/>
                              </w:rPr>
                              <w:t>estimated using</w:t>
                            </w:r>
                            <w:r>
                              <w:rPr>
                                <w:rFonts w:cs="Arial"/>
                                <w:color w:val="000000" w:themeColor="text1"/>
                                <w:sz w:val="18"/>
                                <w:szCs w:val="18"/>
                                <w:lang w:eastAsia="ja-JP"/>
                              </w:rPr>
                              <w:t xml:space="preserve"> equation (</w:t>
                            </w:r>
                            <w:r w:rsidRPr="005A2DA3">
                              <w:rPr>
                                <w:rFonts w:cs="Arial"/>
                                <w:color w:val="000000" w:themeColor="text1"/>
                                <w:sz w:val="18"/>
                                <w:szCs w:val="18"/>
                                <w:lang w:eastAsia="ja-JP"/>
                              </w:rPr>
                              <w:t xml:space="preserve">8). </w:t>
                            </w:r>
                            <w:r>
                              <w:rPr>
                                <w:rFonts w:cs="Arial"/>
                                <w:color w:val="000000" w:themeColor="text1"/>
                                <w:sz w:val="18"/>
                                <w:szCs w:val="18"/>
                                <w:lang w:eastAsia="ja-JP"/>
                              </w:rPr>
                              <w:t>In panel (a), the red circles and solid line denote t</w:t>
                            </w:r>
                            <w:r w:rsidRPr="005A2DA3">
                              <w:rPr>
                                <w:rFonts w:cs="Arial"/>
                                <w:color w:val="000000" w:themeColor="text1"/>
                                <w:sz w:val="18"/>
                                <w:szCs w:val="18"/>
                                <w:lang w:eastAsia="ja-JP"/>
                              </w:rPr>
                              <w:t xml:space="preserve">he </w:t>
                            </w:r>
                            <w:r>
                              <w:rPr>
                                <w:rFonts w:cs="Arial"/>
                                <w:color w:val="000000" w:themeColor="text1"/>
                                <w:sz w:val="18"/>
                                <w:szCs w:val="18"/>
                                <w:lang w:eastAsia="ja-JP"/>
                              </w:rPr>
                              <w:t xml:space="preserve">accurate </w:t>
                            </w:r>
                            <w:r w:rsidRPr="005A2DA3">
                              <w:rPr>
                                <w:rFonts w:cs="Arial"/>
                                <w:color w:val="000000" w:themeColor="text1"/>
                                <w:sz w:val="18"/>
                                <w:szCs w:val="18"/>
                                <w:lang w:eastAsia="ja-JP"/>
                              </w:rPr>
                              <w:t>oxygen transport number</w:t>
                            </w:r>
                            <w:r>
                              <w:rPr>
                                <w:rFonts w:cs="Arial"/>
                                <w:color w:val="000000" w:themeColor="text1"/>
                                <w:sz w:val="18"/>
                                <w:szCs w:val="18"/>
                                <w:lang w:eastAsia="ja-JP"/>
                              </w:rPr>
                              <w:t xml:space="preserve"> obtained from the EMF measurements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wet</w:t>
                            </w:r>
                            <w:proofErr w:type="spellEnd"/>
                            <w:r w:rsidRPr="005A2DA3">
                              <w:rPr>
                                <w:rFonts w:cs="Arial"/>
                                <w:color w:val="000000" w:themeColor="text1"/>
                                <w:sz w:val="18"/>
                                <w:szCs w:val="18"/>
                                <w:vertAlign w:val="subscript"/>
                                <w:lang w:eastAsia="ja-JP"/>
                              </w:rPr>
                              <w:t>/O/EMF</w:t>
                            </w:r>
                            <w:r>
                              <w:rPr>
                                <w:rFonts w:cs="Arial"/>
                                <w:color w:val="000000" w:themeColor="text1"/>
                                <w:sz w:val="18"/>
                                <w:szCs w:val="18"/>
                                <w:lang w:eastAsia="ja-JP"/>
                              </w:rPr>
                              <w:t xml:space="preserve">. In panel (b), the blue circles </w:t>
                            </w:r>
                            <w:r w:rsidRPr="005A2DA3">
                              <w:rPr>
                                <w:rFonts w:cs="Arial"/>
                                <w:color w:val="000000" w:themeColor="text1"/>
                                <w:sz w:val="18"/>
                                <w:szCs w:val="18"/>
                                <w:lang w:eastAsia="ja-JP"/>
                              </w:rPr>
                              <w:t xml:space="preserve">and </w:t>
                            </w:r>
                            <w:r>
                              <w:rPr>
                                <w:rFonts w:cs="Arial"/>
                                <w:color w:val="000000" w:themeColor="text1"/>
                                <w:sz w:val="18"/>
                                <w:szCs w:val="18"/>
                                <w:lang w:eastAsia="ja-JP"/>
                              </w:rPr>
                              <w:t xml:space="preserve">solid line represent the accurate </w:t>
                            </w:r>
                            <w:r w:rsidRPr="005A2DA3">
                              <w:rPr>
                                <w:rFonts w:cs="Arial"/>
                                <w:color w:val="000000" w:themeColor="text1"/>
                                <w:sz w:val="18"/>
                                <w:szCs w:val="18"/>
                                <w:lang w:eastAsia="ja-JP"/>
                              </w:rPr>
                              <w:t>proton transport number</w:t>
                            </w:r>
                            <w:r>
                              <w:rPr>
                                <w:rFonts w:cs="Arial"/>
                                <w:color w:val="000000" w:themeColor="text1"/>
                                <w:sz w:val="18"/>
                                <w:szCs w:val="18"/>
                                <w:lang w:eastAsia="ja-JP"/>
                              </w:rPr>
                              <w:t xml:space="preserve"> obtained by the EMF measurements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/EMF</w:t>
                            </w:r>
                            <w:r w:rsidRPr="005A2DA3">
                              <w:rPr>
                                <w:rFonts w:cs="Arial"/>
                                <w:color w:val="000000" w:themeColor="text1"/>
                                <w:sz w:val="18"/>
                                <w:szCs w:val="18"/>
                                <w:lang w:eastAsia="ja-JP"/>
                              </w:rPr>
                              <w:t>. Results of the EMF measurements of (</w:t>
                            </w:r>
                            <w:proofErr w:type="spellStart"/>
                            <w:r w:rsidRPr="005A2DA3">
                              <w:rPr>
                                <w:rFonts w:cs="Arial"/>
                                <w:color w:val="000000" w:themeColor="text1"/>
                                <w:sz w:val="18"/>
                                <w:szCs w:val="18"/>
                                <w:lang w:eastAsia="ja-JP"/>
                              </w:rPr>
                              <w:t>c,d</w:t>
                            </w:r>
                            <w:proofErr w:type="spellEnd"/>
                            <w:r w:rsidRPr="005A2DA3">
                              <w:rPr>
                                <w:rFonts w:cs="Arial"/>
                                <w:color w:val="000000" w:themeColor="text1"/>
                                <w:sz w:val="18"/>
                                <w:szCs w:val="18"/>
                                <w:lang w:eastAsia="ja-JP"/>
                              </w:rPr>
                              <w:t>) the oxygen concentration cell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H</m:t>
                                      </m:r>
                                    </m:e>
                                    <m:sub>
                                      <m:r>
                                        <m:rPr>
                                          <m:sty m:val="p"/>
                                        </m:rPr>
                                        <w:rPr>
                                          <w:rFonts w:ascii="Cambria Math" w:hAnsi="Cambria Math" w:cs="Arial"/>
                                          <w:color w:val="000000" w:themeColor="text1"/>
                                          <w:sz w:val="18"/>
                                          <w:szCs w:val="18"/>
                                          <w:lang w:eastAsia="ja-JP"/>
                                        </w:rPr>
                                        <m:t>2</m:t>
                                      </m:r>
                                    </m:sub>
                                  </m:sSub>
                                  <m:r>
                                    <m:rPr>
                                      <m:sty m:val="p"/>
                                    </m:rPr>
                                    <w:rPr>
                                      <w:rFonts w:ascii="Cambria Math" w:hAnsi="Cambria Math" w:cs="Arial"/>
                                      <w:color w:val="000000" w:themeColor="text1"/>
                                      <w:sz w:val="18"/>
                                      <w:szCs w:val="18"/>
                                      <w:lang w:eastAsia="ja-JP"/>
                                    </w:rPr>
                                    <m:t>O</m:t>
                                  </m:r>
                                </m:sub>
                                <m:sup>
                                  <m:r>
                                    <m:rPr>
                                      <m:sty m:val="p"/>
                                    </m:rPr>
                                    <w:rPr>
                                      <w:rFonts w:ascii="Cambria Math" w:hAnsi="Cambria Math" w:cs="Arial"/>
                                      <w:color w:val="000000" w:themeColor="text1"/>
                                      <w:sz w:val="18"/>
                                      <w:szCs w:val="18"/>
                                      <w:lang w:eastAsia="ja-JP"/>
                                    </w:rPr>
                                    <m:t>I</m:t>
                                  </m:r>
                                </m:sup>
                              </m:sSubSup>
                            </m:oMath>
                            <w:r w:rsidRPr="005A2DA3">
                              <w:rPr>
                                <w:rFonts w:cs="Arial"/>
                                <w:color w:val="000000" w:themeColor="text1"/>
                                <w:sz w:val="18"/>
                                <w:szCs w:val="18"/>
                                <w:lang w:eastAsia="ja-JP"/>
                              </w:rPr>
                              <w:t xml:space="preserve"> =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H</m:t>
                                      </m:r>
                                    </m:e>
                                    <m:sub>
                                      <m:r>
                                        <m:rPr>
                                          <m:sty m:val="p"/>
                                        </m:rPr>
                                        <w:rPr>
                                          <w:rFonts w:ascii="Cambria Math" w:hAnsi="Cambria Math" w:cs="Arial"/>
                                          <w:color w:val="000000" w:themeColor="text1"/>
                                          <w:sz w:val="18"/>
                                          <w:szCs w:val="18"/>
                                          <w:lang w:eastAsia="ja-JP"/>
                                        </w:rPr>
                                        <m:t>2</m:t>
                                      </m:r>
                                    </m:sub>
                                  </m:sSub>
                                  <m:r>
                                    <m:rPr>
                                      <m:sty m:val="p"/>
                                    </m:rPr>
                                    <w:rPr>
                                      <w:rFonts w:ascii="Cambria Math" w:hAnsi="Cambria Math" w:cs="Arial"/>
                                      <w:color w:val="000000" w:themeColor="text1"/>
                                      <w:sz w:val="18"/>
                                      <w:szCs w:val="18"/>
                                      <w:lang w:eastAsia="ja-JP"/>
                                    </w:rPr>
                                    <m:t>O</m:t>
                                  </m:r>
                                </m:sub>
                                <m:sup>
                                  <m:r>
                                    <m:rPr>
                                      <m:sty m:val="p"/>
                                    </m:rPr>
                                    <w:rPr>
                                      <w:rFonts w:ascii="Cambria Math" w:hAnsi="Cambria Math" w:cs="Arial"/>
                                      <w:color w:val="000000" w:themeColor="text1"/>
                                      <w:sz w:val="18"/>
                                      <w:szCs w:val="18"/>
                                      <w:lang w:eastAsia="ja-JP"/>
                                    </w:rPr>
                                    <m:t>II</m:t>
                                  </m:r>
                                </m:sup>
                              </m:sSubSup>
                            </m:oMath>
                            <w:r w:rsidRPr="005A2DA3">
                              <w:rPr>
                                <w:rFonts w:cs="Arial"/>
                                <w:color w:val="000000" w:themeColor="text1"/>
                                <w:sz w:val="18"/>
                                <w:szCs w:val="18"/>
                                <w:lang w:eastAsia="ja-JP"/>
                              </w:rPr>
                              <w:t xml:space="preserve"> = 0.021 atm) and (e,f) the water vapor concentration cell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O</m:t>
                                      </m:r>
                                    </m:e>
                                    <m:sub>
                                      <m:r>
                                        <m:rPr>
                                          <m:sty m:val="p"/>
                                        </m:rPr>
                                        <w:rPr>
                                          <w:rFonts w:ascii="Cambria Math" w:hAnsi="Cambria Math" w:cs="Arial"/>
                                          <w:color w:val="000000" w:themeColor="text1"/>
                                          <w:sz w:val="18"/>
                                          <w:szCs w:val="18"/>
                                          <w:lang w:eastAsia="ja-JP"/>
                                        </w:rPr>
                                        <m:t>2</m:t>
                                      </m:r>
                                    </m:sub>
                                  </m:sSub>
                                </m:sub>
                                <m:sup>
                                  <m:r>
                                    <m:rPr>
                                      <m:sty m:val="p"/>
                                    </m:rPr>
                                    <w:rPr>
                                      <w:rFonts w:ascii="Cambria Math" w:hAnsi="Cambria Math" w:cs="Arial"/>
                                      <w:color w:val="000000" w:themeColor="text1"/>
                                      <w:sz w:val="18"/>
                                      <w:szCs w:val="18"/>
                                      <w:lang w:eastAsia="ja-JP"/>
                                    </w:rPr>
                                    <m:t>I</m:t>
                                  </m:r>
                                </m:sup>
                              </m:sSubSup>
                            </m:oMath>
                            <w:r w:rsidRPr="005A2DA3">
                              <w:rPr>
                                <w:rFonts w:cs="Arial"/>
                                <w:color w:val="000000" w:themeColor="text1"/>
                                <w:sz w:val="18"/>
                                <w:szCs w:val="18"/>
                                <w:lang w:eastAsia="ja-JP"/>
                              </w:rPr>
                              <w:t xml:space="preserve"> =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O</m:t>
                                      </m:r>
                                    </m:e>
                                    <m:sub>
                                      <m:r>
                                        <m:rPr>
                                          <m:sty m:val="p"/>
                                        </m:rPr>
                                        <w:rPr>
                                          <w:rFonts w:ascii="Cambria Math" w:hAnsi="Cambria Math" w:cs="Arial"/>
                                          <w:color w:val="000000" w:themeColor="text1"/>
                                          <w:sz w:val="18"/>
                                          <w:szCs w:val="18"/>
                                          <w:lang w:eastAsia="ja-JP"/>
                                        </w:rPr>
                                        <m:t>2</m:t>
                                      </m:r>
                                    </m:sub>
                                  </m:sSub>
                                </m:sub>
                                <m:sup>
                                  <m:r>
                                    <m:rPr>
                                      <m:sty m:val="p"/>
                                    </m:rPr>
                                    <w:rPr>
                                      <w:rFonts w:ascii="Cambria Math" w:hAnsi="Cambria Math" w:cs="Arial"/>
                                      <w:color w:val="000000" w:themeColor="text1"/>
                                      <w:sz w:val="18"/>
                                      <w:szCs w:val="18"/>
                                      <w:lang w:eastAsia="ja-JP"/>
                                    </w:rPr>
                                    <m:t>II</m:t>
                                  </m:r>
                                </m:sup>
                              </m:sSubSup>
                            </m:oMath>
                            <w:r w:rsidRPr="005A2DA3">
                              <w:rPr>
                                <w:rFonts w:cs="Arial"/>
                                <w:color w:val="000000" w:themeColor="text1"/>
                                <w:sz w:val="18"/>
                                <w:szCs w:val="18"/>
                                <w:lang w:eastAsia="ja-JP"/>
                              </w:rPr>
                              <w:t xml:space="preserve"> = 0.20 atm) of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at 600 </w:t>
                            </w:r>
                            <w:proofErr w:type="spellStart"/>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C</w:t>
                            </w:r>
                            <w:proofErr w:type="spellEnd"/>
                            <w:r w:rsidRPr="005A2DA3">
                              <w:rPr>
                                <w:rFonts w:cs="Arial"/>
                                <w:color w:val="000000" w:themeColor="text1"/>
                                <w:sz w:val="18"/>
                                <w:szCs w:val="18"/>
                                <w:lang w:eastAsia="ja-JP"/>
                              </w:rPr>
                              <w:t xml:space="preserve"> (</w:t>
                            </w:r>
                            <w:proofErr w:type="spellStart"/>
                            <w:r w:rsidRPr="005A2DA3">
                              <w:rPr>
                                <w:rFonts w:cs="Arial"/>
                                <w:color w:val="000000" w:themeColor="text1"/>
                                <w:sz w:val="18"/>
                                <w:szCs w:val="18"/>
                                <w:lang w:eastAsia="ja-JP"/>
                              </w:rPr>
                              <w:t>c,e</w:t>
                            </w:r>
                            <w:proofErr w:type="spellEnd"/>
                            <w:r w:rsidRPr="005A2DA3">
                              <w:rPr>
                                <w:rFonts w:cs="Arial"/>
                                <w:color w:val="000000" w:themeColor="text1"/>
                                <w:sz w:val="18"/>
                                <w:szCs w:val="18"/>
                                <w:lang w:eastAsia="ja-JP"/>
                              </w:rPr>
                              <w:t xml:space="preserve">) and 500 </w:t>
                            </w:r>
                            <w:proofErr w:type="spellStart"/>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C</w:t>
                            </w:r>
                            <w:proofErr w:type="spellEnd"/>
                            <w:r w:rsidRPr="005A2DA3">
                              <w:rPr>
                                <w:rFonts w:cs="Arial"/>
                                <w:color w:val="000000" w:themeColor="text1"/>
                                <w:sz w:val="18"/>
                                <w:szCs w:val="18"/>
                                <w:lang w:eastAsia="ja-JP"/>
                              </w:rPr>
                              <w:t xml:space="preserve"> (</w:t>
                            </w:r>
                            <w:proofErr w:type="spellStart"/>
                            <w:r w:rsidRPr="005A2DA3">
                              <w:rPr>
                                <w:rFonts w:cs="Arial"/>
                                <w:color w:val="000000" w:themeColor="text1"/>
                                <w:sz w:val="18"/>
                                <w:szCs w:val="18"/>
                                <w:lang w:eastAsia="ja-JP"/>
                              </w:rPr>
                              <w:t>d,f</w:t>
                            </w:r>
                            <w:proofErr w:type="spellEnd"/>
                            <w:r w:rsidRPr="005A2DA3">
                              <w:rPr>
                                <w:rFonts w:cs="Arial"/>
                                <w:color w:val="000000" w:themeColor="text1"/>
                                <w:sz w:val="18"/>
                                <w:szCs w:val="18"/>
                                <w:lang w:eastAsia="ja-JP"/>
                              </w:rPr>
                              <w:t>). The black dashed line stands for the theoretical values for (</w:t>
                            </w:r>
                            <w:proofErr w:type="spellStart"/>
                            <w:proofErr w:type="gramStart"/>
                            <w:r w:rsidRPr="005A2DA3">
                              <w:rPr>
                                <w:rFonts w:cs="Arial"/>
                                <w:color w:val="000000" w:themeColor="text1"/>
                                <w:sz w:val="18"/>
                                <w:szCs w:val="18"/>
                                <w:lang w:eastAsia="ja-JP"/>
                              </w:rPr>
                              <w:t>c,d</w:t>
                            </w:r>
                            <w:proofErr w:type="spellEnd"/>
                            <w:proofErr w:type="gramEnd"/>
                            <w:r w:rsidRPr="005A2DA3">
                              <w:rPr>
                                <w:rFonts w:cs="Arial"/>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/EMF</w:t>
                            </w:r>
                            <w:r w:rsidRPr="005A2DA3" w:rsidDel="005B6861">
                              <w:rPr>
                                <w:rFonts w:cs="Arial"/>
                                <w:i/>
                                <w:iCs/>
                                <w:color w:val="000000" w:themeColor="text1"/>
                                <w:sz w:val="18"/>
                                <w:szCs w:val="18"/>
                                <w:lang w:eastAsia="ja-JP"/>
                              </w:rPr>
                              <w:t xml:space="preserve"> </w:t>
                            </w:r>
                            <w:r w:rsidRPr="005A2DA3">
                              <w:rPr>
                                <w:rFonts w:cs="Arial"/>
                                <w:color w:val="000000" w:themeColor="text1"/>
                                <w:sz w:val="18"/>
                                <w:szCs w:val="18"/>
                                <w:lang w:eastAsia="ja-JP"/>
                              </w:rPr>
                              <w:t>+</w:t>
                            </w:r>
                            <w:r w:rsidRPr="005A2DA3">
                              <w:rPr>
                                <w:rFonts w:cs="Arial"/>
                                <w:i/>
                                <w:iCs/>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O</w:t>
                            </w:r>
                            <w:proofErr w:type="spellEnd"/>
                            <w:r w:rsidRPr="005A2DA3">
                              <w:rPr>
                                <w:rFonts w:cs="Arial"/>
                                <w:color w:val="000000" w:themeColor="text1"/>
                                <w:sz w:val="18"/>
                                <w:szCs w:val="18"/>
                                <w:vertAlign w:val="subscript"/>
                                <w:lang w:eastAsia="ja-JP"/>
                              </w:rPr>
                              <w:t>/wet/EMF</w:t>
                            </w:r>
                            <w:r w:rsidRPr="005A2DA3">
                              <w:rPr>
                                <w:rFonts w:cs="Arial"/>
                                <w:color w:val="000000" w:themeColor="text1"/>
                                <w:sz w:val="18"/>
                                <w:szCs w:val="18"/>
                                <w:lang w:eastAsia="ja-JP"/>
                              </w:rPr>
                              <w:t xml:space="preserve"> = 1 and (</w:t>
                            </w:r>
                            <w:proofErr w:type="spellStart"/>
                            <w:proofErr w:type="gramStart"/>
                            <w:r w:rsidRPr="005A2DA3">
                              <w:rPr>
                                <w:rFonts w:cs="Arial"/>
                                <w:color w:val="000000" w:themeColor="text1"/>
                                <w:sz w:val="18"/>
                                <w:szCs w:val="18"/>
                                <w:lang w:eastAsia="ja-JP"/>
                              </w:rPr>
                              <w:t>e,f</w:t>
                            </w:r>
                            <w:proofErr w:type="spellEnd"/>
                            <w:proofErr w:type="gramEnd"/>
                            <w:r w:rsidRPr="005A2DA3">
                              <w:rPr>
                                <w:rFonts w:cs="Arial"/>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/EMF</w:t>
                            </w:r>
                            <w:r w:rsidRPr="005A2DA3">
                              <w:rPr>
                                <w:rFonts w:cs="Arial"/>
                                <w:color w:val="000000" w:themeColor="text1"/>
                                <w:sz w:val="18"/>
                                <w:szCs w:val="18"/>
                                <w:lang w:eastAsia="ja-JP"/>
                              </w:rPr>
                              <w:t xml:space="preserve"> = 1. Red circles in panels </w:t>
                            </w:r>
                            <w:r>
                              <w:rPr>
                                <w:rFonts w:cs="Arial"/>
                                <w:color w:val="000000" w:themeColor="text1"/>
                                <w:sz w:val="18"/>
                                <w:szCs w:val="18"/>
                                <w:lang w:eastAsia="ja-JP"/>
                              </w:rPr>
                              <w:t>(</w:t>
                            </w:r>
                            <w:r w:rsidRPr="005A2DA3">
                              <w:rPr>
                                <w:rFonts w:cs="Arial"/>
                                <w:color w:val="000000" w:themeColor="text1"/>
                                <w:sz w:val="18"/>
                                <w:szCs w:val="18"/>
                                <w:lang w:eastAsia="ja-JP"/>
                              </w:rPr>
                              <w:t>c</w:t>
                            </w:r>
                            <w:r>
                              <w:rPr>
                                <w:rFonts w:cs="Arial"/>
                                <w:color w:val="000000" w:themeColor="text1"/>
                                <w:sz w:val="18"/>
                                <w:szCs w:val="18"/>
                                <w:lang w:eastAsia="ja-JP"/>
                              </w:rPr>
                              <w:t>)</w:t>
                            </w:r>
                            <w:r w:rsidRPr="005A2DA3">
                              <w:rPr>
                                <w:rFonts w:cs="Arial"/>
                                <w:color w:val="000000" w:themeColor="text1"/>
                                <w:sz w:val="18"/>
                                <w:szCs w:val="18"/>
                                <w:lang w:eastAsia="ja-JP"/>
                              </w:rPr>
                              <w:t>-</w:t>
                            </w:r>
                            <w:r>
                              <w:rPr>
                                <w:rFonts w:cs="Arial"/>
                                <w:color w:val="000000" w:themeColor="text1"/>
                                <w:sz w:val="18"/>
                                <w:szCs w:val="18"/>
                                <w:lang w:eastAsia="ja-JP"/>
                              </w:rPr>
                              <w:t>(</w:t>
                            </w:r>
                            <w:r w:rsidRPr="005A2DA3">
                              <w:rPr>
                                <w:rFonts w:cs="Arial"/>
                                <w:color w:val="000000" w:themeColor="text1"/>
                                <w:sz w:val="18"/>
                                <w:szCs w:val="18"/>
                                <w:lang w:eastAsia="ja-JP"/>
                              </w:rPr>
                              <w:t>f</w:t>
                            </w:r>
                            <w:r>
                              <w:rPr>
                                <w:rFonts w:cs="Arial"/>
                                <w:color w:val="000000" w:themeColor="text1"/>
                                <w:sz w:val="18"/>
                                <w:szCs w:val="18"/>
                                <w:lang w:eastAsia="ja-JP"/>
                              </w:rPr>
                              <w:t>)</w:t>
                            </w:r>
                            <w:r w:rsidRPr="005A2DA3">
                              <w:rPr>
                                <w:rFonts w:cs="Arial"/>
                                <w:color w:val="000000" w:themeColor="text1"/>
                                <w:sz w:val="18"/>
                                <w:szCs w:val="18"/>
                                <w:lang w:eastAsia="ja-JP"/>
                              </w:rPr>
                              <w:t xml:space="preserve"> represent the measured </w:t>
                            </w:r>
                            <w:r>
                              <w:rPr>
                                <w:rFonts w:cs="Arial"/>
                                <w:color w:val="000000" w:themeColor="text1"/>
                                <w:sz w:val="18"/>
                                <w:szCs w:val="18"/>
                                <w:lang w:eastAsia="ja-JP"/>
                              </w:rPr>
                              <w:t>EMF data.</w:t>
                            </w:r>
                          </w:p>
                          <w:p w14:paraId="4FC3E9E1" w14:textId="77777777" w:rsidR="00982388" w:rsidRPr="001921ED" w:rsidRDefault="00982388" w:rsidP="0064156E">
                            <w:pPr>
                              <w:spacing w:line="240" w:lineRule="exact"/>
                              <w:rPr>
                                <w:rFonts w:cs="Arial"/>
                                <w:lang w:eastAsia="ja-JP"/>
                              </w:rPr>
                            </w:pP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6FCB7" id="テキスト ボックス 1116966889" o:spid="_x0000_s1030" type="#_x0000_t202" style="position:absolute;left:0;text-align:left;margin-left:-.55pt;margin-top:.25pt;width:509.7pt;height:420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" stroked="f">
                <v:textbox inset="0,,0">
                  <w:txbxContent>
                    <w:p w14:paraId="685CBD02" w14:textId="77777777" w:rsidR="00982388" w:rsidRDefault="00982388" w:rsidP="0064156E">
                      <w:pPr>
                        <w:jc w:val="center"/>
                        <w:rPr>
                          <w:rFonts w:ascii="Times New Roman"/>
                          <w:szCs w:val="10"/>
                          <w:lang w:eastAsia="ja-JP"/>
                        </w:rPr>
                      </w:pPr>
                      <w:r w:rsidDel="00B30AD1">
                        <w:rPr>
                          <w:noProof/>
                          <w:lang w:eastAsia="ja-JP"/>
                        </w:rPr>
                        <w:t xml:space="preserve"> </w:t>
                      </w:r>
                      <w:r>
                        <w:rPr>
                          <w:rFonts w:ascii="Arial" w:hAnsi="Arial" w:cs="Arial"/>
                          <w:noProof/>
                          <w:color w:val="000000"/>
                          <w:bdr w:val="none" w:sz="0" w:space="0" w:color="auto" w:frame="1"/>
                        </w:rPr>
                        <w:drawing>
                          <wp:inline distT="0" distB="0" distL="0" distR="0" wp14:anchorId="29F03C93" wp14:editId="223CFC29">
                            <wp:extent cx="6132009" cy="3803650"/>
                            <wp:effectExtent l="0" t="0" r="2540" b="6350"/>
                            <wp:docPr id="30" name="図 30" descr="https://lh7-rt.googleusercontent.com/docsz/AD_4nXd_yDKn8p71uYX16GMRjLTGD_r4PhMPEZbcsCrgrFhHiPkTgen9bIhX2cjiD3MCfwm45c091apwYj-ZWcDQQvsxOVgvt8cOkh5DJ-4JovnyGfxqOZ7zNbnbUL2EK95b4uSjnY7t0w?key=zV7M9g_tRA0UYAh7g34G8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_yDKn8p71uYX16GMRjLTGD_r4PhMPEZbcsCrgrFhHiPkTgen9bIhX2cjiD3MCfwm45c091apwYj-ZWcDQQvsxOVgvt8cOkh5DJ-4JovnyGfxqOZ7zNbnbUL2EK95b4uSjnY7t0w?key=zV7M9g_tRA0UYAh7g34G8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0677" cy="3833838"/>
                                    </a:xfrm>
                                    <a:prstGeom prst="rect">
                                      <a:avLst/>
                                    </a:prstGeom>
                                    <a:noFill/>
                                    <a:ln>
                                      <a:noFill/>
                                    </a:ln>
                                  </pic:spPr>
                                </pic:pic>
                              </a:graphicData>
                            </a:graphic>
                          </wp:inline>
                        </w:drawing>
                      </w:r>
                    </w:p>
                    <w:p w14:paraId="48CBDC01" w14:textId="77777777" w:rsidR="00982388" w:rsidRPr="00D77C38" w:rsidRDefault="00982388" w:rsidP="0064156E">
                      <w:pPr>
                        <w:adjustRightInd w:val="0"/>
                        <w:snapToGrid w:val="0"/>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3</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 xml:space="preserve">(a) Oxygen and (b) proton transport numbers at different temperatures. </w:t>
                      </w:r>
                      <w:r>
                        <w:rPr>
                          <w:rFonts w:cs="Arial"/>
                          <w:color w:val="000000" w:themeColor="text1"/>
                          <w:sz w:val="18"/>
                          <w:szCs w:val="18"/>
                          <w:lang w:eastAsia="ja-JP"/>
                        </w:rPr>
                        <w:t>In panel (a), the red and squares and dashed line denote t</w:t>
                      </w:r>
                      <w:r w:rsidRPr="005A2DA3">
                        <w:rPr>
                          <w:rFonts w:cs="Arial"/>
                          <w:color w:val="000000" w:themeColor="text1"/>
                          <w:sz w:val="18"/>
                          <w:szCs w:val="18"/>
                          <w:lang w:eastAsia="ja-JP"/>
                        </w:rPr>
                        <w:t>he</w:t>
                      </w:r>
                      <w:r>
                        <w:rPr>
                          <w:rFonts w:cs="Arial"/>
                          <w:color w:val="000000" w:themeColor="text1"/>
                          <w:sz w:val="18"/>
                          <w:szCs w:val="18"/>
                          <w:lang w:eastAsia="ja-JP"/>
                        </w:rPr>
                        <w:t xml:space="preserve"> </w:t>
                      </w:r>
                      <w:r w:rsidRPr="005A2DA3">
                        <w:rPr>
                          <w:rFonts w:cs="Arial"/>
                          <w:color w:val="000000" w:themeColor="text1"/>
                          <w:sz w:val="18"/>
                          <w:szCs w:val="18"/>
                          <w:lang w:eastAsia="ja-JP"/>
                        </w:rPr>
                        <w:t>apparent oxygen transport number</w:t>
                      </w:r>
                      <w:r>
                        <w:rPr>
                          <w:rFonts w:cs="Arial"/>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O</w:t>
                      </w:r>
                      <w:proofErr w:type="spellEnd"/>
                      <w:r w:rsidRPr="005A2DA3">
                        <w:rPr>
                          <w:rFonts w:cs="Arial"/>
                          <w:color w:val="000000" w:themeColor="text1"/>
                          <w:sz w:val="18"/>
                          <w:szCs w:val="18"/>
                          <w:vertAlign w:val="subscript"/>
                          <w:lang w:eastAsia="ja-JP"/>
                        </w:rPr>
                        <w:t>/app</w:t>
                      </w:r>
                      <w:r>
                        <w:rPr>
                          <w:rFonts w:cs="Arial"/>
                          <w:color w:val="000000" w:themeColor="text1"/>
                          <w:sz w:val="18"/>
                          <w:szCs w:val="18"/>
                          <w:lang w:eastAsia="ja-JP"/>
                        </w:rPr>
                        <w:t>, which is estimated using equation (7). In panel (b), the blue squares and dashed line represent the</w:t>
                      </w:r>
                      <w:r w:rsidRPr="005A2DA3">
                        <w:rPr>
                          <w:rFonts w:cs="Arial"/>
                          <w:color w:val="000000" w:themeColor="text1"/>
                          <w:sz w:val="18"/>
                          <w:szCs w:val="18"/>
                          <w:lang w:eastAsia="ja-JP"/>
                        </w:rPr>
                        <w:t xml:space="preserve"> </w:t>
                      </w:r>
                      <w:r>
                        <w:rPr>
                          <w:rFonts w:cs="Arial"/>
                          <w:color w:val="000000" w:themeColor="text1"/>
                          <w:sz w:val="18"/>
                          <w:szCs w:val="18"/>
                          <w:lang w:eastAsia="ja-JP"/>
                        </w:rPr>
                        <w:t xml:space="preserve">apparent </w:t>
                      </w:r>
                      <w:r w:rsidRPr="005A2DA3">
                        <w:rPr>
                          <w:rFonts w:cs="Arial"/>
                          <w:color w:val="000000" w:themeColor="text1"/>
                          <w:sz w:val="18"/>
                          <w:szCs w:val="18"/>
                          <w:lang w:eastAsia="ja-JP"/>
                        </w:rPr>
                        <w:t xml:space="preserve">proton transport number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/app</w:t>
                      </w:r>
                      <w:r>
                        <w:rPr>
                          <w:rFonts w:cs="Arial"/>
                          <w:color w:val="000000" w:themeColor="text1"/>
                          <w:sz w:val="18"/>
                          <w:szCs w:val="18"/>
                          <w:lang w:eastAsia="ja-JP"/>
                        </w:rPr>
                        <w:t xml:space="preserve">, which is </w:t>
                      </w:r>
                      <w:r w:rsidRPr="005A2DA3">
                        <w:rPr>
                          <w:rFonts w:cs="Arial"/>
                          <w:color w:val="000000" w:themeColor="text1"/>
                          <w:sz w:val="18"/>
                          <w:szCs w:val="18"/>
                          <w:lang w:eastAsia="ja-JP"/>
                        </w:rPr>
                        <w:t>estimated using</w:t>
                      </w:r>
                      <w:r>
                        <w:rPr>
                          <w:rFonts w:cs="Arial"/>
                          <w:color w:val="000000" w:themeColor="text1"/>
                          <w:sz w:val="18"/>
                          <w:szCs w:val="18"/>
                          <w:lang w:eastAsia="ja-JP"/>
                        </w:rPr>
                        <w:t xml:space="preserve"> equation (</w:t>
                      </w:r>
                      <w:r w:rsidRPr="005A2DA3">
                        <w:rPr>
                          <w:rFonts w:cs="Arial"/>
                          <w:color w:val="000000" w:themeColor="text1"/>
                          <w:sz w:val="18"/>
                          <w:szCs w:val="18"/>
                          <w:lang w:eastAsia="ja-JP"/>
                        </w:rPr>
                        <w:t xml:space="preserve">8). </w:t>
                      </w:r>
                      <w:r>
                        <w:rPr>
                          <w:rFonts w:cs="Arial"/>
                          <w:color w:val="000000" w:themeColor="text1"/>
                          <w:sz w:val="18"/>
                          <w:szCs w:val="18"/>
                          <w:lang w:eastAsia="ja-JP"/>
                        </w:rPr>
                        <w:t>In panel (a), the red circles and solid line denote t</w:t>
                      </w:r>
                      <w:r w:rsidRPr="005A2DA3">
                        <w:rPr>
                          <w:rFonts w:cs="Arial"/>
                          <w:color w:val="000000" w:themeColor="text1"/>
                          <w:sz w:val="18"/>
                          <w:szCs w:val="18"/>
                          <w:lang w:eastAsia="ja-JP"/>
                        </w:rPr>
                        <w:t xml:space="preserve">he </w:t>
                      </w:r>
                      <w:r>
                        <w:rPr>
                          <w:rFonts w:cs="Arial"/>
                          <w:color w:val="000000" w:themeColor="text1"/>
                          <w:sz w:val="18"/>
                          <w:szCs w:val="18"/>
                          <w:lang w:eastAsia="ja-JP"/>
                        </w:rPr>
                        <w:t xml:space="preserve">accurate </w:t>
                      </w:r>
                      <w:r w:rsidRPr="005A2DA3">
                        <w:rPr>
                          <w:rFonts w:cs="Arial"/>
                          <w:color w:val="000000" w:themeColor="text1"/>
                          <w:sz w:val="18"/>
                          <w:szCs w:val="18"/>
                          <w:lang w:eastAsia="ja-JP"/>
                        </w:rPr>
                        <w:t>oxygen transport number</w:t>
                      </w:r>
                      <w:r>
                        <w:rPr>
                          <w:rFonts w:cs="Arial"/>
                          <w:color w:val="000000" w:themeColor="text1"/>
                          <w:sz w:val="18"/>
                          <w:szCs w:val="18"/>
                          <w:lang w:eastAsia="ja-JP"/>
                        </w:rPr>
                        <w:t xml:space="preserve"> obtained from the EMF measurements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wet</w:t>
                      </w:r>
                      <w:proofErr w:type="spellEnd"/>
                      <w:r w:rsidRPr="005A2DA3">
                        <w:rPr>
                          <w:rFonts w:cs="Arial"/>
                          <w:color w:val="000000" w:themeColor="text1"/>
                          <w:sz w:val="18"/>
                          <w:szCs w:val="18"/>
                          <w:vertAlign w:val="subscript"/>
                          <w:lang w:eastAsia="ja-JP"/>
                        </w:rPr>
                        <w:t>/O/EMF</w:t>
                      </w:r>
                      <w:r>
                        <w:rPr>
                          <w:rFonts w:cs="Arial"/>
                          <w:color w:val="000000" w:themeColor="text1"/>
                          <w:sz w:val="18"/>
                          <w:szCs w:val="18"/>
                          <w:lang w:eastAsia="ja-JP"/>
                        </w:rPr>
                        <w:t xml:space="preserve">. In panel (b), the blue circles </w:t>
                      </w:r>
                      <w:r w:rsidRPr="005A2DA3">
                        <w:rPr>
                          <w:rFonts w:cs="Arial"/>
                          <w:color w:val="000000" w:themeColor="text1"/>
                          <w:sz w:val="18"/>
                          <w:szCs w:val="18"/>
                          <w:lang w:eastAsia="ja-JP"/>
                        </w:rPr>
                        <w:t xml:space="preserve">and </w:t>
                      </w:r>
                      <w:r>
                        <w:rPr>
                          <w:rFonts w:cs="Arial"/>
                          <w:color w:val="000000" w:themeColor="text1"/>
                          <w:sz w:val="18"/>
                          <w:szCs w:val="18"/>
                          <w:lang w:eastAsia="ja-JP"/>
                        </w:rPr>
                        <w:t xml:space="preserve">solid line represent the accurate </w:t>
                      </w:r>
                      <w:r w:rsidRPr="005A2DA3">
                        <w:rPr>
                          <w:rFonts w:cs="Arial"/>
                          <w:color w:val="000000" w:themeColor="text1"/>
                          <w:sz w:val="18"/>
                          <w:szCs w:val="18"/>
                          <w:lang w:eastAsia="ja-JP"/>
                        </w:rPr>
                        <w:t>proton transport number</w:t>
                      </w:r>
                      <w:r>
                        <w:rPr>
                          <w:rFonts w:cs="Arial"/>
                          <w:color w:val="000000" w:themeColor="text1"/>
                          <w:sz w:val="18"/>
                          <w:szCs w:val="18"/>
                          <w:lang w:eastAsia="ja-JP"/>
                        </w:rPr>
                        <w:t xml:space="preserve"> obtained by the EMF measurements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/EMF</w:t>
                      </w:r>
                      <w:r w:rsidRPr="005A2DA3">
                        <w:rPr>
                          <w:rFonts w:cs="Arial"/>
                          <w:color w:val="000000" w:themeColor="text1"/>
                          <w:sz w:val="18"/>
                          <w:szCs w:val="18"/>
                          <w:lang w:eastAsia="ja-JP"/>
                        </w:rPr>
                        <w:t>. Results of the EMF measurements of (</w:t>
                      </w:r>
                      <w:proofErr w:type="spellStart"/>
                      <w:r w:rsidRPr="005A2DA3">
                        <w:rPr>
                          <w:rFonts w:cs="Arial"/>
                          <w:color w:val="000000" w:themeColor="text1"/>
                          <w:sz w:val="18"/>
                          <w:szCs w:val="18"/>
                          <w:lang w:eastAsia="ja-JP"/>
                        </w:rPr>
                        <w:t>c,d</w:t>
                      </w:r>
                      <w:proofErr w:type="spellEnd"/>
                      <w:r w:rsidRPr="005A2DA3">
                        <w:rPr>
                          <w:rFonts w:cs="Arial"/>
                          <w:color w:val="000000" w:themeColor="text1"/>
                          <w:sz w:val="18"/>
                          <w:szCs w:val="18"/>
                          <w:lang w:eastAsia="ja-JP"/>
                        </w:rPr>
                        <w:t>) the oxygen concentration cell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H</m:t>
                                </m:r>
                              </m:e>
                              <m:sub>
                                <m:r>
                                  <m:rPr>
                                    <m:sty m:val="p"/>
                                  </m:rPr>
                                  <w:rPr>
                                    <w:rFonts w:ascii="Cambria Math" w:hAnsi="Cambria Math" w:cs="Arial"/>
                                    <w:color w:val="000000" w:themeColor="text1"/>
                                    <w:sz w:val="18"/>
                                    <w:szCs w:val="18"/>
                                    <w:lang w:eastAsia="ja-JP"/>
                                  </w:rPr>
                                  <m:t>2</m:t>
                                </m:r>
                              </m:sub>
                            </m:sSub>
                            <m:r>
                              <m:rPr>
                                <m:sty m:val="p"/>
                              </m:rPr>
                              <w:rPr>
                                <w:rFonts w:ascii="Cambria Math" w:hAnsi="Cambria Math" w:cs="Arial"/>
                                <w:color w:val="000000" w:themeColor="text1"/>
                                <w:sz w:val="18"/>
                                <w:szCs w:val="18"/>
                                <w:lang w:eastAsia="ja-JP"/>
                              </w:rPr>
                              <m:t>O</m:t>
                            </m:r>
                          </m:sub>
                          <m:sup>
                            <m:r>
                              <m:rPr>
                                <m:sty m:val="p"/>
                              </m:rPr>
                              <w:rPr>
                                <w:rFonts w:ascii="Cambria Math" w:hAnsi="Cambria Math" w:cs="Arial"/>
                                <w:color w:val="000000" w:themeColor="text1"/>
                                <w:sz w:val="18"/>
                                <w:szCs w:val="18"/>
                                <w:lang w:eastAsia="ja-JP"/>
                              </w:rPr>
                              <m:t>I</m:t>
                            </m:r>
                          </m:sup>
                        </m:sSubSup>
                      </m:oMath>
                      <w:r w:rsidRPr="005A2DA3">
                        <w:rPr>
                          <w:rFonts w:cs="Arial"/>
                          <w:color w:val="000000" w:themeColor="text1"/>
                          <w:sz w:val="18"/>
                          <w:szCs w:val="18"/>
                          <w:lang w:eastAsia="ja-JP"/>
                        </w:rPr>
                        <w:t xml:space="preserve"> =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H</m:t>
                                </m:r>
                              </m:e>
                              <m:sub>
                                <m:r>
                                  <m:rPr>
                                    <m:sty m:val="p"/>
                                  </m:rPr>
                                  <w:rPr>
                                    <w:rFonts w:ascii="Cambria Math" w:hAnsi="Cambria Math" w:cs="Arial"/>
                                    <w:color w:val="000000" w:themeColor="text1"/>
                                    <w:sz w:val="18"/>
                                    <w:szCs w:val="18"/>
                                    <w:lang w:eastAsia="ja-JP"/>
                                  </w:rPr>
                                  <m:t>2</m:t>
                                </m:r>
                              </m:sub>
                            </m:sSub>
                            <m:r>
                              <m:rPr>
                                <m:sty m:val="p"/>
                              </m:rPr>
                              <w:rPr>
                                <w:rFonts w:ascii="Cambria Math" w:hAnsi="Cambria Math" w:cs="Arial"/>
                                <w:color w:val="000000" w:themeColor="text1"/>
                                <w:sz w:val="18"/>
                                <w:szCs w:val="18"/>
                                <w:lang w:eastAsia="ja-JP"/>
                              </w:rPr>
                              <m:t>O</m:t>
                            </m:r>
                          </m:sub>
                          <m:sup>
                            <m:r>
                              <m:rPr>
                                <m:sty m:val="p"/>
                              </m:rPr>
                              <w:rPr>
                                <w:rFonts w:ascii="Cambria Math" w:hAnsi="Cambria Math" w:cs="Arial"/>
                                <w:color w:val="000000" w:themeColor="text1"/>
                                <w:sz w:val="18"/>
                                <w:szCs w:val="18"/>
                                <w:lang w:eastAsia="ja-JP"/>
                              </w:rPr>
                              <m:t>II</m:t>
                            </m:r>
                          </m:sup>
                        </m:sSubSup>
                      </m:oMath>
                      <w:r w:rsidRPr="005A2DA3">
                        <w:rPr>
                          <w:rFonts w:cs="Arial"/>
                          <w:color w:val="000000" w:themeColor="text1"/>
                          <w:sz w:val="18"/>
                          <w:szCs w:val="18"/>
                          <w:lang w:eastAsia="ja-JP"/>
                        </w:rPr>
                        <w:t xml:space="preserve"> = 0.021 atm) and (e,f) the water vapor concentration cell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O</m:t>
                                </m:r>
                              </m:e>
                              <m:sub>
                                <m:r>
                                  <m:rPr>
                                    <m:sty m:val="p"/>
                                  </m:rPr>
                                  <w:rPr>
                                    <w:rFonts w:ascii="Cambria Math" w:hAnsi="Cambria Math" w:cs="Arial"/>
                                    <w:color w:val="000000" w:themeColor="text1"/>
                                    <w:sz w:val="18"/>
                                    <w:szCs w:val="18"/>
                                    <w:lang w:eastAsia="ja-JP"/>
                                  </w:rPr>
                                  <m:t>2</m:t>
                                </m:r>
                              </m:sub>
                            </m:sSub>
                          </m:sub>
                          <m:sup>
                            <m:r>
                              <m:rPr>
                                <m:sty m:val="p"/>
                              </m:rPr>
                              <w:rPr>
                                <w:rFonts w:ascii="Cambria Math" w:hAnsi="Cambria Math" w:cs="Arial"/>
                                <w:color w:val="000000" w:themeColor="text1"/>
                                <w:sz w:val="18"/>
                                <w:szCs w:val="18"/>
                                <w:lang w:eastAsia="ja-JP"/>
                              </w:rPr>
                              <m:t>I</m:t>
                            </m:r>
                          </m:sup>
                        </m:sSubSup>
                      </m:oMath>
                      <w:r w:rsidRPr="005A2DA3">
                        <w:rPr>
                          <w:rFonts w:cs="Arial"/>
                          <w:color w:val="000000" w:themeColor="text1"/>
                          <w:sz w:val="18"/>
                          <w:szCs w:val="18"/>
                          <w:lang w:eastAsia="ja-JP"/>
                        </w:rPr>
                        <w:t xml:space="preserve"> =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P</m:t>
                            </m:r>
                          </m:e>
                          <m:sub>
                            <m:sSub>
                              <m:sSubPr>
                                <m:ctrlPr>
                                  <w:rPr>
                                    <w:rFonts w:ascii="Cambria Math" w:hAnsi="Cambria Math" w:cs="Arial"/>
                                    <w:iCs/>
                                    <w:color w:val="000000" w:themeColor="text1"/>
                                    <w:sz w:val="18"/>
                                    <w:szCs w:val="18"/>
                                    <w:lang w:eastAsia="ja-JP"/>
                                  </w:rPr>
                                </m:ctrlPr>
                              </m:sSubPr>
                              <m:e>
                                <m:r>
                                  <m:rPr>
                                    <m:sty m:val="p"/>
                                  </m:rPr>
                                  <w:rPr>
                                    <w:rFonts w:ascii="Cambria Math" w:hAnsi="Cambria Math" w:cs="Arial"/>
                                    <w:color w:val="000000" w:themeColor="text1"/>
                                    <w:sz w:val="18"/>
                                    <w:szCs w:val="18"/>
                                    <w:lang w:eastAsia="ja-JP"/>
                                  </w:rPr>
                                  <m:t>O</m:t>
                                </m:r>
                              </m:e>
                              <m:sub>
                                <m:r>
                                  <m:rPr>
                                    <m:sty m:val="p"/>
                                  </m:rPr>
                                  <w:rPr>
                                    <w:rFonts w:ascii="Cambria Math" w:hAnsi="Cambria Math" w:cs="Arial"/>
                                    <w:color w:val="000000" w:themeColor="text1"/>
                                    <w:sz w:val="18"/>
                                    <w:szCs w:val="18"/>
                                    <w:lang w:eastAsia="ja-JP"/>
                                  </w:rPr>
                                  <m:t>2</m:t>
                                </m:r>
                              </m:sub>
                            </m:sSub>
                          </m:sub>
                          <m:sup>
                            <m:r>
                              <m:rPr>
                                <m:sty m:val="p"/>
                              </m:rPr>
                              <w:rPr>
                                <w:rFonts w:ascii="Cambria Math" w:hAnsi="Cambria Math" w:cs="Arial"/>
                                <w:color w:val="000000" w:themeColor="text1"/>
                                <w:sz w:val="18"/>
                                <w:szCs w:val="18"/>
                                <w:lang w:eastAsia="ja-JP"/>
                              </w:rPr>
                              <m:t>II</m:t>
                            </m:r>
                          </m:sup>
                        </m:sSubSup>
                      </m:oMath>
                      <w:r w:rsidRPr="005A2DA3">
                        <w:rPr>
                          <w:rFonts w:cs="Arial"/>
                          <w:color w:val="000000" w:themeColor="text1"/>
                          <w:sz w:val="18"/>
                          <w:szCs w:val="18"/>
                          <w:lang w:eastAsia="ja-JP"/>
                        </w:rPr>
                        <w:t xml:space="preserve"> = 0.20 atm) of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at 600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C (</w:t>
                      </w:r>
                      <w:proofErr w:type="spellStart"/>
                      <w:r w:rsidRPr="005A2DA3">
                        <w:rPr>
                          <w:rFonts w:cs="Arial"/>
                          <w:color w:val="000000" w:themeColor="text1"/>
                          <w:sz w:val="18"/>
                          <w:szCs w:val="18"/>
                          <w:lang w:eastAsia="ja-JP"/>
                        </w:rPr>
                        <w:t>c,e</w:t>
                      </w:r>
                      <w:proofErr w:type="spellEnd"/>
                      <w:r w:rsidRPr="005A2DA3">
                        <w:rPr>
                          <w:rFonts w:cs="Arial"/>
                          <w:color w:val="000000" w:themeColor="text1"/>
                          <w:sz w:val="18"/>
                          <w:szCs w:val="18"/>
                          <w:lang w:eastAsia="ja-JP"/>
                        </w:rPr>
                        <w:t xml:space="preserve">) and 500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C (</w:t>
                      </w:r>
                      <w:proofErr w:type="spellStart"/>
                      <w:r w:rsidRPr="005A2DA3">
                        <w:rPr>
                          <w:rFonts w:cs="Arial"/>
                          <w:color w:val="000000" w:themeColor="text1"/>
                          <w:sz w:val="18"/>
                          <w:szCs w:val="18"/>
                          <w:lang w:eastAsia="ja-JP"/>
                        </w:rPr>
                        <w:t>d,f</w:t>
                      </w:r>
                      <w:proofErr w:type="spellEnd"/>
                      <w:r w:rsidRPr="005A2DA3">
                        <w:rPr>
                          <w:rFonts w:cs="Arial"/>
                          <w:color w:val="000000" w:themeColor="text1"/>
                          <w:sz w:val="18"/>
                          <w:szCs w:val="18"/>
                          <w:lang w:eastAsia="ja-JP"/>
                        </w:rPr>
                        <w:t>). The black dashed line stands for the theoretical values for (</w:t>
                      </w:r>
                      <w:proofErr w:type="spellStart"/>
                      <w:proofErr w:type="gramStart"/>
                      <w:r w:rsidRPr="005A2DA3">
                        <w:rPr>
                          <w:rFonts w:cs="Arial"/>
                          <w:color w:val="000000" w:themeColor="text1"/>
                          <w:sz w:val="18"/>
                          <w:szCs w:val="18"/>
                          <w:lang w:eastAsia="ja-JP"/>
                        </w:rPr>
                        <w:t>c,d</w:t>
                      </w:r>
                      <w:proofErr w:type="spellEnd"/>
                      <w:proofErr w:type="gramEnd"/>
                      <w:r w:rsidRPr="005A2DA3">
                        <w:rPr>
                          <w:rFonts w:cs="Arial"/>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/EMF</w:t>
                      </w:r>
                      <w:r w:rsidRPr="005A2DA3" w:rsidDel="005B6861">
                        <w:rPr>
                          <w:rFonts w:cs="Arial"/>
                          <w:i/>
                          <w:iCs/>
                          <w:color w:val="000000" w:themeColor="text1"/>
                          <w:sz w:val="18"/>
                          <w:szCs w:val="18"/>
                          <w:lang w:eastAsia="ja-JP"/>
                        </w:rPr>
                        <w:t xml:space="preserve"> </w:t>
                      </w:r>
                      <w:r w:rsidRPr="005A2DA3">
                        <w:rPr>
                          <w:rFonts w:cs="Arial"/>
                          <w:color w:val="000000" w:themeColor="text1"/>
                          <w:sz w:val="18"/>
                          <w:szCs w:val="18"/>
                          <w:lang w:eastAsia="ja-JP"/>
                        </w:rPr>
                        <w:t>+</w:t>
                      </w:r>
                      <w:r w:rsidRPr="005A2DA3">
                        <w:rPr>
                          <w:rFonts w:cs="Arial"/>
                          <w:i/>
                          <w:iCs/>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O</w:t>
                      </w:r>
                      <w:proofErr w:type="spellEnd"/>
                      <w:r w:rsidRPr="005A2DA3">
                        <w:rPr>
                          <w:rFonts w:cs="Arial"/>
                          <w:color w:val="000000" w:themeColor="text1"/>
                          <w:sz w:val="18"/>
                          <w:szCs w:val="18"/>
                          <w:vertAlign w:val="subscript"/>
                          <w:lang w:eastAsia="ja-JP"/>
                        </w:rPr>
                        <w:t>/wet/EMF</w:t>
                      </w:r>
                      <w:r w:rsidRPr="005A2DA3">
                        <w:rPr>
                          <w:rFonts w:cs="Arial"/>
                          <w:color w:val="000000" w:themeColor="text1"/>
                          <w:sz w:val="18"/>
                          <w:szCs w:val="18"/>
                          <w:lang w:eastAsia="ja-JP"/>
                        </w:rPr>
                        <w:t xml:space="preserve"> = 1 and (</w:t>
                      </w:r>
                      <w:proofErr w:type="spellStart"/>
                      <w:r w:rsidRPr="005A2DA3">
                        <w:rPr>
                          <w:rFonts w:cs="Arial"/>
                          <w:color w:val="000000" w:themeColor="text1"/>
                          <w:sz w:val="18"/>
                          <w:szCs w:val="18"/>
                          <w:lang w:eastAsia="ja-JP"/>
                        </w:rPr>
                        <w:t>e,f</w:t>
                      </w:r>
                      <w:proofErr w:type="spellEnd"/>
                      <w:r w:rsidRPr="005A2DA3">
                        <w:rPr>
                          <w:rFonts w:cs="Arial"/>
                          <w:color w:val="000000" w:themeColor="text1"/>
                          <w:sz w:val="18"/>
                          <w:szCs w:val="18"/>
                          <w:lang w:eastAsia="ja-JP"/>
                        </w:rPr>
                        <w:t xml:space="preserve">) </w:t>
                      </w:r>
                      <w:proofErr w:type="spellStart"/>
                      <w:r w:rsidRPr="005A2DA3">
                        <w:rPr>
                          <w:rFonts w:cs="Arial"/>
                          <w:i/>
                          <w:iCs/>
                          <w:color w:val="000000" w:themeColor="text1"/>
                          <w:sz w:val="18"/>
                          <w:szCs w:val="18"/>
                          <w:lang w:eastAsia="ja-JP"/>
                        </w:rPr>
                        <w:t>t</w:t>
                      </w:r>
                      <w:r w:rsidRPr="005A2DA3">
                        <w:rPr>
                          <w:rFonts w:cs="Arial"/>
                          <w:color w:val="000000" w:themeColor="text1"/>
                          <w:sz w:val="18"/>
                          <w:szCs w:val="18"/>
                          <w:vertAlign w:val="subscript"/>
                          <w:lang w:eastAsia="ja-JP"/>
                        </w:rPr>
                        <w:t>H</w:t>
                      </w:r>
                      <w:proofErr w:type="spellEnd"/>
                      <w:r w:rsidRPr="005A2DA3">
                        <w:rPr>
                          <w:rFonts w:cs="Arial"/>
                          <w:color w:val="000000" w:themeColor="text1"/>
                          <w:sz w:val="18"/>
                          <w:szCs w:val="18"/>
                          <w:vertAlign w:val="subscript"/>
                          <w:lang w:eastAsia="ja-JP"/>
                        </w:rPr>
                        <w:t>/EMF</w:t>
                      </w:r>
                      <w:r w:rsidRPr="005A2DA3">
                        <w:rPr>
                          <w:rFonts w:cs="Arial"/>
                          <w:color w:val="000000" w:themeColor="text1"/>
                          <w:sz w:val="18"/>
                          <w:szCs w:val="18"/>
                          <w:lang w:eastAsia="ja-JP"/>
                        </w:rPr>
                        <w:t xml:space="preserve"> = 1. Red circles in panels </w:t>
                      </w:r>
                      <w:r>
                        <w:rPr>
                          <w:rFonts w:cs="Arial"/>
                          <w:color w:val="000000" w:themeColor="text1"/>
                          <w:sz w:val="18"/>
                          <w:szCs w:val="18"/>
                          <w:lang w:eastAsia="ja-JP"/>
                        </w:rPr>
                        <w:t>(</w:t>
                      </w:r>
                      <w:r w:rsidRPr="005A2DA3">
                        <w:rPr>
                          <w:rFonts w:cs="Arial"/>
                          <w:color w:val="000000" w:themeColor="text1"/>
                          <w:sz w:val="18"/>
                          <w:szCs w:val="18"/>
                          <w:lang w:eastAsia="ja-JP"/>
                        </w:rPr>
                        <w:t>c</w:t>
                      </w:r>
                      <w:r>
                        <w:rPr>
                          <w:rFonts w:cs="Arial"/>
                          <w:color w:val="000000" w:themeColor="text1"/>
                          <w:sz w:val="18"/>
                          <w:szCs w:val="18"/>
                          <w:lang w:eastAsia="ja-JP"/>
                        </w:rPr>
                        <w:t>)</w:t>
                      </w:r>
                      <w:r w:rsidRPr="005A2DA3">
                        <w:rPr>
                          <w:rFonts w:cs="Arial"/>
                          <w:color w:val="000000" w:themeColor="text1"/>
                          <w:sz w:val="18"/>
                          <w:szCs w:val="18"/>
                          <w:lang w:eastAsia="ja-JP"/>
                        </w:rPr>
                        <w:t>-</w:t>
                      </w:r>
                      <w:r>
                        <w:rPr>
                          <w:rFonts w:cs="Arial"/>
                          <w:color w:val="000000" w:themeColor="text1"/>
                          <w:sz w:val="18"/>
                          <w:szCs w:val="18"/>
                          <w:lang w:eastAsia="ja-JP"/>
                        </w:rPr>
                        <w:t>(</w:t>
                      </w:r>
                      <w:r w:rsidRPr="005A2DA3">
                        <w:rPr>
                          <w:rFonts w:cs="Arial"/>
                          <w:color w:val="000000" w:themeColor="text1"/>
                          <w:sz w:val="18"/>
                          <w:szCs w:val="18"/>
                          <w:lang w:eastAsia="ja-JP"/>
                        </w:rPr>
                        <w:t>f</w:t>
                      </w:r>
                      <w:r>
                        <w:rPr>
                          <w:rFonts w:cs="Arial"/>
                          <w:color w:val="000000" w:themeColor="text1"/>
                          <w:sz w:val="18"/>
                          <w:szCs w:val="18"/>
                          <w:lang w:eastAsia="ja-JP"/>
                        </w:rPr>
                        <w:t>)</w:t>
                      </w:r>
                      <w:r w:rsidRPr="005A2DA3">
                        <w:rPr>
                          <w:rFonts w:cs="Arial"/>
                          <w:color w:val="000000" w:themeColor="text1"/>
                          <w:sz w:val="18"/>
                          <w:szCs w:val="18"/>
                          <w:lang w:eastAsia="ja-JP"/>
                        </w:rPr>
                        <w:t xml:space="preserve"> represent the measured </w:t>
                      </w:r>
                      <w:r>
                        <w:rPr>
                          <w:rFonts w:cs="Arial"/>
                          <w:color w:val="000000" w:themeColor="text1"/>
                          <w:sz w:val="18"/>
                          <w:szCs w:val="18"/>
                          <w:lang w:eastAsia="ja-JP"/>
                        </w:rPr>
                        <w:t>EMF data.</w:t>
                      </w:r>
                    </w:p>
                    <w:p w14:paraId="4FC3E9E1" w14:textId="77777777" w:rsidR="00982388" w:rsidRPr="001921ED" w:rsidRDefault="00982388" w:rsidP="0064156E">
                      <w:pPr>
                        <w:spacing w:line="240" w:lineRule="exact"/>
                        <w:rPr>
                          <w:rFonts w:cs="Arial"/>
                          <w:lang w:eastAsia="ja-JP"/>
                        </w:rPr>
                      </w:pPr>
                    </w:p>
                  </w:txbxContent>
                </v:textbox>
                <w10:wrap type="square" anchorx="margin"/>
              </v:shape>
            </w:pict>
          </mc:Fallback>
        </mc:AlternateContent>
      </w:r>
      <w:r w:rsidRPr="001E3806">
        <w:rPr>
          <w:bCs/>
          <w:lang w:val="en-US"/>
        </w:rPr>
        <w:t>atmospheres. However, we will show below that this is not the case.</w:t>
      </w:r>
      <w:r w:rsidR="00B84411" w:rsidRPr="001E3806">
        <w:rPr>
          <w:rFonts w:cstheme="minorHAnsi"/>
          <w:noProof/>
          <w:sz w:val="22"/>
          <w:lang w:val="en-US"/>
        </w:rPr>
        <w:t xml:space="preserve"> </w:t>
      </w:r>
    </w:p>
    <w:p w14:paraId="51342161" w14:textId="719011F7" w:rsidR="0061024F" w:rsidRPr="001E3806" w:rsidRDefault="009234A6" w:rsidP="009234A6">
      <w:pPr>
        <w:pStyle w:val="RSCB02ArticleText"/>
        <w:ind w:firstLine="284"/>
        <w:rPr>
          <w:bCs/>
          <w:lang w:val="en-US"/>
        </w:rPr>
      </w:pPr>
      <w:r w:rsidRPr="001E3806">
        <w:rPr>
          <w:rFonts w:ascii="Times New Roman"/>
          <w:noProof/>
          <w:sz w:val="22"/>
          <w:lang w:val="ja-JP"/>
        </w:rPr>
        <mc:AlternateContent>
          <mc:Choice Requires="wps">
            <w:drawing>
              <wp:anchor distT="45720" distB="45720" distL="114300" distR="114300" simplePos="0" relativeHeight="251694080" behindDoc="0" locked="0" layoutInCell="1" allowOverlap="1" wp14:anchorId="639700BF" wp14:editId="3043F744">
                <wp:simplePos x="0" y="0"/>
                <wp:positionH relativeFrom="margin">
                  <wp:posOffset>3317875</wp:posOffset>
                </wp:positionH>
                <wp:positionV relativeFrom="paragraph">
                  <wp:posOffset>374650</wp:posOffset>
                </wp:positionV>
                <wp:extent cx="3145790" cy="2837815"/>
                <wp:effectExtent l="0" t="0" r="0" b="635"/>
                <wp:wrapSquare wrapText="bothSides"/>
                <wp:docPr id="21" name="テキスト ボックス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2837815"/>
                        </a:xfrm>
                        <a:prstGeom prst="rect">
                          <a:avLst/>
                        </a:prstGeom>
                        <a:solidFill>
                          <a:srgbClr val="FFFFFF"/>
                        </a:solidFill>
                        <a:ln w="9525">
                          <a:noFill/>
                          <a:miter lim="800000"/>
                          <a:headEnd/>
                          <a:tailEnd/>
                        </a:ln>
                      </wps:spPr>
                      <wps:txbx>
                        <w:txbxContent>
                          <w:p w14:paraId="31AC480F" w14:textId="77777777" w:rsidR="00982388" w:rsidRDefault="00982388" w:rsidP="00332CE1">
                            <w:pPr>
                              <w:jc w:val="center"/>
                              <w:rPr>
                                <w:rFonts w:ascii="Times New Roman"/>
                                <w:szCs w:val="10"/>
                                <w:lang w:eastAsia="ja-JP"/>
                              </w:rPr>
                            </w:pPr>
                            <w:r w:rsidDel="00B30AD1">
                              <w:rPr>
                                <w:noProof/>
                                <w:lang w:eastAsia="ja-JP"/>
                              </w:rPr>
                              <w:t xml:space="preserve"> </w:t>
                            </w:r>
                            <w:r w:rsidRPr="00D558E7">
                              <w:rPr>
                                <w:noProof/>
                              </w:rPr>
                              <w:drawing>
                                <wp:inline distT="0" distB="0" distL="0" distR="0" wp14:anchorId="32EFA7E9" wp14:editId="2F0951AA">
                                  <wp:extent cx="1947333" cy="1837844"/>
                                  <wp:effectExtent l="0" t="0" r="0" b="0"/>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62868" cy="1852506"/>
                                          </a:xfrm>
                                          <a:prstGeom prst="rect">
                                            <a:avLst/>
                                          </a:prstGeom>
                                        </pic:spPr>
                                      </pic:pic>
                                    </a:graphicData>
                                  </a:graphic>
                                </wp:inline>
                              </w:drawing>
                            </w:r>
                          </w:p>
                          <w:p w14:paraId="39553D8B" w14:textId="77777777" w:rsidR="00982388" w:rsidRPr="00D77C38" w:rsidRDefault="00982388" w:rsidP="00332CE1">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4</w:t>
                            </w:r>
                            <w:r w:rsidRPr="00D77C38">
                              <w:rPr>
                                <w:rFonts w:cs="Arial"/>
                                <w:color w:val="000000" w:themeColor="text1"/>
                                <w:sz w:val="18"/>
                                <w:szCs w:val="18"/>
                                <w:lang w:eastAsia="ja-JP"/>
                              </w:rPr>
                              <w:t xml:space="preserve"> </w:t>
                            </w:r>
                            <w:r w:rsidRPr="005A2DA3">
                              <w:rPr>
                                <w:rFonts w:cs="Arial"/>
                                <w:color w:val="000000" w:themeColor="text1"/>
                                <w:sz w:val="18"/>
                                <w:szCs w:val="18"/>
                                <w:lang w:val="de-DE" w:eastAsia="ja-JP"/>
                              </w:rPr>
                              <w:t xml:space="preserve">H/D isotope effect on the DC electrical conductivity </w:t>
                            </w:r>
                            <w:r w:rsidRPr="005A2DA3">
                              <w:rPr>
                                <w:rFonts w:cs="Arial"/>
                                <w:i/>
                                <w:iCs/>
                                <w:color w:val="000000" w:themeColor="text1"/>
                                <w:sz w:val="18"/>
                                <w:szCs w:val="18"/>
                                <w:lang w:eastAsia="ja-JP"/>
                              </w:rPr>
                              <w:sym w:font="Symbol" w:char="F073"/>
                            </w:r>
                            <w:r w:rsidRPr="005A2DA3">
                              <w:rPr>
                                <w:rFonts w:cs="Arial"/>
                                <w:color w:val="000000" w:themeColor="text1"/>
                                <w:sz w:val="18"/>
                                <w:szCs w:val="18"/>
                                <w:vertAlign w:val="subscript"/>
                                <w:lang w:val="de-DE" w:eastAsia="ja-JP"/>
                              </w:rPr>
                              <w:t>DC</w:t>
                            </w:r>
                            <w:r w:rsidRPr="005A2DA3">
                              <w:rPr>
                                <w:rFonts w:cs="Arial"/>
                                <w:color w:val="000000" w:themeColor="text1"/>
                                <w:sz w:val="18"/>
                                <w:szCs w:val="18"/>
                                <w:lang w:eastAsia="ja-JP"/>
                              </w:rPr>
                              <w:t xml:space="preserve"> </w:t>
                            </w:r>
                            <w:r w:rsidRPr="005A2DA3">
                              <w:rPr>
                                <w:rFonts w:cs="Arial"/>
                                <w:color w:val="000000" w:themeColor="text1"/>
                                <w:sz w:val="18"/>
                                <w:szCs w:val="18"/>
                                <w:lang w:val="de-DE" w:eastAsia="ja-JP"/>
                              </w:rPr>
                              <w:t>of Ba</w:t>
                            </w:r>
                            <w:r w:rsidRPr="005A2DA3">
                              <w:rPr>
                                <w:rFonts w:cs="Arial"/>
                                <w:color w:val="000000" w:themeColor="text1"/>
                                <w:sz w:val="18"/>
                                <w:szCs w:val="18"/>
                                <w:vertAlign w:val="subscript"/>
                                <w:lang w:val="de-DE" w:eastAsia="ja-JP"/>
                              </w:rPr>
                              <w:t>7</w:t>
                            </w:r>
                            <w:r w:rsidRPr="005A2DA3">
                              <w:rPr>
                                <w:rFonts w:cs="Arial"/>
                                <w:color w:val="000000" w:themeColor="text1"/>
                                <w:sz w:val="18"/>
                                <w:szCs w:val="18"/>
                                <w:lang w:val="de-DE" w:eastAsia="ja-JP"/>
                              </w:rPr>
                              <w:t>Nb</w:t>
                            </w:r>
                            <w:r w:rsidRPr="005A2DA3">
                              <w:rPr>
                                <w:rFonts w:cs="Arial"/>
                                <w:color w:val="000000" w:themeColor="text1"/>
                                <w:sz w:val="18"/>
                                <w:szCs w:val="18"/>
                                <w:vertAlign w:val="subscript"/>
                                <w:lang w:val="de-DE" w:eastAsia="ja-JP"/>
                              </w:rPr>
                              <w:t>4</w:t>
                            </w:r>
                            <w:r w:rsidRPr="005A2DA3">
                              <w:rPr>
                                <w:rFonts w:cs="Arial"/>
                                <w:color w:val="000000" w:themeColor="text1"/>
                                <w:sz w:val="18"/>
                                <w:szCs w:val="18"/>
                                <w:lang w:val="de-DE" w:eastAsia="ja-JP"/>
                              </w:rPr>
                              <w:t>MoO</w:t>
                            </w:r>
                            <w:r w:rsidRPr="005A2DA3">
                              <w:rPr>
                                <w:rFonts w:cs="Arial"/>
                                <w:color w:val="000000" w:themeColor="text1"/>
                                <w:sz w:val="18"/>
                                <w:szCs w:val="18"/>
                                <w:vertAlign w:val="subscript"/>
                                <w:lang w:val="de-DE" w:eastAsia="ja-JP"/>
                              </w:rPr>
                              <w:t>20</w:t>
                            </w:r>
                            <w:r w:rsidRPr="005A2DA3">
                              <w:rPr>
                                <w:rFonts w:cs="Arial"/>
                                <w:color w:val="000000" w:themeColor="text1"/>
                                <w:sz w:val="18"/>
                                <w:szCs w:val="18"/>
                                <w:lang w:val="de-DE" w:eastAsia="ja-JP"/>
                              </w:rPr>
                              <w:t xml:space="preserve"> </w:t>
                            </w:r>
                            <w:r w:rsidRPr="005A2DA3">
                              <w:rPr>
                                <w:rFonts w:cs="Arial"/>
                                <w:color w:val="000000" w:themeColor="text1"/>
                                <w:sz w:val="18"/>
                                <w:szCs w:val="18"/>
                                <w:lang w:eastAsia="ja-JP"/>
                              </w:rPr>
                              <w:t xml:space="preserve">at different temperatures. The </w:t>
                            </w:r>
                            <w:r w:rsidRPr="005A2DA3">
                              <w:rPr>
                                <w:rFonts w:cs="Arial"/>
                                <w:i/>
                                <w:iCs/>
                                <w:color w:val="000000" w:themeColor="text1"/>
                                <w:sz w:val="18"/>
                                <w:szCs w:val="18"/>
                                <w:lang w:eastAsia="ja-JP"/>
                              </w:rPr>
                              <w:sym w:font="Symbol" w:char="F073"/>
                            </w:r>
                            <w:proofErr w:type="gramStart"/>
                            <w:r w:rsidRPr="005A2DA3">
                              <w:rPr>
                                <w:rFonts w:cs="Arial"/>
                                <w:color w:val="000000" w:themeColor="text1"/>
                                <w:sz w:val="18"/>
                                <w:szCs w:val="18"/>
                                <w:vertAlign w:val="subscript"/>
                                <w:lang w:val="de-DE" w:eastAsia="ja-JP"/>
                              </w:rPr>
                              <w:t>DC</w:t>
                            </w:r>
                            <w:r w:rsidRPr="005A2DA3">
                              <w:rPr>
                                <w:rFonts w:cs="Arial"/>
                                <w:color w:val="000000" w:themeColor="text1"/>
                                <w:sz w:val="18"/>
                                <w:szCs w:val="18"/>
                                <w:lang w:eastAsia="ja-JP"/>
                              </w:rPr>
                              <w:t>(</w:t>
                            </w:r>
                            <w:proofErr w:type="gramEnd"/>
                            <w:r w:rsidRPr="005A2DA3">
                              <w:rPr>
                                <w:rFonts w:cs="Arial"/>
                                <w:color w:val="000000" w:themeColor="text1"/>
                                <w:sz w:val="18"/>
                                <w:szCs w:val="18"/>
                                <w:lang w:eastAsia="ja-JP"/>
                              </w:rPr>
                              <w:t>H</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O) and </w:t>
                            </w:r>
                            <w:r w:rsidRPr="005A2DA3">
                              <w:rPr>
                                <w:rFonts w:cs="Arial"/>
                                <w:i/>
                                <w:iCs/>
                                <w:color w:val="000000" w:themeColor="text1"/>
                                <w:sz w:val="18"/>
                                <w:szCs w:val="18"/>
                                <w:lang w:eastAsia="ja-JP"/>
                              </w:rPr>
                              <w:sym w:font="Symbol" w:char="F073"/>
                            </w:r>
                            <w:r w:rsidRPr="005A2DA3">
                              <w:rPr>
                                <w:rFonts w:cs="Arial"/>
                                <w:color w:val="000000" w:themeColor="text1"/>
                                <w:sz w:val="18"/>
                                <w:szCs w:val="18"/>
                                <w:vertAlign w:val="subscript"/>
                                <w:lang w:val="de-DE" w:eastAsia="ja-JP"/>
                              </w:rPr>
                              <w:t>DC</w:t>
                            </w:r>
                            <w:r w:rsidRPr="005A2DA3">
                              <w:rPr>
                                <w:rFonts w:cs="Arial"/>
                                <w:color w:val="000000" w:themeColor="text1"/>
                                <w:sz w:val="18"/>
                                <w:szCs w:val="18"/>
                                <w:lang w:eastAsia="ja-JP"/>
                              </w:rPr>
                              <w:t>(D</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O) </w:t>
                            </w:r>
                            <w:r>
                              <w:rPr>
                                <w:rFonts w:cs="Arial"/>
                                <w:color w:val="000000" w:themeColor="text1"/>
                                <w:sz w:val="18"/>
                                <w:szCs w:val="18"/>
                                <w:lang w:eastAsia="ja-JP"/>
                              </w:rPr>
                              <w:t>represent</w:t>
                            </w:r>
                            <w:r w:rsidRPr="005A2DA3">
                              <w:rPr>
                                <w:rFonts w:cs="Arial"/>
                                <w:color w:val="000000" w:themeColor="text1"/>
                                <w:sz w:val="18"/>
                                <w:szCs w:val="18"/>
                                <w:lang w:eastAsia="ja-JP"/>
                              </w:rPr>
                              <w:t xml:space="preserve"> the </w:t>
                            </w:r>
                            <w:r w:rsidRPr="005A2DA3">
                              <w:rPr>
                                <w:rFonts w:cs="Arial"/>
                                <w:i/>
                                <w:iCs/>
                                <w:color w:val="000000" w:themeColor="text1"/>
                                <w:sz w:val="18"/>
                                <w:szCs w:val="18"/>
                                <w:lang w:eastAsia="ja-JP"/>
                              </w:rPr>
                              <w:sym w:font="Symbol" w:char="F073"/>
                            </w:r>
                            <w:r w:rsidRPr="005A2DA3">
                              <w:rPr>
                                <w:rFonts w:cs="Arial"/>
                                <w:color w:val="000000" w:themeColor="text1"/>
                                <w:sz w:val="18"/>
                                <w:szCs w:val="18"/>
                                <w:vertAlign w:val="subscript"/>
                                <w:lang w:val="de-DE" w:eastAsia="ja-JP"/>
                              </w:rPr>
                              <w:t>DC</w:t>
                            </w:r>
                            <w:r w:rsidRPr="005A2DA3">
                              <w:rPr>
                                <w:rFonts w:cs="Arial"/>
                                <w:color w:val="000000" w:themeColor="text1"/>
                                <w:sz w:val="18"/>
                                <w:szCs w:val="18"/>
                                <w:lang w:val="de-DE" w:eastAsia="ja-JP"/>
                              </w:rPr>
                              <w:t xml:space="preserve"> of </w:t>
                            </w:r>
                            <w:r w:rsidRPr="005A2DA3">
                              <w:rPr>
                                <w:rFonts w:cs="Arial"/>
                                <w:color w:val="000000" w:themeColor="text1"/>
                                <w:sz w:val="18"/>
                                <w:szCs w:val="18"/>
                                <w:lang w:eastAsia="ja-JP"/>
                              </w:rPr>
                              <w:t>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val="de-DE" w:eastAsia="ja-JP"/>
                              </w:rPr>
                              <w:t xml:space="preserve"> in H</w:t>
                            </w:r>
                            <w:r w:rsidRPr="005A2DA3">
                              <w:rPr>
                                <w:rFonts w:cs="Arial"/>
                                <w:color w:val="000000" w:themeColor="text1"/>
                                <w:sz w:val="18"/>
                                <w:szCs w:val="18"/>
                                <w:vertAlign w:val="subscript"/>
                                <w:lang w:val="de-DE" w:eastAsia="ja-JP"/>
                              </w:rPr>
                              <w:t>2</w:t>
                            </w:r>
                            <w:r w:rsidRPr="005A2DA3">
                              <w:rPr>
                                <w:rFonts w:cs="Arial"/>
                                <w:color w:val="000000" w:themeColor="text1"/>
                                <w:sz w:val="18"/>
                                <w:szCs w:val="18"/>
                                <w:lang w:val="de-DE" w:eastAsia="ja-JP"/>
                              </w:rPr>
                              <w:t>O-saturated air (</w:t>
                            </w:r>
                            <w:r w:rsidRPr="005A2DA3">
                              <w:rPr>
                                <w:rFonts w:cs="Arial"/>
                                <w:i/>
                                <w:color w:val="000000" w:themeColor="text1"/>
                                <w:sz w:val="18"/>
                                <w:szCs w:val="18"/>
                                <w:lang w:eastAsia="ja-JP"/>
                              </w:rPr>
                              <w:t>p</w:t>
                            </w:r>
                            <w:r w:rsidRPr="005A2DA3">
                              <w:rPr>
                                <w:rFonts w:cs="Arial"/>
                                <w:color w:val="000000" w:themeColor="text1"/>
                                <w:sz w:val="18"/>
                                <w:szCs w:val="18"/>
                                <w:lang w:eastAsia="ja-JP"/>
                              </w:rPr>
                              <w:t>H</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O</w:t>
                            </w:r>
                            <w:r w:rsidRPr="005A2DA3">
                              <w:rPr>
                                <w:rFonts w:cs="Arial"/>
                                <w:color w:val="000000" w:themeColor="text1"/>
                                <w:sz w:val="18"/>
                                <w:szCs w:val="18"/>
                                <w:lang w:val="de-DE" w:eastAsia="ja-JP"/>
                              </w:rPr>
                              <w:t xml:space="preserve"> = 0.021 atm) and D</w:t>
                            </w:r>
                            <w:r w:rsidRPr="005A2DA3">
                              <w:rPr>
                                <w:rFonts w:cs="Arial"/>
                                <w:color w:val="000000" w:themeColor="text1"/>
                                <w:sz w:val="18"/>
                                <w:szCs w:val="18"/>
                                <w:vertAlign w:val="subscript"/>
                                <w:lang w:val="de-DE" w:eastAsia="ja-JP"/>
                              </w:rPr>
                              <w:t>2</w:t>
                            </w:r>
                            <w:r w:rsidRPr="005A2DA3">
                              <w:rPr>
                                <w:rFonts w:cs="Arial"/>
                                <w:color w:val="000000" w:themeColor="text1"/>
                                <w:sz w:val="18"/>
                                <w:szCs w:val="18"/>
                                <w:lang w:val="de-DE" w:eastAsia="ja-JP"/>
                              </w:rPr>
                              <w:t xml:space="preserve">O-saturated air </w:t>
                            </w:r>
                            <w:r w:rsidRPr="005A2DA3">
                              <w:rPr>
                                <w:rFonts w:cs="Arial"/>
                                <w:color w:val="000000" w:themeColor="text1"/>
                                <w:sz w:val="18"/>
                                <w:szCs w:val="18"/>
                                <w:lang w:eastAsia="ja-JP"/>
                              </w:rPr>
                              <w:t>(water vapor partial pressure,</w:t>
                            </w:r>
                            <w:r w:rsidRPr="005A2DA3">
                              <w:rPr>
                                <w:rFonts w:cs="Arial"/>
                                <w:i/>
                                <w:color w:val="000000" w:themeColor="text1"/>
                                <w:sz w:val="18"/>
                                <w:szCs w:val="18"/>
                                <w:lang w:eastAsia="ja-JP"/>
                              </w:rPr>
                              <w:t xml:space="preserve"> p</w:t>
                            </w:r>
                            <w:r w:rsidRPr="005A2DA3">
                              <w:rPr>
                                <w:rFonts w:cs="Arial"/>
                                <w:color w:val="000000" w:themeColor="text1"/>
                                <w:sz w:val="18"/>
                                <w:szCs w:val="18"/>
                                <w:lang w:eastAsia="ja-JP"/>
                              </w:rPr>
                              <w:t>D</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O = 0.021 atm), respectively.</w:t>
                            </w:r>
                          </w:p>
                          <w:p w14:paraId="1626CC06" w14:textId="77777777" w:rsidR="00982388" w:rsidRPr="001921ED" w:rsidRDefault="00982388" w:rsidP="00332CE1">
                            <w:pPr>
                              <w:spacing w:line="240" w:lineRule="exact"/>
                              <w:rPr>
                                <w:rFonts w:cs="Arial"/>
                                <w:lang w:eastAsia="ja-JP"/>
                              </w:rPr>
                            </w:pP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700BF" id="テキスト ボックス 21" o:spid="_x0000_s1031" type="#_x0000_t202" style="position:absolute;left:0;text-align:left;margin-left:261.25pt;margin-top:29.5pt;width:247.7pt;height:223.4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" stroked="f">
                <v:textbox inset="0,,0">
                  <w:txbxContent>
                    <w:p w14:paraId="31AC480F" w14:textId="77777777" w:rsidR="00982388" w:rsidRDefault="00982388" w:rsidP="00332CE1">
                      <w:pPr>
                        <w:jc w:val="center"/>
                        <w:rPr>
                          <w:rFonts w:ascii="Times New Roman"/>
                          <w:szCs w:val="10"/>
                          <w:lang w:eastAsia="ja-JP"/>
                        </w:rPr>
                      </w:pPr>
                      <w:r w:rsidDel="00B30AD1">
                        <w:rPr>
                          <w:noProof/>
                          <w:lang w:eastAsia="ja-JP"/>
                        </w:rPr>
                        <w:t xml:space="preserve"> </w:t>
                      </w:r>
                      <w:r w:rsidRPr="00D558E7">
                        <w:rPr>
                          <w:noProof/>
                        </w:rPr>
                        <w:drawing>
                          <wp:inline distT="0" distB="0" distL="0" distR="0" wp14:anchorId="32EFA7E9" wp14:editId="2F0951AA">
                            <wp:extent cx="1947333" cy="1837844"/>
                            <wp:effectExtent l="0" t="0" r="0" b="0"/>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62868" cy="1852506"/>
                                    </a:xfrm>
                                    <a:prstGeom prst="rect">
                                      <a:avLst/>
                                    </a:prstGeom>
                                  </pic:spPr>
                                </pic:pic>
                              </a:graphicData>
                            </a:graphic>
                          </wp:inline>
                        </w:drawing>
                      </w:r>
                    </w:p>
                    <w:p w14:paraId="39553D8B" w14:textId="77777777" w:rsidR="00982388" w:rsidRPr="00D77C38" w:rsidRDefault="00982388" w:rsidP="00332CE1">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4</w:t>
                      </w:r>
                      <w:r w:rsidRPr="00D77C38">
                        <w:rPr>
                          <w:rFonts w:cs="Arial"/>
                          <w:color w:val="000000" w:themeColor="text1"/>
                          <w:sz w:val="18"/>
                          <w:szCs w:val="18"/>
                          <w:lang w:eastAsia="ja-JP"/>
                        </w:rPr>
                        <w:t xml:space="preserve"> </w:t>
                      </w:r>
                      <w:r w:rsidRPr="005A2DA3">
                        <w:rPr>
                          <w:rFonts w:cs="Arial"/>
                          <w:color w:val="000000" w:themeColor="text1"/>
                          <w:sz w:val="18"/>
                          <w:szCs w:val="18"/>
                          <w:lang w:val="de-DE" w:eastAsia="ja-JP"/>
                        </w:rPr>
                        <w:t xml:space="preserve">H/D isotope effect on the DC electrical conductivity </w:t>
                      </w:r>
                      <w:r w:rsidRPr="005A2DA3">
                        <w:rPr>
                          <w:rFonts w:cs="Arial"/>
                          <w:i/>
                          <w:iCs/>
                          <w:color w:val="000000" w:themeColor="text1"/>
                          <w:sz w:val="18"/>
                          <w:szCs w:val="18"/>
                          <w:lang w:eastAsia="ja-JP"/>
                        </w:rPr>
                        <w:sym w:font="Symbol" w:char="F073"/>
                      </w:r>
                      <w:r w:rsidRPr="005A2DA3">
                        <w:rPr>
                          <w:rFonts w:cs="Arial"/>
                          <w:color w:val="000000" w:themeColor="text1"/>
                          <w:sz w:val="18"/>
                          <w:szCs w:val="18"/>
                          <w:vertAlign w:val="subscript"/>
                          <w:lang w:val="de-DE" w:eastAsia="ja-JP"/>
                        </w:rPr>
                        <w:t>DC</w:t>
                      </w:r>
                      <w:r w:rsidRPr="005A2DA3">
                        <w:rPr>
                          <w:rFonts w:cs="Arial"/>
                          <w:color w:val="000000" w:themeColor="text1"/>
                          <w:sz w:val="18"/>
                          <w:szCs w:val="18"/>
                          <w:lang w:eastAsia="ja-JP"/>
                        </w:rPr>
                        <w:t xml:space="preserve"> </w:t>
                      </w:r>
                      <w:r w:rsidRPr="005A2DA3">
                        <w:rPr>
                          <w:rFonts w:cs="Arial"/>
                          <w:color w:val="000000" w:themeColor="text1"/>
                          <w:sz w:val="18"/>
                          <w:szCs w:val="18"/>
                          <w:lang w:val="de-DE" w:eastAsia="ja-JP"/>
                        </w:rPr>
                        <w:t>of Ba</w:t>
                      </w:r>
                      <w:r w:rsidRPr="005A2DA3">
                        <w:rPr>
                          <w:rFonts w:cs="Arial"/>
                          <w:color w:val="000000" w:themeColor="text1"/>
                          <w:sz w:val="18"/>
                          <w:szCs w:val="18"/>
                          <w:vertAlign w:val="subscript"/>
                          <w:lang w:val="de-DE" w:eastAsia="ja-JP"/>
                        </w:rPr>
                        <w:t>7</w:t>
                      </w:r>
                      <w:r w:rsidRPr="005A2DA3">
                        <w:rPr>
                          <w:rFonts w:cs="Arial"/>
                          <w:color w:val="000000" w:themeColor="text1"/>
                          <w:sz w:val="18"/>
                          <w:szCs w:val="18"/>
                          <w:lang w:val="de-DE" w:eastAsia="ja-JP"/>
                        </w:rPr>
                        <w:t>Nb</w:t>
                      </w:r>
                      <w:r w:rsidRPr="005A2DA3">
                        <w:rPr>
                          <w:rFonts w:cs="Arial"/>
                          <w:color w:val="000000" w:themeColor="text1"/>
                          <w:sz w:val="18"/>
                          <w:szCs w:val="18"/>
                          <w:vertAlign w:val="subscript"/>
                          <w:lang w:val="de-DE" w:eastAsia="ja-JP"/>
                        </w:rPr>
                        <w:t>4</w:t>
                      </w:r>
                      <w:r w:rsidRPr="005A2DA3">
                        <w:rPr>
                          <w:rFonts w:cs="Arial"/>
                          <w:color w:val="000000" w:themeColor="text1"/>
                          <w:sz w:val="18"/>
                          <w:szCs w:val="18"/>
                          <w:lang w:val="de-DE" w:eastAsia="ja-JP"/>
                        </w:rPr>
                        <w:t>MoO</w:t>
                      </w:r>
                      <w:r w:rsidRPr="005A2DA3">
                        <w:rPr>
                          <w:rFonts w:cs="Arial"/>
                          <w:color w:val="000000" w:themeColor="text1"/>
                          <w:sz w:val="18"/>
                          <w:szCs w:val="18"/>
                          <w:vertAlign w:val="subscript"/>
                          <w:lang w:val="de-DE" w:eastAsia="ja-JP"/>
                        </w:rPr>
                        <w:t>20</w:t>
                      </w:r>
                      <w:r w:rsidRPr="005A2DA3">
                        <w:rPr>
                          <w:rFonts w:cs="Arial"/>
                          <w:color w:val="000000" w:themeColor="text1"/>
                          <w:sz w:val="18"/>
                          <w:szCs w:val="18"/>
                          <w:lang w:val="de-DE" w:eastAsia="ja-JP"/>
                        </w:rPr>
                        <w:t xml:space="preserve"> </w:t>
                      </w:r>
                      <w:r w:rsidRPr="005A2DA3">
                        <w:rPr>
                          <w:rFonts w:cs="Arial"/>
                          <w:color w:val="000000" w:themeColor="text1"/>
                          <w:sz w:val="18"/>
                          <w:szCs w:val="18"/>
                          <w:lang w:eastAsia="ja-JP"/>
                        </w:rPr>
                        <w:t xml:space="preserve">at different temperatures. The </w:t>
                      </w:r>
                      <w:r w:rsidRPr="005A2DA3">
                        <w:rPr>
                          <w:rFonts w:cs="Arial"/>
                          <w:i/>
                          <w:iCs/>
                          <w:color w:val="000000" w:themeColor="text1"/>
                          <w:sz w:val="18"/>
                          <w:szCs w:val="18"/>
                          <w:lang w:eastAsia="ja-JP"/>
                        </w:rPr>
                        <w:sym w:font="Symbol" w:char="F073"/>
                      </w:r>
                      <w:proofErr w:type="gramStart"/>
                      <w:r w:rsidRPr="005A2DA3">
                        <w:rPr>
                          <w:rFonts w:cs="Arial"/>
                          <w:color w:val="000000" w:themeColor="text1"/>
                          <w:sz w:val="18"/>
                          <w:szCs w:val="18"/>
                          <w:vertAlign w:val="subscript"/>
                          <w:lang w:val="de-DE" w:eastAsia="ja-JP"/>
                        </w:rPr>
                        <w:t>DC</w:t>
                      </w:r>
                      <w:r w:rsidRPr="005A2DA3">
                        <w:rPr>
                          <w:rFonts w:cs="Arial"/>
                          <w:color w:val="000000" w:themeColor="text1"/>
                          <w:sz w:val="18"/>
                          <w:szCs w:val="18"/>
                          <w:lang w:eastAsia="ja-JP"/>
                        </w:rPr>
                        <w:t>(</w:t>
                      </w:r>
                      <w:proofErr w:type="gramEnd"/>
                      <w:r w:rsidRPr="005A2DA3">
                        <w:rPr>
                          <w:rFonts w:cs="Arial"/>
                          <w:color w:val="000000" w:themeColor="text1"/>
                          <w:sz w:val="18"/>
                          <w:szCs w:val="18"/>
                          <w:lang w:eastAsia="ja-JP"/>
                        </w:rPr>
                        <w:t>H</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O) and </w:t>
                      </w:r>
                      <w:r w:rsidRPr="005A2DA3">
                        <w:rPr>
                          <w:rFonts w:cs="Arial"/>
                          <w:i/>
                          <w:iCs/>
                          <w:color w:val="000000" w:themeColor="text1"/>
                          <w:sz w:val="18"/>
                          <w:szCs w:val="18"/>
                          <w:lang w:eastAsia="ja-JP"/>
                        </w:rPr>
                        <w:sym w:font="Symbol" w:char="F073"/>
                      </w:r>
                      <w:r w:rsidRPr="005A2DA3">
                        <w:rPr>
                          <w:rFonts w:cs="Arial"/>
                          <w:color w:val="000000" w:themeColor="text1"/>
                          <w:sz w:val="18"/>
                          <w:szCs w:val="18"/>
                          <w:vertAlign w:val="subscript"/>
                          <w:lang w:val="de-DE" w:eastAsia="ja-JP"/>
                        </w:rPr>
                        <w:t>DC</w:t>
                      </w:r>
                      <w:r w:rsidRPr="005A2DA3">
                        <w:rPr>
                          <w:rFonts w:cs="Arial"/>
                          <w:color w:val="000000" w:themeColor="text1"/>
                          <w:sz w:val="18"/>
                          <w:szCs w:val="18"/>
                          <w:lang w:eastAsia="ja-JP"/>
                        </w:rPr>
                        <w:t>(D</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O) </w:t>
                      </w:r>
                      <w:r>
                        <w:rPr>
                          <w:rFonts w:cs="Arial"/>
                          <w:color w:val="000000" w:themeColor="text1"/>
                          <w:sz w:val="18"/>
                          <w:szCs w:val="18"/>
                          <w:lang w:eastAsia="ja-JP"/>
                        </w:rPr>
                        <w:t>represent</w:t>
                      </w:r>
                      <w:r w:rsidRPr="005A2DA3">
                        <w:rPr>
                          <w:rFonts w:cs="Arial"/>
                          <w:color w:val="000000" w:themeColor="text1"/>
                          <w:sz w:val="18"/>
                          <w:szCs w:val="18"/>
                          <w:lang w:eastAsia="ja-JP"/>
                        </w:rPr>
                        <w:t xml:space="preserve"> the </w:t>
                      </w:r>
                      <w:r w:rsidRPr="005A2DA3">
                        <w:rPr>
                          <w:rFonts w:cs="Arial"/>
                          <w:i/>
                          <w:iCs/>
                          <w:color w:val="000000" w:themeColor="text1"/>
                          <w:sz w:val="18"/>
                          <w:szCs w:val="18"/>
                          <w:lang w:eastAsia="ja-JP"/>
                        </w:rPr>
                        <w:sym w:font="Symbol" w:char="F073"/>
                      </w:r>
                      <w:r w:rsidRPr="005A2DA3">
                        <w:rPr>
                          <w:rFonts w:cs="Arial"/>
                          <w:color w:val="000000" w:themeColor="text1"/>
                          <w:sz w:val="18"/>
                          <w:szCs w:val="18"/>
                          <w:vertAlign w:val="subscript"/>
                          <w:lang w:val="de-DE" w:eastAsia="ja-JP"/>
                        </w:rPr>
                        <w:t>DC</w:t>
                      </w:r>
                      <w:r w:rsidRPr="005A2DA3">
                        <w:rPr>
                          <w:rFonts w:cs="Arial"/>
                          <w:color w:val="000000" w:themeColor="text1"/>
                          <w:sz w:val="18"/>
                          <w:szCs w:val="18"/>
                          <w:lang w:val="de-DE" w:eastAsia="ja-JP"/>
                        </w:rPr>
                        <w:t xml:space="preserve"> of </w:t>
                      </w:r>
                      <w:r w:rsidRPr="005A2DA3">
                        <w:rPr>
                          <w:rFonts w:cs="Arial"/>
                          <w:color w:val="000000" w:themeColor="text1"/>
                          <w:sz w:val="18"/>
                          <w:szCs w:val="18"/>
                          <w:lang w:eastAsia="ja-JP"/>
                        </w:rPr>
                        <w:t>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val="de-DE" w:eastAsia="ja-JP"/>
                        </w:rPr>
                        <w:t xml:space="preserve"> in H</w:t>
                      </w:r>
                      <w:r w:rsidRPr="005A2DA3">
                        <w:rPr>
                          <w:rFonts w:cs="Arial"/>
                          <w:color w:val="000000" w:themeColor="text1"/>
                          <w:sz w:val="18"/>
                          <w:szCs w:val="18"/>
                          <w:vertAlign w:val="subscript"/>
                          <w:lang w:val="de-DE" w:eastAsia="ja-JP"/>
                        </w:rPr>
                        <w:t>2</w:t>
                      </w:r>
                      <w:r w:rsidRPr="005A2DA3">
                        <w:rPr>
                          <w:rFonts w:cs="Arial"/>
                          <w:color w:val="000000" w:themeColor="text1"/>
                          <w:sz w:val="18"/>
                          <w:szCs w:val="18"/>
                          <w:lang w:val="de-DE" w:eastAsia="ja-JP"/>
                        </w:rPr>
                        <w:t>O-saturated air (</w:t>
                      </w:r>
                      <w:r w:rsidRPr="005A2DA3">
                        <w:rPr>
                          <w:rFonts w:cs="Arial"/>
                          <w:i/>
                          <w:color w:val="000000" w:themeColor="text1"/>
                          <w:sz w:val="18"/>
                          <w:szCs w:val="18"/>
                          <w:lang w:eastAsia="ja-JP"/>
                        </w:rPr>
                        <w:t>p</w:t>
                      </w:r>
                      <w:r w:rsidRPr="005A2DA3">
                        <w:rPr>
                          <w:rFonts w:cs="Arial"/>
                          <w:color w:val="000000" w:themeColor="text1"/>
                          <w:sz w:val="18"/>
                          <w:szCs w:val="18"/>
                          <w:lang w:eastAsia="ja-JP"/>
                        </w:rPr>
                        <w:t>H</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O</w:t>
                      </w:r>
                      <w:r w:rsidRPr="005A2DA3">
                        <w:rPr>
                          <w:rFonts w:cs="Arial"/>
                          <w:color w:val="000000" w:themeColor="text1"/>
                          <w:sz w:val="18"/>
                          <w:szCs w:val="18"/>
                          <w:lang w:val="de-DE" w:eastAsia="ja-JP"/>
                        </w:rPr>
                        <w:t xml:space="preserve"> = 0.021 atm) and D</w:t>
                      </w:r>
                      <w:r w:rsidRPr="005A2DA3">
                        <w:rPr>
                          <w:rFonts w:cs="Arial"/>
                          <w:color w:val="000000" w:themeColor="text1"/>
                          <w:sz w:val="18"/>
                          <w:szCs w:val="18"/>
                          <w:vertAlign w:val="subscript"/>
                          <w:lang w:val="de-DE" w:eastAsia="ja-JP"/>
                        </w:rPr>
                        <w:t>2</w:t>
                      </w:r>
                      <w:r w:rsidRPr="005A2DA3">
                        <w:rPr>
                          <w:rFonts w:cs="Arial"/>
                          <w:color w:val="000000" w:themeColor="text1"/>
                          <w:sz w:val="18"/>
                          <w:szCs w:val="18"/>
                          <w:lang w:val="de-DE" w:eastAsia="ja-JP"/>
                        </w:rPr>
                        <w:t xml:space="preserve">O-saturated air </w:t>
                      </w:r>
                      <w:r w:rsidRPr="005A2DA3">
                        <w:rPr>
                          <w:rFonts w:cs="Arial"/>
                          <w:color w:val="000000" w:themeColor="text1"/>
                          <w:sz w:val="18"/>
                          <w:szCs w:val="18"/>
                          <w:lang w:eastAsia="ja-JP"/>
                        </w:rPr>
                        <w:t>(water vapor partial pressure,</w:t>
                      </w:r>
                      <w:r w:rsidRPr="005A2DA3">
                        <w:rPr>
                          <w:rFonts w:cs="Arial"/>
                          <w:i/>
                          <w:color w:val="000000" w:themeColor="text1"/>
                          <w:sz w:val="18"/>
                          <w:szCs w:val="18"/>
                          <w:lang w:eastAsia="ja-JP"/>
                        </w:rPr>
                        <w:t xml:space="preserve"> p</w:t>
                      </w:r>
                      <w:r w:rsidRPr="005A2DA3">
                        <w:rPr>
                          <w:rFonts w:cs="Arial"/>
                          <w:color w:val="000000" w:themeColor="text1"/>
                          <w:sz w:val="18"/>
                          <w:szCs w:val="18"/>
                          <w:lang w:eastAsia="ja-JP"/>
                        </w:rPr>
                        <w:t>D</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O = 0.021 atm), respectively.</w:t>
                      </w:r>
                    </w:p>
                    <w:p w14:paraId="1626CC06" w14:textId="77777777" w:rsidR="00982388" w:rsidRPr="001921ED" w:rsidRDefault="00982388" w:rsidP="00332CE1">
                      <w:pPr>
                        <w:spacing w:line="240" w:lineRule="exact"/>
                        <w:rPr>
                          <w:rFonts w:cs="Arial"/>
                          <w:lang w:eastAsia="ja-JP"/>
                        </w:rPr>
                      </w:pPr>
                    </w:p>
                  </w:txbxContent>
                </v:textbox>
                <w10:wrap type="square" anchorx="margin"/>
              </v:shape>
            </w:pict>
          </mc:Fallback>
        </mc:AlternateContent>
      </w:r>
      <w:r w:rsidR="0061024F" w:rsidRPr="001E3806">
        <w:rPr>
          <w:bCs/>
          <w:lang w:val="en-US"/>
        </w:rPr>
        <w:t>To accurately determine the oxygen and proton transport numbers of 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 xml:space="preserve"> in flowing wet O</w:t>
      </w:r>
      <w:r w:rsidR="0061024F" w:rsidRPr="001E3806">
        <w:rPr>
          <w:bCs/>
          <w:vertAlign w:val="subscript"/>
          <w:lang w:val="en-US"/>
        </w:rPr>
        <w:t>2</w:t>
      </w:r>
      <w:r w:rsidR="0061024F" w:rsidRPr="001E3806">
        <w:rPr>
          <w:bCs/>
          <w:lang w:val="en-US"/>
        </w:rPr>
        <w:t>/Ar</w:t>
      </w:r>
      <w:r w:rsidR="00C31FD8" w:rsidRPr="001E3806">
        <w:rPr>
          <w:bCs/>
          <w:lang w:val="en-US"/>
        </w:rPr>
        <w:t xml:space="preserve"> atmospheres</w:t>
      </w:r>
      <w:r w:rsidR="0061024F" w:rsidRPr="001E3806">
        <w:rPr>
          <w:bCs/>
          <w:lang w:val="en-US"/>
        </w:rPr>
        <w:t xml:space="preserve">, the electromotive force </w:t>
      </w:r>
      <w:r w:rsidR="0061024F" w:rsidRPr="001E3806">
        <w:rPr>
          <w:bCs/>
          <w:iCs/>
          <w:lang w:val="en-US"/>
        </w:rPr>
        <w:t>EMF</w:t>
      </w:r>
      <w:r w:rsidR="0061024F" w:rsidRPr="001E3806">
        <w:rPr>
          <w:bCs/>
          <w:lang w:val="en-US"/>
        </w:rPr>
        <w:t xml:space="preserve"> was measured using both a water vapor concentration cell and an oxygen concentration cell. The EMF values measured for the oxygen concentration cell in wet O</w:t>
      </w:r>
      <w:r w:rsidR="0061024F" w:rsidRPr="001E3806">
        <w:rPr>
          <w:bCs/>
          <w:vertAlign w:val="subscript"/>
          <w:lang w:val="en-US"/>
        </w:rPr>
        <w:t>2</w:t>
      </w:r>
      <w:r w:rsidR="0061024F" w:rsidRPr="001E3806">
        <w:rPr>
          <w:bCs/>
          <w:lang w:val="en-US"/>
        </w:rPr>
        <w:t>/Ar (</w:t>
      </w:r>
      <w:bookmarkStart w:id="11" w:name="_Hlk199140143"/>
      <w:r w:rsidR="0061024F" w:rsidRPr="001E3806">
        <w:rPr>
          <w:bCs/>
          <w:i/>
          <w:lang w:val="en-US"/>
        </w:rPr>
        <w:t>p</w:t>
      </w:r>
      <w:r w:rsidR="0061024F" w:rsidRPr="001E3806">
        <w:rPr>
          <w:bCs/>
          <w:lang w:val="en-US"/>
        </w:rPr>
        <w:t>H</w:t>
      </w:r>
      <w:r w:rsidR="0061024F" w:rsidRPr="001E3806">
        <w:rPr>
          <w:bCs/>
          <w:vertAlign w:val="subscript"/>
          <w:lang w:val="en-US"/>
        </w:rPr>
        <w:t>2</w:t>
      </w:r>
      <w:r w:rsidR="0061024F" w:rsidRPr="001E3806">
        <w:rPr>
          <w:bCs/>
          <w:lang w:val="en-US"/>
        </w:rPr>
        <w:t>O</w:t>
      </w:r>
      <w:bookmarkEnd w:id="11"/>
      <w:r w:rsidR="0061024F" w:rsidRPr="001E3806">
        <w:rPr>
          <w:bCs/>
          <w:lang w:val="en-US"/>
        </w:rPr>
        <w:t xml:space="preserve"> = 0.021 atm; represented by the red closed circles in Fig. 3c and d) were in good agreement with the theoretical values for the sum of the oxygen and proton transport numbers </w:t>
      </w:r>
      <w:proofErr w:type="spellStart"/>
      <w:r w:rsidR="0061024F" w:rsidRPr="001E3806">
        <w:rPr>
          <w:bCs/>
          <w:lang w:val="en-US"/>
        </w:rPr>
        <w:t>equalling</w:t>
      </w:r>
      <w:proofErr w:type="spellEnd"/>
      <w:r w:rsidR="0061024F" w:rsidRPr="001E3806">
        <w:rPr>
          <w:bCs/>
          <w:lang w:val="en-US"/>
        </w:rPr>
        <w:t xml:space="preserve"> unity (</w:t>
      </w:r>
      <w:proofErr w:type="spellStart"/>
      <w:r w:rsidR="0061024F" w:rsidRPr="001E3806">
        <w:rPr>
          <w:bCs/>
          <w:i/>
          <w:iCs/>
          <w:lang w:val="en-US"/>
        </w:rPr>
        <w:t>t</w:t>
      </w:r>
      <w:r w:rsidR="0061024F" w:rsidRPr="001E3806">
        <w:rPr>
          <w:bCs/>
          <w:vertAlign w:val="subscript"/>
          <w:lang w:val="en-US"/>
        </w:rPr>
        <w:t>wet</w:t>
      </w:r>
      <w:proofErr w:type="spellEnd"/>
      <w:r w:rsidR="0061024F" w:rsidRPr="001E3806">
        <w:rPr>
          <w:bCs/>
          <w:vertAlign w:val="subscript"/>
          <w:lang w:val="en-US"/>
        </w:rPr>
        <w:t>/O/EMF</w:t>
      </w:r>
      <w:r w:rsidR="0061024F" w:rsidRPr="001E3806">
        <w:rPr>
          <w:bCs/>
          <w:i/>
          <w:iCs/>
          <w:lang w:val="en-US"/>
        </w:rPr>
        <w:t xml:space="preserve"> </w:t>
      </w:r>
      <w:r w:rsidR="0061024F" w:rsidRPr="001E3806">
        <w:rPr>
          <w:bCs/>
          <w:lang w:val="en-US"/>
        </w:rPr>
        <w:t>+</w:t>
      </w:r>
      <w:r w:rsidR="0061024F" w:rsidRPr="001E3806">
        <w:rPr>
          <w:bCs/>
          <w:i/>
          <w:iCs/>
          <w:lang w:val="en-US"/>
        </w:rPr>
        <w:t xml:space="preserve"> t</w:t>
      </w:r>
      <w:r w:rsidR="0061024F" w:rsidRPr="001E3806">
        <w:rPr>
          <w:bCs/>
          <w:vertAlign w:val="subscript"/>
          <w:lang w:val="en-US"/>
        </w:rPr>
        <w:t>H/EMF</w:t>
      </w:r>
      <w:r w:rsidR="0061024F" w:rsidRPr="001E3806">
        <w:rPr>
          <w:bCs/>
          <w:lang w:val="en-US"/>
        </w:rPr>
        <w:t xml:space="preserve"> = 1). Here, the </w:t>
      </w:r>
      <w:proofErr w:type="spellStart"/>
      <w:r w:rsidR="0061024F" w:rsidRPr="001E3806">
        <w:rPr>
          <w:bCs/>
          <w:i/>
          <w:iCs/>
          <w:lang w:val="en-US"/>
        </w:rPr>
        <w:t>t</w:t>
      </w:r>
      <w:r w:rsidR="0061024F" w:rsidRPr="001E3806">
        <w:rPr>
          <w:bCs/>
          <w:vertAlign w:val="subscript"/>
          <w:lang w:val="en-US"/>
        </w:rPr>
        <w:t>wet</w:t>
      </w:r>
      <w:proofErr w:type="spellEnd"/>
      <w:r w:rsidR="0061024F" w:rsidRPr="001E3806">
        <w:rPr>
          <w:bCs/>
          <w:vertAlign w:val="subscript"/>
          <w:lang w:val="en-US"/>
        </w:rPr>
        <w:t>/O/EMF</w:t>
      </w:r>
      <w:r w:rsidR="0061024F" w:rsidRPr="001E3806">
        <w:rPr>
          <w:bCs/>
          <w:lang w:val="en-US"/>
        </w:rPr>
        <w:t xml:space="preserve"> and </w:t>
      </w:r>
      <w:proofErr w:type="spellStart"/>
      <w:r w:rsidR="0061024F" w:rsidRPr="001E3806">
        <w:rPr>
          <w:bCs/>
          <w:i/>
          <w:iCs/>
          <w:lang w:val="en-US"/>
        </w:rPr>
        <w:t>t</w:t>
      </w:r>
      <w:r w:rsidR="0061024F" w:rsidRPr="001E3806">
        <w:rPr>
          <w:bCs/>
          <w:vertAlign w:val="subscript"/>
          <w:lang w:val="en-US"/>
        </w:rPr>
        <w:t>H</w:t>
      </w:r>
      <w:proofErr w:type="spellEnd"/>
      <w:r w:rsidR="0061024F" w:rsidRPr="001E3806">
        <w:rPr>
          <w:bCs/>
          <w:vertAlign w:val="subscript"/>
          <w:lang w:val="en-US"/>
        </w:rPr>
        <w:t>/EMF</w:t>
      </w:r>
      <w:r w:rsidR="0061024F" w:rsidRPr="001E3806">
        <w:rPr>
          <w:bCs/>
          <w:lang w:val="en-US"/>
        </w:rPr>
        <w:t xml:space="preserve"> are the oxygen and proton transport numbers, respectively, in wet O</w:t>
      </w:r>
      <w:r w:rsidR="0061024F" w:rsidRPr="001E3806">
        <w:rPr>
          <w:bCs/>
          <w:vertAlign w:val="subscript"/>
          <w:lang w:val="en-US"/>
        </w:rPr>
        <w:t>2</w:t>
      </w:r>
      <w:r w:rsidR="0061024F" w:rsidRPr="001E3806">
        <w:rPr>
          <w:bCs/>
          <w:lang w:val="en-US"/>
        </w:rPr>
        <w:t>/Ar, which were obtained by the EMF measurements. The (</w:t>
      </w:r>
      <w:r w:rsidR="0061024F" w:rsidRPr="001E3806">
        <w:rPr>
          <w:bCs/>
          <w:i/>
          <w:iCs/>
          <w:lang w:val="en-US"/>
        </w:rPr>
        <w:t>t</w:t>
      </w:r>
      <w:r w:rsidR="0061024F" w:rsidRPr="001E3806">
        <w:rPr>
          <w:bCs/>
          <w:vertAlign w:val="subscript"/>
          <w:lang w:val="en-US"/>
        </w:rPr>
        <w:t>wet/O/EMF</w:t>
      </w:r>
      <w:r w:rsidR="0061024F" w:rsidRPr="001E3806">
        <w:rPr>
          <w:bCs/>
          <w:i/>
          <w:iCs/>
          <w:lang w:val="en-US"/>
        </w:rPr>
        <w:t xml:space="preserve"> </w:t>
      </w:r>
      <w:r w:rsidR="0061024F" w:rsidRPr="001E3806">
        <w:rPr>
          <w:bCs/>
          <w:lang w:val="en-US"/>
        </w:rPr>
        <w:t>+</w:t>
      </w:r>
      <w:r w:rsidR="0061024F" w:rsidRPr="001E3806">
        <w:rPr>
          <w:bCs/>
          <w:i/>
          <w:iCs/>
          <w:lang w:val="en-US"/>
        </w:rPr>
        <w:t xml:space="preserve"> t</w:t>
      </w:r>
      <w:r w:rsidR="0061024F" w:rsidRPr="001E3806">
        <w:rPr>
          <w:bCs/>
          <w:vertAlign w:val="subscript"/>
          <w:lang w:val="en-US"/>
        </w:rPr>
        <w:t>H/EMF</w:t>
      </w:r>
      <w:r w:rsidR="0061024F" w:rsidRPr="001E3806">
        <w:rPr>
          <w:bCs/>
          <w:lang w:val="en-US"/>
        </w:rPr>
        <w:t xml:space="preserve">) was estimated to be 0.965(18) at 500 </w:t>
      </w:r>
      <w:r w:rsidR="0061024F" w:rsidRPr="001E3806">
        <w:rPr>
          <w:bCs/>
          <w:vertAlign w:val="superscript"/>
          <w:lang w:val="en-US"/>
        </w:rPr>
        <w:t>o</w:t>
      </w:r>
      <w:r w:rsidR="0061024F" w:rsidRPr="001E3806">
        <w:rPr>
          <w:bCs/>
          <w:lang w:val="en-US"/>
        </w:rPr>
        <w:t xml:space="preserve">C and 1.052(11) at 600 </w:t>
      </w:r>
      <w:r w:rsidR="0061024F" w:rsidRPr="001E3806">
        <w:rPr>
          <w:bCs/>
          <w:vertAlign w:val="superscript"/>
          <w:lang w:val="en-US"/>
        </w:rPr>
        <w:t>o</w:t>
      </w:r>
      <w:r w:rsidR="0061024F" w:rsidRPr="001E3806">
        <w:rPr>
          <w:bCs/>
          <w:lang w:val="en-US"/>
        </w:rPr>
        <w:t xml:space="preserve">C using the equation (5), where the number in the parenthesis denotes the estimated standard deviation in the last digit. Therefore, the sum of proton and oxygen transport numbers at </w:t>
      </w:r>
      <w:r w:rsidR="0061024F" w:rsidRPr="001E3806">
        <w:rPr>
          <w:bCs/>
          <w:i/>
          <w:lang w:val="en-US"/>
        </w:rPr>
        <w:t>p</w:t>
      </w:r>
      <w:r w:rsidR="0061024F" w:rsidRPr="001E3806">
        <w:rPr>
          <w:bCs/>
          <w:lang w:val="en-US"/>
        </w:rPr>
        <w:t>H</w:t>
      </w:r>
      <w:r w:rsidR="0061024F" w:rsidRPr="001E3806">
        <w:rPr>
          <w:bCs/>
          <w:vertAlign w:val="subscript"/>
          <w:lang w:val="en-US"/>
        </w:rPr>
        <w:t>2</w:t>
      </w:r>
      <w:r w:rsidR="0061024F" w:rsidRPr="001E3806">
        <w:rPr>
          <w:bCs/>
          <w:lang w:val="en-US"/>
        </w:rPr>
        <w:t xml:space="preserve">O = 0.021 atm is 1.00 at 500 and 600 </w:t>
      </w:r>
      <w:r w:rsidR="0061024F" w:rsidRPr="001E3806">
        <w:rPr>
          <w:bCs/>
          <w:vertAlign w:val="superscript"/>
          <w:lang w:val="en-US"/>
        </w:rPr>
        <w:t>o</w:t>
      </w:r>
      <w:r w:rsidR="0061024F" w:rsidRPr="001E3806">
        <w:rPr>
          <w:bCs/>
          <w:lang w:val="en-US"/>
        </w:rPr>
        <w:t>C, indicating pure ionic conduction:</w:t>
      </w:r>
    </w:p>
    <w:p w14:paraId="57F17A27" w14:textId="4ACE0F08" w:rsidR="0061024F" w:rsidRPr="001E3806" w:rsidRDefault="0061024F" w:rsidP="0061024F">
      <w:pPr>
        <w:pStyle w:val="RSCB02ArticleText"/>
        <w:rPr>
          <w:bCs/>
          <w:lang w:val="en-US"/>
        </w:rPr>
      </w:pP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/EMF</w:t>
      </w:r>
      <w:r w:rsidRPr="001E3806">
        <w:rPr>
          <w:bCs/>
          <w:lang w:val="en-US"/>
        </w:rPr>
        <w:t xml:space="preserve"> + </w:t>
      </w:r>
      <w:proofErr w:type="spellStart"/>
      <w:r w:rsidRPr="001E3806">
        <w:rPr>
          <w:bCs/>
          <w:i/>
          <w:iCs/>
          <w:lang w:val="en-US"/>
        </w:rPr>
        <w:t>t</w:t>
      </w:r>
      <w:r w:rsidRPr="001E3806">
        <w:rPr>
          <w:bCs/>
          <w:vertAlign w:val="subscript"/>
          <w:lang w:val="en-US"/>
        </w:rPr>
        <w:t>wet</w:t>
      </w:r>
      <w:proofErr w:type="spellEnd"/>
      <w:r w:rsidRPr="001E3806">
        <w:rPr>
          <w:bCs/>
          <w:vertAlign w:val="subscript"/>
          <w:lang w:val="en-US"/>
        </w:rPr>
        <w:t>/O/EMF</w:t>
      </w:r>
      <w:r w:rsidRPr="001E3806">
        <w:rPr>
          <w:bCs/>
          <w:lang w:val="en-US"/>
        </w:rPr>
        <w:t xml:space="preserve"> = 1.00  </w:t>
      </w:r>
      <w:proofErr w:type="gramStart"/>
      <w:r w:rsidRPr="001E3806">
        <w:rPr>
          <w:bCs/>
          <w:lang w:val="en-US"/>
        </w:rPr>
        <w:t xml:space="preserve">   (</w:t>
      </w:r>
      <w:proofErr w:type="gramEnd"/>
      <w:r w:rsidRPr="001E3806">
        <w:rPr>
          <w:bCs/>
          <w:lang w:val="en-US"/>
        </w:rPr>
        <w:t xml:space="preserve">9). </w:t>
      </w:r>
    </w:p>
    <w:p w14:paraId="65E803EE" w14:textId="7C3F380B" w:rsidR="0061024F" w:rsidRPr="001E3806" w:rsidRDefault="0061024F" w:rsidP="0061024F">
      <w:pPr>
        <w:pStyle w:val="RSCB02ArticleText"/>
        <w:rPr>
          <w:bCs/>
          <w:lang w:val="en-US"/>
        </w:rPr>
      </w:pPr>
      <w:r w:rsidRPr="001E3806">
        <w:rPr>
          <w:bCs/>
          <w:lang w:val="en-US"/>
        </w:rPr>
        <w:t xml:space="preserve">The EMF was also measured with the water vapor concentration cell under an oxygen partial pressure </w:t>
      </w:r>
      <w:r w:rsidRPr="001E3806">
        <w:rPr>
          <w:bCs/>
          <w:i/>
          <w:lang w:val="en-US"/>
        </w:rPr>
        <w:t>p</w:t>
      </w:r>
      <w:r w:rsidRPr="001E3806">
        <w:rPr>
          <w:bCs/>
          <w:lang w:val="en-US"/>
        </w:rPr>
        <w:t>O</w:t>
      </w:r>
      <w:r w:rsidRPr="001E3806">
        <w:rPr>
          <w:bCs/>
          <w:vertAlign w:val="subscript"/>
          <w:lang w:val="en-US"/>
        </w:rPr>
        <w:t>2</w:t>
      </w:r>
      <w:r w:rsidRPr="001E3806">
        <w:rPr>
          <w:bCs/>
          <w:lang w:val="en-US"/>
        </w:rPr>
        <w:t xml:space="preserve"> of 0.2 atm. The proton transport number </w:t>
      </w:r>
      <w:r w:rsidRPr="001E3806">
        <w:rPr>
          <w:bCs/>
          <w:i/>
          <w:iCs/>
          <w:lang w:val="en-US"/>
        </w:rPr>
        <w:t>t</w:t>
      </w:r>
      <w:r w:rsidRPr="001E3806">
        <w:rPr>
          <w:bCs/>
          <w:vertAlign w:val="subscript"/>
          <w:lang w:val="en-US"/>
        </w:rPr>
        <w:t>H/EMF</w:t>
      </w:r>
      <w:r w:rsidRPr="001E3806">
        <w:rPr>
          <w:bCs/>
          <w:lang w:val="en-US"/>
        </w:rPr>
        <w:t xml:space="preserve"> was then estimated </w:t>
      </w:r>
      <w:r w:rsidRPr="001E3806">
        <w:rPr>
          <w:bCs/>
          <w:lang w:val="en-US"/>
        </w:rPr>
        <w:lastRenderedPageBreak/>
        <w:t>using the EMF value and equation (6). The experimental slope of EMF against the logarithm of the water vapor partial pressure ratio corresponds to </w:t>
      </w: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/EMF</w:t>
      </w:r>
      <w:r w:rsidRPr="001E3806">
        <w:rPr>
          <w:bCs/>
          <w:lang w:val="en-US"/>
        </w:rPr>
        <w:t xml:space="preserve"> = 0.24(3) at 500 </w:t>
      </w:r>
      <w:r w:rsidRPr="001E3806">
        <w:rPr>
          <w:bCs/>
          <w:vertAlign w:val="superscript"/>
          <w:lang w:val="en-US"/>
        </w:rPr>
        <w:t>o</w:t>
      </w:r>
      <w:r w:rsidRPr="001E3806">
        <w:rPr>
          <w:bCs/>
          <w:lang w:val="en-US"/>
        </w:rPr>
        <w:t xml:space="preserve">C and 0.045(5) at 600 </w:t>
      </w:r>
      <w:r w:rsidRPr="001E3806">
        <w:rPr>
          <w:bCs/>
          <w:vertAlign w:val="superscript"/>
          <w:lang w:val="en-US"/>
        </w:rPr>
        <w:t>o</w:t>
      </w:r>
      <w:r w:rsidRPr="001E3806">
        <w:rPr>
          <w:bCs/>
          <w:lang w:val="en-US"/>
        </w:rPr>
        <w:t xml:space="preserve">C (see Fig. 3e and f), which indicates that the </w:t>
      </w: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/EMF</w:t>
      </w:r>
      <w:r w:rsidRPr="001E3806">
        <w:rPr>
          <w:bCs/>
          <w:lang w:val="en-US"/>
        </w:rPr>
        <w:t xml:space="preserve"> is lower than</w:t>
      </w:r>
      <w:r w:rsidR="0064156E" w:rsidRPr="001E3806">
        <w:rPr>
          <w:bCs/>
          <w:lang w:val="en-US"/>
        </w:rPr>
        <w:t xml:space="preserve"> </w:t>
      </w:r>
      <w:r w:rsidRPr="001E3806">
        <w:rPr>
          <w:bCs/>
          <w:lang w:val="en-US"/>
        </w:rPr>
        <w:t xml:space="preserve">0.25. It should be noted that the accurate proton transport number </w:t>
      </w: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/EMF</w:t>
      </w:r>
      <w:r w:rsidRPr="001E3806">
        <w:rPr>
          <w:bCs/>
          <w:lang w:val="en-US"/>
        </w:rPr>
        <w:t xml:space="preserve"> is much lower than the apparent one </w:t>
      </w:r>
      <w:proofErr w:type="spellStart"/>
      <w:r w:rsidRPr="001E3806">
        <w:rPr>
          <w:bCs/>
          <w:i/>
          <w:iCs/>
          <w:lang w:val="en-US"/>
        </w:rPr>
        <w:t>t</w:t>
      </w:r>
      <w:r w:rsidRPr="001E3806">
        <w:rPr>
          <w:bCs/>
          <w:vertAlign w:val="subscript"/>
          <w:lang w:val="en-US"/>
        </w:rPr>
        <w:t>H</w:t>
      </w:r>
      <w:proofErr w:type="spellEnd"/>
      <w:r w:rsidRPr="001E3806">
        <w:rPr>
          <w:bCs/>
          <w:vertAlign w:val="subscript"/>
          <w:lang w:val="en-US"/>
        </w:rPr>
        <w:t>/app</w:t>
      </w:r>
      <w:r w:rsidRPr="001E3806">
        <w:rPr>
          <w:bCs/>
          <w:lang w:val="en-US"/>
        </w:rPr>
        <w:t xml:space="preserve"> (see Fig. 3b; e.g., </w:t>
      </w:r>
      <w:r w:rsidRPr="001E3806">
        <w:rPr>
          <w:bCs/>
          <w:i/>
          <w:iCs/>
          <w:lang w:val="en-US"/>
        </w:rPr>
        <w:t>t</w:t>
      </w:r>
      <w:r w:rsidRPr="001E3806">
        <w:rPr>
          <w:bCs/>
          <w:vertAlign w:val="subscript"/>
          <w:lang w:val="en-US"/>
        </w:rPr>
        <w:t>H/EMF</w:t>
      </w:r>
      <w:r w:rsidRPr="001E3806">
        <w:rPr>
          <w:bCs/>
          <w:lang w:val="en-US"/>
        </w:rPr>
        <w:t xml:space="preserve"> = 0.045(5) &lt;&lt; </w:t>
      </w:r>
      <w:r w:rsidRPr="001E3806">
        <w:rPr>
          <w:bCs/>
          <w:i/>
          <w:iCs/>
          <w:lang w:val="en-US"/>
        </w:rPr>
        <w:t>t</w:t>
      </w:r>
      <w:r w:rsidRPr="001E3806">
        <w:rPr>
          <w:bCs/>
          <w:vertAlign w:val="subscript"/>
          <w:lang w:val="en-US"/>
        </w:rPr>
        <w:t>H/app</w:t>
      </w:r>
      <w:r w:rsidRPr="001E3806">
        <w:rPr>
          <w:bCs/>
          <w:lang w:val="en-US"/>
        </w:rPr>
        <w:t xml:space="preserve"> = 0.61 at 600 </w:t>
      </w:r>
      <w:r w:rsidRPr="001E3806">
        <w:rPr>
          <w:bCs/>
          <w:vertAlign w:val="superscript"/>
          <w:lang w:val="en-US"/>
        </w:rPr>
        <w:t>o</w:t>
      </w:r>
      <w:r w:rsidRPr="001E3806">
        <w:rPr>
          <w:bCs/>
          <w:lang w:val="en-US"/>
        </w:rPr>
        <w:t xml:space="preserve">C). The oxygen transport number </w:t>
      </w:r>
      <w:proofErr w:type="spellStart"/>
      <w:r w:rsidRPr="001E3806">
        <w:rPr>
          <w:bCs/>
          <w:i/>
          <w:iCs/>
          <w:lang w:val="en-US"/>
        </w:rPr>
        <w:t>t</w:t>
      </w:r>
      <w:r w:rsidRPr="001E3806">
        <w:rPr>
          <w:bCs/>
          <w:vertAlign w:val="subscript"/>
          <w:lang w:val="en-US"/>
        </w:rPr>
        <w:t>wet</w:t>
      </w:r>
      <w:proofErr w:type="spellEnd"/>
      <w:r w:rsidRPr="001E3806">
        <w:rPr>
          <w:bCs/>
          <w:vertAlign w:val="subscript"/>
          <w:lang w:val="en-US"/>
        </w:rPr>
        <w:t>/O/EMF</w:t>
      </w:r>
      <w:r w:rsidRPr="001E3806">
        <w:rPr>
          <w:bCs/>
          <w:lang w:val="en-US"/>
        </w:rPr>
        <w:t xml:space="preserve"> was calculated using equation (9) to be 0.76(3) at 500 </w:t>
      </w:r>
      <w:r w:rsidRPr="001E3806">
        <w:rPr>
          <w:bCs/>
          <w:vertAlign w:val="superscript"/>
          <w:lang w:val="en-US"/>
        </w:rPr>
        <w:t>o</w:t>
      </w:r>
      <w:r w:rsidRPr="001E3806">
        <w:rPr>
          <w:bCs/>
          <w:lang w:val="en-US"/>
        </w:rPr>
        <w:t xml:space="preserve">C and 0.955(5) at 600 </w:t>
      </w:r>
      <w:r w:rsidRPr="001E3806">
        <w:rPr>
          <w:bCs/>
          <w:vertAlign w:val="superscript"/>
          <w:lang w:val="en-US"/>
        </w:rPr>
        <w:t>o</w:t>
      </w:r>
      <w:r w:rsidRPr="001E3806">
        <w:rPr>
          <w:bCs/>
          <w:lang w:val="en-US"/>
        </w:rPr>
        <w:t xml:space="preserve">C. This indicates that </w:t>
      </w:r>
      <w:bookmarkStart w:id="12" w:name="_Hlk193298171"/>
      <w:r w:rsidRPr="001E3806">
        <w:rPr>
          <w:bCs/>
          <w:lang w:val="en-US"/>
        </w:rPr>
        <w:t>the predominant conducting species in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is not the proton but the oxide ion at 500 and 600 </w:t>
      </w:r>
      <w:r w:rsidRPr="001E3806">
        <w:rPr>
          <w:bCs/>
          <w:vertAlign w:val="superscript"/>
          <w:lang w:val="en-US"/>
        </w:rPr>
        <w:t>o</w:t>
      </w:r>
      <w:r w:rsidRPr="001E3806">
        <w:rPr>
          <w:bCs/>
          <w:lang w:val="en-US"/>
        </w:rPr>
        <w:t>C even in the wet atmospheres</w:t>
      </w:r>
      <w:bookmarkEnd w:id="12"/>
      <w:r w:rsidRPr="001E3806">
        <w:rPr>
          <w:bCs/>
          <w:lang w:val="en-US"/>
        </w:rPr>
        <w:t xml:space="preserve"> (</w:t>
      </w:r>
      <w:r w:rsidRPr="001E3806">
        <w:rPr>
          <w:bCs/>
          <w:i/>
          <w:lang w:val="en-US"/>
        </w:rPr>
        <w:t>p</w:t>
      </w:r>
      <w:r w:rsidRPr="001E3806">
        <w:rPr>
          <w:bCs/>
          <w:lang w:val="en-US"/>
        </w:rPr>
        <w:t>H</w:t>
      </w:r>
      <w:r w:rsidRPr="001E3806">
        <w:rPr>
          <w:bCs/>
          <w:vertAlign w:val="subscript"/>
          <w:lang w:val="en-US"/>
        </w:rPr>
        <w:t>2</w:t>
      </w:r>
      <w:r w:rsidRPr="001E3806">
        <w:rPr>
          <w:bCs/>
          <w:lang w:val="en-US"/>
        </w:rPr>
        <w:t xml:space="preserve">O ≤ 0.021 atm, </w:t>
      </w:r>
      <w:r w:rsidRPr="001E3806">
        <w:rPr>
          <w:bCs/>
          <w:i/>
          <w:lang w:val="en-US"/>
        </w:rPr>
        <w:t>p</w:t>
      </w:r>
      <w:r w:rsidRPr="001E3806">
        <w:rPr>
          <w:bCs/>
          <w:lang w:val="en-US"/>
        </w:rPr>
        <w:t>O</w:t>
      </w:r>
      <w:r w:rsidRPr="001E3806">
        <w:rPr>
          <w:bCs/>
          <w:vertAlign w:val="subscript"/>
          <w:lang w:val="en-US"/>
        </w:rPr>
        <w:t>2</w:t>
      </w:r>
      <w:r w:rsidRPr="001E3806">
        <w:rPr>
          <w:bCs/>
          <w:lang w:val="en-US"/>
        </w:rPr>
        <w:t xml:space="preserve"> = 0.2 atm). The small proton transport number was supported by the small </w:t>
      </w:r>
      <w:bookmarkStart w:id="13" w:name="_Hlk199742960"/>
      <w:r w:rsidRPr="001E3806">
        <w:rPr>
          <w:bCs/>
          <w:lang w:val="en-US"/>
        </w:rPr>
        <w:t xml:space="preserve">H/D isotope effect on the electrical conductivity </w:t>
      </w:r>
      <w:bookmarkEnd w:id="13"/>
      <w:r w:rsidRPr="001E3806">
        <w:rPr>
          <w:bCs/>
          <w:lang w:val="en-US"/>
        </w:rPr>
        <w:t xml:space="preserve">measured using the direct current (DC) four-probe method. Specifically, the DC conductivity </w:t>
      </w:r>
      <w:bookmarkStart w:id="14" w:name="_Hlk199743157"/>
      <w:r w:rsidRPr="001E3806">
        <w:rPr>
          <w:bCs/>
          <w:lang w:val="en-US"/>
        </w:rPr>
        <w:t>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t>
      </w:r>
      <w:bookmarkStart w:id="15" w:name="_Hlk199743193"/>
      <w:bookmarkEnd w:id="14"/>
      <w:r w:rsidRPr="001E3806">
        <w:rPr>
          <w:bCs/>
          <w:lang w:val="en-US"/>
        </w:rPr>
        <w:t>in H</w:t>
      </w:r>
      <w:r w:rsidRPr="001E3806">
        <w:rPr>
          <w:bCs/>
          <w:vertAlign w:val="subscript"/>
          <w:lang w:val="en-US"/>
        </w:rPr>
        <w:t>2</w:t>
      </w:r>
      <w:r w:rsidRPr="001E3806">
        <w:rPr>
          <w:bCs/>
          <w:lang w:val="en-US"/>
        </w:rPr>
        <w:t>O-saturated air (</w:t>
      </w:r>
      <w:r w:rsidRPr="001E3806">
        <w:rPr>
          <w:bCs/>
          <w:i/>
          <w:lang w:val="en-US"/>
        </w:rPr>
        <w:t>p</w:t>
      </w:r>
      <w:r w:rsidRPr="001E3806">
        <w:rPr>
          <w:bCs/>
          <w:lang w:val="en-US"/>
        </w:rPr>
        <w:t>H</w:t>
      </w:r>
      <w:r w:rsidRPr="001E3806">
        <w:rPr>
          <w:bCs/>
          <w:vertAlign w:val="subscript"/>
          <w:lang w:val="en-US"/>
        </w:rPr>
        <w:t>2</w:t>
      </w:r>
      <w:r w:rsidRPr="001E3806">
        <w:rPr>
          <w:bCs/>
          <w:lang w:val="en-US"/>
        </w:rPr>
        <w:t xml:space="preserve">O = 0.021 atm) </w:t>
      </w:r>
      <w:bookmarkEnd w:id="15"/>
      <w:r w:rsidRPr="001E3806">
        <w:rPr>
          <w:bCs/>
          <w:lang w:val="en-US"/>
        </w:rPr>
        <w:t>was 1.05‒1.13 times higher than that in D</w:t>
      </w:r>
      <w:r w:rsidRPr="001E3806">
        <w:rPr>
          <w:bCs/>
          <w:vertAlign w:val="subscript"/>
          <w:lang w:val="en-US"/>
        </w:rPr>
        <w:t>2</w:t>
      </w:r>
      <w:r w:rsidRPr="001E3806">
        <w:rPr>
          <w:bCs/>
          <w:lang w:val="en-US"/>
        </w:rPr>
        <w:t xml:space="preserve">O-saturated air (water vapor partial pressure, </w:t>
      </w:r>
      <w:r w:rsidRPr="001E3806">
        <w:rPr>
          <w:bCs/>
          <w:i/>
          <w:lang w:val="en-US"/>
        </w:rPr>
        <w:t>p</w:t>
      </w:r>
      <w:r w:rsidRPr="001E3806">
        <w:rPr>
          <w:bCs/>
          <w:lang w:val="en-US"/>
        </w:rPr>
        <w:t>D</w:t>
      </w:r>
      <w:r w:rsidRPr="001E3806">
        <w:rPr>
          <w:bCs/>
          <w:vertAlign w:val="subscript"/>
          <w:lang w:val="en-US"/>
        </w:rPr>
        <w:t>2</w:t>
      </w:r>
      <w:r w:rsidRPr="001E3806">
        <w:rPr>
          <w:bCs/>
          <w:lang w:val="en-US"/>
        </w:rPr>
        <w:t>O = 0.021 atm), which is much smaller than 1.41 for the classical theory (Fig. 4).</w:t>
      </w:r>
    </w:p>
    <w:p w14:paraId="10EBB288" w14:textId="66A3AFBA" w:rsidR="0061024F" w:rsidRPr="001E3806" w:rsidRDefault="0061024F" w:rsidP="0061024F">
      <w:pPr>
        <w:pStyle w:val="RSCB02ArticleText"/>
        <w:rPr>
          <w:bCs/>
          <w:lang w:val="en-US"/>
        </w:rPr>
      </w:pPr>
      <w:r w:rsidRPr="001E3806">
        <w:rPr>
          <w:bCs/>
          <w:lang w:val="en-US"/>
        </w:rPr>
        <w:t>Why is the oxygen transport number from EMF measurements is higher than the apparent one (</w:t>
      </w:r>
      <w:r w:rsidRPr="001E3806">
        <w:rPr>
          <w:bCs/>
          <w:i/>
          <w:iCs/>
          <w:lang w:val="en-US"/>
        </w:rPr>
        <w:t>t</w:t>
      </w:r>
      <w:r w:rsidRPr="001E3806">
        <w:rPr>
          <w:bCs/>
          <w:vertAlign w:val="subscript"/>
          <w:lang w:val="en-US"/>
        </w:rPr>
        <w:t>wet/O/EMF</w:t>
      </w:r>
      <w:r w:rsidRPr="001E3806">
        <w:rPr>
          <w:bCs/>
          <w:lang w:val="en-US"/>
        </w:rPr>
        <w:t xml:space="preserve"> &gt; </w:t>
      </w:r>
      <w:r w:rsidRPr="001E3806">
        <w:rPr>
          <w:bCs/>
          <w:i/>
          <w:iCs/>
          <w:lang w:val="en-US"/>
        </w:rPr>
        <w:t>t</w:t>
      </w:r>
      <w:r w:rsidRPr="001E3806">
        <w:rPr>
          <w:bCs/>
          <w:vertAlign w:val="subscript"/>
          <w:lang w:val="en-US"/>
        </w:rPr>
        <w:t>O/app</w:t>
      </w:r>
      <w:r w:rsidRPr="001E3806">
        <w:rPr>
          <w:bCs/>
          <w:lang w:val="en-US"/>
        </w:rPr>
        <w:t xml:space="preserve">)? To answer this question, </w:t>
      </w:r>
      <w:bookmarkStart w:id="16" w:name="_Hlk203286128"/>
      <w:r w:rsidRPr="001E3806">
        <w:rPr>
          <w:bCs/>
          <w:lang w:val="en-US"/>
        </w:rPr>
        <w:t>the oxide-ion conductivities in wet and dry atmospheres were calculated using the following equations (10) and (11):</w:t>
      </w:r>
    </w:p>
    <w:p w14:paraId="3D2CC28E" w14:textId="3D8F1E9F" w:rsidR="0061024F" w:rsidRPr="001E3806" w:rsidRDefault="0061024F" w:rsidP="0061024F">
      <w:pPr>
        <w:pStyle w:val="RSCB02ArticleText"/>
        <w:rPr>
          <w:bCs/>
          <w:lang w:val="en-US"/>
        </w:rPr>
      </w:pPr>
      <w:bookmarkStart w:id="17" w:name="_Hlk199743001"/>
      <w:r w:rsidRPr="001E3806">
        <w:rPr>
          <w:bCs/>
          <w:i/>
          <w:iCs/>
          <w:lang w:val="en-US"/>
        </w:rPr>
        <w:sym w:font="Symbol" w:char="F073"/>
      </w:r>
      <w:bookmarkEnd w:id="17"/>
      <w:r w:rsidRPr="001E3806">
        <w:rPr>
          <w:bCs/>
          <w:vertAlign w:val="subscript"/>
          <w:lang w:val="en-US"/>
        </w:rPr>
        <w:t>wet/O/EMF</w:t>
      </w:r>
      <w:r w:rsidRPr="001E3806" w:rsidDel="00C30C34">
        <w:rPr>
          <w:bCs/>
          <w:i/>
          <w:iCs/>
          <w:lang w:val="en-US"/>
        </w:rPr>
        <w:t xml:space="preserve"> </w:t>
      </w:r>
      <w:r w:rsidRPr="001E3806">
        <w:rPr>
          <w:bCs/>
          <w:lang w:val="en-US"/>
        </w:rPr>
        <w:t xml:space="preserve">= </w:t>
      </w:r>
      <w:r w:rsidRPr="001E3806">
        <w:rPr>
          <w:bCs/>
          <w:i/>
          <w:iCs/>
          <w:lang w:val="en-US"/>
        </w:rPr>
        <w:sym w:font="Symbol" w:char="F073"/>
      </w:r>
      <w:r w:rsidRPr="001E3806">
        <w:rPr>
          <w:bCs/>
          <w:vertAlign w:val="subscript"/>
          <w:lang w:val="en-US"/>
        </w:rPr>
        <w:t>wet</w:t>
      </w:r>
      <w:r w:rsidRPr="001E3806">
        <w:rPr>
          <w:bCs/>
          <w:lang w:val="en-US"/>
        </w:rPr>
        <w:t xml:space="preserve"> × </w:t>
      </w:r>
      <w:r w:rsidRPr="001E3806">
        <w:rPr>
          <w:bCs/>
          <w:i/>
          <w:iCs/>
          <w:lang w:val="en-US"/>
        </w:rPr>
        <w:t>t</w:t>
      </w:r>
      <w:r w:rsidRPr="001E3806">
        <w:rPr>
          <w:bCs/>
          <w:vertAlign w:val="subscript"/>
          <w:lang w:val="en-US"/>
        </w:rPr>
        <w:t>wet/O/EMF</w:t>
      </w:r>
      <w:r w:rsidRPr="001E3806">
        <w:rPr>
          <w:bCs/>
          <w:lang w:val="en-US"/>
        </w:rPr>
        <w:t xml:space="preserve">  </w:t>
      </w:r>
      <w:proofErr w:type="gramStart"/>
      <w:r w:rsidRPr="001E3806">
        <w:rPr>
          <w:bCs/>
          <w:lang w:val="en-US"/>
        </w:rPr>
        <w:t xml:space="preserve">   (</w:t>
      </w:r>
      <w:proofErr w:type="gramEnd"/>
      <w:r w:rsidRPr="001E3806">
        <w:rPr>
          <w:bCs/>
          <w:lang w:val="en-US"/>
        </w:rPr>
        <w:t>10)</w:t>
      </w:r>
    </w:p>
    <w:p w14:paraId="61AC705B" w14:textId="71F140BE" w:rsidR="00E11155" w:rsidRPr="001E3806" w:rsidRDefault="0061024F" w:rsidP="0061024F">
      <w:pPr>
        <w:pStyle w:val="RSCB02ArticleText"/>
        <w:rPr>
          <w:bCs/>
          <w:lang w:val="en-US"/>
        </w:rPr>
      </w:pPr>
      <w:r w:rsidRPr="001E3806">
        <w:rPr>
          <w:bCs/>
          <w:i/>
          <w:iCs/>
          <w:lang w:val="en-US"/>
        </w:rPr>
        <w:sym w:font="Symbol" w:char="F073"/>
      </w:r>
      <w:r w:rsidRPr="001E3806">
        <w:rPr>
          <w:bCs/>
          <w:vertAlign w:val="subscript"/>
          <w:lang w:val="en-US"/>
        </w:rPr>
        <w:t>dry/O/EMF</w:t>
      </w:r>
      <w:r w:rsidRPr="001E3806" w:rsidDel="00C30C34">
        <w:rPr>
          <w:bCs/>
          <w:lang w:val="en-US"/>
        </w:rPr>
        <w:t xml:space="preserve"> </w:t>
      </w:r>
      <w:r w:rsidRPr="001E3806">
        <w:rPr>
          <w:bCs/>
          <w:lang w:val="en-US"/>
        </w:rPr>
        <w:t xml:space="preserve">= </w:t>
      </w:r>
      <w:r w:rsidRPr="001E3806">
        <w:rPr>
          <w:bCs/>
          <w:i/>
          <w:iCs/>
          <w:lang w:val="en-US"/>
        </w:rPr>
        <w:sym w:font="Symbol" w:char="F073"/>
      </w:r>
      <w:r w:rsidRPr="001E3806">
        <w:rPr>
          <w:bCs/>
          <w:vertAlign w:val="subscript"/>
          <w:lang w:val="en-US"/>
        </w:rPr>
        <w:t>dry</w:t>
      </w:r>
      <w:r w:rsidRPr="001E3806">
        <w:rPr>
          <w:bCs/>
          <w:lang w:val="en-US"/>
        </w:rPr>
        <w:t xml:space="preserve"> × </w:t>
      </w:r>
      <w:proofErr w:type="spellStart"/>
      <w:r w:rsidRPr="001E3806">
        <w:rPr>
          <w:bCs/>
          <w:i/>
          <w:iCs/>
          <w:lang w:val="en-US"/>
        </w:rPr>
        <w:t>t</w:t>
      </w:r>
      <w:r w:rsidRPr="001E3806">
        <w:rPr>
          <w:bCs/>
          <w:vertAlign w:val="subscript"/>
          <w:lang w:val="en-US"/>
        </w:rPr>
        <w:t>dry</w:t>
      </w:r>
      <w:proofErr w:type="spellEnd"/>
      <w:r w:rsidRPr="001E3806">
        <w:rPr>
          <w:bCs/>
          <w:vertAlign w:val="subscript"/>
          <w:lang w:val="en-US"/>
        </w:rPr>
        <w:t>/O/EMF</w:t>
      </w:r>
      <w:r w:rsidRPr="001E3806">
        <w:rPr>
          <w:bCs/>
          <w:lang w:val="en-US"/>
        </w:rPr>
        <w:t xml:space="preserve">    </w:t>
      </w:r>
      <w:proofErr w:type="gramStart"/>
      <w:r w:rsidRPr="001E3806">
        <w:rPr>
          <w:bCs/>
          <w:lang w:val="en-US"/>
        </w:rPr>
        <w:t xml:space="preserve">   (</w:t>
      </w:r>
      <w:proofErr w:type="gramEnd"/>
      <w:r w:rsidRPr="001E3806">
        <w:rPr>
          <w:bCs/>
          <w:lang w:val="en-US"/>
        </w:rPr>
        <w:t>11).</w:t>
      </w:r>
    </w:p>
    <w:p w14:paraId="56FB8AF6" w14:textId="34C1E81F" w:rsidR="0061024F" w:rsidRPr="001E3806" w:rsidRDefault="002226DD" w:rsidP="0030396C">
      <w:pPr>
        <w:pStyle w:val="RSCB02ArticleText"/>
        <w:rPr>
          <w:bCs/>
          <w:lang w:val="en-US"/>
        </w:rPr>
      </w:pPr>
      <w:r w:rsidRPr="001E3806">
        <w:rPr>
          <w:rFonts w:ascii="Times New Roman"/>
          <w:noProof/>
          <w:sz w:val="22"/>
          <w:lang w:val="ja-JP"/>
        </w:rPr>
        <mc:AlternateContent>
          <mc:Choice Requires="wps">
            <w:drawing>
              <wp:anchor distT="45720" distB="45720" distL="114300" distR="114300" simplePos="0" relativeHeight="251685888" behindDoc="0" locked="0" layoutInCell="1" allowOverlap="1" wp14:anchorId="31321C58" wp14:editId="7F1C27C5">
                <wp:simplePos x="0" y="0"/>
                <wp:positionH relativeFrom="margin">
                  <wp:posOffset>2540</wp:posOffset>
                </wp:positionH>
                <wp:positionV relativeFrom="paragraph">
                  <wp:posOffset>1163320</wp:posOffset>
                </wp:positionV>
                <wp:extent cx="3145790" cy="3595370"/>
                <wp:effectExtent l="0" t="0" r="0" b="5080"/>
                <wp:wrapSquare wrapText="bothSides"/>
                <wp:docPr id="1710025475" name="テキスト ボックス 1710025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3595370"/>
                        </a:xfrm>
                        <a:prstGeom prst="rect">
                          <a:avLst/>
                        </a:prstGeom>
                        <a:solidFill>
                          <a:srgbClr val="FFFFFF"/>
                        </a:solidFill>
                        <a:ln w="9525">
                          <a:noFill/>
                          <a:miter lim="800000"/>
                          <a:headEnd/>
                          <a:tailEnd/>
                        </a:ln>
                      </wps:spPr>
                      <wps:txbx>
                        <w:txbxContent>
                          <w:p w14:paraId="0ECD8B86" w14:textId="77777777" w:rsidR="00982388" w:rsidRDefault="00982388" w:rsidP="00D43F17">
                            <w:pPr>
                              <w:jc w:val="center"/>
                              <w:rPr>
                                <w:rFonts w:ascii="Times New Roman"/>
                                <w:szCs w:val="10"/>
                                <w:lang w:eastAsia="ja-JP"/>
                              </w:rPr>
                            </w:pPr>
                            <w:r w:rsidDel="00B30AD1">
                              <w:rPr>
                                <w:noProof/>
                                <w:lang w:eastAsia="ja-JP"/>
                              </w:rPr>
                              <w:t xml:space="preserve"> </w:t>
                            </w:r>
                            <w:r w:rsidRPr="004D136D">
                              <w:rPr>
                                <w:noProof/>
                              </w:rPr>
                              <w:drawing>
                                <wp:inline distT="0" distB="0" distL="0" distR="0" wp14:anchorId="4E93BC47" wp14:editId="5E6781E9">
                                  <wp:extent cx="2672823" cy="2747462"/>
                                  <wp:effectExtent l="0" t="0" r="0" b="0"/>
                                  <wp:docPr id="46028646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83957" name=""/>
                                          <pic:cNvPicPr/>
                                        </pic:nvPicPr>
                                        <pic:blipFill>
                                          <a:blip r:embed="rId24"/>
                                          <a:stretch>
                                            <a:fillRect/>
                                          </a:stretch>
                                        </pic:blipFill>
                                        <pic:spPr>
                                          <a:xfrm>
                                            <a:off x="0" y="0"/>
                                            <a:ext cx="2713350" cy="2789121"/>
                                          </a:xfrm>
                                          <a:prstGeom prst="rect">
                                            <a:avLst/>
                                          </a:prstGeom>
                                        </pic:spPr>
                                      </pic:pic>
                                    </a:graphicData>
                                  </a:graphic>
                                </wp:inline>
                              </w:drawing>
                            </w:r>
                          </w:p>
                          <w:p w14:paraId="7E6E5910" w14:textId="77777777" w:rsidR="00982388" w:rsidRPr="00D77C38" w:rsidRDefault="00982388" w:rsidP="00D43F17">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5</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 xml:space="preserve">Arrhenius plots of oxide-ion conductivity </w:t>
                            </w:r>
                            <w:proofErr w:type="spellStart"/>
                            <w:r w:rsidRPr="005A2DA3">
                              <w:rPr>
                                <w:rFonts w:cs="Arial"/>
                                <w:i/>
                                <w:iCs/>
                                <w:color w:val="000000" w:themeColor="text1"/>
                                <w:sz w:val="18"/>
                                <w:szCs w:val="18"/>
                                <w:lang w:eastAsia="ja-JP"/>
                              </w:rPr>
                              <w:t>σ</w:t>
                            </w:r>
                            <w:r w:rsidRPr="005A2DA3">
                              <w:rPr>
                                <w:rFonts w:cs="Arial"/>
                                <w:color w:val="000000" w:themeColor="text1"/>
                                <w:sz w:val="18"/>
                                <w:szCs w:val="18"/>
                                <w:vertAlign w:val="subscript"/>
                                <w:lang w:eastAsia="ja-JP"/>
                              </w:rPr>
                              <w:t>O</w:t>
                            </w:r>
                            <w:proofErr w:type="spellEnd"/>
                            <w:r w:rsidRPr="005A2DA3">
                              <w:rPr>
                                <w:rFonts w:cs="Arial"/>
                                <w:color w:val="000000" w:themeColor="text1"/>
                                <w:sz w:val="18"/>
                                <w:szCs w:val="18"/>
                                <w:vertAlign w:val="subscript"/>
                                <w:lang w:eastAsia="ja-JP"/>
                              </w:rPr>
                              <w:t>/EMF</w:t>
                            </w:r>
                            <w:r w:rsidRPr="005A2DA3">
                              <w:rPr>
                                <w:rFonts w:cs="Arial"/>
                                <w:color w:val="000000" w:themeColor="text1"/>
                                <w:sz w:val="18"/>
                                <w:szCs w:val="18"/>
                                <w:lang w:eastAsia="ja-JP"/>
                              </w:rPr>
                              <w:t xml:space="preserve"> </w:t>
                            </w:r>
                            <w:r>
                              <w:rPr>
                                <w:rFonts w:cs="Arial"/>
                                <w:color w:val="000000" w:themeColor="text1"/>
                                <w:sz w:val="18"/>
                                <w:szCs w:val="18"/>
                                <w:lang w:eastAsia="ja-JP"/>
                              </w:rPr>
                              <w:t>for</w:t>
                            </w:r>
                            <w:r w:rsidRPr="005A2DA3">
                              <w:rPr>
                                <w:rFonts w:cs="Arial"/>
                                <w:color w:val="000000" w:themeColor="text1"/>
                                <w:sz w:val="18"/>
                                <w:szCs w:val="18"/>
                                <w:lang w:eastAsia="ja-JP"/>
                              </w:rPr>
                              <w:t xml:space="preserve">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in wet air (blue circles and line)</w:t>
                            </w:r>
                            <w:r w:rsidRPr="005A2DA3">
                              <w:rPr>
                                <w:rFonts w:cs="Arial"/>
                                <w:i/>
                                <w:iCs/>
                                <w:color w:val="000000" w:themeColor="text1"/>
                                <w:sz w:val="18"/>
                                <w:szCs w:val="18"/>
                                <w:lang w:eastAsia="ja-JP"/>
                              </w:rPr>
                              <w:t xml:space="preserve"> </w:t>
                            </w:r>
                            <w:r w:rsidRPr="005A2DA3">
                              <w:rPr>
                                <w:rFonts w:cs="Arial"/>
                                <w:color w:val="000000" w:themeColor="text1"/>
                                <w:sz w:val="18"/>
                                <w:szCs w:val="18"/>
                                <w:lang w:eastAsia="ja-JP"/>
                              </w:rPr>
                              <w:t xml:space="preserve">and dry air (red squares and line) at 500 and 600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C. The activation energ</w:t>
                            </w:r>
                            <w:r>
                              <w:rPr>
                                <w:rFonts w:cs="Arial"/>
                                <w:color w:val="000000" w:themeColor="text1"/>
                                <w:sz w:val="18"/>
                                <w:szCs w:val="18"/>
                                <w:lang w:eastAsia="ja-JP"/>
                              </w:rPr>
                              <w:t>y</w:t>
                            </w:r>
                            <w:r w:rsidRPr="005A2DA3">
                              <w:rPr>
                                <w:rFonts w:cs="Arial"/>
                                <w:color w:val="000000" w:themeColor="text1"/>
                                <w:sz w:val="18"/>
                                <w:szCs w:val="18"/>
                                <w:lang w:eastAsia="ja-JP"/>
                              </w:rPr>
                              <w:t xml:space="preserve"> w</w:t>
                            </w:r>
                            <w:r>
                              <w:rPr>
                                <w:rFonts w:cs="Arial"/>
                                <w:color w:val="000000" w:themeColor="text1"/>
                                <w:sz w:val="18"/>
                                <w:szCs w:val="18"/>
                                <w:lang w:eastAsia="ja-JP"/>
                              </w:rPr>
                              <w:t>as</w:t>
                            </w:r>
                            <w:r w:rsidRPr="005A2DA3">
                              <w:rPr>
                                <w:rFonts w:cs="Arial"/>
                                <w:color w:val="000000" w:themeColor="text1"/>
                                <w:sz w:val="18"/>
                                <w:szCs w:val="18"/>
                                <w:lang w:eastAsia="ja-JP"/>
                              </w:rPr>
                              <w:t xml:space="preserve"> 0.55 eV in dry condition</w:t>
                            </w:r>
                            <w:r>
                              <w:rPr>
                                <w:rFonts w:cs="Arial"/>
                                <w:color w:val="000000" w:themeColor="text1"/>
                                <w:sz w:val="18"/>
                                <w:szCs w:val="18"/>
                                <w:lang w:eastAsia="ja-JP"/>
                              </w:rPr>
                              <w:t>s</w:t>
                            </w:r>
                            <w:r w:rsidRPr="005A2DA3">
                              <w:rPr>
                                <w:rFonts w:cs="Arial"/>
                                <w:color w:val="000000" w:themeColor="text1"/>
                                <w:sz w:val="18"/>
                                <w:szCs w:val="18"/>
                                <w:lang w:eastAsia="ja-JP"/>
                              </w:rPr>
                              <w:t xml:space="preserve"> and 0.63 eV in wet atmospheres.</w:t>
                            </w:r>
                          </w:p>
                          <w:p w14:paraId="6A5BB34C" w14:textId="77777777" w:rsidR="00982388" w:rsidRPr="001921ED" w:rsidRDefault="00982388" w:rsidP="00D43F17">
                            <w:pPr>
                              <w:spacing w:line="240" w:lineRule="exact"/>
                              <w:rPr>
                                <w:rFonts w:cs="Arial"/>
                                <w:lang w:eastAsia="ja-JP"/>
                              </w:rPr>
                            </w:pP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321C58" id="テキスト ボックス 1710025475" o:spid="_x0000_s1032" type="#_x0000_t202" style="position:absolute;left:0;text-align:left;margin-left:.2pt;margin-top:91.6pt;width:247.7pt;height:283.1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" stroked="f">
                <v:textbox inset="0,,0">
                  <w:txbxContent>
                    <w:p w14:paraId="0ECD8B86" w14:textId="77777777" w:rsidR="00982388" w:rsidRDefault="00982388" w:rsidP="00D43F17">
                      <w:pPr>
                        <w:jc w:val="center"/>
                        <w:rPr>
                          <w:rFonts w:ascii="Times New Roman"/>
                          <w:szCs w:val="10"/>
                          <w:lang w:eastAsia="ja-JP"/>
                        </w:rPr>
                      </w:pPr>
                      <w:r w:rsidDel="00B30AD1">
                        <w:rPr>
                          <w:noProof/>
                          <w:lang w:eastAsia="ja-JP"/>
                        </w:rPr>
                        <w:t xml:space="preserve"> </w:t>
                      </w:r>
                      <w:r w:rsidRPr="004D136D">
                        <w:rPr>
                          <w:noProof/>
                        </w:rPr>
                        <w:drawing>
                          <wp:inline distT="0" distB="0" distL="0" distR="0" wp14:anchorId="4E93BC47" wp14:editId="5E6781E9">
                            <wp:extent cx="2672823" cy="2747462"/>
                            <wp:effectExtent l="0" t="0" r="0" b="0"/>
                            <wp:docPr id="46028646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83957" name=""/>
                                    <pic:cNvPicPr/>
                                  </pic:nvPicPr>
                                  <pic:blipFill>
                                    <a:blip r:embed="rId25"/>
                                    <a:stretch>
                                      <a:fillRect/>
                                    </a:stretch>
                                  </pic:blipFill>
                                  <pic:spPr>
                                    <a:xfrm>
                                      <a:off x="0" y="0"/>
                                      <a:ext cx="2713350" cy="2789121"/>
                                    </a:xfrm>
                                    <a:prstGeom prst="rect">
                                      <a:avLst/>
                                    </a:prstGeom>
                                  </pic:spPr>
                                </pic:pic>
                              </a:graphicData>
                            </a:graphic>
                          </wp:inline>
                        </w:drawing>
                      </w:r>
                    </w:p>
                    <w:p w14:paraId="7E6E5910" w14:textId="77777777" w:rsidR="00982388" w:rsidRPr="00D77C38" w:rsidRDefault="00982388" w:rsidP="00D43F17">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5</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 xml:space="preserve">Arrhenius plots of oxide-ion conductivity </w:t>
                      </w:r>
                      <w:proofErr w:type="spellStart"/>
                      <w:r w:rsidRPr="005A2DA3">
                        <w:rPr>
                          <w:rFonts w:cs="Arial"/>
                          <w:i/>
                          <w:iCs/>
                          <w:color w:val="000000" w:themeColor="text1"/>
                          <w:sz w:val="18"/>
                          <w:szCs w:val="18"/>
                          <w:lang w:eastAsia="ja-JP"/>
                        </w:rPr>
                        <w:t>σ</w:t>
                      </w:r>
                      <w:r w:rsidRPr="005A2DA3">
                        <w:rPr>
                          <w:rFonts w:cs="Arial"/>
                          <w:color w:val="000000" w:themeColor="text1"/>
                          <w:sz w:val="18"/>
                          <w:szCs w:val="18"/>
                          <w:vertAlign w:val="subscript"/>
                          <w:lang w:eastAsia="ja-JP"/>
                        </w:rPr>
                        <w:t>O</w:t>
                      </w:r>
                      <w:proofErr w:type="spellEnd"/>
                      <w:r w:rsidRPr="005A2DA3">
                        <w:rPr>
                          <w:rFonts w:cs="Arial"/>
                          <w:color w:val="000000" w:themeColor="text1"/>
                          <w:sz w:val="18"/>
                          <w:szCs w:val="18"/>
                          <w:vertAlign w:val="subscript"/>
                          <w:lang w:eastAsia="ja-JP"/>
                        </w:rPr>
                        <w:t>/EMF</w:t>
                      </w:r>
                      <w:r w:rsidRPr="005A2DA3">
                        <w:rPr>
                          <w:rFonts w:cs="Arial"/>
                          <w:color w:val="000000" w:themeColor="text1"/>
                          <w:sz w:val="18"/>
                          <w:szCs w:val="18"/>
                          <w:lang w:eastAsia="ja-JP"/>
                        </w:rPr>
                        <w:t xml:space="preserve"> </w:t>
                      </w:r>
                      <w:r>
                        <w:rPr>
                          <w:rFonts w:cs="Arial"/>
                          <w:color w:val="000000" w:themeColor="text1"/>
                          <w:sz w:val="18"/>
                          <w:szCs w:val="18"/>
                          <w:lang w:eastAsia="ja-JP"/>
                        </w:rPr>
                        <w:t>for</w:t>
                      </w:r>
                      <w:r w:rsidRPr="005A2DA3">
                        <w:rPr>
                          <w:rFonts w:cs="Arial"/>
                          <w:color w:val="000000" w:themeColor="text1"/>
                          <w:sz w:val="18"/>
                          <w:szCs w:val="18"/>
                          <w:lang w:eastAsia="ja-JP"/>
                        </w:rPr>
                        <w:t xml:space="preserve">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in wet air (blue circles and line)</w:t>
                      </w:r>
                      <w:r w:rsidRPr="005A2DA3">
                        <w:rPr>
                          <w:rFonts w:cs="Arial"/>
                          <w:i/>
                          <w:iCs/>
                          <w:color w:val="000000" w:themeColor="text1"/>
                          <w:sz w:val="18"/>
                          <w:szCs w:val="18"/>
                          <w:lang w:eastAsia="ja-JP"/>
                        </w:rPr>
                        <w:t xml:space="preserve"> </w:t>
                      </w:r>
                      <w:r w:rsidRPr="005A2DA3">
                        <w:rPr>
                          <w:rFonts w:cs="Arial"/>
                          <w:color w:val="000000" w:themeColor="text1"/>
                          <w:sz w:val="18"/>
                          <w:szCs w:val="18"/>
                          <w:lang w:eastAsia="ja-JP"/>
                        </w:rPr>
                        <w:t xml:space="preserve">and dry air (red squares and line) at 500 and 600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C. The activation energ</w:t>
                      </w:r>
                      <w:r>
                        <w:rPr>
                          <w:rFonts w:cs="Arial"/>
                          <w:color w:val="000000" w:themeColor="text1"/>
                          <w:sz w:val="18"/>
                          <w:szCs w:val="18"/>
                          <w:lang w:eastAsia="ja-JP"/>
                        </w:rPr>
                        <w:t>y</w:t>
                      </w:r>
                      <w:r w:rsidRPr="005A2DA3">
                        <w:rPr>
                          <w:rFonts w:cs="Arial"/>
                          <w:color w:val="000000" w:themeColor="text1"/>
                          <w:sz w:val="18"/>
                          <w:szCs w:val="18"/>
                          <w:lang w:eastAsia="ja-JP"/>
                        </w:rPr>
                        <w:t xml:space="preserve"> w</w:t>
                      </w:r>
                      <w:r>
                        <w:rPr>
                          <w:rFonts w:cs="Arial"/>
                          <w:color w:val="000000" w:themeColor="text1"/>
                          <w:sz w:val="18"/>
                          <w:szCs w:val="18"/>
                          <w:lang w:eastAsia="ja-JP"/>
                        </w:rPr>
                        <w:t>as</w:t>
                      </w:r>
                      <w:r w:rsidRPr="005A2DA3">
                        <w:rPr>
                          <w:rFonts w:cs="Arial"/>
                          <w:color w:val="000000" w:themeColor="text1"/>
                          <w:sz w:val="18"/>
                          <w:szCs w:val="18"/>
                          <w:lang w:eastAsia="ja-JP"/>
                        </w:rPr>
                        <w:t xml:space="preserve"> 0.55 eV in dry condition</w:t>
                      </w:r>
                      <w:r>
                        <w:rPr>
                          <w:rFonts w:cs="Arial"/>
                          <w:color w:val="000000" w:themeColor="text1"/>
                          <w:sz w:val="18"/>
                          <w:szCs w:val="18"/>
                          <w:lang w:eastAsia="ja-JP"/>
                        </w:rPr>
                        <w:t>s</w:t>
                      </w:r>
                      <w:r w:rsidRPr="005A2DA3">
                        <w:rPr>
                          <w:rFonts w:cs="Arial"/>
                          <w:color w:val="000000" w:themeColor="text1"/>
                          <w:sz w:val="18"/>
                          <w:szCs w:val="18"/>
                          <w:lang w:eastAsia="ja-JP"/>
                        </w:rPr>
                        <w:t xml:space="preserve"> and 0.63 eV in wet atmospheres.</w:t>
                      </w:r>
                    </w:p>
                    <w:p w14:paraId="6A5BB34C" w14:textId="77777777" w:rsidR="00982388" w:rsidRPr="001921ED" w:rsidRDefault="00982388" w:rsidP="00D43F17">
                      <w:pPr>
                        <w:spacing w:line="240" w:lineRule="exact"/>
                        <w:rPr>
                          <w:rFonts w:cs="Arial"/>
                          <w:lang w:eastAsia="ja-JP"/>
                        </w:rPr>
                      </w:pPr>
                    </w:p>
                  </w:txbxContent>
                </v:textbox>
                <w10:wrap type="square" anchorx="margin"/>
              </v:shape>
            </w:pict>
          </mc:Fallback>
        </mc:AlternateContent>
      </w:r>
      <w:r w:rsidR="0061024F" w:rsidRPr="001E3806">
        <w:rPr>
          <w:bCs/>
          <w:lang w:val="en-US"/>
        </w:rPr>
        <w:t xml:space="preserve">Here, </w:t>
      </w:r>
      <w:proofErr w:type="spellStart"/>
      <w:r w:rsidR="0061024F" w:rsidRPr="001E3806">
        <w:rPr>
          <w:bCs/>
          <w:i/>
          <w:iCs/>
          <w:lang w:val="en-US"/>
        </w:rPr>
        <w:t>t</w:t>
      </w:r>
      <w:r w:rsidR="0061024F" w:rsidRPr="001E3806">
        <w:rPr>
          <w:bCs/>
          <w:vertAlign w:val="subscript"/>
          <w:lang w:val="en-US"/>
        </w:rPr>
        <w:t>dry</w:t>
      </w:r>
      <w:proofErr w:type="spellEnd"/>
      <w:r w:rsidR="0061024F" w:rsidRPr="001E3806">
        <w:rPr>
          <w:bCs/>
          <w:vertAlign w:val="subscript"/>
          <w:lang w:val="en-US"/>
        </w:rPr>
        <w:t>/O/EMF</w:t>
      </w:r>
      <w:r w:rsidR="0061024F" w:rsidRPr="001E3806">
        <w:rPr>
          <w:bCs/>
          <w:lang w:val="en-US"/>
        </w:rPr>
        <w:t xml:space="preserve"> (</w:t>
      </w:r>
      <m:oMath>
        <m:r>
          <m:rPr>
            <m:sty m:val="p"/>
          </m:rPr>
          <w:rPr>
            <w:rFonts w:ascii="Cambria Math" w:hAnsi="Cambria Math" w:cstheme="minorHAnsi"/>
            <w:lang w:val="en-US"/>
          </w:rPr>
          <m:t>~</m:t>
        </m:r>
      </m:oMath>
      <w:r w:rsidR="0061024F" w:rsidRPr="001E3806">
        <w:rPr>
          <w:bCs/>
          <w:lang w:val="en-US"/>
        </w:rPr>
        <w:t>1</w:t>
      </w:r>
      <w:r w:rsidR="00D8795D" w:rsidRPr="001E3806">
        <w:rPr>
          <w:bCs/>
          <w:lang w:val="en-US"/>
        </w:rPr>
        <w:t>.0</w:t>
      </w:r>
      <w:r w:rsidR="0061024F" w:rsidRPr="001E3806">
        <w:rPr>
          <w:bCs/>
          <w:lang w:val="en-US"/>
        </w:rPr>
        <w:t>) is the oxygen transport number estimated by EMF measurements with an oxygen concentration cell in dry atmospheres reported in the literature.</w:t>
      </w:r>
      <w:bookmarkEnd w:id="16"/>
      <w:r w:rsidR="0061024F" w:rsidRPr="001E3806">
        <w:rPr>
          <w:bCs/>
          <w:lang w:val="en-US"/>
        </w:rPr>
        <w:fldChar w:fldCharType="begin" w:fldLock="1"/>
      </w:r>
      <w:r w:rsidR="0061024F" w:rsidRPr="001E3806">
        <w:rPr>
          <w:bCs/>
          <w:lang w:val="en-US"/>
        </w:rPr>
        <w:instrText>ADDIN CSL_CITATION {"citationItems":[{"id":"ITEM-1","itemData":{"DOI":"10.1038/s41563-020-0629-4","ISSN":"1476-1122","PMID":"32123332","abstract":"Oxide ion and proton conductors, which exhibit high conductivity at intermediate temperature, are necessary to improve the performance of ceramic fuel cells. The crystal structure plays a pivotal role in defining the ionic conduction properties, and the discovery of new materials is a challenging research focus. Here, we show that the undoped hexagonal perovskite Ba7Nb4MoO20 supports pure ionic conduction with high proton and oxide ion conductivity at 510 °C (the bulk conductivity is 4.0 mS cm−1), and hence is an exceptional candidate for application as a dual-ion solid electrolyte in a ceramic fuel cell that will combine the advantages of both oxide ion and proton-conducting electrolytes. Ba7Nb4MoO20 also showcases excellent chemical and electrical stability. Hexagonal perovskites form an important new family of materials for obtaining novel ionic conductors with potential applications in a range of energy-related technologies.","author":[{"dropping-particle":"","family":"Fop","given":"Sacha","non-dropping-particle":"","parse-names":false,"suffix":""},{"dropping-particle":"","family":"McCombie","given":"Kirstie S.","non-dropping-particle":"","parse-names":false,"suffix":""},{"dropping-particle":"","family":"Wildman","given":"Eve J.","non-dropping-particle":"","parse-names":false,"suffix":""},{"dropping-particle":"","family":"Skakle","given":"Jan M. S.","non-dropping-particle":"","parse-names":false,"suffix":""},{"dropping-particle":"","family":"Irvine","given":"John T. S.","non-dropping-particle":"","parse-names":false,"suffix":""},{"dropping-particle":"","family":"Connor","given":"Paul A.","non-dropping-particle":"","parse-names":false,"suffix":""},{"dropping-particle":"","family":"Savaniu","given":"Cristian","non-dropping-particle":"","parse-names":false,"suffix":""},{"dropping-particle":"","family":"Ritter","given":"Clemens","non-dropping-particle":"","parse-names":false,"suffix":""},{"dropping-particle":"","family":"Mclaughlin","given":"Abbie C.","non-dropping-particle":"","parse-names":false,"suffix":""}],"container-title":"Nature Materials","id":"ITEM-1","issue":"7","issued":{"date-parts":[["2020","7","2"]]},"page":"752-757","publisher":"Nature Research","title":"High oxide ion and proton conductivity in a disordered hexagonal perovskite","type":"article-journal","volume":"19"},"uris":["http://www.mendeley.com/documents/?uuid=f336b269-6ebf-3ef0-82ad-f407450d185c"]}],"mendeley":{"formattedCitation":"&lt;sup&gt;29&lt;/sup&gt;","plainTextFormattedCitation":"29","previouslyFormattedCitation":"&lt;sup&gt;29&lt;/sup&gt;"},"properties":{"noteIndex":0},"schema":"https://github.com/citation-style-language/schema/raw/master/csl-citation.json"}</w:instrText>
      </w:r>
      <w:r w:rsidR="0061024F" w:rsidRPr="001E3806">
        <w:rPr>
          <w:bCs/>
          <w:lang w:val="en-US"/>
        </w:rPr>
        <w:fldChar w:fldCharType="separate"/>
      </w:r>
      <w:r w:rsidR="0061024F" w:rsidRPr="001E3806">
        <w:rPr>
          <w:bCs/>
          <w:noProof/>
          <w:vertAlign w:val="superscript"/>
          <w:lang w:val="en-US"/>
        </w:rPr>
        <w:t>29</w:t>
      </w:r>
      <w:r w:rsidR="0061024F" w:rsidRPr="001E3806">
        <w:rPr>
          <w:bCs/>
          <w:lang w:val="en-US"/>
        </w:rPr>
        <w:fldChar w:fldCharType="end"/>
      </w:r>
      <w:r w:rsidR="0061024F" w:rsidRPr="001E3806">
        <w:rPr>
          <w:bCs/>
          <w:lang w:val="en-US"/>
        </w:rPr>
        <w:t xml:space="preserve"> Interestingly, the </w:t>
      </w:r>
      <w:bookmarkStart w:id="18" w:name="_Hlk191820313"/>
      <w:r w:rsidR="0061024F" w:rsidRPr="001E3806">
        <w:rPr>
          <w:bCs/>
          <w:lang w:val="en-US"/>
        </w:rPr>
        <w:t xml:space="preserve">oxide-ion conductivity in wet atmospheres </w:t>
      </w:r>
      <w:proofErr w:type="spellStart"/>
      <w:r w:rsidR="0061024F" w:rsidRPr="001E3806">
        <w:rPr>
          <w:bCs/>
          <w:i/>
          <w:iCs/>
          <w:lang w:val="en-US"/>
        </w:rPr>
        <w:t>σ</w:t>
      </w:r>
      <w:r w:rsidR="0061024F" w:rsidRPr="001E3806">
        <w:rPr>
          <w:bCs/>
          <w:vertAlign w:val="subscript"/>
          <w:lang w:val="en-US"/>
        </w:rPr>
        <w:t>wet</w:t>
      </w:r>
      <w:proofErr w:type="spellEnd"/>
      <w:r w:rsidR="0061024F" w:rsidRPr="001E3806">
        <w:rPr>
          <w:bCs/>
          <w:vertAlign w:val="subscript"/>
          <w:lang w:val="en-US"/>
        </w:rPr>
        <w:t>/O/</w:t>
      </w:r>
      <w:bookmarkEnd w:id="18"/>
      <w:r w:rsidR="0061024F" w:rsidRPr="001E3806">
        <w:rPr>
          <w:bCs/>
          <w:vertAlign w:val="subscript"/>
          <w:lang w:val="en-US"/>
        </w:rPr>
        <w:t>EMF</w:t>
      </w:r>
      <w:r w:rsidR="0061024F" w:rsidRPr="001E3806">
        <w:rPr>
          <w:bCs/>
          <w:lang w:val="en-US"/>
        </w:rPr>
        <w:t xml:space="preserve"> (5.2×10</w:t>
      </w:r>
      <w:r w:rsidR="0061024F" w:rsidRPr="001E3806">
        <w:rPr>
          <w:bCs/>
          <w:vertAlign w:val="superscript"/>
          <w:lang w:val="en-US"/>
        </w:rPr>
        <w:t>‒4</w:t>
      </w:r>
      <w:r w:rsidR="0061024F" w:rsidRPr="001E3806">
        <w:rPr>
          <w:bCs/>
          <w:lang w:val="en-US"/>
        </w:rPr>
        <w:t xml:space="preserve"> S cm</w:t>
      </w:r>
      <w:r w:rsidR="0061024F" w:rsidRPr="001E3806">
        <w:rPr>
          <w:bCs/>
          <w:vertAlign w:val="superscript"/>
          <w:lang w:val="en-US"/>
        </w:rPr>
        <w:t>‒1</w:t>
      </w:r>
      <w:r w:rsidR="0061024F" w:rsidRPr="001E3806">
        <w:rPr>
          <w:bCs/>
          <w:lang w:val="en-US"/>
        </w:rPr>
        <w:t xml:space="preserve"> at 500 </w:t>
      </w:r>
      <w:r w:rsidR="0061024F" w:rsidRPr="001E3806">
        <w:rPr>
          <w:bCs/>
          <w:vertAlign w:val="superscript"/>
          <w:lang w:val="en-US"/>
        </w:rPr>
        <w:t>o</w:t>
      </w:r>
      <w:r w:rsidR="0061024F" w:rsidRPr="001E3806">
        <w:rPr>
          <w:bCs/>
          <w:lang w:val="en-US"/>
        </w:rPr>
        <w:t>C;</w:t>
      </w:r>
      <w:r w:rsidR="0061024F" w:rsidRPr="001E3806">
        <w:rPr>
          <w:bCs/>
          <w:i/>
          <w:lang w:val="en-US"/>
        </w:rPr>
        <w:t xml:space="preserve"> </w:t>
      </w:r>
      <w:r w:rsidR="0061024F" w:rsidRPr="001E3806">
        <w:rPr>
          <w:bCs/>
          <w:lang w:val="en-US"/>
        </w:rPr>
        <w:t>1.6×10</w:t>
      </w:r>
      <w:r w:rsidR="0061024F" w:rsidRPr="001E3806">
        <w:rPr>
          <w:bCs/>
          <w:vertAlign w:val="superscript"/>
          <w:lang w:val="en-US"/>
        </w:rPr>
        <w:t>‒3</w:t>
      </w:r>
      <w:r w:rsidR="0061024F" w:rsidRPr="001E3806">
        <w:rPr>
          <w:bCs/>
          <w:lang w:val="en-US"/>
        </w:rPr>
        <w:t xml:space="preserve"> S cm</w:t>
      </w:r>
      <w:r w:rsidR="0061024F" w:rsidRPr="001E3806">
        <w:rPr>
          <w:bCs/>
          <w:vertAlign w:val="superscript"/>
          <w:lang w:val="en-US"/>
        </w:rPr>
        <w:t>‒1</w:t>
      </w:r>
      <w:r w:rsidR="0061024F" w:rsidRPr="001E3806">
        <w:rPr>
          <w:bCs/>
          <w:lang w:val="en-US"/>
        </w:rPr>
        <w:t xml:space="preserve"> at 600 </w:t>
      </w:r>
      <w:r w:rsidR="0061024F" w:rsidRPr="001E3806">
        <w:rPr>
          <w:bCs/>
          <w:vertAlign w:val="superscript"/>
          <w:lang w:val="en-US"/>
        </w:rPr>
        <w:t>o</w:t>
      </w:r>
      <w:r w:rsidR="0061024F" w:rsidRPr="001E3806">
        <w:rPr>
          <w:bCs/>
          <w:lang w:val="en-US"/>
        </w:rPr>
        <w:t xml:space="preserve">C) was higher than that in dry conditions </w:t>
      </w:r>
      <w:r w:rsidR="0061024F" w:rsidRPr="001E3806">
        <w:rPr>
          <w:bCs/>
          <w:i/>
          <w:iCs/>
          <w:lang w:val="en-US"/>
        </w:rPr>
        <w:sym w:font="Symbol" w:char="F073"/>
      </w:r>
      <w:r w:rsidR="0061024F" w:rsidRPr="001E3806">
        <w:rPr>
          <w:bCs/>
          <w:vertAlign w:val="subscript"/>
          <w:lang w:val="en-US"/>
        </w:rPr>
        <w:t>dry/O/EMF</w:t>
      </w:r>
      <w:r w:rsidR="0061024F" w:rsidRPr="001E3806" w:rsidDel="00941BAC">
        <w:rPr>
          <w:bCs/>
          <w:i/>
          <w:iCs/>
          <w:lang w:val="en-US"/>
        </w:rPr>
        <w:t xml:space="preserve"> </w:t>
      </w:r>
      <w:r w:rsidR="0061024F" w:rsidRPr="001E3806">
        <w:rPr>
          <w:bCs/>
          <w:lang w:val="en-US"/>
        </w:rPr>
        <w:t>(2.5×10</w:t>
      </w:r>
      <w:bookmarkStart w:id="19" w:name="_Hlk191820388"/>
      <w:r w:rsidR="0061024F" w:rsidRPr="001E3806">
        <w:rPr>
          <w:bCs/>
          <w:vertAlign w:val="superscript"/>
          <w:lang w:val="en-US"/>
        </w:rPr>
        <w:t>‒</w:t>
      </w:r>
      <w:bookmarkEnd w:id="19"/>
      <w:r w:rsidR="0061024F" w:rsidRPr="001E3806">
        <w:rPr>
          <w:bCs/>
          <w:vertAlign w:val="superscript"/>
          <w:lang w:val="en-US"/>
        </w:rPr>
        <w:t>4</w:t>
      </w:r>
      <w:r w:rsidR="0061024F" w:rsidRPr="001E3806">
        <w:rPr>
          <w:bCs/>
          <w:lang w:val="en-US"/>
        </w:rPr>
        <w:t xml:space="preserve"> S cm</w:t>
      </w:r>
      <w:r w:rsidR="0061024F" w:rsidRPr="001E3806">
        <w:rPr>
          <w:bCs/>
          <w:vertAlign w:val="superscript"/>
          <w:lang w:val="en-US"/>
        </w:rPr>
        <w:t>‒1</w:t>
      </w:r>
      <w:r w:rsidR="0061024F" w:rsidRPr="001E3806">
        <w:rPr>
          <w:bCs/>
          <w:lang w:val="en-US"/>
        </w:rPr>
        <w:t xml:space="preserve"> at 500 </w:t>
      </w:r>
      <w:r w:rsidR="0061024F" w:rsidRPr="001E3806">
        <w:rPr>
          <w:bCs/>
          <w:vertAlign w:val="superscript"/>
          <w:lang w:val="en-US"/>
        </w:rPr>
        <w:t>o</w:t>
      </w:r>
      <w:r w:rsidR="0061024F" w:rsidRPr="001E3806">
        <w:rPr>
          <w:bCs/>
          <w:lang w:val="en-US"/>
        </w:rPr>
        <w:t>C;</w:t>
      </w:r>
      <w:r w:rsidR="0061024F" w:rsidRPr="001E3806">
        <w:rPr>
          <w:bCs/>
          <w:i/>
          <w:lang w:val="en-US"/>
        </w:rPr>
        <w:t xml:space="preserve"> </w:t>
      </w:r>
      <w:r w:rsidR="0061024F" w:rsidRPr="001E3806">
        <w:rPr>
          <w:bCs/>
          <w:lang w:val="en-US"/>
        </w:rPr>
        <w:t>6.4×10</w:t>
      </w:r>
      <w:r w:rsidR="0061024F" w:rsidRPr="001E3806">
        <w:rPr>
          <w:bCs/>
          <w:vertAlign w:val="superscript"/>
          <w:lang w:val="en-US"/>
        </w:rPr>
        <w:t>‒4</w:t>
      </w:r>
      <w:r w:rsidR="0061024F" w:rsidRPr="001E3806">
        <w:rPr>
          <w:bCs/>
          <w:lang w:val="en-US"/>
        </w:rPr>
        <w:t xml:space="preserve"> S cm</w:t>
      </w:r>
      <w:r w:rsidR="0061024F" w:rsidRPr="001E3806">
        <w:rPr>
          <w:bCs/>
          <w:vertAlign w:val="superscript"/>
          <w:lang w:val="en-US"/>
        </w:rPr>
        <w:t>‒1</w:t>
      </w:r>
      <w:r w:rsidR="0061024F" w:rsidRPr="001E3806">
        <w:rPr>
          <w:bCs/>
          <w:lang w:val="en-US"/>
        </w:rPr>
        <w:t xml:space="preserve"> at 600 </w:t>
      </w:r>
      <w:r w:rsidR="0061024F" w:rsidRPr="001E3806">
        <w:rPr>
          <w:bCs/>
          <w:vertAlign w:val="superscript"/>
          <w:lang w:val="en-US"/>
        </w:rPr>
        <w:t>o</w:t>
      </w:r>
      <w:r w:rsidR="0061024F" w:rsidRPr="001E3806">
        <w:rPr>
          <w:bCs/>
          <w:lang w:val="en-US"/>
        </w:rPr>
        <w:t xml:space="preserve">C) (Fig. 5). In contrast, the apparent oxygen </w:t>
      </w:r>
      <w:r w:rsidR="0061024F" w:rsidRPr="001E3806">
        <w:rPr>
          <w:bCs/>
          <w:lang w:val="en-US"/>
        </w:rPr>
        <w:t xml:space="preserve">transport number </w:t>
      </w:r>
      <w:r w:rsidR="0061024F" w:rsidRPr="001E3806">
        <w:rPr>
          <w:bCs/>
          <w:i/>
          <w:iCs/>
          <w:lang w:val="en-US"/>
        </w:rPr>
        <w:t>t</w:t>
      </w:r>
      <w:r w:rsidR="0061024F" w:rsidRPr="001E3806">
        <w:rPr>
          <w:bCs/>
          <w:vertAlign w:val="subscript"/>
          <w:lang w:val="en-US"/>
        </w:rPr>
        <w:t>O/app</w:t>
      </w:r>
      <w:r w:rsidR="0061024F" w:rsidRPr="001E3806">
        <w:rPr>
          <w:bCs/>
          <w:lang w:val="en-US"/>
        </w:rPr>
        <w:t xml:space="preserve"> is calculated by assuming that the oxide-ion conductivity in wet atmospheres equals to that in dry conditions.   Therefore, the oxygen transport number from EMF measurements is higher than apparent one (</w:t>
      </w:r>
      <w:r w:rsidR="0061024F" w:rsidRPr="001E3806">
        <w:rPr>
          <w:bCs/>
          <w:i/>
          <w:iCs/>
          <w:lang w:val="en-US"/>
        </w:rPr>
        <w:t>t</w:t>
      </w:r>
      <w:r w:rsidR="0061024F" w:rsidRPr="001E3806">
        <w:rPr>
          <w:bCs/>
          <w:vertAlign w:val="subscript"/>
          <w:lang w:val="en-US"/>
        </w:rPr>
        <w:t>wet/O/EMF</w:t>
      </w:r>
      <w:r w:rsidR="0061024F" w:rsidRPr="001E3806">
        <w:rPr>
          <w:bCs/>
          <w:lang w:val="en-US"/>
        </w:rPr>
        <w:t xml:space="preserve"> &gt; </w:t>
      </w:r>
      <w:r w:rsidR="0061024F" w:rsidRPr="001E3806">
        <w:rPr>
          <w:bCs/>
          <w:i/>
          <w:iCs/>
          <w:lang w:val="en-US"/>
        </w:rPr>
        <w:t>t</w:t>
      </w:r>
      <w:r w:rsidR="0061024F" w:rsidRPr="001E3806">
        <w:rPr>
          <w:bCs/>
          <w:vertAlign w:val="subscript"/>
          <w:lang w:val="en-US"/>
        </w:rPr>
        <w:t>O/app</w:t>
      </w:r>
      <w:r w:rsidR="0061024F" w:rsidRPr="001E3806">
        <w:rPr>
          <w:bCs/>
          <w:lang w:val="en-US"/>
        </w:rPr>
        <w:t xml:space="preserve">, Fig. 3a). The higher oxide-ion conductivity in wet atmospheres than that in dry conditions indicates the enhancement of oxide-ion conductivity by hydration. </w:t>
      </w:r>
    </w:p>
    <w:p w14:paraId="0B0EE01A" w14:textId="52B2A014" w:rsidR="0061024F" w:rsidRPr="001E3806" w:rsidRDefault="0061024F" w:rsidP="0061024F">
      <w:pPr>
        <w:pStyle w:val="RSCB02ArticleText"/>
        <w:ind w:firstLine="284"/>
        <w:rPr>
          <w:bCs/>
          <w:lang w:val="en-US"/>
        </w:rPr>
      </w:pPr>
      <w:r w:rsidRPr="001E3806">
        <w:rPr>
          <w:bCs/>
          <w:lang w:val="en-US"/>
        </w:rPr>
        <w:t xml:space="preserve">    To discuss the origins of the higher oxide-ion conductivity in wet atmospheres compared with dry conditions (</w:t>
      </w:r>
      <w:proofErr w:type="spellStart"/>
      <w:r w:rsidRPr="001E3806">
        <w:rPr>
          <w:bCs/>
          <w:i/>
          <w:iCs/>
          <w:lang w:val="en-US"/>
        </w:rPr>
        <w:t>σ</w:t>
      </w:r>
      <w:r w:rsidRPr="001E3806">
        <w:rPr>
          <w:bCs/>
          <w:vertAlign w:val="subscript"/>
          <w:lang w:val="en-US"/>
        </w:rPr>
        <w:t>wet</w:t>
      </w:r>
      <w:proofErr w:type="spellEnd"/>
      <w:r w:rsidRPr="001E3806">
        <w:rPr>
          <w:bCs/>
          <w:vertAlign w:val="subscript"/>
          <w:lang w:val="en-US"/>
        </w:rPr>
        <w:t>/O/EMF</w:t>
      </w:r>
      <w:r w:rsidRPr="001E3806">
        <w:rPr>
          <w:bCs/>
          <w:lang w:val="en-US"/>
        </w:rPr>
        <w:t xml:space="preserve"> &gt; </w:t>
      </w:r>
      <w:proofErr w:type="spellStart"/>
      <w:r w:rsidRPr="001E3806">
        <w:rPr>
          <w:bCs/>
          <w:i/>
          <w:iCs/>
          <w:lang w:val="en-US"/>
        </w:rPr>
        <w:t>σ</w:t>
      </w:r>
      <w:r w:rsidRPr="001E3806">
        <w:rPr>
          <w:bCs/>
          <w:vertAlign w:val="subscript"/>
          <w:lang w:val="en-US"/>
        </w:rPr>
        <w:t>dry</w:t>
      </w:r>
      <w:proofErr w:type="spellEnd"/>
      <w:r w:rsidRPr="001E3806">
        <w:rPr>
          <w:bCs/>
          <w:vertAlign w:val="subscript"/>
          <w:lang w:val="en-US"/>
        </w:rPr>
        <w:t>/O/EMF</w:t>
      </w:r>
      <w:r w:rsidRPr="001E3806">
        <w:rPr>
          <w:bCs/>
          <w:lang w:val="en-US"/>
        </w:rPr>
        <w:t xml:space="preserve">), </w:t>
      </w:r>
      <w:bookmarkStart w:id="20" w:name="_Hlk203287064"/>
      <w:r w:rsidRPr="001E3806">
        <w:rPr>
          <w:bCs/>
          <w:lang w:val="en-US"/>
        </w:rPr>
        <w:t xml:space="preserve">we estimated the carrier concentration (number of oxide ions per volume) and oxygen diffusion coefficient using the oxide-ion conductivity and Nernst-Einstein equation: </w:t>
      </w:r>
    </w:p>
    <w:p w14:paraId="54B80C07" w14:textId="2A46A3E7" w:rsidR="0061024F" w:rsidRPr="001E3806" w:rsidRDefault="0061024F" w:rsidP="0061024F">
      <w:pPr>
        <w:pStyle w:val="RSCB02ArticleText"/>
        <w:rPr>
          <w:bCs/>
          <w:lang w:val="en-US"/>
        </w:rPr>
      </w:pPr>
      <w:proofErr w:type="spellStart"/>
      <w:r w:rsidRPr="001E3806">
        <w:rPr>
          <w:bCs/>
          <w:i/>
          <w:iCs/>
          <w:lang w:val="en-US"/>
        </w:rPr>
        <w:t>D</w:t>
      </w:r>
      <w:r w:rsidRPr="001E3806">
        <w:rPr>
          <w:bCs/>
          <w:vertAlign w:val="subscript"/>
          <w:lang w:val="en-US"/>
        </w:rPr>
        <w:t>dry</w:t>
      </w:r>
      <w:proofErr w:type="spellEnd"/>
      <w:r w:rsidRPr="001E3806">
        <w:rPr>
          <w:bCs/>
          <w:vertAlign w:val="subscript"/>
          <w:lang w:val="en-US"/>
        </w:rPr>
        <w:t>/O/</w:t>
      </w:r>
      <w:r w:rsidRPr="001E3806">
        <w:rPr>
          <w:bCs/>
          <w:i/>
          <w:iCs/>
          <w:vertAlign w:val="subscript"/>
          <w:lang w:val="en-US"/>
        </w:rPr>
        <w:t>σ</w:t>
      </w:r>
      <w:r w:rsidRPr="001E3806">
        <w:rPr>
          <w:bCs/>
          <w:lang w:val="en-US"/>
        </w:rPr>
        <w:t xml:space="preserve"> = </w:t>
      </w:r>
      <w:proofErr w:type="spellStart"/>
      <w:r w:rsidRPr="001E3806">
        <w:rPr>
          <w:bCs/>
          <w:i/>
          <w:iCs/>
          <w:lang w:val="en-US"/>
        </w:rPr>
        <w:t>kTσ</w:t>
      </w:r>
      <w:r w:rsidRPr="001E3806">
        <w:rPr>
          <w:bCs/>
          <w:vertAlign w:val="subscript"/>
          <w:lang w:val="en-US"/>
        </w:rPr>
        <w:t>dry</w:t>
      </w:r>
      <w:proofErr w:type="spellEnd"/>
      <w:r w:rsidRPr="001E3806">
        <w:rPr>
          <w:bCs/>
          <w:vertAlign w:val="subscript"/>
          <w:lang w:val="en-US"/>
        </w:rPr>
        <w:t>/O/EMF</w:t>
      </w:r>
      <w:r w:rsidRPr="001E3806">
        <w:rPr>
          <w:bCs/>
          <w:lang w:val="en-US"/>
        </w:rPr>
        <w:t>/(4</w:t>
      </w:r>
      <w:r w:rsidRPr="001E3806">
        <w:rPr>
          <w:bCs/>
          <w:i/>
          <w:iCs/>
          <w:lang w:val="en-US"/>
        </w:rPr>
        <w:t>e</w:t>
      </w:r>
      <w:r w:rsidRPr="001E3806">
        <w:rPr>
          <w:bCs/>
          <w:vertAlign w:val="superscript"/>
          <w:lang w:val="en-US"/>
        </w:rPr>
        <w:t>2</w:t>
      </w:r>
      <w:r w:rsidRPr="001E3806">
        <w:rPr>
          <w:bCs/>
          <w:i/>
          <w:iCs/>
          <w:lang w:val="en-US"/>
        </w:rPr>
        <w:t>n</w:t>
      </w:r>
      <w:r w:rsidRPr="001E3806">
        <w:rPr>
          <w:bCs/>
          <w:vertAlign w:val="subscript"/>
          <w:lang w:val="en-US"/>
        </w:rPr>
        <w:t>dry/O</w:t>
      </w:r>
      <w:r w:rsidRPr="001E3806">
        <w:rPr>
          <w:bCs/>
          <w:lang w:val="en-US"/>
        </w:rPr>
        <w:t>)</w:t>
      </w:r>
    </w:p>
    <w:p w14:paraId="33B2466E" w14:textId="34005FE1" w:rsidR="0061024F" w:rsidRPr="001E3806" w:rsidRDefault="0061024F" w:rsidP="0061024F">
      <w:pPr>
        <w:pStyle w:val="RSCB02ArticleText"/>
        <w:rPr>
          <w:bCs/>
          <w:lang w:val="en-US"/>
        </w:rPr>
      </w:pPr>
      <w:proofErr w:type="spellStart"/>
      <w:r w:rsidRPr="001E3806">
        <w:rPr>
          <w:bCs/>
          <w:i/>
          <w:iCs/>
          <w:lang w:val="en-US"/>
        </w:rPr>
        <w:t>D</w:t>
      </w:r>
      <w:r w:rsidRPr="001E3806">
        <w:rPr>
          <w:bCs/>
          <w:vertAlign w:val="subscript"/>
          <w:lang w:val="en-US"/>
        </w:rPr>
        <w:t>wet</w:t>
      </w:r>
      <w:proofErr w:type="spellEnd"/>
      <w:r w:rsidRPr="001E3806">
        <w:rPr>
          <w:bCs/>
          <w:vertAlign w:val="subscript"/>
          <w:lang w:val="en-US"/>
        </w:rPr>
        <w:t>/O/</w:t>
      </w:r>
      <w:r w:rsidRPr="001E3806">
        <w:rPr>
          <w:bCs/>
          <w:i/>
          <w:iCs/>
          <w:vertAlign w:val="subscript"/>
          <w:lang w:val="en-US"/>
        </w:rPr>
        <w:t>σ</w:t>
      </w:r>
      <w:r w:rsidRPr="001E3806">
        <w:rPr>
          <w:bCs/>
          <w:lang w:val="en-US"/>
        </w:rPr>
        <w:t xml:space="preserve"> = </w:t>
      </w:r>
      <w:proofErr w:type="spellStart"/>
      <w:r w:rsidRPr="001E3806">
        <w:rPr>
          <w:bCs/>
          <w:i/>
          <w:iCs/>
          <w:lang w:val="en-US"/>
        </w:rPr>
        <w:t>kTσ</w:t>
      </w:r>
      <w:r w:rsidRPr="001E3806">
        <w:rPr>
          <w:bCs/>
          <w:vertAlign w:val="subscript"/>
          <w:lang w:val="en-US"/>
        </w:rPr>
        <w:t>wet</w:t>
      </w:r>
      <w:proofErr w:type="spellEnd"/>
      <w:r w:rsidRPr="001E3806">
        <w:rPr>
          <w:bCs/>
          <w:vertAlign w:val="subscript"/>
          <w:lang w:val="en-US"/>
        </w:rPr>
        <w:t>/O/EMF</w:t>
      </w:r>
      <w:r w:rsidRPr="001E3806">
        <w:rPr>
          <w:bCs/>
          <w:lang w:val="en-US"/>
        </w:rPr>
        <w:t>/(4</w:t>
      </w:r>
      <w:r w:rsidRPr="001E3806">
        <w:rPr>
          <w:bCs/>
          <w:i/>
          <w:iCs/>
          <w:lang w:val="en-US"/>
        </w:rPr>
        <w:t>e</w:t>
      </w:r>
      <w:r w:rsidRPr="001E3806">
        <w:rPr>
          <w:bCs/>
          <w:vertAlign w:val="superscript"/>
          <w:lang w:val="en-US"/>
        </w:rPr>
        <w:t>2</w:t>
      </w:r>
      <w:r w:rsidRPr="001E3806">
        <w:rPr>
          <w:bCs/>
          <w:i/>
          <w:iCs/>
          <w:lang w:val="en-US"/>
        </w:rPr>
        <w:t>n</w:t>
      </w:r>
      <w:r w:rsidRPr="001E3806">
        <w:rPr>
          <w:bCs/>
          <w:vertAlign w:val="subscript"/>
          <w:lang w:val="en-US"/>
        </w:rPr>
        <w:t>wet/O</w:t>
      </w:r>
      <w:r w:rsidRPr="001E3806">
        <w:rPr>
          <w:bCs/>
          <w:lang w:val="en-US"/>
        </w:rPr>
        <w:t xml:space="preserve">). </w:t>
      </w:r>
    </w:p>
    <w:p w14:paraId="5944B44A" w14:textId="0B2402D6" w:rsidR="0061024F" w:rsidRPr="001E3806" w:rsidRDefault="0061024F" w:rsidP="007237F9">
      <w:pPr>
        <w:pStyle w:val="RSCB02ArticleText"/>
        <w:rPr>
          <w:bCs/>
          <w:lang w:val="en-US"/>
        </w:rPr>
      </w:pPr>
      <w:bookmarkStart w:id="21" w:name="_Hlk203287175"/>
      <w:bookmarkEnd w:id="20"/>
      <w:r w:rsidRPr="001E3806">
        <w:rPr>
          <w:bCs/>
          <w:lang w:val="en-US"/>
        </w:rPr>
        <w:t xml:space="preserve">Here, </w:t>
      </w:r>
      <w:r w:rsidRPr="001E3806">
        <w:rPr>
          <w:bCs/>
          <w:i/>
          <w:iCs/>
          <w:lang w:val="en-US"/>
        </w:rPr>
        <w:t>k</w:t>
      </w:r>
      <w:r w:rsidRPr="001E3806">
        <w:rPr>
          <w:bCs/>
          <w:lang w:val="en-US"/>
        </w:rPr>
        <w:t xml:space="preserve"> is the Boltzmann constant, </w:t>
      </w:r>
      <w:r w:rsidRPr="001E3806">
        <w:rPr>
          <w:bCs/>
          <w:i/>
          <w:iCs/>
          <w:lang w:val="en-US"/>
        </w:rPr>
        <w:t>T</w:t>
      </w:r>
      <w:r w:rsidRPr="001E3806">
        <w:rPr>
          <w:bCs/>
          <w:lang w:val="en-US"/>
        </w:rPr>
        <w:t xml:space="preserve"> is the absolute temperature, </w:t>
      </w:r>
      <w:r w:rsidRPr="001E3806">
        <w:rPr>
          <w:bCs/>
          <w:i/>
          <w:lang w:val="en-US"/>
        </w:rPr>
        <w:t>e</w:t>
      </w:r>
      <w:r w:rsidRPr="001E3806">
        <w:rPr>
          <w:bCs/>
          <w:lang w:val="en-US"/>
        </w:rPr>
        <w:t xml:space="preserve"> is the elementary charge, </w:t>
      </w:r>
      <w:proofErr w:type="spellStart"/>
      <w:r w:rsidRPr="001E3806">
        <w:rPr>
          <w:bCs/>
          <w:i/>
          <w:iCs/>
          <w:lang w:val="en-US"/>
        </w:rPr>
        <w:t>n</w:t>
      </w:r>
      <w:r w:rsidRPr="001E3806">
        <w:rPr>
          <w:bCs/>
          <w:vertAlign w:val="subscript"/>
          <w:lang w:val="en-US"/>
        </w:rPr>
        <w:t>dry</w:t>
      </w:r>
      <w:proofErr w:type="spellEnd"/>
      <w:r w:rsidRPr="001E3806">
        <w:rPr>
          <w:bCs/>
          <w:vertAlign w:val="subscript"/>
          <w:lang w:val="en-US"/>
        </w:rPr>
        <w:t>/O</w:t>
      </w:r>
      <w:r w:rsidRPr="001E3806">
        <w:rPr>
          <w:bCs/>
          <w:lang w:val="en-US"/>
        </w:rPr>
        <w:t xml:space="preserve"> is the number of oxide ions per volume in dry conditions, </w:t>
      </w:r>
      <w:proofErr w:type="spellStart"/>
      <w:r w:rsidRPr="001E3806">
        <w:rPr>
          <w:bCs/>
          <w:i/>
          <w:iCs/>
          <w:lang w:val="en-US"/>
        </w:rPr>
        <w:t>n</w:t>
      </w:r>
      <w:r w:rsidRPr="001E3806">
        <w:rPr>
          <w:bCs/>
          <w:vertAlign w:val="subscript"/>
          <w:lang w:val="en-US"/>
        </w:rPr>
        <w:t>wet</w:t>
      </w:r>
      <w:proofErr w:type="spellEnd"/>
      <w:r w:rsidRPr="001E3806">
        <w:rPr>
          <w:bCs/>
          <w:vertAlign w:val="subscript"/>
          <w:lang w:val="en-US"/>
        </w:rPr>
        <w:t>/O</w:t>
      </w:r>
      <w:r w:rsidRPr="001E3806">
        <w:rPr>
          <w:bCs/>
          <w:lang w:val="en-US"/>
        </w:rPr>
        <w:t xml:space="preserve"> is the number of oxide ions per volume in wet atmospheres. The Haven ratio is assumed to be unity. </w:t>
      </w:r>
      <w:bookmarkEnd w:id="21"/>
      <w:r w:rsidRPr="001E3806">
        <w:rPr>
          <w:bCs/>
          <w:lang w:val="en-US"/>
        </w:rPr>
        <w:t>The carrier concentrations in wet and dry conditions were almost the same (</w:t>
      </w:r>
      <w:proofErr w:type="spellStart"/>
      <w:r w:rsidRPr="001E3806">
        <w:rPr>
          <w:bCs/>
          <w:i/>
          <w:iCs/>
          <w:lang w:val="en-US"/>
        </w:rPr>
        <w:t>n</w:t>
      </w:r>
      <w:r w:rsidRPr="001E3806">
        <w:rPr>
          <w:bCs/>
          <w:vertAlign w:val="subscript"/>
          <w:lang w:val="en-US"/>
        </w:rPr>
        <w:t>wet</w:t>
      </w:r>
      <w:proofErr w:type="spellEnd"/>
      <w:r w:rsidRPr="001E3806">
        <w:rPr>
          <w:bCs/>
          <w:vertAlign w:val="subscript"/>
          <w:lang w:val="en-US"/>
        </w:rPr>
        <w:t>/O</w:t>
      </w:r>
      <w:r w:rsidRPr="001E3806">
        <w:rPr>
          <w:bCs/>
          <w:lang w:val="en-US"/>
        </w:rPr>
        <w:t xml:space="preserve"> </w:t>
      </w:r>
      <m:oMath>
        <m:r>
          <m:rPr>
            <m:sty m:val="p"/>
          </m:rPr>
          <w:rPr>
            <w:rFonts w:ascii="Cambria Math" w:hAnsi="Cambria Math" w:cstheme="minorHAnsi"/>
            <w:lang w:val="en-US"/>
          </w:rPr>
          <m:t>~</m:t>
        </m:r>
      </m:oMath>
      <w:r w:rsidRPr="001E3806">
        <w:rPr>
          <w:bCs/>
          <w:lang w:val="en-US"/>
        </w:rPr>
        <w:t xml:space="preserve"> </w:t>
      </w:r>
      <w:proofErr w:type="spellStart"/>
      <w:r w:rsidRPr="001E3806">
        <w:rPr>
          <w:bCs/>
          <w:i/>
          <w:iCs/>
          <w:lang w:val="en-US"/>
        </w:rPr>
        <w:t>n</w:t>
      </w:r>
      <w:r w:rsidRPr="001E3806">
        <w:rPr>
          <w:bCs/>
          <w:vertAlign w:val="subscript"/>
          <w:lang w:val="en-US"/>
        </w:rPr>
        <w:t>dry</w:t>
      </w:r>
      <w:proofErr w:type="spellEnd"/>
      <w:r w:rsidRPr="001E3806">
        <w:rPr>
          <w:bCs/>
          <w:vertAlign w:val="subscript"/>
          <w:lang w:val="en-US"/>
        </w:rPr>
        <w:t>/O</w:t>
      </w:r>
      <w:r w:rsidRPr="001E3806">
        <w:rPr>
          <w:bCs/>
          <w:lang w:val="en-US"/>
        </w:rPr>
        <w:t>), although the former was slightly higher than the latter (</w:t>
      </w:r>
      <w:proofErr w:type="spellStart"/>
      <w:r w:rsidRPr="001E3806">
        <w:rPr>
          <w:bCs/>
          <w:i/>
          <w:iCs/>
          <w:lang w:val="en-US"/>
        </w:rPr>
        <w:t>n</w:t>
      </w:r>
      <w:r w:rsidRPr="001E3806">
        <w:rPr>
          <w:bCs/>
          <w:vertAlign w:val="subscript"/>
          <w:lang w:val="en-US"/>
        </w:rPr>
        <w:t>wet</w:t>
      </w:r>
      <w:proofErr w:type="spellEnd"/>
      <w:r w:rsidRPr="001E3806">
        <w:rPr>
          <w:bCs/>
          <w:vertAlign w:val="subscript"/>
          <w:lang w:val="en-US"/>
        </w:rPr>
        <w:t>/O</w:t>
      </w:r>
      <w:r w:rsidRPr="001E3806">
        <w:rPr>
          <w:bCs/>
          <w:lang w:val="en-US"/>
        </w:rPr>
        <w:t xml:space="preserve"> = 1.0014</w:t>
      </w:r>
      <w:r w:rsidRPr="001E3806">
        <w:rPr>
          <w:bCs/>
          <w:i/>
          <w:iCs/>
          <w:lang w:val="en-US"/>
        </w:rPr>
        <w:t xml:space="preserve"> </w:t>
      </w:r>
      <w:proofErr w:type="spellStart"/>
      <w:r w:rsidRPr="001E3806">
        <w:rPr>
          <w:bCs/>
          <w:i/>
          <w:iCs/>
          <w:lang w:val="en-US"/>
        </w:rPr>
        <w:t>n</w:t>
      </w:r>
      <w:r w:rsidRPr="001E3806">
        <w:rPr>
          <w:bCs/>
          <w:vertAlign w:val="subscript"/>
          <w:lang w:val="en-US"/>
        </w:rPr>
        <w:t>dry</w:t>
      </w:r>
      <w:proofErr w:type="spellEnd"/>
      <w:r w:rsidRPr="001E3806">
        <w:rPr>
          <w:bCs/>
          <w:vertAlign w:val="subscript"/>
          <w:lang w:val="en-US"/>
        </w:rPr>
        <w:t>/O</w:t>
      </w:r>
      <w:r w:rsidRPr="001E3806">
        <w:rPr>
          <w:bCs/>
          <w:lang w:val="en-US"/>
        </w:rPr>
        <w:t xml:space="preserve"> at 600 </w:t>
      </w:r>
      <w:proofErr w:type="spellStart"/>
      <w:r w:rsidRPr="001E3806">
        <w:rPr>
          <w:bCs/>
          <w:vertAlign w:val="superscript"/>
          <w:lang w:val="en-US"/>
        </w:rPr>
        <w:t>o</w:t>
      </w:r>
      <w:r w:rsidRPr="001E3806">
        <w:rPr>
          <w:bCs/>
          <w:lang w:val="en-US"/>
        </w:rPr>
        <w:t>C</w:t>
      </w:r>
      <w:proofErr w:type="spellEnd"/>
      <w:r w:rsidRPr="001E3806">
        <w:rPr>
          <w:bCs/>
          <w:lang w:val="en-US"/>
        </w:rPr>
        <w:t xml:space="preserve">, </w:t>
      </w:r>
      <w:proofErr w:type="spellStart"/>
      <w:r w:rsidRPr="001E3806">
        <w:rPr>
          <w:bCs/>
          <w:i/>
          <w:iCs/>
          <w:lang w:val="en-US"/>
        </w:rPr>
        <w:t>n</w:t>
      </w:r>
      <w:r w:rsidRPr="001E3806">
        <w:rPr>
          <w:bCs/>
          <w:vertAlign w:val="subscript"/>
          <w:lang w:val="en-US"/>
        </w:rPr>
        <w:t>wet</w:t>
      </w:r>
      <w:proofErr w:type="spellEnd"/>
      <w:r w:rsidRPr="001E3806">
        <w:rPr>
          <w:bCs/>
          <w:vertAlign w:val="subscript"/>
          <w:lang w:val="en-US"/>
        </w:rPr>
        <w:t>/O</w:t>
      </w:r>
      <w:r w:rsidRPr="001E3806">
        <w:rPr>
          <w:bCs/>
          <w:lang w:val="en-US"/>
        </w:rPr>
        <w:t xml:space="preserve"> = 1.0021</w:t>
      </w:r>
      <w:r w:rsidRPr="001E3806">
        <w:rPr>
          <w:bCs/>
          <w:i/>
          <w:iCs/>
          <w:lang w:val="en-US"/>
        </w:rPr>
        <w:t>n</w:t>
      </w:r>
      <w:r w:rsidRPr="001E3806">
        <w:rPr>
          <w:bCs/>
          <w:vertAlign w:val="subscript"/>
          <w:lang w:val="en-US"/>
        </w:rPr>
        <w:t>dry/O</w:t>
      </w:r>
      <w:r w:rsidRPr="001E3806">
        <w:rPr>
          <w:bCs/>
          <w:lang w:val="en-US"/>
        </w:rPr>
        <w:t xml:space="preserve"> at 500 </w:t>
      </w:r>
      <w:r w:rsidRPr="001E3806">
        <w:rPr>
          <w:bCs/>
          <w:vertAlign w:val="superscript"/>
          <w:lang w:val="en-US"/>
        </w:rPr>
        <w:t>o</w:t>
      </w:r>
      <w:r w:rsidRPr="001E3806">
        <w:rPr>
          <w:bCs/>
          <w:lang w:val="en-US"/>
        </w:rPr>
        <w:t xml:space="preserve">C). In sharp contrast, the oxygen diffusion coefficient in wet atmospheres </w:t>
      </w:r>
      <w:r w:rsidRPr="001E3806">
        <w:rPr>
          <w:bCs/>
          <w:i/>
          <w:iCs/>
          <w:lang w:val="en-US"/>
        </w:rPr>
        <w:t>D</w:t>
      </w:r>
      <w:r w:rsidRPr="001E3806">
        <w:rPr>
          <w:bCs/>
          <w:vertAlign w:val="subscript"/>
          <w:lang w:val="en-US"/>
        </w:rPr>
        <w:t>wet/O/</w:t>
      </w:r>
      <w:r w:rsidRPr="001E3806">
        <w:rPr>
          <w:bCs/>
          <w:i/>
          <w:iCs/>
          <w:vertAlign w:val="subscript"/>
          <w:lang w:val="en-US"/>
        </w:rPr>
        <w:t>σ</w:t>
      </w:r>
      <w:r w:rsidRPr="001E3806">
        <w:rPr>
          <w:bCs/>
          <w:lang w:val="en-US"/>
        </w:rPr>
        <w:t xml:space="preserve"> was significantly higher than that in dry conditions </w:t>
      </w:r>
      <w:proofErr w:type="spellStart"/>
      <w:r w:rsidRPr="001E3806">
        <w:rPr>
          <w:bCs/>
          <w:i/>
          <w:iCs/>
          <w:lang w:val="en-US"/>
        </w:rPr>
        <w:t>D</w:t>
      </w:r>
      <w:r w:rsidRPr="001E3806">
        <w:rPr>
          <w:bCs/>
          <w:vertAlign w:val="subscript"/>
          <w:lang w:val="en-US"/>
        </w:rPr>
        <w:t>dry</w:t>
      </w:r>
      <w:proofErr w:type="spellEnd"/>
      <w:r w:rsidRPr="001E3806">
        <w:rPr>
          <w:bCs/>
          <w:vertAlign w:val="subscript"/>
          <w:lang w:val="en-US"/>
        </w:rPr>
        <w:t>/O/</w:t>
      </w:r>
      <w:r w:rsidRPr="001E3806">
        <w:rPr>
          <w:bCs/>
          <w:i/>
          <w:iCs/>
          <w:vertAlign w:val="subscript"/>
          <w:lang w:val="en-US"/>
        </w:rPr>
        <w:t>σ</w:t>
      </w:r>
      <w:r w:rsidRPr="001E3806">
        <w:rPr>
          <w:bCs/>
          <w:lang w:val="en-US"/>
        </w:rPr>
        <w:t xml:space="preserve"> (</w:t>
      </w:r>
      <w:proofErr w:type="spellStart"/>
      <w:r w:rsidRPr="001E3806">
        <w:rPr>
          <w:bCs/>
          <w:i/>
          <w:iCs/>
          <w:lang w:val="en-US"/>
        </w:rPr>
        <w:t>D</w:t>
      </w:r>
      <w:r w:rsidRPr="001E3806">
        <w:rPr>
          <w:bCs/>
          <w:vertAlign w:val="subscript"/>
          <w:lang w:val="en-US"/>
        </w:rPr>
        <w:t>wet</w:t>
      </w:r>
      <w:proofErr w:type="spellEnd"/>
      <w:r w:rsidRPr="001E3806">
        <w:rPr>
          <w:bCs/>
          <w:vertAlign w:val="subscript"/>
          <w:lang w:val="en-US"/>
        </w:rPr>
        <w:t>/O/</w:t>
      </w:r>
      <w:r w:rsidRPr="001E3806">
        <w:rPr>
          <w:bCs/>
          <w:i/>
          <w:iCs/>
          <w:vertAlign w:val="subscript"/>
          <w:lang w:val="en-US"/>
        </w:rPr>
        <w:t>σ</w:t>
      </w:r>
      <w:r w:rsidRPr="001E3806">
        <w:rPr>
          <w:bCs/>
          <w:lang w:val="en-US"/>
        </w:rPr>
        <w:t xml:space="preserve"> = 2.5</w:t>
      </w:r>
      <w:r w:rsidRPr="001E3806">
        <w:rPr>
          <w:bCs/>
          <w:i/>
          <w:iCs/>
          <w:lang w:val="en-US"/>
        </w:rPr>
        <w:t>D</w:t>
      </w:r>
      <w:r w:rsidRPr="001E3806">
        <w:rPr>
          <w:bCs/>
          <w:vertAlign w:val="subscript"/>
          <w:lang w:val="en-US"/>
        </w:rPr>
        <w:t>dry/O/</w:t>
      </w:r>
      <w:r w:rsidRPr="001E3806">
        <w:rPr>
          <w:bCs/>
          <w:i/>
          <w:iCs/>
          <w:vertAlign w:val="subscript"/>
          <w:lang w:val="en-US"/>
        </w:rPr>
        <w:t>σ</w:t>
      </w:r>
      <w:r w:rsidRPr="001E3806">
        <w:rPr>
          <w:bCs/>
          <w:lang w:val="en-US"/>
        </w:rPr>
        <w:t xml:space="preserve"> at 600 </w:t>
      </w:r>
      <w:r w:rsidRPr="001E3806">
        <w:rPr>
          <w:bCs/>
          <w:vertAlign w:val="superscript"/>
          <w:lang w:val="en-US"/>
        </w:rPr>
        <w:t>o</w:t>
      </w:r>
      <w:r w:rsidRPr="001E3806">
        <w:rPr>
          <w:bCs/>
          <w:lang w:val="en-US"/>
        </w:rPr>
        <w:t xml:space="preserve">C, </w:t>
      </w:r>
      <w:r w:rsidRPr="001E3806">
        <w:rPr>
          <w:bCs/>
          <w:i/>
          <w:iCs/>
          <w:lang w:val="en-US"/>
        </w:rPr>
        <w:t>D</w:t>
      </w:r>
      <w:r w:rsidRPr="001E3806">
        <w:rPr>
          <w:bCs/>
          <w:vertAlign w:val="subscript"/>
          <w:lang w:val="en-US"/>
        </w:rPr>
        <w:t>wet/O/</w:t>
      </w:r>
      <w:r w:rsidRPr="001E3806">
        <w:rPr>
          <w:bCs/>
          <w:i/>
          <w:iCs/>
          <w:vertAlign w:val="subscript"/>
          <w:lang w:val="en-US"/>
        </w:rPr>
        <w:t>σ</w:t>
      </w:r>
      <w:r w:rsidRPr="001E3806">
        <w:rPr>
          <w:bCs/>
          <w:lang w:val="en-US"/>
        </w:rPr>
        <w:t xml:space="preserve"> = 2.8</w:t>
      </w:r>
      <w:r w:rsidRPr="001E3806">
        <w:rPr>
          <w:bCs/>
          <w:i/>
          <w:iCs/>
          <w:lang w:val="en-US"/>
        </w:rPr>
        <w:t>D</w:t>
      </w:r>
      <w:r w:rsidRPr="001E3806">
        <w:rPr>
          <w:bCs/>
          <w:vertAlign w:val="subscript"/>
          <w:lang w:val="en-US"/>
        </w:rPr>
        <w:t>dry/O/</w:t>
      </w:r>
      <w:r w:rsidRPr="001E3806">
        <w:rPr>
          <w:bCs/>
          <w:i/>
          <w:iCs/>
          <w:vertAlign w:val="subscript"/>
          <w:lang w:val="en-US"/>
        </w:rPr>
        <w:t>σ</w:t>
      </w:r>
      <w:r w:rsidRPr="001E3806">
        <w:rPr>
          <w:bCs/>
          <w:lang w:val="en-US"/>
        </w:rPr>
        <w:t xml:space="preserve"> at 500 </w:t>
      </w:r>
      <w:r w:rsidRPr="001E3806">
        <w:rPr>
          <w:bCs/>
          <w:vertAlign w:val="superscript"/>
          <w:lang w:val="en-US"/>
        </w:rPr>
        <w:t>o</w:t>
      </w:r>
      <w:r w:rsidRPr="001E3806">
        <w:rPr>
          <w:bCs/>
          <w:lang w:val="en-US"/>
        </w:rPr>
        <w:t>C, open circles in Fig. 6b). Therefore, the higher oxygen diffusion coefficient in wet atmospheres compared with the dry conditions is the origin of the higher oxide-ion conductivity in wet atmospheres.</w:t>
      </w:r>
    </w:p>
    <w:p w14:paraId="3BC55BEA" w14:textId="35933B27" w:rsidR="0061024F" w:rsidRPr="001E3806" w:rsidRDefault="0061024F" w:rsidP="00CE5F87">
      <w:pPr>
        <w:pStyle w:val="RSCB02ArticleText"/>
        <w:spacing w:line="240" w:lineRule="auto"/>
        <w:rPr>
          <w:bCs/>
          <w:lang w:val="en-US"/>
        </w:rPr>
      </w:pPr>
      <w:r w:rsidRPr="001E3806">
        <w:rPr>
          <w:bCs/>
          <w:lang w:val="en-US"/>
        </w:rPr>
        <w:t>The direct experimental evidence for the higher oxygen diffusion coefficient in wet atmospheres compared with the dry conditions was obtained by investigating the oxygen tracer diffusion and surface exchange coefficients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pellets using the isotope exchange depth profiling (IEDP) technique coupled with secondary ion mass spectrometry (SIMS).</w:t>
      </w:r>
      <w:r w:rsidRPr="001E3806">
        <w:rPr>
          <w:bCs/>
          <w:lang w:val="en-US"/>
        </w:rPr>
        <w:fldChar w:fldCharType="begin" w:fldLock="1"/>
      </w:r>
      <w:r w:rsidRPr="001E3806">
        <w:rPr>
          <w:bCs/>
          <w:lang w:val="en-US"/>
        </w:rPr>
        <w:instrText>ADDIN CSL_CITATION {"citationItems":[{"id":"ITEM-1","itemData":{"author":[{"dropping-particle":"","family":"Skinner","given":"SJ","non-dropping-particle":"","parse-names":false,"suffix":""},{"dropping-particle":"","family":"JA Kilner","given":"","non-dropping-particle":"","parse-names":false,"suffix":""}],"container-title":"Solid State Ionics","id":"ITEM-1","issue":"1-4","issued":{"date-parts":[["2000"]]},"page":"709-712","title":"Oxygen diffusion and surface exchange in La2−xSrxNiO4+δ","type":"article-journal","volume":"135"},"uris":["http://www.mendeley.com/documents/?uuid=ccacd111-2b79-3c2a-a78c-6424fe2f7fac"]},{"id":"ITEM-2","itemData":{"DOI":"10.1007/S10008-010-1289-0/FIGURES/18","ISSN":"14328488","abstract":"The determination of the mass transport kinetics of oxide materials for use in electrochemical systems such as fuel cells, sensors and oxygen separators is a significant challenge. Several techniques have been proposed to derive these data experimentally with only the oxygen isotope exchange depth profile technique coupled with secondary ion mass spectrometry (SIMS) providing a direct measure of these kinetic parameters. Whilst this allows kinetic information to be obtained, there is a lack of knowledge of the surface chemistry of these complex processes. The advent of low-energy ion scattering (LEIS) now offers the opportunity of correlating exchange kinetics with chemical processes at materials atomic surfaces, giving unprecedented levels of information on electrochemical systems with isotopic discrimination. Here, the challenges of these techniques, including sample preparation, are discussed and the advantages of the combined approach of SIMS and LEIS illustrated with reference to key literature data. © 2011 Springer-Verlag.","author":[{"dropping-particle":"","family":"Kilner","given":"John A.","non-dropping-particle":"","parse-names":false,"suffix":""},{"dropping-particle":"","family":"Skinner","given":"Stephen J.","non-dropping-particle":"","parse-names":false,"suffix":""},{"dropping-particle":"","family":"Brongersma","given":"Hidde H.","non-dropping-particle":"","parse-names":false,"suffix":""}],"container-title":"Journal of Solid State Electrochemistry","id":"ITEM-2","issue":"5","issued":{"date-parts":[["2011","5","5"]]},"page":"861-876","publisher":"Springer","title":"The isotope exchange depth profiling (IEDP) technique using SIMS and LEIS","type":"article-journal","volume":"15"},"uris":["http://www.mendeley.com/documents/?uuid=2b2776cf-225d-3ce2-8225-a66ecdba6bd8"]}],"mendeley":{"formattedCitation":"&lt;sup&gt;58,59&lt;/sup&gt;","plainTextFormattedCitation":"58,59","previouslyFormattedCitation":"&lt;sup&gt;58,59&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58,59</w:t>
      </w:r>
      <w:r w:rsidRPr="001E3806">
        <w:rPr>
          <w:bCs/>
          <w:lang w:val="en-US"/>
        </w:rPr>
        <w:fldChar w:fldCharType="end"/>
      </w:r>
      <w:r w:rsidRPr="001E3806">
        <w:rPr>
          <w:bCs/>
          <w:lang w:val="en-US"/>
        </w:rPr>
        <w:t xml:space="preserve">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 xml:space="preserve">20 </w:t>
      </w:r>
      <w:r w:rsidRPr="001E3806">
        <w:rPr>
          <w:bCs/>
          <w:lang w:val="en-US"/>
        </w:rPr>
        <w:t xml:space="preserve">pellets were annealed at 500 </w:t>
      </w:r>
      <w:r w:rsidRPr="001E3806">
        <w:rPr>
          <w:bCs/>
          <w:vertAlign w:val="superscript"/>
          <w:lang w:val="en-US"/>
        </w:rPr>
        <w:t>o</w:t>
      </w:r>
      <w:r w:rsidRPr="001E3806">
        <w:rPr>
          <w:bCs/>
          <w:lang w:val="en-US"/>
        </w:rPr>
        <w:t xml:space="preserve">C in dry </w:t>
      </w:r>
      <w:r w:rsidRPr="001E3806">
        <w:rPr>
          <w:bCs/>
          <w:vertAlign w:val="superscript"/>
          <w:lang w:val="en-US"/>
        </w:rPr>
        <w:t>18</w:t>
      </w:r>
      <w:r w:rsidRPr="001E3806">
        <w:rPr>
          <w:bCs/>
          <w:lang w:val="en-US"/>
        </w:rPr>
        <w:t>O</w:t>
      </w:r>
      <w:r w:rsidRPr="001E3806">
        <w:rPr>
          <w:bCs/>
          <w:vertAlign w:val="subscript"/>
          <w:lang w:val="en-US"/>
        </w:rPr>
        <w:t>2</w:t>
      </w:r>
      <w:r w:rsidRPr="001E3806" w:rsidDel="0062472A">
        <w:rPr>
          <w:bCs/>
          <w:lang w:val="en-US"/>
        </w:rPr>
        <w:t xml:space="preserve"> </w:t>
      </w:r>
      <w:r w:rsidRPr="001E3806">
        <w:rPr>
          <w:bCs/>
          <w:lang w:val="en-US"/>
        </w:rPr>
        <w:t>(</w:t>
      </w:r>
      <w:r w:rsidRPr="001E3806">
        <w:rPr>
          <w:bCs/>
          <w:i/>
          <w:iCs/>
          <w:lang w:val="en-US"/>
        </w:rPr>
        <w:t>p</w:t>
      </w:r>
      <w:r w:rsidRPr="001E3806">
        <w:rPr>
          <w:bCs/>
          <w:vertAlign w:val="superscript"/>
          <w:lang w:val="en-US"/>
        </w:rPr>
        <w:t>18</w:t>
      </w:r>
      <w:r w:rsidRPr="001E3806">
        <w:rPr>
          <w:bCs/>
          <w:lang w:val="en-US"/>
        </w:rPr>
        <w:t>O</w:t>
      </w:r>
      <w:r w:rsidRPr="001E3806">
        <w:rPr>
          <w:bCs/>
          <w:vertAlign w:val="subscript"/>
          <w:lang w:val="en-US"/>
        </w:rPr>
        <w:t>2</w:t>
      </w:r>
      <w:r w:rsidRPr="001E3806">
        <w:rPr>
          <w:bCs/>
          <w:lang w:val="en-US"/>
        </w:rPr>
        <w:t xml:space="preserve"> = 0.20 atm) and wet </w:t>
      </w:r>
      <w:r w:rsidRPr="001E3806">
        <w:rPr>
          <w:bCs/>
          <w:vertAlign w:val="superscript"/>
          <w:lang w:val="en-US"/>
        </w:rPr>
        <w:t>18</w:t>
      </w:r>
      <w:r w:rsidRPr="001E3806">
        <w:rPr>
          <w:bCs/>
          <w:lang w:val="en-US"/>
        </w:rPr>
        <w:t>O</w:t>
      </w:r>
      <w:r w:rsidRPr="001E3806">
        <w:rPr>
          <w:bCs/>
          <w:vertAlign w:val="subscript"/>
          <w:lang w:val="en-US"/>
        </w:rPr>
        <w:t>2</w:t>
      </w:r>
      <w:r w:rsidRPr="001E3806" w:rsidDel="0062472A">
        <w:rPr>
          <w:bCs/>
          <w:lang w:val="en-US"/>
        </w:rPr>
        <w:t xml:space="preserve"> </w:t>
      </w:r>
      <w:r w:rsidRPr="001E3806">
        <w:rPr>
          <w:bCs/>
          <w:lang w:val="en-US"/>
        </w:rPr>
        <w:t>(</w:t>
      </w:r>
      <w:r w:rsidRPr="001E3806">
        <w:rPr>
          <w:bCs/>
          <w:i/>
          <w:iCs/>
          <w:lang w:val="en-US"/>
        </w:rPr>
        <w:t>p</w:t>
      </w:r>
      <w:r w:rsidRPr="001E3806">
        <w:rPr>
          <w:bCs/>
          <w:lang w:val="en-US"/>
        </w:rPr>
        <w:t>H</w:t>
      </w:r>
      <w:r w:rsidRPr="001E3806">
        <w:rPr>
          <w:bCs/>
          <w:vertAlign w:val="subscript"/>
          <w:lang w:val="en-US"/>
        </w:rPr>
        <w:t>2</w:t>
      </w:r>
      <w:r w:rsidRPr="001E3806">
        <w:rPr>
          <w:bCs/>
          <w:vertAlign w:val="superscript"/>
          <w:lang w:val="en-US"/>
        </w:rPr>
        <w:t>18</w:t>
      </w:r>
      <w:r w:rsidRPr="001E3806">
        <w:rPr>
          <w:bCs/>
          <w:lang w:val="en-US"/>
        </w:rPr>
        <w:t xml:space="preserve">O = 0.030 atm, </w:t>
      </w:r>
      <w:r w:rsidRPr="001E3806">
        <w:rPr>
          <w:bCs/>
          <w:i/>
          <w:iCs/>
          <w:lang w:val="en-US"/>
        </w:rPr>
        <w:t>p</w:t>
      </w:r>
      <w:r w:rsidRPr="001E3806">
        <w:rPr>
          <w:bCs/>
          <w:vertAlign w:val="superscript"/>
          <w:lang w:val="en-US"/>
        </w:rPr>
        <w:t>18</w:t>
      </w:r>
      <w:r w:rsidRPr="001E3806">
        <w:rPr>
          <w:bCs/>
          <w:lang w:val="en-US"/>
        </w:rPr>
        <w:t>O</w:t>
      </w:r>
      <w:r w:rsidRPr="001E3806">
        <w:rPr>
          <w:bCs/>
          <w:vertAlign w:val="subscript"/>
          <w:lang w:val="en-US"/>
        </w:rPr>
        <w:t>2</w:t>
      </w:r>
      <w:r w:rsidRPr="001E3806">
        <w:rPr>
          <w:bCs/>
          <w:lang w:val="en-US"/>
        </w:rPr>
        <w:t xml:space="preserve"> = 0.20 atm) for 1 h. The </w:t>
      </w:r>
      <w:r w:rsidRPr="001E3806">
        <w:rPr>
          <w:bCs/>
          <w:vertAlign w:val="superscript"/>
          <w:lang w:val="en-US"/>
        </w:rPr>
        <w:t>18</w:t>
      </w:r>
      <w:r w:rsidRPr="001E3806">
        <w:rPr>
          <w:bCs/>
          <w:lang w:val="en-US"/>
        </w:rPr>
        <w:t xml:space="preserve">O tracer diffusion profiles show that the </w:t>
      </w:r>
      <w:r w:rsidRPr="001E3806">
        <w:rPr>
          <w:bCs/>
          <w:vertAlign w:val="superscript"/>
          <w:lang w:val="en-US"/>
        </w:rPr>
        <w:t>18</w:t>
      </w:r>
      <w:r w:rsidRPr="001E3806">
        <w:rPr>
          <w:bCs/>
          <w:lang w:val="en-US"/>
        </w:rPr>
        <w:t>O ions in a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pellet annealed in wet </w:t>
      </w:r>
      <w:r w:rsidRPr="001E3806">
        <w:rPr>
          <w:bCs/>
          <w:vertAlign w:val="superscript"/>
          <w:lang w:val="en-US"/>
        </w:rPr>
        <w:t>18</w:t>
      </w:r>
      <w:r w:rsidRPr="001E3806">
        <w:rPr>
          <w:bCs/>
          <w:lang w:val="en-US"/>
        </w:rPr>
        <w:t>O</w:t>
      </w:r>
      <w:r w:rsidRPr="001E3806">
        <w:rPr>
          <w:bCs/>
          <w:vertAlign w:val="subscript"/>
          <w:lang w:val="en-US"/>
        </w:rPr>
        <w:t>2</w:t>
      </w:r>
      <w:r w:rsidRPr="001E3806">
        <w:rPr>
          <w:bCs/>
          <w:lang w:val="en-US"/>
        </w:rPr>
        <w:t xml:space="preserve"> penetrated deeper than those in dry </w:t>
      </w:r>
      <w:r w:rsidRPr="001E3806">
        <w:rPr>
          <w:bCs/>
          <w:vertAlign w:val="superscript"/>
          <w:lang w:val="en-US"/>
        </w:rPr>
        <w:t>18</w:t>
      </w:r>
      <w:r w:rsidRPr="001E3806">
        <w:rPr>
          <w:bCs/>
          <w:lang w:val="en-US"/>
        </w:rPr>
        <w:t>O</w:t>
      </w:r>
      <w:r w:rsidRPr="001E3806">
        <w:rPr>
          <w:bCs/>
          <w:vertAlign w:val="subscript"/>
          <w:lang w:val="en-US"/>
        </w:rPr>
        <w:t>2</w:t>
      </w:r>
      <w:r w:rsidRPr="001E3806">
        <w:rPr>
          <w:bCs/>
          <w:lang w:val="en-US"/>
        </w:rPr>
        <w:t xml:space="preserve"> (Fig. 6a). Indeed, the oxygen tracer diffusion coefficient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in wet </w:t>
      </w:r>
      <w:r w:rsidRPr="001E3806">
        <w:rPr>
          <w:bCs/>
          <w:vertAlign w:val="superscript"/>
          <w:lang w:val="en-US"/>
        </w:rPr>
        <w:t>18</w:t>
      </w:r>
      <w:r w:rsidRPr="001E3806">
        <w:rPr>
          <w:bCs/>
          <w:lang w:val="en-US"/>
        </w:rPr>
        <w:t>O</w:t>
      </w:r>
      <w:r w:rsidRPr="001E3806">
        <w:rPr>
          <w:bCs/>
          <w:vertAlign w:val="subscript"/>
          <w:lang w:val="en-US"/>
        </w:rPr>
        <w:t>2</w:t>
      </w:r>
      <w:r w:rsidRPr="001E3806">
        <w:rPr>
          <w:bCs/>
          <w:lang w:val="en-US"/>
        </w:rPr>
        <w:t xml:space="preserve"> </w:t>
      </w:r>
      <m:oMath>
        <m:sSubSup>
          <m:sSubSupPr>
            <m:ctrlPr>
              <w:rPr>
                <w:rFonts w:ascii="Cambria Math" w:hAnsi="Cambria Math"/>
                <w:bCs/>
                <w:i/>
                <w:lang w:val="en-US"/>
              </w:rPr>
            </m:ctrlPr>
          </m:sSubSupPr>
          <m:e>
            <m:r>
              <w:rPr>
                <w:rFonts w:ascii="Cambria Math" w:hAnsi="Cambria Math"/>
                <w:lang w:val="en-US"/>
              </w:rPr>
              <m:t>D</m:t>
            </m:r>
          </m:e>
          <m:sub>
            <m:r>
              <m:rPr>
                <m:sty m:val="p"/>
              </m:rPr>
              <w:rPr>
                <w:rFonts w:ascii="Cambria Math" w:hAnsi="Cambria Math"/>
                <w:vertAlign w:val="subscript"/>
                <w:lang w:val="en-US"/>
              </w:rPr>
              <m:t>wet/O</m:t>
            </m:r>
          </m:sub>
          <m:sup>
            <m:r>
              <m:rPr>
                <m:sty m:val="p"/>
              </m:rPr>
              <w:rPr>
                <w:rFonts w:ascii="Cambria Math" w:hAnsi="Cambria Math"/>
                <w:lang w:val="en-US"/>
              </w:rPr>
              <m:t>*</m:t>
            </m:r>
          </m:sup>
        </m:sSubSup>
      </m:oMath>
      <w:r w:rsidRPr="001E3806">
        <w:rPr>
          <w:bCs/>
          <w:lang w:val="en-US"/>
        </w:rPr>
        <w:t xml:space="preserve"> = 2.6×10</w:t>
      </w:r>
      <w:r w:rsidRPr="001E3806">
        <w:rPr>
          <w:bCs/>
          <w:vertAlign w:val="superscript"/>
          <w:lang w:val="en-US"/>
        </w:rPr>
        <w:t>‒9</w:t>
      </w:r>
      <w:r w:rsidRPr="001E3806">
        <w:rPr>
          <w:bCs/>
          <w:lang w:val="en-US"/>
        </w:rPr>
        <w:t xml:space="preserve"> cm</w:t>
      </w:r>
      <w:r w:rsidRPr="001E3806">
        <w:rPr>
          <w:bCs/>
          <w:vertAlign w:val="superscript"/>
          <w:lang w:val="en-US"/>
        </w:rPr>
        <w:t>2</w:t>
      </w:r>
      <w:r w:rsidRPr="001E3806">
        <w:rPr>
          <w:bCs/>
          <w:lang w:val="en-US"/>
        </w:rPr>
        <w:t xml:space="preserve">/s was significantly higher than that in dry </w:t>
      </w:r>
      <w:r w:rsidRPr="001E3806">
        <w:rPr>
          <w:bCs/>
          <w:vertAlign w:val="superscript"/>
          <w:lang w:val="en-US"/>
        </w:rPr>
        <w:t>18</w:t>
      </w:r>
      <w:r w:rsidRPr="001E3806">
        <w:rPr>
          <w:bCs/>
          <w:lang w:val="en-US"/>
        </w:rPr>
        <w:t>O</w:t>
      </w:r>
      <w:r w:rsidRPr="001E3806">
        <w:rPr>
          <w:bCs/>
          <w:vertAlign w:val="subscript"/>
          <w:lang w:val="en-US"/>
        </w:rPr>
        <w:t>2</w:t>
      </w:r>
      <w:r w:rsidRPr="001E3806" w:rsidDel="006B725B">
        <w:rPr>
          <w:bCs/>
          <w:lang w:val="en-US"/>
        </w:rPr>
        <w:t xml:space="preserve"> </w:t>
      </w:r>
      <m:oMath>
        <m:sSubSup>
          <m:sSubSupPr>
            <m:ctrlPr>
              <w:rPr>
                <w:rFonts w:ascii="Cambria Math" w:hAnsi="Cambria Math"/>
                <w:bCs/>
                <w:i/>
                <w:lang w:val="en-US"/>
              </w:rPr>
            </m:ctrlPr>
          </m:sSubSupPr>
          <m:e>
            <m:r>
              <w:rPr>
                <w:rFonts w:ascii="Cambria Math" w:hAnsi="Cambria Math"/>
                <w:lang w:val="en-US"/>
              </w:rPr>
              <m:t>D</m:t>
            </m:r>
          </m:e>
          <m:sub>
            <m:r>
              <m:rPr>
                <m:sty m:val="p"/>
              </m:rPr>
              <w:rPr>
                <w:rFonts w:ascii="Cambria Math" w:hAnsi="Cambria Math"/>
                <w:vertAlign w:val="subscript"/>
                <w:lang w:val="en-US"/>
              </w:rPr>
              <m:t>dry/O</m:t>
            </m:r>
          </m:sub>
          <m:sup>
            <m:r>
              <m:rPr>
                <m:sty m:val="p"/>
              </m:rPr>
              <w:rPr>
                <w:rFonts w:ascii="Cambria Math" w:hAnsi="Cambria Math"/>
                <w:lang w:val="en-US"/>
              </w:rPr>
              <m:t>*</m:t>
            </m:r>
          </m:sup>
        </m:sSubSup>
      </m:oMath>
      <w:r w:rsidRPr="001E3806">
        <w:rPr>
          <w:bCs/>
          <w:lang w:val="en-US"/>
        </w:rPr>
        <w:t xml:space="preserve"> = 5.6×10</w:t>
      </w:r>
      <w:r w:rsidRPr="001E3806">
        <w:rPr>
          <w:bCs/>
          <w:vertAlign w:val="superscript"/>
          <w:lang w:val="en-US"/>
        </w:rPr>
        <w:t>‒10</w:t>
      </w:r>
      <w:r w:rsidRPr="001E3806">
        <w:rPr>
          <w:bCs/>
          <w:lang w:val="en-US"/>
        </w:rPr>
        <w:t xml:space="preserve"> cm</w:t>
      </w:r>
      <w:r w:rsidRPr="001E3806">
        <w:rPr>
          <w:bCs/>
          <w:vertAlign w:val="superscript"/>
          <w:lang w:val="en-US"/>
        </w:rPr>
        <w:t>2</w:t>
      </w:r>
      <w:r w:rsidRPr="001E3806">
        <w:rPr>
          <w:bCs/>
          <w:lang w:val="en-US"/>
        </w:rPr>
        <w:t>/s (</w:t>
      </w:r>
      <m:oMath>
        <m:sSubSup>
          <m:sSubSupPr>
            <m:ctrlPr>
              <w:rPr>
                <w:rFonts w:ascii="Cambria Math" w:hAnsi="Cambria Math"/>
                <w:bCs/>
                <w:i/>
                <w:lang w:val="en-US"/>
              </w:rPr>
            </m:ctrlPr>
          </m:sSubSupPr>
          <m:e>
            <m:r>
              <w:rPr>
                <w:rFonts w:ascii="Cambria Math" w:hAnsi="Cambria Math"/>
                <w:lang w:val="en-US"/>
              </w:rPr>
              <m:t>D</m:t>
            </m:r>
          </m:e>
          <m:sub>
            <m:r>
              <m:rPr>
                <m:sty m:val="p"/>
              </m:rPr>
              <w:rPr>
                <w:rFonts w:ascii="Cambria Math" w:hAnsi="Cambria Math"/>
                <w:vertAlign w:val="subscript"/>
                <w:lang w:val="en-US"/>
              </w:rPr>
              <m:t>wet/O</m:t>
            </m:r>
          </m:sub>
          <m:sup>
            <m:r>
              <m:rPr>
                <m:sty m:val="p"/>
              </m:rPr>
              <w:rPr>
                <w:rFonts w:ascii="Cambria Math" w:hAnsi="Cambria Math"/>
                <w:lang w:val="en-US"/>
              </w:rPr>
              <m:t>*</m:t>
            </m:r>
          </m:sup>
        </m:sSubSup>
      </m:oMath>
      <w:r w:rsidRPr="001E3806">
        <w:rPr>
          <w:bCs/>
          <w:lang w:val="en-US"/>
        </w:rPr>
        <w:t xml:space="preserve"> = </w:t>
      </w:r>
      <w:r w:rsidR="00F50B25" w:rsidRPr="001E3806">
        <w:rPr>
          <w:bCs/>
          <w:lang w:val="en-US"/>
        </w:rPr>
        <w:t>4.6</w:t>
      </w:r>
      <m:oMath>
        <m:sSubSup>
          <m:sSubSupPr>
            <m:ctrlPr>
              <w:rPr>
                <w:rFonts w:ascii="Cambria Math" w:hAnsi="Cambria Math"/>
                <w:bCs/>
                <w:i/>
                <w:lang w:val="en-US"/>
              </w:rPr>
            </m:ctrlPr>
          </m:sSubSupPr>
          <m:e>
            <m:r>
              <w:rPr>
                <w:rFonts w:ascii="Cambria Math" w:hAnsi="Cambria Math"/>
                <w:lang w:val="en-US"/>
              </w:rPr>
              <m:t>D</m:t>
            </m:r>
          </m:e>
          <m:sub>
            <m:r>
              <m:rPr>
                <m:sty m:val="p"/>
              </m:rPr>
              <w:rPr>
                <w:rFonts w:ascii="Cambria Math" w:hAnsi="Cambria Math"/>
                <w:vertAlign w:val="subscript"/>
                <w:lang w:val="en-US"/>
              </w:rPr>
              <m:t>dry/O</m:t>
            </m:r>
          </m:sub>
          <m:sup>
            <m:r>
              <m:rPr>
                <m:sty m:val="p"/>
              </m:rPr>
              <w:rPr>
                <w:rFonts w:ascii="Cambria Math" w:hAnsi="Cambria Math"/>
                <w:lang w:val="en-US"/>
              </w:rPr>
              <m:t>*</m:t>
            </m:r>
          </m:sup>
        </m:sSubSup>
      </m:oMath>
      <w:r w:rsidRPr="001E3806">
        <w:rPr>
          <w:bCs/>
          <w:lang w:val="en-US"/>
        </w:rPr>
        <w:t>). This is the direct experimental evidence that the oxygen diffusivity of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is enhanced by hydration. This is also supported by M3GNet-MD simulations, as shown below. The tracer diffusion coefficient obtained using the IEDP technique was in good agreement with the diffusion coefficient obtained from the conductivity data (Fig. 6b), thus validating these diffusion coefficient values.</w:t>
      </w:r>
    </w:p>
    <w:p w14:paraId="0259B9CF" w14:textId="77777777" w:rsidR="00081248" w:rsidRPr="001E3806" w:rsidRDefault="002607D2" w:rsidP="0061024F">
      <w:pPr>
        <w:pStyle w:val="RSCB02ArticleText"/>
        <w:rPr>
          <w:bCs/>
          <w:lang w:val="en-US"/>
        </w:rPr>
      </w:pPr>
      <w:bookmarkStart w:id="22" w:name="_Hlk199843436"/>
      <w:r w:rsidRPr="001E3806">
        <w:rPr>
          <w:bCs/>
          <w:lang w:val="en-US"/>
        </w:rPr>
        <w:t xml:space="preserve">   </w:t>
      </w:r>
      <w:r w:rsidR="0061024F" w:rsidRPr="001E3806">
        <w:rPr>
          <w:bCs/>
          <w:lang w:val="en-US"/>
        </w:rPr>
        <w:t>To investigate the reasons why the oxygen diffusion coefficient is higher in wet atmospheres than in dry conditions at the atomic level, we performed the M3GNet-MD simulations at 1200 K. MD simulations f</w:t>
      </w:r>
      <w:r w:rsidR="00C733D9" w:rsidRPr="001E3806">
        <w:rPr>
          <w:bCs/>
          <w:lang w:val="en-US"/>
        </w:rPr>
        <w:t>or</w:t>
      </w:r>
      <w:r w:rsidR="0061024F" w:rsidRPr="001E3806">
        <w:rPr>
          <w:bCs/>
          <w:lang w:val="en-US"/>
        </w:rPr>
        <w:t xml:space="preserve"> </w:t>
      </w:r>
      <w:r w:rsidR="0061024F" w:rsidRPr="001E3806">
        <w:rPr>
          <w:rFonts w:hint="eastAsia"/>
          <w:bCs/>
          <w:lang w:val="en-US"/>
        </w:rPr>
        <w:t>b</w:t>
      </w:r>
      <w:r w:rsidR="0061024F" w:rsidRPr="001E3806">
        <w:rPr>
          <w:bCs/>
          <w:lang w:val="en-US"/>
        </w:rPr>
        <w:t>oth dry and hydrated 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 xml:space="preserve"> were carried out using the </w:t>
      </w:r>
      <w:bookmarkStart w:id="23" w:name="_Hlk196683644"/>
      <w:r w:rsidR="00C733D9" w:rsidRPr="001E3806">
        <w:rPr>
          <w:bCs/>
          <w:lang w:val="en-US"/>
        </w:rPr>
        <w:t>3×3×1</w:t>
      </w:r>
      <w:bookmarkEnd w:id="23"/>
      <w:r w:rsidR="00C733D9" w:rsidRPr="001E3806">
        <w:rPr>
          <w:bCs/>
          <w:lang w:val="en-US"/>
        </w:rPr>
        <w:t xml:space="preserve"> supercells and the </w:t>
      </w:r>
      <w:r w:rsidR="0061024F" w:rsidRPr="001E3806">
        <w:rPr>
          <w:bCs/>
          <w:lang w:val="en-US"/>
        </w:rPr>
        <w:t>graph neural network potential (NNP) implemented in the M3GNet.</w:t>
      </w:r>
      <w:r w:rsidR="0061024F" w:rsidRPr="001E3806">
        <w:rPr>
          <w:bCs/>
          <w:lang w:val="en-US"/>
        </w:rPr>
        <w:fldChar w:fldCharType="begin" w:fldLock="1"/>
      </w:r>
      <w:r w:rsidR="0061024F" w:rsidRPr="001E3806">
        <w:rPr>
          <w:bCs/>
          <w:lang w:val="en-US"/>
        </w:rPr>
        <w:instrText>ADDIN CSL_CITATION {"citationItems":[{"id":"ITEM-1","itemData":{"DOI":"10.1038/S43588-022-00349-3;SUBJMETA=1034,1035,1037,301,639;KWRD=ATOMISTIC+MODELS,COMPUTATIONAL+METHODS,MATERIALS+SCIENCE","ISSN":"26628457","abstract":"Interatomic potentials (IAPs), which describe the potential energy surface of atoms, are a fundamental input for atomistic simulations. However, existing IAPs are either fitted to narrow chemistries or too inaccurate for general applications. Here we report a universal IAP for materials based on graph neural networks with three-body interactions (M3GNet). The M3GNet IAP was trained on the massive database of structural relaxations performed by the Materials Project over the past ten years and has broad applications in structural relaxation, dynamic simulations and property prediction of materials across diverse chemical spaces. About 1.8 million materials from a screening of 31 million hypothetical crystal structures were identified to be potentially stable against existing Materials Project crystals based on M3GNet energies. Of the top 2,000 materials with the lowest energies above the convex hull, 1,578 were verified to be stable using density functional theory calculations. These results demonstrate a machine learning-accelerated pathway to the discovery of synthesizable materials with exceptional properties.","author":[{"dropping-particle":"","family":"Chen","given":"Chi","non-dropping-particle":"","parse-names":false,"suffix":""},{"dropping-particle":"","family":"Ong","given":"Shyue Ping","non-dropping-particle":"","parse-names":false,"suffix":""}],"container-title":"Nature Computational Science","id":"ITEM-1","issue":"11","issued":{"date-parts":[["2022","11","1"]]},"page":"718-728","publisher":"Springer Nature","title":"A universal graph deep learning interatomic potential for the periodic table","type":"article-journal","volume":"2"},"uris":["http://www.mendeley.com/documents/?uuid=d5531f20-c0dc-3eca-9c4d-56146d80db04"]}],"mendeley":{"formattedCitation":"&lt;sup&gt;46&lt;/sup&gt;","plainTextFormattedCitation":"46","previouslyFormattedCitation":"&lt;sup&gt;46&lt;/sup&gt;"},"properties":{"noteIndex":0},"schema":"https://github.com/citation-style-language/schema/raw/master/csl-citation.json"}</w:instrText>
      </w:r>
      <w:r w:rsidR="0061024F" w:rsidRPr="001E3806">
        <w:rPr>
          <w:bCs/>
          <w:lang w:val="en-US"/>
        </w:rPr>
        <w:fldChar w:fldCharType="separate"/>
      </w:r>
      <w:r w:rsidR="0061024F" w:rsidRPr="001E3806">
        <w:rPr>
          <w:bCs/>
          <w:noProof/>
          <w:vertAlign w:val="superscript"/>
          <w:lang w:val="en-US"/>
        </w:rPr>
        <w:t>46</w:t>
      </w:r>
      <w:r w:rsidR="0061024F" w:rsidRPr="001E3806">
        <w:rPr>
          <w:bCs/>
          <w:lang w:val="en-US"/>
        </w:rPr>
        <w:fldChar w:fldCharType="end"/>
      </w:r>
      <w:r w:rsidR="0061024F" w:rsidRPr="001E3806">
        <w:rPr>
          <w:bCs/>
          <w:lang w:val="en-US"/>
        </w:rPr>
        <w:t xml:space="preserve"> The NNP method is capable of calculating of the large numbers of atoms over long time scales with an accuracy comparable to ab initio molecular dynamics (AIMD) </w:t>
      </w:r>
    </w:p>
    <w:p w14:paraId="158ACA13" w14:textId="1D73FA9F" w:rsidR="00081248" w:rsidRPr="001E3806" w:rsidRDefault="00081248" w:rsidP="0061024F">
      <w:pPr>
        <w:pStyle w:val="RSCB02ArticleText"/>
        <w:rPr>
          <w:bCs/>
          <w:lang w:val="en-US"/>
        </w:rPr>
      </w:pPr>
      <w:r w:rsidRPr="001E3806">
        <w:rPr>
          <w:rFonts w:ascii="Times New Roman"/>
          <w:noProof/>
          <w:sz w:val="22"/>
          <w:lang w:val="ja-JP"/>
        </w:rPr>
        <w:lastRenderedPageBreak/>
        <mc:AlternateContent>
          <mc:Choice Requires="wps">
            <w:drawing>
              <wp:anchor distT="45720" distB="45720" distL="114300" distR="114300" simplePos="0" relativeHeight="251712512" behindDoc="0" locked="0" layoutInCell="1" allowOverlap="1" wp14:anchorId="056254BF" wp14:editId="40AB4BE8">
                <wp:simplePos x="0" y="0"/>
                <wp:positionH relativeFrom="margin">
                  <wp:posOffset>3360717</wp:posOffset>
                </wp:positionH>
                <wp:positionV relativeFrom="paragraph">
                  <wp:posOffset>150066</wp:posOffset>
                </wp:positionV>
                <wp:extent cx="3145790" cy="8576310"/>
                <wp:effectExtent l="0" t="0" r="0" b="0"/>
                <wp:wrapSquare wrapText="bothSides"/>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8576310"/>
                        </a:xfrm>
                        <a:prstGeom prst="rect">
                          <a:avLst/>
                        </a:prstGeom>
                        <a:solidFill>
                          <a:srgbClr val="FFFFFF"/>
                        </a:solidFill>
                        <a:ln w="9525">
                          <a:noFill/>
                          <a:miter lim="800000"/>
                          <a:headEnd/>
                          <a:tailEnd/>
                        </a:ln>
                      </wps:spPr>
                      <wps:txbx>
                        <w:txbxContent>
                          <w:p w14:paraId="6D2C924D" w14:textId="77777777" w:rsidR="00982388" w:rsidRPr="001E3806" w:rsidRDefault="00982388" w:rsidP="00081248">
                            <w:pPr>
                              <w:jc w:val="center"/>
                              <w:rPr>
                                <w:rFonts w:ascii="Times New Roman"/>
                                <w:szCs w:val="10"/>
                                <w:lang w:eastAsia="ja-JP"/>
                              </w:rPr>
                            </w:pPr>
                            <w:r w:rsidDel="00B30AD1">
                              <w:rPr>
                                <w:noProof/>
                                <w:lang w:eastAsia="ja-JP"/>
                              </w:rPr>
                              <w:t xml:space="preserve"> </w:t>
                            </w:r>
                            <w:r w:rsidRPr="001E3806">
                              <w:rPr>
                                <w:noProof/>
                              </w:rPr>
                              <w:drawing>
                                <wp:inline distT="0" distB="0" distL="0" distR="0" wp14:anchorId="37C385AE" wp14:editId="74A8CCCC">
                                  <wp:extent cx="2819631" cy="6655242"/>
                                  <wp:effectExtent l="0" t="0" r="0" b="0"/>
                                  <wp:docPr id="1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9465" name=""/>
                                          <pic:cNvPicPr/>
                                        </pic:nvPicPr>
                                        <pic:blipFill>
                                          <a:blip r:embed="rId26"/>
                                          <a:stretch>
                                            <a:fillRect/>
                                          </a:stretch>
                                        </pic:blipFill>
                                        <pic:spPr>
                                          <a:xfrm>
                                            <a:off x="0" y="0"/>
                                            <a:ext cx="2843655" cy="6711946"/>
                                          </a:xfrm>
                                          <a:prstGeom prst="rect">
                                            <a:avLst/>
                                          </a:prstGeom>
                                        </pic:spPr>
                                      </pic:pic>
                                    </a:graphicData>
                                  </a:graphic>
                                </wp:inline>
                              </w:drawing>
                            </w:r>
                          </w:p>
                          <w:p w14:paraId="61F5924D" w14:textId="0B0ABCD5" w:rsidR="00982388" w:rsidRPr="00D77C38" w:rsidRDefault="00982388" w:rsidP="00081248">
                            <w:pPr>
                              <w:spacing w:line="240" w:lineRule="exact"/>
                              <w:jc w:val="both"/>
                              <w:rPr>
                                <w:rFonts w:cs="Arial"/>
                                <w:color w:val="000000" w:themeColor="text1"/>
                                <w:sz w:val="18"/>
                                <w:szCs w:val="18"/>
                                <w:lang w:eastAsia="ja-JP"/>
                              </w:rPr>
                            </w:pPr>
                            <w:r w:rsidRPr="001E3806">
                              <w:rPr>
                                <w:rFonts w:cs="Arial"/>
                                <w:b/>
                                <w:color w:val="000000" w:themeColor="text1"/>
                                <w:sz w:val="18"/>
                                <w:szCs w:val="18"/>
                                <w:lang w:eastAsia="ja-JP"/>
                              </w:rPr>
                              <w:t xml:space="preserve">Fig. </w:t>
                            </w:r>
                            <w:r w:rsidRPr="001E3806">
                              <w:rPr>
                                <w:rFonts w:cs="Arial" w:hint="eastAsia"/>
                                <w:b/>
                                <w:color w:val="000000" w:themeColor="text1"/>
                                <w:sz w:val="18"/>
                                <w:szCs w:val="18"/>
                                <w:lang w:eastAsia="ja-JP"/>
                              </w:rPr>
                              <w:t>7</w:t>
                            </w:r>
                            <w:r w:rsidRPr="001E3806">
                              <w:rPr>
                                <w:rFonts w:cs="Arial"/>
                                <w:color w:val="000000" w:themeColor="text1"/>
                                <w:sz w:val="18"/>
                                <w:szCs w:val="18"/>
                                <w:lang w:eastAsia="ja-JP"/>
                              </w:rPr>
                              <w:t xml:space="preserve"> Results of M3GNet-MD simulations of dry and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Trajectories of oxygen atoms of (a) dry and (b)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at 1200 K. (c) Mean square displacement (MSD) of oxygen atoms in dry</w:t>
                            </w:r>
                            <w:r w:rsidRPr="001E3806" w:rsidDel="00F96CFF">
                              <w:rPr>
                                <w:rFonts w:cs="Arial"/>
                                <w:color w:val="000000" w:themeColor="text1"/>
                                <w:sz w:val="18"/>
                                <w:szCs w:val="18"/>
                                <w:lang w:eastAsia="ja-JP"/>
                              </w:rPr>
                              <w:t xml:space="preserve"> </w:t>
                            </w:r>
                            <w:r w:rsidRPr="001E3806">
                              <w:rPr>
                                <w:rFonts w:cs="Arial"/>
                                <w:color w:val="000000" w:themeColor="text1"/>
                                <w:sz w:val="18"/>
                                <w:szCs w:val="18"/>
                                <w:lang w:eastAsia="ja-JP"/>
                              </w:rPr>
                              <w:t>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sidDel="00F96CFF">
                              <w:rPr>
                                <w:rFonts w:cs="Arial"/>
                                <w:color w:val="000000" w:themeColor="text1"/>
                                <w:sz w:val="18"/>
                                <w:szCs w:val="18"/>
                                <w:lang w:eastAsia="ja-JP"/>
                              </w:rPr>
                              <w:t xml:space="preserve"> </w:t>
                            </w:r>
                            <w:r w:rsidRPr="001E3806">
                              <w:rPr>
                                <w:rFonts w:cs="Arial"/>
                                <w:color w:val="000000" w:themeColor="text1"/>
                                <w:sz w:val="18"/>
                                <w:szCs w:val="18"/>
                                <w:lang w:eastAsia="ja-JP"/>
                              </w:rPr>
                              <w:t>(red line) and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(blue line) at 1200 K. The oxygen self-diffusion coefficient was estimated to be 1.0×10</w:t>
                            </w:r>
                            <w:r w:rsidRPr="001E3806">
                              <w:rPr>
                                <w:rFonts w:cs="Arial"/>
                                <w:color w:val="000000" w:themeColor="text1"/>
                                <w:sz w:val="18"/>
                                <w:szCs w:val="18"/>
                                <w:vertAlign w:val="superscript"/>
                                <w:lang w:eastAsia="ja-JP"/>
                              </w:rPr>
                              <w:t>‒6</w:t>
                            </w:r>
                            <w:r w:rsidRPr="001E3806">
                              <w:rPr>
                                <w:rFonts w:cs="Arial"/>
                                <w:color w:val="000000" w:themeColor="text1"/>
                                <w:sz w:val="18"/>
                                <w:szCs w:val="18"/>
                                <w:lang w:eastAsia="ja-JP"/>
                              </w:rPr>
                              <w:t xml:space="preserve"> cm</w:t>
                            </w:r>
                            <w:r w:rsidRPr="001E3806">
                              <w:rPr>
                                <w:rFonts w:cs="Arial"/>
                                <w:color w:val="000000" w:themeColor="text1"/>
                                <w:sz w:val="18"/>
                                <w:szCs w:val="18"/>
                                <w:vertAlign w:val="superscript"/>
                                <w:lang w:eastAsia="ja-JP"/>
                              </w:rPr>
                              <w:t>2</w:t>
                            </w:r>
                            <w:r w:rsidRPr="001E3806">
                              <w:rPr>
                                <w:rFonts w:cs="Arial"/>
                                <w:color w:val="000000" w:themeColor="text1"/>
                                <w:sz w:val="18"/>
                                <w:szCs w:val="18"/>
                                <w:lang w:eastAsia="ja-JP"/>
                              </w:rPr>
                              <w:t>/s</w:t>
                            </w:r>
                            <w:r w:rsidRPr="001E3806" w:rsidDel="003D54CF">
                              <w:rPr>
                                <w:rFonts w:cs="Arial"/>
                                <w:color w:val="000000" w:themeColor="text1"/>
                                <w:sz w:val="18"/>
                                <w:szCs w:val="18"/>
                                <w:lang w:eastAsia="ja-JP"/>
                              </w:rPr>
                              <w:t xml:space="preserve"> </w:t>
                            </w:r>
                            <w:r w:rsidRPr="001E3806">
                              <w:rPr>
                                <w:rFonts w:cs="Arial"/>
                                <w:color w:val="000000" w:themeColor="text1"/>
                                <w:sz w:val="18"/>
                                <w:szCs w:val="18"/>
                                <w:lang w:eastAsia="ja-JP"/>
                              </w:rPr>
                              <w:t>in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and 5.6×10</w:t>
                            </w:r>
                            <w:r w:rsidRPr="001E3806">
                              <w:rPr>
                                <w:rFonts w:cs="Arial"/>
                                <w:color w:val="000000" w:themeColor="text1"/>
                                <w:sz w:val="18"/>
                                <w:szCs w:val="18"/>
                                <w:vertAlign w:val="superscript"/>
                                <w:lang w:eastAsia="ja-JP"/>
                              </w:rPr>
                              <w:t>‒7</w:t>
                            </w:r>
                            <w:r w:rsidRPr="001E3806">
                              <w:rPr>
                                <w:rFonts w:cs="Arial"/>
                                <w:color w:val="000000" w:themeColor="text1"/>
                                <w:sz w:val="18"/>
                                <w:szCs w:val="18"/>
                                <w:lang w:eastAsia="ja-JP"/>
                              </w:rPr>
                              <w:t xml:space="preserve"> cm</w:t>
                            </w:r>
                            <w:r w:rsidRPr="001E3806">
                              <w:rPr>
                                <w:rFonts w:cs="Arial"/>
                                <w:color w:val="000000" w:themeColor="text1"/>
                                <w:sz w:val="18"/>
                                <w:szCs w:val="18"/>
                                <w:vertAlign w:val="superscript"/>
                                <w:lang w:eastAsia="ja-JP"/>
                              </w:rPr>
                              <w:t>2</w:t>
                            </w:r>
                            <w:r w:rsidRPr="001E3806">
                              <w:rPr>
                                <w:rFonts w:cs="Arial"/>
                                <w:color w:val="000000" w:themeColor="text1"/>
                                <w:sz w:val="18"/>
                                <w:szCs w:val="18"/>
                                <w:lang w:eastAsia="ja-JP"/>
                              </w:rPr>
                              <w:t>/s in dry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from the MSD data in the diffusion region (Fig. S6). </w:t>
                            </w:r>
                            <w:r w:rsidRPr="001E3806">
                              <w:rPr>
                                <w:rFonts w:cs="Arial"/>
                                <w:bCs/>
                                <w:color w:val="000000" w:themeColor="text1"/>
                                <w:sz w:val="18"/>
                                <w:szCs w:val="18"/>
                                <w:lang w:val="en-US" w:eastAsia="ja-JP"/>
                              </w:rPr>
                              <w:t>Therefore, t</w:t>
                            </w:r>
                            <w:r w:rsidRPr="001E3806">
                              <w:rPr>
                                <w:rFonts w:cs="Arial" w:hint="eastAsia"/>
                                <w:bCs/>
                                <w:color w:val="000000" w:themeColor="text1"/>
                                <w:sz w:val="18"/>
                                <w:szCs w:val="18"/>
                                <w:lang w:val="en-US" w:eastAsia="ja-JP"/>
                              </w:rPr>
                              <w:t xml:space="preserve">he </w:t>
                            </w:r>
                            <w:r w:rsidRPr="001E3806">
                              <w:rPr>
                                <w:rFonts w:cs="Arial"/>
                                <w:bCs/>
                                <w:color w:val="000000" w:themeColor="text1"/>
                                <w:sz w:val="18"/>
                                <w:szCs w:val="18"/>
                                <w:lang w:val="en-US" w:eastAsia="ja-JP"/>
                              </w:rPr>
                              <w:t>oxygen</w:t>
                            </w:r>
                            <w:r w:rsidRPr="001E3806">
                              <w:rPr>
                                <w:rFonts w:cs="Arial" w:hint="eastAsia"/>
                                <w:bCs/>
                                <w:color w:val="000000" w:themeColor="text1"/>
                                <w:sz w:val="18"/>
                                <w:szCs w:val="18"/>
                                <w:lang w:val="en-US" w:eastAsia="ja-JP"/>
                              </w:rPr>
                              <w:t xml:space="preserve"> diffusion coefficient</w:t>
                            </w:r>
                            <w:r w:rsidRPr="001E3806">
                              <w:rPr>
                                <w:rFonts w:cs="Arial"/>
                                <w:bCs/>
                                <w:color w:val="000000" w:themeColor="text1"/>
                                <w:sz w:val="18"/>
                                <w:szCs w:val="18"/>
                                <w:lang w:val="en-US" w:eastAsia="ja-JP"/>
                              </w:rPr>
                              <w:t xml:space="preserve"> in the hydrated Ba</w:t>
                            </w:r>
                            <w:r w:rsidRPr="001E3806">
                              <w:rPr>
                                <w:rFonts w:cs="Arial"/>
                                <w:bCs/>
                                <w:color w:val="000000" w:themeColor="text1"/>
                                <w:sz w:val="18"/>
                                <w:szCs w:val="18"/>
                                <w:vertAlign w:val="subscript"/>
                                <w:lang w:val="en-US" w:eastAsia="ja-JP"/>
                              </w:rPr>
                              <w:t>7</w:t>
                            </w:r>
                            <w:r w:rsidRPr="001E3806">
                              <w:rPr>
                                <w:rFonts w:cs="Arial"/>
                                <w:bCs/>
                                <w:color w:val="000000" w:themeColor="text1"/>
                                <w:sz w:val="18"/>
                                <w:szCs w:val="18"/>
                                <w:lang w:val="en-US" w:eastAsia="ja-JP"/>
                              </w:rPr>
                              <w:t>Nb</w:t>
                            </w:r>
                            <w:r w:rsidRPr="001E3806">
                              <w:rPr>
                                <w:rFonts w:cs="Arial"/>
                                <w:bCs/>
                                <w:color w:val="000000" w:themeColor="text1"/>
                                <w:sz w:val="18"/>
                                <w:szCs w:val="18"/>
                                <w:vertAlign w:val="subscript"/>
                                <w:lang w:val="en-US" w:eastAsia="ja-JP"/>
                              </w:rPr>
                              <w:t>4</w:t>
                            </w:r>
                            <w:r w:rsidRPr="001E3806">
                              <w:rPr>
                                <w:rFonts w:cs="Arial"/>
                                <w:bCs/>
                                <w:color w:val="000000" w:themeColor="text1"/>
                                <w:sz w:val="18"/>
                                <w:szCs w:val="18"/>
                                <w:lang w:val="en-US" w:eastAsia="ja-JP"/>
                              </w:rPr>
                              <w:t>MoO</w:t>
                            </w:r>
                            <w:r w:rsidRPr="001E3806">
                              <w:rPr>
                                <w:rFonts w:cs="Arial"/>
                                <w:bCs/>
                                <w:color w:val="000000" w:themeColor="text1"/>
                                <w:sz w:val="18"/>
                                <w:szCs w:val="18"/>
                                <w:vertAlign w:val="subscript"/>
                                <w:lang w:val="en-US" w:eastAsia="ja-JP"/>
                              </w:rPr>
                              <w:t>20</w:t>
                            </w:r>
                            <w:r w:rsidRPr="001E3806">
                              <w:rPr>
                                <w:rFonts w:cs="Arial" w:hint="eastAsia"/>
                                <w:bCs/>
                                <w:color w:val="000000" w:themeColor="text1"/>
                                <w:sz w:val="18"/>
                                <w:szCs w:val="18"/>
                                <w:lang w:val="en-US" w:eastAsia="ja-JP"/>
                              </w:rPr>
                              <w:t xml:space="preserve"> was 1.</w:t>
                            </w:r>
                            <w:r w:rsidRPr="001E3806">
                              <w:rPr>
                                <w:rFonts w:cs="Arial"/>
                                <w:bCs/>
                                <w:color w:val="000000" w:themeColor="text1"/>
                                <w:sz w:val="18"/>
                                <w:szCs w:val="18"/>
                                <w:lang w:val="en-US" w:eastAsia="ja-JP"/>
                              </w:rPr>
                              <w:t>8</w:t>
                            </w:r>
                            <w:r w:rsidRPr="001E3806">
                              <w:rPr>
                                <w:rFonts w:cs="Arial" w:hint="eastAsia"/>
                                <w:bCs/>
                                <w:color w:val="000000" w:themeColor="text1"/>
                                <w:sz w:val="18"/>
                                <w:szCs w:val="18"/>
                                <w:lang w:val="en-US" w:eastAsia="ja-JP"/>
                              </w:rPr>
                              <w:t xml:space="preserve"> times higher than that </w:t>
                            </w:r>
                            <w:r w:rsidRPr="001E3806">
                              <w:rPr>
                                <w:rFonts w:cs="Arial"/>
                                <w:bCs/>
                                <w:color w:val="000000" w:themeColor="text1"/>
                                <w:sz w:val="18"/>
                                <w:szCs w:val="18"/>
                                <w:lang w:val="en-US" w:eastAsia="ja-JP"/>
                              </w:rPr>
                              <w:t>in the dry Ba</w:t>
                            </w:r>
                            <w:r w:rsidRPr="001E3806">
                              <w:rPr>
                                <w:rFonts w:cs="Arial"/>
                                <w:bCs/>
                                <w:color w:val="000000" w:themeColor="text1"/>
                                <w:sz w:val="18"/>
                                <w:szCs w:val="18"/>
                                <w:vertAlign w:val="subscript"/>
                                <w:lang w:val="en-US" w:eastAsia="ja-JP"/>
                              </w:rPr>
                              <w:t>7</w:t>
                            </w:r>
                            <w:r w:rsidRPr="001E3806">
                              <w:rPr>
                                <w:rFonts w:cs="Arial"/>
                                <w:bCs/>
                                <w:color w:val="000000" w:themeColor="text1"/>
                                <w:sz w:val="18"/>
                                <w:szCs w:val="18"/>
                                <w:lang w:val="en-US" w:eastAsia="ja-JP"/>
                              </w:rPr>
                              <w:t>Nb</w:t>
                            </w:r>
                            <w:r w:rsidRPr="001E3806">
                              <w:rPr>
                                <w:rFonts w:cs="Arial"/>
                                <w:bCs/>
                                <w:color w:val="000000" w:themeColor="text1"/>
                                <w:sz w:val="18"/>
                                <w:szCs w:val="18"/>
                                <w:vertAlign w:val="subscript"/>
                                <w:lang w:val="en-US" w:eastAsia="ja-JP"/>
                              </w:rPr>
                              <w:t>4</w:t>
                            </w:r>
                            <w:r w:rsidRPr="001E3806">
                              <w:rPr>
                                <w:rFonts w:cs="Arial"/>
                                <w:bCs/>
                                <w:color w:val="000000" w:themeColor="text1"/>
                                <w:sz w:val="18"/>
                                <w:szCs w:val="18"/>
                                <w:lang w:val="en-US" w:eastAsia="ja-JP"/>
                              </w:rPr>
                              <w:t>MoO</w:t>
                            </w:r>
                            <w:r w:rsidRPr="001E3806">
                              <w:rPr>
                                <w:rFonts w:cs="Arial"/>
                                <w:bCs/>
                                <w:color w:val="000000" w:themeColor="text1"/>
                                <w:sz w:val="18"/>
                                <w:szCs w:val="18"/>
                                <w:vertAlign w:val="subscript"/>
                                <w:lang w:val="en-US" w:eastAsia="ja-JP"/>
                              </w:rPr>
                              <w:t>20</w:t>
                            </w:r>
                            <w:r w:rsidRPr="001E3806">
                              <w:rPr>
                                <w:rFonts w:cs="Arial"/>
                                <w:bCs/>
                                <w:color w:val="000000" w:themeColor="text1"/>
                                <w:sz w:val="18"/>
                                <w:szCs w:val="18"/>
                                <w:lang w:val="en-US" w:eastAsia="ja-JP"/>
                              </w:rPr>
                              <w:t xml:space="preserve">, which is consistent with experimental data. </w:t>
                            </w:r>
                          </w:p>
                          <w:p w14:paraId="24FA7768" w14:textId="77777777" w:rsidR="00982388" w:rsidRPr="001921ED" w:rsidRDefault="00982388" w:rsidP="00081248">
                            <w:pPr>
                              <w:spacing w:line="240" w:lineRule="exact"/>
                              <w:rPr>
                                <w:rFonts w:cs="Arial"/>
                                <w:lang w:eastAsia="ja-JP"/>
                              </w:rPr>
                            </w:pP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254BF" id="テキスト ボックス 17" o:spid="_x0000_s1033" type="#_x0000_t202" style="position:absolute;left:0;text-align:left;margin-left:264.6pt;margin-top:11.8pt;width:247.7pt;height:675.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" stroked="f">
                <v:textbox inset="0,,0">
                  <w:txbxContent>
                    <w:p w14:paraId="6D2C924D" w14:textId="77777777" w:rsidR="00982388" w:rsidRPr="001E3806" w:rsidRDefault="00982388" w:rsidP="00081248">
                      <w:pPr>
                        <w:jc w:val="center"/>
                        <w:rPr>
                          <w:rFonts w:ascii="Times New Roman"/>
                          <w:szCs w:val="10"/>
                          <w:lang w:eastAsia="ja-JP"/>
                        </w:rPr>
                      </w:pPr>
                      <w:r w:rsidDel="00B30AD1">
                        <w:rPr>
                          <w:noProof/>
                          <w:lang w:eastAsia="ja-JP"/>
                        </w:rPr>
                        <w:t xml:space="preserve"> </w:t>
                      </w:r>
                      <w:r w:rsidRPr="001E3806">
                        <w:rPr>
                          <w:noProof/>
                        </w:rPr>
                        <w:drawing>
                          <wp:inline distT="0" distB="0" distL="0" distR="0" wp14:anchorId="37C385AE" wp14:editId="74A8CCCC">
                            <wp:extent cx="2819631" cy="6655242"/>
                            <wp:effectExtent l="0" t="0" r="0" b="0"/>
                            <wp:docPr id="1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9465" name=""/>
                                    <pic:cNvPicPr/>
                                  </pic:nvPicPr>
                                  <pic:blipFill>
                                    <a:blip r:embed="rId27"/>
                                    <a:stretch>
                                      <a:fillRect/>
                                    </a:stretch>
                                  </pic:blipFill>
                                  <pic:spPr>
                                    <a:xfrm>
                                      <a:off x="0" y="0"/>
                                      <a:ext cx="2843655" cy="6711946"/>
                                    </a:xfrm>
                                    <a:prstGeom prst="rect">
                                      <a:avLst/>
                                    </a:prstGeom>
                                  </pic:spPr>
                                </pic:pic>
                              </a:graphicData>
                            </a:graphic>
                          </wp:inline>
                        </w:drawing>
                      </w:r>
                    </w:p>
                    <w:p w14:paraId="61F5924D" w14:textId="0B0ABCD5" w:rsidR="00982388" w:rsidRPr="00D77C38" w:rsidRDefault="00982388" w:rsidP="00081248">
                      <w:pPr>
                        <w:spacing w:line="240" w:lineRule="exact"/>
                        <w:jc w:val="both"/>
                        <w:rPr>
                          <w:rFonts w:cs="Arial"/>
                          <w:color w:val="000000" w:themeColor="text1"/>
                          <w:sz w:val="18"/>
                          <w:szCs w:val="18"/>
                          <w:lang w:eastAsia="ja-JP"/>
                        </w:rPr>
                      </w:pPr>
                      <w:r w:rsidRPr="001E3806">
                        <w:rPr>
                          <w:rFonts w:cs="Arial"/>
                          <w:b/>
                          <w:color w:val="000000" w:themeColor="text1"/>
                          <w:sz w:val="18"/>
                          <w:szCs w:val="18"/>
                          <w:lang w:eastAsia="ja-JP"/>
                        </w:rPr>
                        <w:t xml:space="preserve">Fig. </w:t>
                      </w:r>
                      <w:r w:rsidRPr="001E3806">
                        <w:rPr>
                          <w:rFonts w:cs="Arial" w:hint="eastAsia"/>
                          <w:b/>
                          <w:color w:val="000000" w:themeColor="text1"/>
                          <w:sz w:val="18"/>
                          <w:szCs w:val="18"/>
                          <w:lang w:eastAsia="ja-JP"/>
                        </w:rPr>
                        <w:t>7</w:t>
                      </w:r>
                      <w:r w:rsidRPr="001E3806">
                        <w:rPr>
                          <w:rFonts w:cs="Arial"/>
                          <w:color w:val="000000" w:themeColor="text1"/>
                          <w:sz w:val="18"/>
                          <w:szCs w:val="18"/>
                          <w:lang w:eastAsia="ja-JP"/>
                        </w:rPr>
                        <w:t xml:space="preserve"> Results of M3GNet-MD simulations of dry and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Trajectories of oxygen atoms of (a) dry and (b)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at 1200 K. (c) Mean square displacement (MSD) of oxygen atoms in dry</w:t>
                      </w:r>
                      <w:r w:rsidRPr="001E3806" w:rsidDel="00F96CFF">
                        <w:rPr>
                          <w:rFonts w:cs="Arial"/>
                          <w:color w:val="000000" w:themeColor="text1"/>
                          <w:sz w:val="18"/>
                          <w:szCs w:val="18"/>
                          <w:lang w:eastAsia="ja-JP"/>
                        </w:rPr>
                        <w:t xml:space="preserve"> </w:t>
                      </w:r>
                      <w:r w:rsidRPr="001E3806">
                        <w:rPr>
                          <w:rFonts w:cs="Arial"/>
                          <w:color w:val="000000" w:themeColor="text1"/>
                          <w:sz w:val="18"/>
                          <w:szCs w:val="18"/>
                          <w:lang w:eastAsia="ja-JP"/>
                        </w:rPr>
                        <w:t>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sidDel="00F96CFF">
                        <w:rPr>
                          <w:rFonts w:cs="Arial"/>
                          <w:color w:val="000000" w:themeColor="text1"/>
                          <w:sz w:val="18"/>
                          <w:szCs w:val="18"/>
                          <w:lang w:eastAsia="ja-JP"/>
                        </w:rPr>
                        <w:t xml:space="preserve"> </w:t>
                      </w:r>
                      <w:r w:rsidRPr="001E3806">
                        <w:rPr>
                          <w:rFonts w:cs="Arial"/>
                          <w:color w:val="000000" w:themeColor="text1"/>
                          <w:sz w:val="18"/>
                          <w:szCs w:val="18"/>
                          <w:lang w:eastAsia="ja-JP"/>
                        </w:rPr>
                        <w:t>(red line) and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(blue line) at 1200 K. The oxygen self-diffusion coefficient was estimated to be 1.0×10</w:t>
                      </w:r>
                      <w:r w:rsidRPr="001E3806">
                        <w:rPr>
                          <w:rFonts w:cs="Arial"/>
                          <w:color w:val="000000" w:themeColor="text1"/>
                          <w:sz w:val="18"/>
                          <w:szCs w:val="18"/>
                          <w:vertAlign w:val="superscript"/>
                          <w:lang w:eastAsia="ja-JP"/>
                        </w:rPr>
                        <w:t>‒6</w:t>
                      </w:r>
                      <w:r w:rsidRPr="001E3806">
                        <w:rPr>
                          <w:rFonts w:cs="Arial"/>
                          <w:color w:val="000000" w:themeColor="text1"/>
                          <w:sz w:val="18"/>
                          <w:szCs w:val="18"/>
                          <w:lang w:eastAsia="ja-JP"/>
                        </w:rPr>
                        <w:t xml:space="preserve"> cm</w:t>
                      </w:r>
                      <w:r w:rsidRPr="001E3806">
                        <w:rPr>
                          <w:rFonts w:cs="Arial"/>
                          <w:color w:val="000000" w:themeColor="text1"/>
                          <w:sz w:val="18"/>
                          <w:szCs w:val="18"/>
                          <w:vertAlign w:val="superscript"/>
                          <w:lang w:eastAsia="ja-JP"/>
                        </w:rPr>
                        <w:t>2</w:t>
                      </w:r>
                      <w:r w:rsidRPr="001E3806">
                        <w:rPr>
                          <w:rFonts w:cs="Arial"/>
                          <w:color w:val="000000" w:themeColor="text1"/>
                          <w:sz w:val="18"/>
                          <w:szCs w:val="18"/>
                          <w:lang w:eastAsia="ja-JP"/>
                        </w:rPr>
                        <w:t>/s</w:t>
                      </w:r>
                      <w:r w:rsidRPr="001E3806" w:rsidDel="003D54CF">
                        <w:rPr>
                          <w:rFonts w:cs="Arial"/>
                          <w:color w:val="000000" w:themeColor="text1"/>
                          <w:sz w:val="18"/>
                          <w:szCs w:val="18"/>
                          <w:lang w:eastAsia="ja-JP"/>
                        </w:rPr>
                        <w:t xml:space="preserve"> </w:t>
                      </w:r>
                      <w:r w:rsidRPr="001E3806">
                        <w:rPr>
                          <w:rFonts w:cs="Arial"/>
                          <w:color w:val="000000" w:themeColor="text1"/>
                          <w:sz w:val="18"/>
                          <w:szCs w:val="18"/>
                          <w:lang w:eastAsia="ja-JP"/>
                        </w:rPr>
                        <w:t>in hydrated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and 5.6×10</w:t>
                      </w:r>
                      <w:r w:rsidRPr="001E3806">
                        <w:rPr>
                          <w:rFonts w:cs="Arial"/>
                          <w:color w:val="000000" w:themeColor="text1"/>
                          <w:sz w:val="18"/>
                          <w:szCs w:val="18"/>
                          <w:vertAlign w:val="superscript"/>
                          <w:lang w:eastAsia="ja-JP"/>
                        </w:rPr>
                        <w:t>‒7</w:t>
                      </w:r>
                      <w:r w:rsidRPr="001E3806">
                        <w:rPr>
                          <w:rFonts w:cs="Arial"/>
                          <w:color w:val="000000" w:themeColor="text1"/>
                          <w:sz w:val="18"/>
                          <w:szCs w:val="18"/>
                          <w:lang w:eastAsia="ja-JP"/>
                        </w:rPr>
                        <w:t xml:space="preserve"> cm</w:t>
                      </w:r>
                      <w:r w:rsidRPr="001E3806">
                        <w:rPr>
                          <w:rFonts w:cs="Arial"/>
                          <w:color w:val="000000" w:themeColor="text1"/>
                          <w:sz w:val="18"/>
                          <w:szCs w:val="18"/>
                          <w:vertAlign w:val="superscript"/>
                          <w:lang w:eastAsia="ja-JP"/>
                        </w:rPr>
                        <w:t>2</w:t>
                      </w:r>
                      <w:r w:rsidRPr="001E3806">
                        <w:rPr>
                          <w:rFonts w:cs="Arial"/>
                          <w:color w:val="000000" w:themeColor="text1"/>
                          <w:sz w:val="18"/>
                          <w:szCs w:val="18"/>
                          <w:lang w:eastAsia="ja-JP"/>
                        </w:rPr>
                        <w:t>/s in dry Ba</w:t>
                      </w:r>
                      <w:r w:rsidRPr="001E3806">
                        <w:rPr>
                          <w:rFonts w:cs="Arial"/>
                          <w:color w:val="000000" w:themeColor="text1"/>
                          <w:sz w:val="18"/>
                          <w:szCs w:val="18"/>
                          <w:vertAlign w:val="subscript"/>
                          <w:lang w:eastAsia="ja-JP"/>
                        </w:rPr>
                        <w:t>7</w:t>
                      </w:r>
                      <w:r w:rsidRPr="001E3806">
                        <w:rPr>
                          <w:rFonts w:cs="Arial"/>
                          <w:color w:val="000000" w:themeColor="text1"/>
                          <w:sz w:val="18"/>
                          <w:szCs w:val="18"/>
                          <w:lang w:eastAsia="ja-JP"/>
                        </w:rPr>
                        <w:t>Nb</w:t>
                      </w:r>
                      <w:r w:rsidRPr="001E3806">
                        <w:rPr>
                          <w:rFonts w:cs="Arial"/>
                          <w:color w:val="000000" w:themeColor="text1"/>
                          <w:sz w:val="18"/>
                          <w:szCs w:val="18"/>
                          <w:vertAlign w:val="subscript"/>
                          <w:lang w:eastAsia="ja-JP"/>
                        </w:rPr>
                        <w:t>4</w:t>
                      </w:r>
                      <w:r w:rsidRPr="001E3806">
                        <w:rPr>
                          <w:rFonts w:cs="Arial"/>
                          <w:color w:val="000000" w:themeColor="text1"/>
                          <w:sz w:val="18"/>
                          <w:szCs w:val="18"/>
                          <w:lang w:eastAsia="ja-JP"/>
                        </w:rPr>
                        <w:t>MoO</w:t>
                      </w:r>
                      <w:r w:rsidRPr="001E3806">
                        <w:rPr>
                          <w:rFonts w:cs="Arial"/>
                          <w:color w:val="000000" w:themeColor="text1"/>
                          <w:sz w:val="18"/>
                          <w:szCs w:val="18"/>
                          <w:vertAlign w:val="subscript"/>
                          <w:lang w:eastAsia="ja-JP"/>
                        </w:rPr>
                        <w:t>20</w:t>
                      </w:r>
                      <w:r w:rsidRPr="001E3806">
                        <w:rPr>
                          <w:rFonts w:cs="Arial"/>
                          <w:color w:val="000000" w:themeColor="text1"/>
                          <w:sz w:val="18"/>
                          <w:szCs w:val="18"/>
                          <w:lang w:eastAsia="ja-JP"/>
                        </w:rPr>
                        <w:t xml:space="preserve"> from the MSD data in the diffusion region (Fig. S6). </w:t>
                      </w:r>
                      <w:r w:rsidRPr="001E3806">
                        <w:rPr>
                          <w:rFonts w:cs="Arial"/>
                          <w:bCs/>
                          <w:color w:val="000000" w:themeColor="text1"/>
                          <w:sz w:val="18"/>
                          <w:szCs w:val="18"/>
                          <w:lang w:val="en-US" w:eastAsia="ja-JP"/>
                        </w:rPr>
                        <w:t>Therefore, t</w:t>
                      </w:r>
                      <w:r w:rsidRPr="001E3806">
                        <w:rPr>
                          <w:rFonts w:cs="Arial" w:hint="eastAsia"/>
                          <w:bCs/>
                          <w:color w:val="000000" w:themeColor="text1"/>
                          <w:sz w:val="18"/>
                          <w:szCs w:val="18"/>
                          <w:lang w:val="en-US" w:eastAsia="ja-JP"/>
                        </w:rPr>
                        <w:t xml:space="preserve">he </w:t>
                      </w:r>
                      <w:r w:rsidRPr="001E3806">
                        <w:rPr>
                          <w:rFonts w:cs="Arial"/>
                          <w:bCs/>
                          <w:color w:val="000000" w:themeColor="text1"/>
                          <w:sz w:val="18"/>
                          <w:szCs w:val="18"/>
                          <w:lang w:val="en-US" w:eastAsia="ja-JP"/>
                        </w:rPr>
                        <w:t>oxygen</w:t>
                      </w:r>
                      <w:r w:rsidRPr="001E3806">
                        <w:rPr>
                          <w:rFonts w:cs="Arial" w:hint="eastAsia"/>
                          <w:bCs/>
                          <w:color w:val="000000" w:themeColor="text1"/>
                          <w:sz w:val="18"/>
                          <w:szCs w:val="18"/>
                          <w:lang w:val="en-US" w:eastAsia="ja-JP"/>
                        </w:rPr>
                        <w:t xml:space="preserve"> diffusion coefficient</w:t>
                      </w:r>
                      <w:r w:rsidRPr="001E3806">
                        <w:rPr>
                          <w:rFonts w:cs="Arial"/>
                          <w:bCs/>
                          <w:color w:val="000000" w:themeColor="text1"/>
                          <w:sz w:val="18"/>
                          <w:szCs w:val="18"/>
                          <w:lang w:val="en-US" w:eastAsia="ja-JP"/>
                        </w:rPr>
                        <w:t xml:space="preserve"> in the hydrated Ba</w:t>
                      </w:r>
                      <w:r w:rsidRPr="001E3806">
                        <w:rPr>
                          <w:rFonts w:cs="Arial"/>
                          <w:bCs/>
                          <w:color w:val="000000" w:themeColor="text1"/>
                          <w:sz w:val="18"/>
                          <w:szCs w:val="18"/>
                          <w:vertAlign w:val="subscript"/>
                          <w:lang w:val="en-US" w:eastAsia="ja-JP"/>
                        </w:rPr>
                        <w:t>7</w:t>
                      </w:r>
                      <w:r w:rsidRPr="001E3806">
                        <w:rPr>
                          <w:rFonts w:cs="Arial"/>
                          <w:bCs/>
                          <w:color w:val="000000" w:themeColor="text1"/>
                          <w:sz w:val="18"/>
                          <w:szCs w:val="18"/>
                          <w:lang w:val="en-US" w:eastAsia="ja-JP"/>
                        </w:rPr>
                        <w:t>Nb</w:t>
                      </w:r>
                      <w:r w:rsidRPr="001E3806">
                        <w:rPr>
                          <w:rFonts w:cs="Arial"/>
                          <w:bCs/>
                          <w:color w:val="000000" w:themeColor="text1"/>
                          <w:sz w:val="18"/>
                          <w:szCs w:val="18"/>
                          <w:vertAlign w:val="subscript"/>
                          <w:lang w:val="en-US" w:eastAsia="ja-JP"/>
                        </w:rPr>
                        <w:t>4</w:t>
                      </w:r>
                      <w:r w:rsidRPr="001E3806">
                        <w:rPr>
                          <w:rFonts w:cs="Arial"/>
                          <w:bCs/>
                          <w:color w:val="000000" w:themeColor="text1"/>
                          <w:sz w:val="18"/>
                          <w:szCs w:val="18"/>
                          <w:lang w:val="en-US" w:eastAsia="ja-JP"/>
                        </w:rPr>
                        <w:t>MoO</w:t>
                      </w:r>
                      <w:r w:rsidRPr="001E3806">
                        <w:rPr>
                          <w:rFonts w:cs="Arial"/>
                          <w:bCs/>
                          <w:color w:val="000000" w:themeColor="text1"/>
                          <w:sz w:val="18"/>
                          <w:szCs w:val="18"/>
                          <w:vertAlign w:val="subscript"/>
                          <w:lang w:val="en-US" w:eastAsia="ja-JP"/>
                        </w:rPr>
                        <w:t>20</w:t>
                      </w:r>
                      <w:r w:rsidRPr="001E3806">
                        <w:rPr>
                          <w:rFonts w:cs="Arial" w:hint="eastAsia"/>
                          <w:bCs/>
                          <w:color w:val="000000" w:themeColor="text1"/>
                          <w:sz w:val="18"/>
                          <w:szCs w:val="18"/>
                          <w:lang w:val="en-US" w:eastAsia="ja-JP"/>
                        </w:rPr>
                        <w:t xml:space="preserve"> was 1.</w:t>
                      </w:r>
                      <w:r w:rsidRPr="001E3806">
                        <w:rPr>
                          <w:rFonts w:cs="Arial"/>
                          <w:bCs/>
                          <w:color w:val="000000" w:themeColor="text1"/>
                          <w:sz w:val="18"/>
                          <w:szCs w:val="18"/>
                          <w:lang w:val="en-US" w:eastAsia="ja-JP"/>
                        </w:rPr>
                        <w:t>8</w:t>
                      </w:r>
                      <w:r w:rsidRPr="001E3806">
                        <w:rPr>
                          <w:rFonts w:cs="Arial" w:hint="eastAsia"/>
                          <w:bCs/>
                          <w:color w:val="000000" w:themeColor="text1"/>
                          <w:sz w:val="18"/>
                          <w:szCs w:val="18"/>
                          <w:lang w:val="en-US" w:eastAsia="ja-JP"/>
                        </w:rPr>
                        <w:t xml:space="preserve"> times higher than that </w:t>
                      </w:r>
                      <w:r w:rsidRPr="001E3806">
                        <w:rPr>
                          <w:rFonts w:cs="Arial"/>
                          <w:bCs/>
                          <w:color w:val="000000" w:themeColor="text1"/>
                          <w:sz w:val="18"/>
                          <w:szCs w:val="18"/>
                          <w:lang w:val="en-US" w:eastAsia="ja-JP"/>
                        </w:rPr>
                        <w:t>in the dry Ba</w:t>
                      </w:r>
                      <w:r w:rsidRPr="001E3806">
                        <w:rPr>
                          <w:rFonts w:cs="Arial"/>
                          <w:bCs/>
                          <w:color w:val="000000" w:themeColor="text1"/>
                          <w:sz w:val="18"/>
                          <w:szCs w:val="18"/>
                          <w:vertAlign w:val="subscript"/>
                          <w:lang w:val="en-US" w:eastAsia="ja-JP"/>
                        </w:rPr>
                        <w:t>7</w:t>
                      </w:r>
                      <w:r w:rsidRPr="001E3806">
                        <w:rPr>
                          <w:rFonts w:cs="Arial"/>
                          <w:bCs/>
                          <w:color w:val="000000" w:themeColor="text1"/>
                          <w:sz w:val="18"/>
                          <w:szCs w:val="18"/>
                          <w:lang w:val="en-US" w:eastAsia="ja-JP"/>
                        </w:rPr>
                        <w:t>Nb</w:t>
                      </w:r>
                      <w:r w:rsidRPr="001E3806">
                        <w:rPr>
                          <w:rFonts w:cs="Arial"/>
                          <w:bCs/>
                          <w:color w:val="000000" w:themeColor="text1"/>
                          <w:sz w:val="18"/>
                          <w:szCs w:val="18"/>
                          <w:vertAlign w:val="subscript"/>
                          <w:lang w:val="en-US" w:eastAsia="ja-JP"/>
                        </w:rPr>
                        <w:t>4</w:t>
                      </w:r>
                      <w:r w:rsidRPr="001E3806">
                        <w:rPr>
                          <w:rFonts w:cs="Arial"/>
                          <w:bCs/>
                          <w:color w:val="000000" w:themeColor="text1"/>
                          <w:sz w:val="18"/>
                          <w:szCs w:val="18"/>
                          <w:lang w:val="en-US" w:eastAsia="ja-JP"/>
                        </w:rPr>
                        <w:t>MoO</w:t>
                      </w:r>
                      <w:r w:rsidRPr="001E3806">
                        <w:rPr>
                          <w:rFonts w:cs="Arial"/>
                          <w:bCs/>
                          <w:color w:val="000000" w:themeColor="text1"/>
                          <w:sz w:val="18"/>
                          <w:szCs w:val="18"/>
                          <w:vertAlign w:val="subscript"/>
                          <w:lang w:val="en-US" w:eastAsia="ja-JP"/>
                        </w:rPr>
                        <w:t>20</w:t>
                      </w:r>
                      <w:r w:rsidRPr="001E3806">
                        <w:rPr>
                          <w:rFonts w:cs="Arial"/>
                          <w:bCs/>
                          <w:color w:val="000000" w:themeColor="text1"/>
                          <w:sz w:val="18"/>
                          <w:szCs w:val="18"/>
                          <w:lang w:val="en-US" w:eastAsia="ja-JP"/>
                        </w:rPr>
                        <w:t xml:space="preserve">, which is consistent with experimental data. </w:t>
                      </w:r>
                    </w:p>
                    <w:p w14:paraId="24FA7768" w14:textId="77777777" w:rsidR="00982388" w:rsidRPr="001921ED" w:rsidRDefault="00982388" w:rsidP="00081248">
                      <w:pPr>
                        <w:spacing w:line="240" w:lineRule="exact"/>
                        <w:rPr>
                          <w:rFonts w:cs="Arial"/>
                          <w:lang w:eastAsia="ja-JP"/>
                        </w:rPr>
                      </w:pPr>
                    </w:p>
                  </w:txbxContent>
                </v:textbox>
                <w10:wrap type="square" anchorx="margin"/>
              </v:shape>
            </w:pict>
          </mc:Fallback>
        </mc:AlternateContent>
      </w:r>
      <w:r w:rsidRPr="001E3806">
        <w:rPr>
          <w:rFonts w:ascii="Times New Roman"/>
          <w:noProof/>
          <w:sz w:val="22"/>
          <w:lang w:val="ja-JP"/>
        </w:rPr>
        <mc:AlternateContent>
          <mc:Choice Requires="wps">
            <w:drawing>
              <wp:anchor distT="45720" distB="45720" distL="114300" distR="114300" simplePos="0" relativeHeight="251710464" behindDoc="0" locked="0" layoutInCell="1" allowOverlap="1" wp14:anchorId="567EDE14" wp14:editId="3953C339">
                <wp:simplePos x="0" y="0"/>
                <wp:positionH relativeFrom="margin">
                  <wp:posOffset>99192</wp:posOffset>
                </wp:positionH>
                <wp:positionV relativeFrom="paragraph">
                  <wp:posOffset>313</wp:posOffset>
                </wp:positionV>
                <wp:extent cx="3145790" cy="8828405"/>
                <wp:effectExtent l="0" t="0" r="0" b="0"/>
                <wp:wrapSquare wrapText="bothSides"/>
                <wp:docPr id="605314330" name="テキスト ボックス 605314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8828405"/>
                        </a:xfrm>
                        <a:prstGeom prst="rect">
                          <a:avLst/>
                        </a:prstGeom>
                        <a:solidFill>
                          <a:srgbClr val="FFFFFF"/>
                        </a:solidFill>
                        <a:ln w="9525">
                          <a:noFill/>
                          <a:miter lim="800000"/>
                          <a:headEnd/>
                          <a:tailEnd/>
                        </a:ln>
                      </wps:spPr>
                      <wps:txbx>
                        <w:txbxContent>
                          <w:p w14:paraId="3CCAAB8B" w14:textId="77777777" w:rsidR="00982388" w:rsidRDefault="00982388" w:rsidP="00081248">
                            <w:pPr>
                              <w:jc w:val="center"/>
                              <w:rPr>
                                <w:noProof/>
                                <w:lang w:eastAsia="ja-JP"/>
                              </w:rPr>
                            </w:pPr>
                            <w:r w:rsidDel="00B30AD1">
                              <w:rPr>
                                <w:noProof/>
                                <w:lang w:eastAsia="ja-JP"/>
                              </w:rPr>
                              <w:t xml:space="preserve"> </w:t>
                            </w:r>
                          </w:p>
                          <w:p w14:paraId="4623D4FA" w14:textId="77777777" w:rsidR="00982388" w:rsidRDefault="00982388" w:rsidP="00081248">
                            <w:pPr>
                              <w:jc w:val="center"/>
                              <w:rPr>
                                <w:rFonts w:ascii="Times New Roman"/>
                                <w:szCs w:val="10"/>
                                <w:lang w:eastAsia="ja-JP"/>
                              </w:rPr>
                            </w:pPr>
                            <w:r>
                              <w:rPr>
                                <w:noProof/>
                                <w:lang w:eastAsia="ja-JP"/>
                              </w:rPr>
                              <w:drawing>
                                <wp:inline distT="0" distB="0" distL="0" distR="0" wp14:anchorId="27C1743F" wp14:editId="439562F6">
                                  <wp:extent cx="2990850" cy="6157632"/>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91564" cy="6159103"/>
                                          </a:xfrm>
                                          <a:prstGeom prst="rect">
                                            <a:avLst/>
                                          </a:prstGeom>
                                          <a:noFill/>
                                          <a:ln>
                                            <a:noFill/>
                                          </a:ln>
                                        </pic:spPr>
                                      </pic:pic>
                                    </a:graphicData>
                                  </a:graphic>
                                </wp:inline>
                              </w:drawing>
                            </w:r>
                          </w:p>
                          <w:p w14:paraId="67AE60B8" w14:textId="77777777" w:rsidR="00982388" w:rsidRPr="001921ED" w:rsidRDefault="00982388" w:rsidP="00081248">
                            <w:pPr>
                              <w:spacing w:line="240" w:lineRule="auto"/>
                              <w:jc w:val="both"/>
                              <w:rPr>
                                <w:rFonts w:cs="Arial"/>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6</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 xml:space="preserve">(a)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 tracer diffusion profiles of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pellet</w:t>
                            </w:r>
                            <w:r>
                              <w:rPr>
                                <w:rFonts w:cs="Arial"/>
                                <w:color w:val="000000" w:themeColor="text1"/>
                                <w:sz w:val="18"/>
                                <w:szCs w:val="18"/>
                                <w:lang w:eastAsia="ja-JP"/>
                              </w:rPr>
                              <w:t>s</w:t>
                            </w:r>
                            <w:r w:rsidRPr="005A2DA3">
                              <w:rPr>
                                <w:rFonts w:cs="Arial"/>
                                <w:color w:val="000000" w:themeColor="text1"/>
                                <w:sz w:val="18"/>
                                <w:szCs w:val="18"/>
                                <w:lang w:eastAsia="ja-JP"/>
                              </w:rPr>
                              <w:t xml:space="preserve"> annealed at 500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 xml:space="preserve">C in dry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sidDel="0062472A">
                              <w:rPr>
                                <w:rFonts w:cs="Arial"/>
                                <w:color w:val="000000" w:themeColor="text1"/>
                                <w:sz w:val="18"/>
                                <w:szCs w:val="18"/>
                                <w:lang w:eastAsia="ja-JP"/>
                              </w:rPr>
                              <w:t xml:space="preserve"> </w:t>
                            </w:r>
                            <w:r w:rsidRPr="005A2DA3">
                              <w:rPr>
                                <w:rFonts w:cs="Arial"/>
                                <w:color w:val="000000" w:themeColor="text1"/>
                                <w:sz w:val="18"/>
                                <w:szCs w:val="18"/>
                                <w:lang w:eastAsia="ja-JP"/>
                              </w:rPr>
                              <w:t>(</w:t>
                            </w:r>
                            <w:r w:rsidRPr="005A2DA3">
                              <w:rPr>
                                <w:rFonts w:cs="Arial"/>
                                <w:i/>
                                <w:iCs/>
                                <w:color w:val="000000" w:themeColor="text1"/>
                                <w:sz w:val="18"/>
                                <w:szCs w:val="18"/>
                                <w:lang w:eastAsia="ja-JP"/>
                              </w:rPr>
                              <w:t>p</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 = 0.20 atm, red circles) and wet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sidDel="0062472A">
                              <w:rPr>
                                <w:rFonts w:cs="Arial"/>
                                <w:color w:val="000000" w:themeColor="text1"/>
                                <w:sz w:val="18"/>
                                <w:szCs w:val="18"/>
                                <w:lang w:eastAsia="ja-JP"/>
                              </w:rPr>
                              <w:t xml:space="preserve"> </w:t>
                            </w:r>
                            <w:r w:rsidRPr="005A2DA3">
                              <w:rPr>
                                <w:rFonts w:cs="Arial"/>
                                <w:color w:val="000000" w:themeColor="text1"/>
                                <w:sz w:val="18"/>
                                <w:szCs w:val="18"/>
                                <w:lang w:eastAsia="ja-JP"/>
                              </w:rPr>
                              <w:t>(</w:t>
                            </w:r>
                            <w:r w:rsidRPr="005A2DA3">
                              <w:rPr>
                                <w:rFonts w:cs="Arial"/>
                                <w:i/>
                                <w:iCs/>
                                <w:color w:val="000000" w:themeColor="text1"/>
                                <w:sz w:val="18"/>
                                <w:szCs w:val="18"/>
                                <w:lang w:eastAsia="ja-JP"/>
                              </w:rPr>
                              <w:t>p</w:t>
                            </w:r>
                            <w:r w:rsidRPr="005A2DA3">
                              <w:rPr>
                                <w:rFonts w:cs="Arial"/>
                                <w:color w:val="000000" w:themeColor="text1"/>
                                <w:sz w:val="18"/>
                                <w:szCs w:val="18"/>
                                <w:lang w:eastAsia="ja-JP"/>
                              </w:rPr>
                              <w:t>H</w:t>
                            </w:r>
                            <w:r w:rsidRPr="005A2DA3">
                              <w:rPr>
                                <w:rFonts w:cs="Arial"/>
                                <w:color w:val="000000" w:themeColor="text1"/>
                                <w:sz w:val="18"/>
                                <w:szCs w:val="18"/>
                                <w:vertAlign w:val="subscript"/>
                                <w:lang w:eastAsia="ja-JP"/>
                              </w:rPr>
                              <w:t>2</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 xml:space="preserve">O = 0.030 atm, </w:t>
                            </w:r>
                            <w:r w:rsidRPr="005A2DA3">
                              <w:rPr>
                                <w:rFonts w:cs="Arial"/>
                                <w:i/>
                                <w:iCs/>
                                <w:color w:val="000000" w:themeColor="text1"/>
                                <w:sz w:val="18"/>
                                <w:szCs w:val="18"/>
                                <w:lang w:eastAsia="ja-JP"/>
                              </w:rPr>
                              <w:t>p</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 = 0.20 atm, blue squares). (b) Arrhenius plots of the </w:t>
                            </w:r>
                            <w:r>
                              <w:rPr>
                                <w:rFonts w:cs="Arial"/>
                                <w:color w:val="000000" w:themeColor="text1"/>
                                <w:sz w:val="18"/>
                                <w:szCs w:val="18"/>
                                <w:lang w:eastAsia="ja-JP"/>
                              </w:rPr>
                              <w:t xml:space="preserve">oxygen </w:t>
                            </w:r>
                            <w:r w:rsidRPr="005A2DA3">
                              <w:rPr>
                                <w:rFonts w:cs="Arial"/>
                                <w:color w:val="000000" w:themeColor="text1"/>
                                <w:sz w:val="18"/>
                                <w:szCs w:val="18"/>
                                <w:lang w:eastAsia="ja-JP"/>
                              </w:rPr>
                              <w:t>diffusion coefficient (</w:t>
                            </w:r>
                            <w:r w:rsidRPr="005A2DA3">
                              <w:rPr>
                                <w:rFonts w:cs="Arial"/>
                                <w:i/>
                                <w:iCs/>
                                <w:color w:val="000000" w:themeColor="text1"/>
                                <w:sz w:val="18"/>
                                <w:szCs w:val="18"/>
                                <w:lang w:eastAsia="ja-JP"/>
                              </w:rPr>
                              <w:t>D</w:t>
                            </w:r>
                            <w:r w:rsidRPr="005A2DA3">
                              <w:rPr>
                                <w:rFonts w:cs="Arial"/>
                                <w:color w:val="000000" w:themeColor="text1"/>
                                <w:sz w:val="18"/>
                                <w:szCs w:val="18"/>
                                <w:lang w:eastAsia="ja-JP"/>
                              </w:rPr>
                              <w:t>o) of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w:t>
                            </w:r>
                            <w:r>
                              <w:rPr>
                                <w:rFonts w:cs="Arial"/>
                                <w:color w:val="000000" w:themeColor="text1"/>
                                <w:sz w:val="18"/>
                                <w:szCs w:val="18"/>
                                <w:lang w:eastAsia="ja-JP"/>
                              </w:rPr>
                              <w:t>The r</w:t>
                            </w:r>
                            <w:r w:rsidRPr="005A2DA3">
                              <w:rPr>
                                <w:rFonts w:cs="Arial"/>
                                <w:color w:val="000000" w:themeColor="text1"/>
                                <w:sz w:val="18"/>
                                <w:szCs w:val="18"/>
                                <w:lang w:eastAsia="ja-JP"/>
                              </w:rPr>
                              <w:t>ed and blue open circles denote the conductivity diffusion coefficients in dry atmospheres (</w:t>
                            </w:r>
                            <w:proofErr w:type="spellStart"/>
                            <w:r w:rsidRPr="005A2DA3">
                              <w:rPr>
                                <w:rFonts w:cs="Arial"/>
                                <w:i/>
                                <w:iCs/>
                                <w:color w:val="000000" w:themeColor="text1"/>
                                <w:sz w:val="18"/>
                                <w:szCs w:val="18"/>
                                <w:lang w:eastAsia="ja-JP"/>
                              </w:rPr>
                              <w:t>D</w:t>
                            </w:r>
                            <w:r w:rsidRPr="005A2DA3">
                              <w:rPr>
                                <w:rFonts w:cs="Arial"/>
                                <w:color w:val="000000" w:themeColor="text1"/>
                                <w:sz w:val="18"/>
                                <w:szCs w:val="18"/>
                                <w:vertAlign w:val="subscript"/>
                                <w:lang w:eastAsia="ja-JP"/>
                              </w:rPr>
                              <w:t>dry</w:t>
                            </w:r>
                            <w:proofErr w:type="spellEnd"/>
                            <w:r w:rsidRPr="005A2DA3">
                              <w:rPr>
                                <w:rFonts w:cs="Arial"/>
                                <w:color w:val="000000" w:themeColor="text1"/>
                                <w:sz w:val="18"/>
                                <w:szCs w:val="18"/>
                                <w:vertAlign w:val="subscript"/>
                                <w:lang w:eastAsia="ja-JP"/>
                              </w:rPr>
                              <w:t>/O/σ</w:t>
                            </w:r>
                            <w:r w:rsidRPr="005A2DA3">
                              <w:rPr>
                                <w:rFonts w:cs="Arial"/>
                                <w:color w:val="000000" w:themeColor="text1"/>
                                <w:sz w:val="18"/>
                                <w:szCs w:val="18"/>
                                <w:lang w:eastAsia="ja-JP"/>
                              </w:rPr>
                              <w:t>) and wet conditions (</w:t>
                            </w:r>
                            <w:proofErr w:type="spellStart"/>
                            <w:r w:rsidRPr="005A2DA3">
                              <w:rPr>
                                <w:rFonts w:cs="Arial"/>
                                <w:i/>
                                <w:iCs/>
                                <w:color w:val="000000" w:themeColor="text1"/>
                                <w:sz w:val="18"/>
                                <w:szCs w:val="18"/>
                                <w:lang w:eastAsia="ja-JP"/>
                              </w:rPr>
                              <w:t>D</w:t>
                            </w:r>
                            <w:r w:rsidRPr="005A2DA3">
                              <w:rPr>
                                <w:rFonts w:cs="Arial"/>
                                <w:color w:val="000000" w:themeColor="text1"/>
                                <w:sz w:val="18"/>
                                <w:szCs w:val="18"/>
                                <w:vertAlign w:val="subscript"/>
                                <w:lang w:eastAsia="ja-JP"/>
                              </w:rPr>
                              <w:t>wet</w:t>
                            </w:r>
                            <w:proofErr w:type="spellEnd"/>
                            <w:r w:rsidRPr="005A2DA3">
                              <w:rPr>
                                <w:rFonts w:cs="Arial"/>
                                <w:color w:val="000000" w:themeColor="text1"/>
                                <w:sz w:val="18"/>
                                <w:szCs w:val="18"/>
                                <w:vertAlign w:val="subscript"/>
                                <w:lang w:eastAsia="ja-JP"/>
                              </w:rPr>
                              <w:t>/O/σ</w:t>
                            </w:r>
                            <w:r w:rsidRPr="005A2DA3">
                              <w:rPr>
                                <w:rFonts w:cs="Arial"/>
                                <w:color w:val="000000" w:themeColor="text1"/>
                                <w:sz w:val="18"/>
                                <w:szCs w:val="18"/>
                                <w:lang w:eastAsia="ja-JP"/>
                              </w:rPr>
                              <w:t>), respectively</w:t>
                            </w:r>
                            <w:r w:rsidRPr="005A2DA3">
                              <w:rPr>
                                <w:rFonts w:cs="Arial" w:hint="eastAsia"/>
                                <w:color w:val="000000" w:themeColor="text1"/>
                                <w:sz w:val="18"/>
                                <w:szCs w:val="18"/>
                                <w:lang w:eastAsia="ja-JP"/>
                              </w:rPr>
                              <w:t>,</w:t>
                            </w:r>
                            <w:r w:rsidRPr="005A2DA3">
                              <w:rPr>
                                <w:rFonts w:cs="Arial"/>
                                <w:color w:val="000000" w:themeColor="text1"/>
                                <w:sz w:val="18"/>
                                <w:szCs w:val="18"/>
                                <w:lang w:eastAsia="ja-JP"/>
                              </w:rPr>
                              <w:t xml:space="preserve"> which were calculated assuming the Haven ratio (correlation factor) to be unity. </w:t>
                            </w:r>
                            <w:r>
                              <w:rPr>
                                <w:rFonts w:cs="Arial"/>
                                <w:color w:val="000000" w:themeColor="text1"/>
                                <w:sz w:val="18"/>
                                <w:szCs w:val="18"/>
                                <w:lang w:eastAsia="ja-JP"/>
                              </w:rPr>
                              <w:t>The r</w:t>
                            </w:r>
                            <w:r w:rsidRPr="005A2DA3">
                              <w:rPr>
                                <w:rFonts w:cs="Arial"/>
                                <w:color w:val="000000" w:themeColor="text1"/>
                                <w:sz w:val="18"/>
                                <w:szCs w:val="18"/>
                                <w:lang w:eastAsia="ja-JP"/>
                              </w:rPr>
                              <w:t>ed and blue closed squares represent the tracer diffusion coefficients in dry conditions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D</m:t>
                                  </m:r>
                                </m:e>
                                <m:sub>
                                  <m:r>
                                    <m:rPr>
                                      <m:sty m:val="p"/>
                                    </m:rPr>
                                    <w:rPr>
                                      <w:rFonts w:ascii="Cambria Math" w:hAnsi="Cambria Math" w:cs="Arial"/>
                                      <w:color w:val="000000" w:themeColor="text1"/>
                                      <w:sz w:val="18"/>
                                      <w:szCs w:val="18"/>
                                      <w:vertAlign w:val="subscript"/>
                                      <w:lang w:eastAsia="ja-JP"/>
                                    </w:rPr>
                                    <m:t>O/</m:t>
                                  </m:r>
                                  <m:r>
                                    <m:rPr>
                                      <m:sty m:val="p"/>
                                    </m:rPr>
                                    <w:rPr>
                                      <w:rFonts w:ascii="Cambria Math" w:hAnsi="Cambria Math" w:cs="Arial"/>
                                      <w:color w:val="000000" w:themeColor="text1"/>
                                      <w:sz w:val="18"/>
                                      <w:szCs w:val="18"/>
                                      <w:lang w:eastAsia="ja-JP"/>
                                    </w:rPr>
                                    <m:t>dry</m:t>
                                  </m:r>
                                </m:sub>
                                <m:sup>
                                  <m:r>
                                    <m:rPr>
                                      <m:sty m:val="p"/>
                                    </m:rPr>
                                    <w:rPr>
                                      <w:rFonts w:ascii="Cambria Math" w:hAnsi="Cambria Math" w:cs="Arial"/>
                                      <w:color w:val="000000" w:themeColor="text1"/>
                                      <w:sz w:val="18"/>
                                      <w:szCs w:val="18"/>
                                      <w:lang w:eastAsia="ja-JP"/>
                                    </w:rPr>
                                    <m:t>*</m:t>
                                  </m:r>
                                </m:sup>
                              </m:sSubSup>
                            </m:oMath>
                            <w:r w:rsidRPr="005A2DA3">
                              <w:rPr>
                                <w:rFonts w:cs="Arial"/>
                                <w:color w:val="000000" w:themeColor="text1"/>
                                <w:sz w:val="18"/>
                                <w:szCs w:val="18"/>
                                <w:lang w:eastAsia="ja-JP"/>
                              </w:rPr>
                              <w:t>) and wet atmospheres</w:t>
                            </w:r>
                            <w:r w:rsidRPr="00DA1E4C">
                              <w:rPr>
                                <w:rFonts w:cs="Arial"/>
                                <w:color w:val="000000" w:themeColor="text1"/>
                                <w:sz w:val="18"/>
                                <w:szCs w:val="18"/>
                                <w:lang w:eastAsia="ja-JP"/>
                              </w:rPr>
                              <w:t xml:space="preserve"> </w:t>
                            </w:r>
                            <w:r w:rsidRPr="005A2DA3">
                              <w:rPr>
                                <w:rFonts w:cs="Arial"/>
                                <w:color w:val="000000" w:themeColor="text1"/>
                                <w:sz w:val="18"/>
                                <w:szCs w:val="18"/>
                                <w:lang w:eastAsia="ja-JP"/>
                              </w:rPr>
                              <w:t>(</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D</m:t>
                                  </m:r>
                                </m:e>
                                <m:sub>
                                  <m:r>
                                    <m:rPr>
                                      <m:sty m:val="p"/>
                                    </m:rPr>
                                    <w:rPr>
                                      <w:rFonts w:ascii="Cambria Math" w:hAnsi="Cambria Math" w:cs="Arial"/>
                                      <w:color w:val="000000" w:themeColor="text1"/>
                                      <w:sz w:val="18"/>
                                      <w:szCs w:val="18"/>
                                      <w:vertAlign w:val="subscript"/>
                                      <w:lang w:eastAsia="ja-JP"/>
                                    </w:rPr>
                                    <m:t>O/</m:t>
                                  </m:r>
                                  <m:r>
                                    <m:rPr>
                                      <m:sty m:val="p"/>
                                    </m:rPr>
                                    <w:rPr>
                                      <w:rFonts w:ascii="Cambria Math" w:hAnsi="Cambria Math" w:cs="Arial"/>
                                      <w:color w:val="000000" w:themeColor="text1"/>
                                      <w:sz w:val="18"/>
                                      <w:szCs w:val="18"/>
                                      <w:lang w:eastAsia="ja-JP"/>
                                    </w:rPr>
                                    <m:t>wet</m:t>
                                  </m:r>
                                </m:sub>
                                <m:sup>
                                  <m:r>
                                    <m:rPr>
                                      <m:sty m:val="p"/>
                                    </m:rPr>
                                    <w:rPr>
                                      <w:rFonts w:ascii="Cambria Math" w:hAnsi="Cambria Math" w:cs="Arial"/>
                                      <w:color w:val="000000" w:themeColor="text1"/>
                                      <w:sz w:val="18"/>
                                      <w:szCs w:val="18"/>
                                      <w:lang w:eastAsia="ja-JP"/>
                                    </w:rPr>
                                    <m:t>*</m:t>
                                  </m:r>
                                </m:sup>
                              </m:sSubSup>
                            </m:oMath>
                            <w:r w:rsidRPr="005A2DA3">
                              <w:rPr>
                                <w:rFonts w:cs="Arial"/>
                                <w:color w:val="000000" w:themeColor="text1"/>
                                <w:sz w:val="18"/>
                                <w:szCs w:val="18"/>
                                <w:lang w:eastAsia="ja-JP"/>
                              </w:rPr>
                              <w:t xml:space="preserve">), respectively. The surface exchange coefficients </w:t>
                            </w:r>
                            <w:r w:rsidRPr="005A2DA3">
                              <w:rPr>
                                <w:rFonts w:cs="Arial"/>
                                <w:i/>
                                <w:color w:val="000000" w:themeColor="text1"/>
                                <w:sz w:val="18"/>
                                <w:szCs w:val="18"/>
                                <w:lang w:eastAsia="ja-JP"/>
                              </w:rPr>
                              <w:t>k</w:t>
                            </w:r>
                            <w:r w:rsidRPr="005A2DA3">
                              <w:rPr>
                                <w:rFonts w:cs="Arial"/>
                                <w:color w:val="000000" w:themeColor="text1"/>
                                <w:sz w:val="18"/>
                                <w:szCs w:val="18"/>
                                <w:lang w:eastAsia="ja-JP"/>
                              </w:rPr>
                              <w:t xml:space="preserve">* of the samples annealed at 500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 xml:space="preserve">C in dry and wet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 were 9.1×10</w:t>
                            </w:r>
                            <w:bookmarkStart w:id="24" w:name="_Hlk199751972"/>
                            <w:r w:rsidRPr="005A2DA3">
                              <w:rPr>
                                <w:rFonts w:cs="Arial"/>
                                <w:color w:val="000000" w:themeColor="text1"/>
                                <w:sz w:val="18"/>
                                <w:szCs w:val="18"/>
                                <w:vertAlign w:val="superscript"/>
                                <w:lang w:eastAsia="ja-JP"/>
                              </w:rPr>
                              <w:t>‒</w:t>
                            </w:r>
                            <w:bookmarkEnd w:id="24"/>
                            <w:r w:rsidRPr="005A2DA3">
                              <w:rPr>
                                <w:rFonts w:cs="Arial"/>
                                <w:color w:val="000000" w:themeColor="text1"/>
                                <w:sz w:val="18"/>
                                <w:szCs w:val="18"/>
                                <w:vertAlign w:val="superscript"/>
                                <w:lang w:eastAsia="ja-JP"/>
                              </w:rPr>
                              <w:t>8</w:t>
                            </w:r>
                            <w:r w:rsidRPr="005A2DA3">
                              <w:rPr>
                                <w:rFonts w:cs="Arial"/>
                                <w:color w:val="000000" w:themeColor="text1"/>
                                <w:sz w:val="18"/>
                                <w:szCs w:val="18"/>
                                <w:lang w:eastAsia="ja-JP"/>
                              </w:rPr>
                              <w:t xml:space="preserve"> and 7.2×10</w:t>
                            </w:r>
                            <w:r w:rsidRPr="005A2DA3">
                              <w:rPr>
                                <w:rFonts w:cs="Arial"/>
                                <w:color w:val="000000" w:themeColor="text1"/>
                                <w:sz w:val="18"/>
                                <w:szCs w:val="18"/>
                                <w:vertAlign w:val="superscript"/>
                                <w:lang w:eastAsia="ja-JP"/>
                              </w:rPr>
                              <w:t>‒8</w:t>
                            </w:r>
                            <w:r w:rsidRPr="005A2DA3">
                              <w:rPr>
                                <w:rFonts w:cs="Arial"/>
                                <w:color w:val="000000" w:themeColor="text1"/>
                                <w:sz w:val="18"/>
                                <w:szCs w:val="18"/>
                                <w:lang w:eastAsia="ja-JP"/>
                              </w:rPr>
                              <w:t xml:space="preserve"> cm/s, respectively. The arrow </w:t>
                            </w:r>
                            <w:r>
                              <w:rPr>
                                <w:rFonts w:cs="Arial"/>
                                <w:color w:val="000000" w:themeColor="text1"/>
                                <w:sz w:val="18"/>
                                <w:szCs w:val="18"/>
                                <w:lang w:eastAsia="ja-JP"/>
                              </w:rPr>
                              <w:t xml:space="preserve">in panel (b) </w:t>
                            </w:r>
                            <w:r w:rsidRPr="005A2DA3">
                              <w:rPr>
                                <w:rFonts w:cs="Arial"/>
                                <w:color w:val="000000" w:themeColor="text1"/>
                                <w:sz w:val="18"/>
                                <w:szCs w:val="18"/>
                                <w:lang w:eastAsia="ja-JP"/>
                              </w:rPr>
                              <w:t>indicates the enhancement of oxygen diffusivity by hydration.</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EDE14" id="テキスト ボックス 605314330" o:spid="_x0000_s1034" type="#_x0000_t202" style="position:absolute;left:0;text-align:left;margin-left:7.8pt;margin-top:0;width:247.7pt;height:695.1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" stroked="f">
                <v:textbox inset="0,,0">
                  <w:txbxContent>
                    <w:p w14:paraId="3CCAAB8B" w14:textId="77777777" w:rsidR="00982388" w:rsidRDefault="00982388" w:rsidP="00081248">
                      <w:pPr>
                        <w:jc w:val="center"/>
                        <w:rPr>
                          <w:noProof/>
                          <w:lang w:eastAsia="ja-JP"/>
                        </w:rPr>
                      </w:pPr>
                      <w:r w:rsidDel="00B30AD1">
                        <w:rPr>
                          <w:noProof/>
                          <w:lang w:eastAsia="ja-JP"/>
                        </w:rPr>
                        <w:t xml:space="preserve"> </w:t>
                      </w:r>
                    </w:p>
                    <w:p w14:paraId="4623D4FA" w14:textId="77777777" w:rsidR="00982388" w:rsidRDefault="00982388" w:rsidP="00081248">
                      <w:pPr>
                        <w:jc w:val="center"/>
                        <w:rPr>
                          <w:rFonts w:ascii="Times New Roman"/>
                          <w:szCs w:val="10"/>
                          <w:lang w:eastAsia="ja-JP"/>
                        </w:rPr>
                      </w:pPr>
                      <w:r>
                        <w:rPr>
                          <w:noProof/>
                          <w:lang w:eastAsia="ja-JP"/>
                        </w:rPr>
                        <w:drawing>
                          <wp:inline distT="0" distB="0" distL="0" distR="0" wp14:anchorId="27C1743F" wp14:editId="439562F6">
                            <wp:extent cx="2990850" cy="6157632"/>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91564" cy="6159103"/>
                                    </a:xfrm>
                                    <a:prstGeom prst="rect">
                                      <a:avLst/>
                                    </a:prstGeom>
                                    <a:noFill/>
                                    <a:ln>
                                      <a:noFill/>
                                    </a:ln>
                                  </pic:spPr>
                                </pic:pic>
                              </a:graphicData>
                            </a:graphic>
                          </wp:inline>
                        </w:drawing>
                      </w:r>
                    </w:p>
                    <w:p w14:paraId="67AE60B8" w14:textId="77777777" w:rsidR="00982388" w:rsidRPr="001921ED" w:rsidRDefault="00982388" w:rsidP="00081248">
                      <w:pPr>
                        <w:spacing w:line="240" w:lineRule="auto"/>
                        <w:jc w:val="both"/>
                        <w:rPr>
                          <w:rFonts w:cs="Arial"/>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6</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 xml:space="preserve">(a)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 tracer diffusion profiles of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pellet</w:t>
                      </w:r>
                      <w:r>
                        <w:rPr>
                          <w:rFonts w:cs="Arial"/>
                          <w:color w:val="000000" w:themeColor="text1"/>
                          <w:sz w:val="18"/>
                          <w:szCs w:val="18"/>
                          <w:lang w:eastAsia="ja-JP"/>
                        </w:rPr>
                        <w:t>s</w:t>
                      </w:r>
                      <w:r w:rsidRPr="005A2DA3">
                        <w:rPr>
                          <w:rFonts w:cs="Arial"/>
                          <w:color w:val="000000" w:themeColor="text1"/>
                          <w:sz w:val="18"/>
                          <w:szCs w:val="18"/>
                          <w:lang w:eastAsia="ja-JP"/>
                        </w:rPr>
                        <w:t xml:space="preserve"> annealed at 500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 xml:space="preserve">C in dry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sidDel="0062472A">
                        <w:rPr>
                          <w:rFonts w:cs="Arial"/>
                          <w:color w:val="000000" w:themeColor="text1"/>
                          <w:sz w:val="18"/>
                          <w:szCs w:val="18"/>
                          <w:lang w:eastAsia="ja-JP"/>
                        </w:rPr>
                        <w:t xml:space="preserve"> </w:t>
                      </w:r>
                      <w:r w:rsidRPr="005A2DA3">
                        <w:rPr>
                          <w:rFonts w:cs="Arial"/>
                          <w:color w:val="000000" w:themeColor="text1"/>
                          <w:sz w:val="18"/>
                          <w:szCs w:val="18"/>
                          <w:lang w:eastAsia="ja-JP"/>
                        </w:rPr>
                        <w:t>(</w:t>
                      </w:r>
                      <w:r w:rsidRPr="005A2DA3">
                        <w:rPr>
                          <w:rFonts w:cs="Arial"/>
                          <w:i/>
                          <w:iCs/>
                          <w:color w:val="000000" w:themeColor="text1"/>
                          <w:sz w:val="18"/>
                          <w:szCs w:val="18"/>
                          <w:lang w:eastAsia="ja-JP"/>
                        </w:rPr>
                        <w:t>p</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 = 0.20 atm, red circles) and wet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sidDel="0062472A">
                        <w:rPr>
                          <w:rFonts w:cs="Arial"/>
                          <w:color w:val="000000" w:themeColor="text1"/>
                          <w:sz w:val="18"/>
                          <w:szCs w:val="18"/>
                          <w:lang w:eastAsia="ja-JP"/>
                        </w:rPr>
                        <w:t xml:space="preserve"> </w:t>
                      </w:r>
                      <w:r w:rsidRPr="005A2DA3">
                        <w:rPr>
                          <w:rFonts w:cs="Arial"/>
                          <w:color w:val="000000" w:themeColor="text1"/>
                          <w:sz w:val="18"/>
                          <w:szCs w:val="18"/>
                          <w:lang w:eastAsia="ja-JP"/>
                        </w:rPr>
                        <w:t>(</w:t>
                      </w:r>
                      <w:r w:rsidRPr="005A2DA3">
                        <w:rPr>
                          <w:rFonts w:cs="Arial"/>
                          <w:i/>
                          <w:iCs/>
                          <w:color w:val="000000" w:themeColor="text1"/>
                          <w:sz w:val="18"/>
                          <w:szCs w:val="18"/>
                          <w:lang w:eastAsia="ja-JP"/>
                        </w:rPr>
                        <w:t>p</w:t>
                      </w:r>
                      <w:r w:rsidRPr="005A2DA3">
                        <w:rPr>
                          <w:rFonts w:cs="Arial"/>
                          <w:color w:val="000000" w:themeColor="text1"/>
                          <w:sz w:val="18"/>
                          <w:szCs w:val="18"/>
                          <w:lang w:eastAsia="ja-JP"/>
                        </w:rPr>
                        <w:t>H</w:t>
                      </w:r>
                      <w:r w:rsidRPr="005A2DA3">
                        <w:rPr>
                          <w:rFonts w:cs="Arial"/>
                          <w:color w:val="000000" w:themeColor="text1"/>
                          <w:sz w:val="18"/>
                          <w:szCs w:val="18"/>
                          <w:vertAlign w:val="subscript"/>
                          <w:lang w:eastAsia="ja-JP"/>
                        </w:rPr>
                        <w:t>2</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 xml:space="preserve">O = 0.030 atm, </w:t>
                      </w:r>
                      <w:r w:rsidRPr="005A2DA3">
                        <w:rPr>
                          <w:rFonts w:cs="Arial"/>
                          <w:i/>
                          <w:iCs/>
                          <w:color w:val="000000" w:themeColor="text1"/>
                          <w:sz w:val="18"/>
                          <w:szCs w:val="18"/>
                          <w:lang w:eastAsia="ja-JP"/>
                        </w:rPr>
                        <w:t>p</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 = 0.20 atm, blue squares). (b) Arrhenius plots of the </w:t>
                      </w:r>
                      <w:r>
                        <w:rPr>
                          <w:rFonts w:cs="Arial"/>
                          <w:color w:val="000000" w:themeColor="text1"/>
                          <w:sz w:val="18"/>
                          <w:szCs w:val="18"/>
                          <w:lang w:eastAsia="ja-JP"/>
                        </w:rPr>
                        <w:t xml:space="preserve">oxygen </w:t>
                      </w:r>
                      <w:r w:rsidRPr="005A2DA3">
                        <w:rPr>
                          <w:rFonts w:cs="Arial"/>
                          <w:color w:val="000000" w:themeColor="text1"/>
                          <w:sz w:val="18"/>
                          <w:szCs w:val="18"/>
                          <w:lang w:eastAsia="ja-JP"/>
                        </w:rPr>
                        <w:t>diffusion coefficient (</w:t>
                      </w:r>
                      <w:r w:rsidRPr="005A2DA3">
                        <w:rPr>
                          <w:rFonts w:cs="Arial"/>
                          <w:i/>
                          <w:iCs/>
                          <w:color w:val="000000" w:themeColor="text1"/>
                          <w:sz w:val="18"/>
                          <w:szCs w:val="18"/>
                          <w:lang w:eastAsia="ja-JP"/>
                        </w:rPr>
                        <w:t>D</w:t>
                      </w:r>
                      <w:r w:rsidRPr="005A2DA3">
                        <w:rPr>
                          <w:rFonts w:cs="Arial"/>
                          <w:color w:val="000000" w:themeColor="text1"/>
                          <w:sz w:val="18"/>
                          <w:szCs w:val="18"/>
                          <w:lang w:eastAsia="ja-JP"/>
                        </w:rPr>
                        <w:t>o) of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w:t>
                      </w:r>
                      <w:r>
                        <w:rPr>
                          <w:rFonts w:cs="Arial"/>
                          <w:color w:val="000000" w:themeColor="text1"/>
                          <w:sz w:val="18"/>
                          <w:szCs w:val="18"/>
                          <w:lang w:eastAsia="ja-JP"/>
                        </w:rPr>
                        <w:t>The r</w:t>
                      </w:r>
                      <w:r w:rsidRPr="005A2DA3">
                        <w:rPr>
                          <w:rFonts w:cs="Arial"/>
                          <w:color w:val="000000" w:themeColor="text1"/>
                          <w:sz w:val="18"/>
                          <w:szCs w:val="18"/>
                          <w:lang w:eastAsia="ja-JP"/>
                        </w:rPr>
                        <w:t>ed and blue open circles denote the conductivity diffusion coefficients in dry atmospheres (</w:t>
                      </w:r>
                      <w:proofErr w:type="spellStart"/>
                      <w:r w:rsidRPr="005A2DA3">
                        <w:rPr>
                          <w:rFonts w:cs="Arial"/>
                          <w:i/>
                          <w:iCs/>
                          <w:color w:val="000000" w:themeColor="text1"/>
                          <w:sz w:val="18"/>
                          <w:szCs w:val="18"/>
                          <w:lang w:eastAsia="ja-JP"/>
                        </w:rPr>
                        <w:t>D</w:t>
                      </w:r>
                      <w:r w:rsidRPr="005A2DA3">
                        <w:rPr>
                          <w:rFonts w:cs="Arial"/>
                          <w:color w:val="000000" w:themeColor="text1"/>
                          <w:sz w:val="18"/>
                          <w:szCs w:val="18"/>
                          <w:vertAlign w:val="subscript"/>
                          <w:lang w:eastAsia="ja-JP"/>
                        </w:rPr>
                        <w:t>dry</w:t>
                      </w:r>
                      <w:proofErr w:type="spellEnd"/>
                      <w:r w:rsidRPr="005A2DA3">
                        <w:rPr>
                          <w:rFonts w:cs="Arial"/>
                          <w:color w:val="000000" w:themeColor="text1"/>
                          <w:sz w:val="18"/>
                          <w:szCs w:val="18"/>
                          <w:vertAlign w:val="subscript"/>
                          <w:lang w:eastAsia="ja-JP"/>
                        </w:rPr>
                        <w:t>/O/σ</w:t>
                      </w:r>
                      <w:r w:rsidRPr="005A2DA3">
                        <w:rPr>
                          <w:rFonts w:cs="Arial"/>
                          <w:color w:val="000000" w:themeColor="text1"/>
                          <w:sz w:val="18"/>
                          <w:szCs w:val="18"/>
                          <w:lang w:eastAsia="ja-JP"/>
                        </w:rPr>
                        <w:t>) and wet conditions (</w:t>
                      </w:r>
                      <w:proofErr w:type="spellStart"/>
                      <w:r w:rsidRPr="005A2DA3">
                        <w:rPr>
                          <w:rFonts w:cs="Arial"/>
                          <w:i/>
                          <w:iCs/>
                          <w:color w:val="000000" w:themeColor="text1"/>
                          <w:sz w:val="18"/>
                          <w:szCs w:val="18"/>
                          <w:lang w:eastAsia="ja-JP"/>
                        </w:rPr>
                        <w:t>D</w:t>
                      </w:r>
                      <w:r w:rsidRPr="005A2DA3">
                        <w:rPr>
                          <w:rFonts w:cs="Arial"/>
                          <w:color w:val="000000" w:themeColor="text1"/>
                          <w:sz w:val="18"/>
                          <w:szCs w:val="18"/>
                          <w:vertAlign w:val="subscript"/>
                          <w:lang w:eastAsia="ja-JP"/>
                        </w:rPr>
                        <w:t>wet</w:t>
                      </w:r>
                      <w:proofErr w:type="spellEnd"/>
                      <w:r w:rsidRPr="005A2DA3">
                        <w:rPr>
                          <w:rFonts w:cs="Arial"/>
                          <w:color w:val="000000" w:themeColor="text1"/>
                          <w:sz w:val="18"/>
                          <w:szCs w:val="18"/>
                          <w:vertAlign w:val="subscript"/>
                          <w:lang w:eastAsia="ja-JP"/>
                        </w:rPr>
                        <w:t>/O/σ</w:t>
                      </w:r>
                      <w:r w:rsidRPr="005A2DA3">
                        <w:rPr>
                          <w:rFonts w:cs="Arial"/>
                          <w:color w:val="000000" w:themeColor="text1"/>
                          <w:sz w:val="18"/>
                          <w:szCs w:val="18"/>
                          <w:lang w:eastAsia="ja-JP"/>
                        </w:rPr>
                        <w:t>), respectively</w:t>
                      </w:r>
                      <w:r w:rsidRPr="005A2DA3">
                        <w:rPr>
                          <w:rFonts w:cs="Arial" w:hint="eastAsia"/>
                          <w:color w:val="000000" w:themeColor="text1"/>
                          <w:sz w:val="18"/>
                          <w:szCs w:val="18"/>
                          <w:lang w:eastAsia="ja-JP"/>
                        </w:rPr>
                        <w:t>,</w:t>
                      </w:r>
                      <w:r w:rsidRPr="005A2DA3">
                        <w:rPr>
                          <w:rFonts w:cs="Arial"/>
                          <w:color w:val="000000" w:themeColor="text1"/>
                          <w:sz w:val="18"/>
                          <w:szCs w:val="18"/>
                          <w:lang w:eastAsia="ja-JP"/>
                        </w:rPr>
                        <w:t xml:space="preserve"> which were calculated assuming the Haven ratio (correlation factor) to be unity. </w:t>
                      </w:r>
                      <w:r>
                        <w:rPr>
                          <w:rFonts w:cs="Arial"/>
                          <w:color w:val="000000" w:themeColor="text1"/>
                          <w:sz w:val="18"/>
                          <w:szCs w:val="18"/>
                          <w:lang w:eastAsia="ja-JP"/>
                        </w:rPr>
                        <w:t>The r</w:t>
                      </w:r>
                      <w:r w:rsidRPr="005A2DA3">
                        <w:rPr>
                          <w:rFonts w:cs="Arial"/>
                          <w:color w:val="000000" w:themeColor="text1"/>
                          <w:sz w:val="18"/>
                          <w:szCs w:val="18"/>
                          <w:lang w:eastAsia="ja-JP"/>
                        </w:rPr>
                        <w:t>ed and blue closed squares represent the tracer diffusion coefficients in dry conditions (</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D</m:t>
                            </m:r>
                          </m:e>
                          <m:sub>
                            <m:r>
                              <m:rPr>
                                <m:sty m:val="p"/>
                              </m:rPr>
                              <w:rPr>
                                <w:rFonts w:ascii="Cambria Math" w:hAnsi="Cambria Math" w:cs="Arial"/>
                                <w:color w:val="000000" w:themeColor="text1"/>
                                <w:sz w:val="18"/>
                                <w:szCs w:val="18"/>
                                <w:vertAlign w:val="subscript"/>
                                <w:lang w:eastAsia="ja-JP"/>
                              </w:rPr>
                              <m:t>O/</m:t>
                            </m:r>
                            <m:r>
                              <m:rPr>
                                <m:sty m:val="p"/>
                              </m:rPr>
                              <w:rPr>
                                <w:rFonts w:ascii="Cambria Math" w:hAnsi="Cambria Math" w:cs="Arial"/>
                                <w:color w:val="000000" w:themeColor="text1"/>
                                <w:sz w:val="18"/>
                                <w:szCs w:val="18"/>
                                <w:lang w:eastAsia="ja-JP"/>
                              </w:rPr>
                              <m:t>dry</m:t>
                            </m:r>
                          </m:sub>
                          <m:sup>
                            <m:r>
                              <m:rPr>
                                <m:sty m:val="p"/>
                              </m:rPr>
                              <w:rPr>
                                <w:rFonts w:ascii="Cambria Math" w:hAnsi="Cambria Math" w:cs="Arial"/>
                                <w:color w:val="000000" w:themeColor="text1"/>
                                <w:sz w:val="18"/>
                                <w:szCs w:val="18"/>
                                <w:lang w:eastAsia="ja-JP"/>
                              </w:rPr>
                              <m:t>*</m:t>
                            </m:r>
                          </m:sup>
                        </m:sSubSup>
                      </m:oMath>
                      <w:r w:rsidRPr="005A2DA3">
                        <w:rPr>
                          <w:rFonts w:cs="Arial"/>
                          <w:color w:val="000000" w:themeColor="text1"/>
                          <w:sz w:val="18"/>
                          <w:szCs w:val="18"/>
                          <w:lang w:eastAsia="ja-JP"/>
                        </w:rPr>
                        <w:t>) and wet atmospheres</w:t>
                      </w:r>
                      <w:r w:rsidRPr="00DA1E4C">
                        <w:rPr>
                          <w:rFonts w:cs="Arial"/>
                          <w:color w:val="000000" w:themeColor="text1"/>
                          <w:sz w:val="18"/>
                          <w:szCs w:val="18"/>
                          <w:lang w:eastAsia="ja-JP"/>
                        </w:rPr>
                        <w:t xml:space="preserve"> </w:t>
                      </w:r>
                      <w:r w:rsidRPr="005A2DA3">
                        <w:rPr>
                          <w:rFonts w:cs="Arial"/>
                          <w:color w:val="000000" w:themeColor="text1"/>
                          <w:sz w:val="18"/>
                          <w:szCs w:val="18"/>
                          <w:lang w:eastAsia="ja-JP"/>
                        </w:rPr>
                        <w:t>(</w:t>
                      </w:r>
                      <m:oMath>
                        <m:sSubSup>
                          <m:sSubSupPr>
                            <m:ctrlPr>
                              <w:rPr>
                                <w:rFonts w:ascii="Cambria Math" w:hAnsi="Cambria Math" w:cs="Arial"/>
                                <w:i/>
                                <w:color w:val="000000" w:themeColor="text1"/>
                                <w:sz w:val="18"/>
                                <w:szCs w:val="18"/>
                                <w:lang w:eastAsia="ja-JP"/>
                              </w:rPr>
                            </m:ctrlPr>
                          </m:sSubSupPr>
                          <m:e>
                            <m:r>
                              <w:rPr>
                                <w:rFonts w:ascii="Cambria Math" w:hAnsi="Cambria Math" w:cs="Arial"/>
                                <w:color w:val="000000" w:themeColor="text1"/>
                                <w:sz w:val="18"/>
                                <w:szCs w:val="18"/>
                                <w:lang w:eastAsia="ja-JP"/>
                              </w:rPr>
                              <m:t>D</m:t>
                            </m:r>
                          </m:e>
                          <m:sub>
                            <m:r>
                              <m:rPr>
                                <m:sty m:val="p"/>
                              </m:rPr>
                              <w:rPr>
                                <w:rFonts w:ascii="Cambria Math" w:hAnsi="Cambria Math" w:cs="Arial"/>
                                <w:color w:val="000000" w:themeColor="text1"/>
                                <w:sz w:val="18"/>
                                <w:szCs w:val="18"/>
                                <w:vertAlign w:val="subscript"/>
                                <w:lang w:eastAsia="ja-JP"/>
                              </w:rPr>
                              <m:t>O/</m:t>
                            </m:r>
                            <m:r>
                              <m:rPr>
                                <m:sty m:val="p"/>
                              </m:rPr>
                              <w:rPr>
                                <w:rFonts w:ascii="Cambria Math" w:hAnsi="Cambria Math" w:cs="Arial"/>
                                <w:color w:val="000000" w:themeColor="text1"/>
                                <w:sz w:val="18"/>
                                <w:szCs w:val="18"/>
                                <w:lang w:eastAsia="ja-JP"/>
                              </w:rPr>
                              <m:t>wet</m:t>
                            </m:r>
                          </m:sub>
                          <m:sup>
                            <m:r>
                              <m:rPr>
                                <m:sty m:val="p"/>
                              </m:rPr>
                              <w:rPr>
                                <w:rFonts w:ascii="Cambria Math" w:hAnsi="Cambria Math" w:cs="Arial"/>
                                <w:color w:val="000000" w:themeColor="text1"/>
                                <w:sz w:val="18"/>
                                <w:szCs w:val="18"/>
                                <w:lang w:eastAsia="ja-JP"/>
                              </w:rPr>
                              <m:t>*</m:t>
                            </m:r>
                          </m:sup>
                        </m:sSubSup>
                      </m:oMath>
                      <w:r w:rsidRPr="005A2DA3">
                        <w:rPr>
                          <w:rFonts w:cs="Arial"/>
                          <w:color w:val="000000" w:themeColor="text1"/>
                          <w:sz w:val="18"/>
                          <w:szCs w:val="18"/>
                          <w:lang w:eastAsia="ja-JP"/>
                        </w:rPr>
                        <w:t xml:space="preserve">), respectively. The surface exchange coefficients </w:t>
                      </w:r>
                      <w:r w:rsidRPr="005A2DA3">
                        <w:rPr>
                          <w:rFonts w:cs="Arial"/>
                          <w:i/>
                          <w:color w:val="000000" w:themeColor="text1"/>
                          <w:sz w:val="18"/>
                          <w:szCs w:val="18"/>
                          <w:lang w:eastAsia="ja-JP"/>
                        </w:rPr>
                        <w:t>k</w:t>
                      </w:r>
                      <w:r w:rsidRPr="005A2DA3">
                        <w:rPr>
                          <w:rFonts w:cs="Arial"/>
                          <w:color w:val="000000" w:themeColor="text1"/>
                          <w:sz w:val="18"/>
                          <w:szCs w:val="18"/>
                          <w:lang w:eastAsia="ja-JP"/>
                        </w:rPr>
                        <w:t xml:space="preserve">* of the samples annealed at 500 </w:t>
                      </w:r>
                      <w:r w:rsidRPr="005A2DA3">
                        <w:rPr>
                          <w:rFonts w:cs="Arial"/>
                          <w:color w:val="000000" w:themeColor="text1"/>
                          <w:sz w:val="18"/>
                          <w:szCs w:val="18"/>
                          <w:vertAlign w:val="superscript"/>
                          <w:lang w:eastAsia="ja-JP"/>
                        </w:rPr>
                        <w:t>o</w:t>
                      </w:r>
                      <w:r w:rsidRPr="005A2DA3">
                        <w:rPr>
                          <w:rFonts w:cs="Arial"/>
                          <w:color w:val="000000" w:themeColor="text1"/>
                          <w:sz w:val="18"/>
                          <w:szCs w:val="18"/>
                          <w:lang w:eastAsia="ja-JP"/>
                        </w:rPr>
                        <w:t xml:space="preserve">C in dry and wet </w:t>
                      </w:r>
                      <w:r w:rsidRPr="005A2DA3">
                        <w:rPr>
                          <w:rFonts w:cs="Arial"/>
                          <w:color w:val="000000" w:themeColor="text1"/>
                          <w:sz w:val="18"/>
                          <w:szCs w:val="18"/>
                          <w:vertAlign w:val="superscript"/>
                          <w:lang w:eastAsia="ja-JP"/>
                        </w:rPr>
                        <w:t>18</w:t>
                      </w:r>
                      <w:r w:rsidRPr="005A2DA3">
                        <w:rPr>
                          <w:rFonts w:cs="Arial"/>
                          <w:color w:val="000000" w:themeColor="text1"/>
                          <w:sz w:val="18"/>
                          <w:szCs w:val="18"/>
                          <w:lang w:eastAsia="ja-JP"/>
                        </w:rPr>
                        <w:t>O</w:t>
                      </w:r>
                      <w:r w:rsidRPr="005A2DA3">
                        <w:rPr>
                          <w:rFonts w:cs="Arial"/>
                          <w:color w:val="000000" w:themeColor="text1"/>
                          <w:sz w:val="18"/>
                          <w:szCs w:val="18"/>
                          <w:vertAlign w:val="subscript"/>
                          <w:lang w:eastAsia="ja-JP"/>
                        </w:rPr>
                        <w:t>2</w:t>
                      </w:r>
                      <w:r w:rsidRPr="005A2DA3">
                        <w:rPr>
                          <w:rFonts w:cs="Arial"/>
                          <w:color w:val="000000" w:themeColor="text1"/>
                          <w:sz w:val="18"/>
                          <w:szCs w:val="18"/>
                          <w:lang w:eastAsia="ja-JP"/>
                        </w:rPr>
                        <w:t xml:space="preserve"> were 9.1×10</w:t>
                      </w:r>
                      <w:bookmarkStart w:id="25" w:name="_Hlk199751972"/>
                      <w:r w:rsidRPr="005A2DA3">
                        <w:rPr>
                          <w:rFonts w:cs="Arial"/>
                          <w:color w:val="000000" w:themeColor="text1"/>
                          <w:sz w:val="18"/>
                          <w:szCs w:val="18"/>
                          <w:vertAlign w:val="superscript"/>
                          <w:lang w:eastAsia="ja-JP"/>
                        </w:rPr>
                        <w:t>‒</w:t>
                      </w:r>
                      <w:bookmarkEnd w:id="25"/>
                      <w:r w:rsidRPr="005A2DA3">
                        <w:rPr>
                          <w:rFonts w:cs="Arial"/>
                          <w:color w:val="000000" w:themeColor="text1"/>
                          <w:sz w:val="18"/>
                          <w:szCs w:val="18"/>
                          <w:vertAlign w:val="superscript"/>
                          <w:lang w:eastAsia="ja-JP"/>
                        </w:rPr>
                        <w:t>8</w:t>
                      </w:r>
                      <w:r w:rsidRPr="005A2DA3">
                        <w:rPr>
                          <w:rFonts w:cs="Arial"/>
                          <w:color w:val="000000" w:themeColor="text1"/>
                          <w:sz w:val="18"/>
                          <w:szCs w:val="18"/>
                          <w:lang w:eastAsia="ja-JP"/>
                        </w:rPr>
                        <w:t xml:space="preserve"> and 7.2×10</w:t>
                      </w:r>
                      <w:r w:rsidRPr="005A2DA3">
                        <w:rPr>
                          <w:rFonts w:cs="Arial"/>
                          <w:color w:val="000000" w:themeColor="text1"/>
                          <w:sz w:val="18"/>
                          <w:szCs w:val="18"/>
                          <w:vertAlign w:val="superscript"/>
                          <w:lang w:eastAsia="ja-JP"/>
                        </w:rPr>
                        <w:t>‒8</w:t>
                      </w:r>
                      <w:r w:rsidRPr="005A2DA3">
                        <w:rPr>
                          <w:rFonts w:cs="Arial"/>
                          <w:color w:val="000000" w:themeColor="text1"/>
                          <w:sz w:val="18"/>
                          <w:szCs w:val="18"/>
                          <w:lang w:eastAsia="ja-JP"/>
                        </w:rPr>
                        <w:t xml:space="preserve"> cm/s, respectively. The arrow </w:t>
                      </w:r>
                      <w:r>
                        <w:rPr>
                          <w:rFonts w:cs="Arial"/>
                          <w:color w:val="000000" w:themeColor="text1"/>
                          <w:sz w:val="18"/>
                          <w:szCs w:val="18"/>
                          <w:lang w:eastAsia="ja-JP"/>
                        </w:rPr>
                        <w:t xml:space="preserve">in panel (b) </w:t>
                      </w:r>
                      <w:r w:rsidRPr="005A2DA3">
                        <w:rPr>
                          <w:rFonts w:cs="Arial"/>
                          <w:color w:val="000000" w:themeColor="text1"/>
                          <w:sz w:val="18"/>
                          <w:szCs w:val="18"/>
                          <w:lang w:eastAsia="ja-JP"/>
                        </w:rPr>
                        <w:t>indicates the enhancement of oxygen diffusivity by hydration.</w:t>
                      </w:r>
                    </w:p>
                  </w:txbxContent>
                </v:textbox>
                <w10:wrap type="square" anchorx="margin"/>
              </v:shape>
            </w:pict>
          </mc:Fallback>
        </mc:AlternateContent>
      </w:r>
    </w:p>
    <w:p w14:paraId="1D640277" w14:textId="21651E84" w:rsidR="0061024F" w:rsidRPr="001E3806" w:rsidRDefault="0061024F" w:rsidP="0061024F">
      <w:pPr>
        <w:pStyle w:val="RSCB02ArticleText"/>
        <w:rPr>
          <w:bCs/>
          <w:lang w:val="en-US"/>
        </w:rPr>
      </w:pPr>
      <w:r w:rsidRPr="001E3806">
        <w:rPr>
          <w:bCs/>
          <w:lang w:val="en-US"/>
        </w:rPr>
        <w:lastRenderedPageBreak/>
        <w:t>simulations.</w:t>
      </w:r>
      <w:r w:rsidRPr="001E3806">
        <w:rPr>
          <w:bCs/>
          <w:lang w:val="en-US"/>
        </w:rPr>
        <w:fldChar w:fldCharType="begin" w:fldLock="1"/>
      </w:r>
      <w:r w:rsidRPr="001E3806">
        <w:rPr>
          <w:bCs/>
          <w:lang w:val="en-US"/>
        </w:rPr>
        <w:instrText>ADDIN CSL_CITATION {"citationItems":[{"id":"ITEM-1","itemData":{"DOI":"10.1007/S10008-024-05862-1/FIGURES/10","ISSN":"14330768","abstract":"Low Mg diffusivity in solid-state oxides is an obstacle for the development of materials for Mg ion batteries, which are expected to have high capacity. In this study, we focused on NASICON-type and β-iron sulfate-type Mg2xHf1-xNb(PO4)3 that exhibit relatively high Mg ionic conductivity and investigated the Hf/Nb configuration and composition dependence of phase stability and ion conductivity by atomistic simulation using neural network potentials. The calculations show that the NASICON-type structure is slightly more stable and has higher Mg ionic conductivity than that of the β-iron sulfate-type. The effect of the Hf/Nb configuration was investigated and showed that the ordered stable structure had much lower ionic conductivity than the disordered structure. Furthermore, as the Mg ion concentration increased, the ionic conductivity increased monotonically at low concentrations but tended to converge to a constant value above a certain concentration. The saturation of the ionic conductivity despite increasing the Mg concentration may be due to the trapping effect of the Mg ions caused by the Hf vacancies as well as the Hf/Nb arrangement. Graphical Abstract: (Figure presented.).","author":[{"dropping-particle":"","family":"Makino","given":"Keisuke","non-dropping-particle":"","parse-names":false,"suffix":""},{"dropping-particle":"","family":"Tanibata","given":"Naoto","non-dropping-particle":"","parse-names":false,"suffix":""},{"dropping-particle":"","family":"Takeda","given":"Hayami","non-dropping-particle":"","parse-names":false,"suffix":""},{"dropping-particle":"","family":"Nakayama","given":"Masanobu","non-dropping-particle":"","parse-names":false,"suffix":""}],"container-title":"Journal of Solid State Electrochemistry","id":"ITEM-1","issue":"12","issued":{"date-parts":[["2024","12","1"]]},"page":"4471-4481","publisher":"Springer Science and Business Media Deutschland GmbH","title":"Computational studies on Mg ion conductivity in Mg2xHf1-x Nb(PO4)3 using neural network potential","type":"article-journal","volume":"28"},"uris":["http://www.mendeley.com/documents/?uuid=4ec21d05-99b0-318b-9cc7-73e12f326ffd"]}],"mendeley":{"formattedCitation":"&lt;sup&gt;47&lt;/sup&gt;","plainTextFormattedCitation":"47","previouslyFormattedCitation":"&lt;sup&gt;47&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47</w:t>
      </w:r>
      <w:r w:rsidRPr="001E3806">
        <w:rPr>
          <w:bCs/>
          <w:lang w:val="en-US"/>
        </w:rPr>
        <w:fldChar w:fldCharType="end"/>
      </w:r>
      <w:r w:rsidRPr="001E3806">
        <w:rPr>
          <w:bCs/>
          <w:lang w:val="en-US"/>
        </w:rPr>
        <w:t xml:space="preserve"> In contrast to the short-range migration observed in previous AIMD simulations,</w:t>
      </w:r>
      <w:r w:rsidRPr="001E3806">
        <w:rPr>
          <w:bCs/>
          <w:lang w:val="en-US"/>
        </w:rPr>
        <w:fldChar w:fldCharType="begin" w:fldLock="1"/>
      </w:r>
      <w:r w:rsidRPr="001E3806">
        <w:rPr>
          <w:bCs/>
          <w:lang w:val="en-US"/>
        </w:rPr>
        <w:instrText>ADDIN CSL_CITATION {"citationItems":[{"id":"ITEM-1","itemData":{"DOI":"10.1021/acs.chemmater.1c01141","ISSN":"0897-4756","abstract":"High ionic conductivity has been recently reported in hexagonal perovskite derivative materials. These systems constitute a promising class of novel electrolytes for application in hydrogen-based energy technologies. Herein, we performed the first in situ hydration neutron diffraction experiments and atomistic calculations for the determination of the water absorption and ionic conduction mechanisms in the dual-ion conductor Ba7Nb4MoO20. Our results demonstrate a remarkable mechanism of water uptake and proton incorporation, assisted by the ability of the structure of accommodating substantial stacking and anion disorder. Simulations show high dynamic and rotational flexibility of the variable coordination MOx units, a crucial factor in enabling fast ionic transport along the palmierite-like layers. Such flexibility contributes to delocalization of the proton defects and to the creation of a frustrated proton sublattice with high proton mobility and low energy diffusion pathways. These insights provide design principles for the discovery of innovative ionic conductors crystallizing in related hexagonal systems or disordered oxide structures.","author":[{"dropping-particle":"","family":"Fop","given":"Sacha","non-dropping-particle":"","parse-names":false,"suffix":""},{"dropping-particle":"","family":"Dawson","given":"James A.","non-dropping-particle":"","parse-names":false,"suffix":""},{"dropping-particle":"","family":"Fortes","given":"Andrew Dominic","non-dropping-particle":"","parse-names":false,"suffix":""},{"dropping-particle":"","family":"Ritter","given":"Clemens","non-dropping-particle":"","parse-names":false,"suffix":""},{"dropping-particle":"","family":"McLaughlin","given":"Abbie C.","non-dropping-particle":"","parse-names":false,"suffix":""}],"container-title":"Chemistry of Materials","id":"ITEM-1","issue":"12","issued":{"date-parts":[["2021","6","22"]]},"page":"4651-4660","publisher":"American Chemical Society (ACS)","title":"Hydration and Ionic Conduction Mechanisms of Hexagonal Perovskite Derivatives","type":"article-journal","volume":"33"},"uris":["http://www.mendeley.com/documents/?uuid=b83f530a-e753-3db3-851f-8ff6d0702c38"]},{"id":"ITEM-2","itemData":{"DOI":"10.1021/ACS.CHEMMATER.3C02378","ISSN":"0897-4756","abstract":"Oxide-ion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Materials","id":"ITEM-2","issue":"22","issued":{"date-parts":[["2023","11","14"]]},"page":"9774–9788","publisher":"American Chemical Society","title":"Dimer-Mediated Cooperative Mechanism of Ultrafast-Ion Conduction in Hexagonal Perovskite-Related Oxides","type":"article-journal","volume":"35"},"uris":["http://www.mendeley.com/documents/?uuid=0432974d-3ff5-3823-a81a-2b39497a2f7f"]},{"id":"ITEM-3","itemData":{"DOI":"10.26434/CHEMRXIV-2023-2MF82","abstract":"Hexagonal perovskite Ba7Nb4MoO20-related materials are very promising solid electrolytes with high oxide ion conductivity and redox stability, making them potentially applicable in solid oxide fuel cells. Optimizing the properties of this family of materials necessitates atomic-level understanding of the oxide ion dynamics leading to high conductivity. Here we report extensive ab initio molecular dynamics simulations of Ba7Nb4MoO20 investigating oxide ion motions, which allowed the observation of a continuous diffusion pathway for oxide ions in the (ab) plane, but also revealed significant contribution of the oxygen atoms from crystallographic sites located outside this plane, to the long-range dynamics. To probe the timescale of oxide ion diffusion, complementary quasielastic neutron scattering experiments were carried out, and showed that oxide ion dynamics in Ba7Nb4MoO20, even at 950 oC, are too slow to be observable on a nanosecond timescale. Based on the atomic-level understanding of structure-property relationships afforded by this detailed computational study, we propose new materials design strategies with potential to significantly increase oxide ion conductivity in Ba7Nb4MoO20-related hexagonal perovskites, which target to simultaneously increase the number of oxide ion charge carriers and rotational flexibility of the (Nb/Mo)Ox polyhedra.","author":[{"dropping-particle":"","family":"Schwaighofer","given":"Bettina","non-dropping-particle":"","parse-names":false,"suffix":""},{"dropping-particle":"","family":"Appel","given":"Markus","non-dropping-particle":"","parse-names":false,"suffix":""},{"dropping-particle":"","family":"Gonzalez","given":"Miguel Angel","non-dropping-particle":"","parse-names":false,"suffix":""},{"dropping-particle":"","family":"Evans","given":"Ivana Radosavljevic","non-dropping-particle":"","parse-names":false,"suffix":""}],"container-title":"RSC Adv.","id":"ITEM-3","issue":"4","issued":{"date-parts":[["2023","10","11"]]},"page":"1676-1682","title":"Oxide Ion Dynamics in Hexagonal Perovskite Mixed Conductor Ba7Nb4MoO20: A Comprehensive Ab Initio Molecular Dynamics Study","type":"article-journal","volume":"5"},"uris":["http://www.mendeley.com/documents/?uuid=2c48a0c5-7299-3196-82ed-4a4aa9a9878c"]}],"mendeley":{"formattedCitation":"&lt;sup&gt;17,57,60&lt;/sup&gt;","plainTextFormattedCitation":"17,57,60","previouslyFormattedCitation":"&lt;sup&gt;17,57,60&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17,57,60</w:t>
      </w:r>
      <w:r w:rsidRPr="001E3806">
        <w:rPr>
          <w:bCs/>
          <w:lang w:val="en-US"/>
        </w:rPr>
        <w:fldChar w:fldCharType="end"/>
      </w:r>
      <w:r w:rsidRPr="001E3806">
        <w:rPr>
          <w:bCs/>
          <w:lang w:val="en-US"/>
        </w:rPr>
        <w:t xml:space="preserve"> the trajector</w:t>
      </w:r>
      <w:r w:rsidR="00C733D9" w:rsidRPr="001E3806">
        <w:rPr>
          <w:bCs/>
          <w:lang w:val="en-US"/>
        </w:rPr>
        <w:t>ies</w:t>
      </w:r>
      <w:r w:rsidRPr="001E3806">
        <w:rPr>
          <w:bCs/>
          <w:lang w:val="en-US"/>
        </w:rPr>
        <w:t xml:space="preserve"> of oxygen atoms via the present M3GNet-MD simulations using the NNP indicated the long-range oxide-ion diffusion in the oxygen-deficient cubic close-packed c</w:t>
      </w:r>
      <w:r w:rsidRPr="001E3806">
        <w:rPr>
          <w:bCs/>
          <w:i/>
          <w:lang w:val="en-US"/>
        </w:rPr>
        <w:t>'</w:t>
      </w:r>
      <w:r w:rsidRPr="001E3806">
        <w:rPr>
          <w:bCs/>
          <w:lang w:val="en-US"/>
        </w:rPr>
        <w:t xml:space="preserve"> layer of both hydrated and dry </w:t>
      </w:r>
      <w:r w:rsidR="00C733D9" w:rsidRPr="001E3806">
        <w:rPr>
          <w:lang w:val="en-US"/>
        </w:rPr>
        <w:t>Ba</w:t>
      </w:r>
      <w:r w:rsidR="00C733D9" w:rsidRPr="001E3806">
        <w:rPr>
          <w:vertAlign w:val="subscript"/>
          <w:lang w:val="en-US"/>
        </w:rPr>
        <w:t>7</w:t>
      </w:r>
      <w:r w:rsidR="00C733D9" w:rsidRPr="001E3806">
        <w:rPr>
          <w:lang w:val="en-US"/>
        </w:rPr>
        <w:t>Nb</w:t>
      </w:r>
      <w:r w:rsidR="00C733D9" w:rsidRPr="001E3806">
        <w:rPr>
          <w:vertAlign w:val="subscript"/>
          <w:lang w:val="en-US"/>
        </w:rPr>
        <w:t>4</w:t>
      </w:r>
      <w:r w:rsidR="00C733D9" w:rsidRPr="001E3806">
        <w:rPr>
          <w:lang w:val="en-US"/>
        </w:rPr>
        <w:t>MoO</w:t>
      </w:r>
      <w:r w:rsidR="00C733D9" w:rsidRPr="001E3806">
        <w:rPr>
          <w:vertAlign w:val="subscript"/>
          <w:lang w:val="en-US"/>
        </w:rPr>
        <w:t>20</w:t>
      </w:r>
      <w:r w:rsidR="00C733D9" w:rsidRPr="001E3806">
        <w:rPr>
          <w:bCs/>
          <w:lang w:val="en-US"/>
        </w:rPr>
        <w:t xml:space="preserve"> </w:t>
      </w:r>
      <w:r w:rsidRPr="001E3806">
        <w:rPr>
          <w:bCs/>
          <w:lang w:val="en-US"/>
        </w:rPr>
        <w:t xml:space="preserve">materials at 1200 K (Fig. S5). </w:t>
      </w:r>
      <w:bookmarkStart w:id="25" w:name="_Hlk203223392"/>
      <w:r w:rsidR="00CD0D48" w:rsidRPr="001E3806">
        <w:rPr>
          <w:bCs/>
          <w:lang w:val="en-US"/>
        </w:rPr>
        <w:t>No migration of hydroxide ion OH</w:t>
      </w:r>
      <w:r w:rsidR="007E3151" w:rsidRPr="001E3806">
        <w:rPr>
          <w:vertAlign w:val="superscript"/>
          <w:lang w:val="en-US"/>
        </w:rPr>
        <w:t>‒</w:t>
      </w:r>
      <w:r w:rsidR="00CD0D48" w:rsidRPr="001E3806">
        <w:rPr>
          <w:bCs/>
          <w:lang w:val="en-US"/>
        </w:rPr>
        <w:t xml:space="preserve"> was observed</w:t>
      </w:r>
      <w:r w:rsidR="007E3151" w:rsidRPr="001E3806">
        <w:rPr>
          <w:bCs/>
          <w:lang w:val="en-US"/>
        </w:rPr>
        <w:t>.</w:t>
      </w:r>
      <w:r w:rsidR="00CD0D48" w:rsidRPr="001E3806">
        <w:rPr>
          <w:bCs/>
          <w:lang w:val="en-US"/>
        </w:rPr>
        <w:t xml:space="preserve"> </w:t>
      </w:r>
      <w:r w:rsidR="007E3151" w:rsidRPr="001E3806">
        <w:rPr>
          <w:bCs/>
          <w:lang w:val="en-US"/>
        </w:rPr>
        <w:t>Instead,</w:t>
      </w:r>
      <w:r w:rsidR="00CD0D48" w:rsidRPr="001E3806">
        <w:rPr>
          <w:bCs/>
          <w:lang w:val="en-US"/>
        </w:rPr>
        <w:t xml:space="preserve"> the proton H</w:t>
      </w:r>
      <w:r w:rsidR="00CD0D48" w:rsidRPr="001E3806">
        <w:rPr>
          <w:bCs/>
          <w:vertAlign w:val="superscript"/>
          <w:lang w:val="en-US"/>
        </w:rPr>
        <w:t>+</w:t>
      </w:r>
      <w:r w:rsidR="00CD0D48" w:rsidRPr="001E3806">
        <w:rPr>
          <w:bCs/>
          <w:lang w:val="en-US"/>
        </w:rPr>
        <w:t xml:space="preserve"> migrate</w:t>
      </w:r>
      <w:r w:rsidR="003E5FF9" w:rsidRPr="001E3806">
        <w:rPr>
          <w:bCs/>
          <w:lang w:val="en-US"/>
        </w:rPr>
        <w:t>s</w:t>
      </w:r>
      <w:r w:rsidR="00CD0D48" w:rsidRPr="001E3806">
        <w:rPr>
          <w:bCs/>
          <w:lang w:val="en-US"/>
        </w:rPr>
        <w:t xml:space="preserve"> </w:t>
      </w:r>
      <w:r w:rsidR="00B81EB6" w:rsidRPr="001E3806">
        <w:rPr>
          <w:bCs/>
          <w:lang w:val="en-US"/>
        </w:rPr>
        <w:t xml:space="preserve">by the </w:t>
      </w:r>
      <w:proofErr w:type="spellStart"/>
      <w:r w:rsidR="00B81EB6" w:rsidRPr="001E3806">
        <w:rPr>
          <w:bCs/>
          <w:lang w:val="en-US"/>
        </w:rPr>
        <w:t>Grotthus</w:t>
      </w:r>
      <w:proofErr w:type="spellEnd"/>
      <w:r w:rsidR="00B81EB6" w:rsidRPr="001E3806">
        <w:rPr>
          <w:bCs/>
          <w:lang w:val="en-US"/>
        </w:rPr>
        <w:t xml:space="preserve"> mechanism</w:t>
      </w:r>
      <w:r w:rsidR="007E3151" w:rsidRPr="001E3806">
        <w:rPr>
          <w:bCs/>
          <w:lang w:val="en-US"/>
        </w:rPr>
        <w:t xml:space="preserve"> in the MD simulations</w:t>
      </w:r>
      <w:r w:rsidR="00CD0D48" w:rsidRPr="001E3806">
        <w:rPr>
          <w:bCs/>
          <w:lang w:val="en-US"/>
        </w:rPr>
        <w:t xml:space="preserve">. </w:t>
      </w:r>
      <w:bookmarkEnd w:id="25"/>
      <w:r w:rsidR="00CD0D48" w:rsidRPr="001E3806">
        <w:rPr>
          <w:bCs/>
          <w:lang w:val="en-US"/>
        </w:rPr>
        <w:t>The</w:t>
      </w:r>
      <w:r w:rsidRPr="001E3806">
        <w:rPr>
          <w:bCs/>
          <w:lang w:val="en-US"/>
        </w:rPr>
        <w:t xml:space="preserve"> oxygen trajector</w:t>
      </w:r>
      <w:r w:rsidR="00C733D9" w:rsidRPr="001E3806">
        <w:rPr>
          <w:bCs/>
          <w:lang w:val="en-US"/>
        </w:rPr>
        <w:t>ies</w:t>
      </w:r>
      <w:r w:rsidRPr="001E3806">
        <w:rPr>
          <w:bCs/>
          <w:lang w:val="en-US"/>
        </w:rPr>
        <w:t xml:space="preserve"> in the hydrated </w:t>
      </w:r>
      <w:r w:rsidR="00C733D9" w:rsidRPr="001E3806">
        <w:rPr>
          <w:lang w:val="en-US"/>
        </w:rPr>
        <w:t>Ba</w:t>
      </w:r>
      <w:r w:rsidR="00C733D9" w:rsidRPr="001E3806">
        <w:rPr>
          <w:vertAlign w:val="subscript"/>
          <w:lang w:val="en-US"/>
        </w:rPr>
        <w:t>7</w:t>
      </w:r>
      <w:r w:rsidR="00C733D9" w:rsidRPr="001E3806">
        <w:rPr>
          <w:lang w:val="en-US"/>
        </w:rPr>
        <w:t>Nb</w:t>
      </w:r>
      <w:r w:rsidR="00C733D9" w:rsidRPr="001E3806">
        <w:rPr>
          <w:vertAlign w:val="subscript"/>
          <w:lang w:val="en-US"/>
        </w:rPr>
        <w:t>4</w:t>
      </w:r>
      <w:r w:rsidR="00C733D9" w:rsidRPr="001E3806">
        <w:rPr>
          <w:lang w:val="en-US"/>
        </w:rPr>
        <w:t>MoO</w:t>
      </w:r>
      <w:r w:rsidR="00C733D9" w:rsidRPr="001E3806">
        <w:rPr>
          <w:vertAlign w:val="subscript"/>
          <w:lang w:val="en-US"/>
        </w:rPr>
        <w:t>20</w:t>
      </w:r>
      <w:r w:rsidR="00C733D9" w:rsidRPr="001E3806">
        <w:rPr>
          <w:bCs/>
          <w:lang w:val="en-US"/>
        </w:rPr>
        <w:t xml:space="preserve"> were</w:t>
      </w:r>
      <w:r w:rsidRPr="001E3806">
        <w:rPr>
          <w:bCs/>
          <w:lang w:val="en-US"/>
        </w:rPr>
        <w:t xml:space="preserve"> more significant compared with the dry material (Fig. 7a and b).  In</w:t>
      </w:r>
      <w:r w:rsidR="00C733D9" w:rsidRPr="001E3806">
        <w:rPr>
          <w:bCs/>
          <w:lang w:val="en-US"/>
        </w:rPr>
        <w:t>deed</w:t>
      </w:r>
      <w:r w:rsidRPr="001E3806">
        <w:rPr>
          <w:bCs/>
          <w:lang w:val="en-US"/>
        </w:rPr>
        <w:t>, the mean square displacement (MSD) of the oxygen atoms in the hydrated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was greater than </w:t>
      </w:r>
      <w:r w:rsidR="00C733D9" w:rsidRPr="001E3806">
        <w:rPr>
          <w:bCs/>
          <w:lang w:val="en-US"/>
        </w:rPr>
        <w:t xml:space="preserve">that </w:t>
      </w:r>
      <w:r w:rsidRPr="001E3806">
        <w:rPr>
          <w:bCs/>
          <w:lang w:val="en-US"/>
        </w:rPr>
        <w:t>in the dry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(Fig. 7c). Therefore, the oxygen diffusion coefficient of hydrated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was higher than that of dry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This is consistent with </w:t>
      </w:r>
      <w:r w:rsidR="00C733D9" w:rsidRPr="001E3806">
        <w:rPr>
          <w:bCs/>
          <w:lang w:val="en-US"/>
        </w:rPr>
        <w:t>the</w:t>
      </w:r>
      <w:r w:rsidRPr="001E3806">
        <w:rPr>
          <w:bCs/>
          <w:lang w:val="en-US"/>
        </w:rPr>
        <w:t xml:space="preserve"> experimental results for the tracer and conductivity diffusion coefficients (Fig. 6). Figs. 8 and S7 show snapshots from the present M3GNet-MD simulations </w:t>
      </w:r>
      <w:r w:rsidR="00C733D9" w:rsidRPr="001E3806">
        <w:rPr>
          <w:bCs/>
          <w:lang w:val="en-US"/>
        </w:rPr>
        <w:t xml:space="preserve">of </w:t>
      </w:r>
      <w:r w:rsidRPr="001E3806">
        <w:rPr>
          <w:bCs/>
          <w:lang w:val="en-US"/>
        </w:rPr>
        <w:t>hydrated and dry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respectively, which enables the investigation of the local dynamics. Oxide ions migrate through the breaking and reforming of </w:t>
      </w:r>
      <w:r w:rsidRPr="001E3806">
        <w:rPr>
          <w:bCs/>
          <w:i/>
          <w:iCs/>
          <w:lang w:val="en-US"/>
        </w:rPr>
        <w:t>M</w:t>
      </w:r>
      <w:r w:rsidRPr="001E3806">
        <w:rPr>
          <w:bCs/>
          <w:vertAlign w:val="subscript"/>
          <w:lang w:val="en-US"/>
        </w:rPr>
        <w:t>2</w:t>
      </w:r>
      <w:r w:rsidRPr="001E3806">
        <w:rPr>
          <w:bCs/>
          <w:lang w:val="en-US"/>
        </w:rPr>
        <w:t>O</w:t>
      </w:r>
      <w:r w:rsidRPr="001E3806">
        <w:rPr>
          <w:bCs/>
          <w:vertAlign w:val="subscript"/>
          <w:lang w:val="en-US"/>
        </w:rPr>
        <w:t>9</w:t>
      </w:r>
      <w:r w:rsidRPr="001E3806">
        <w:rPr>
          <w:bCs/>
          <w:lang w:val="en-US"/>
        </w:rPr>
        <w:t xml:space="preserve"> dimers, </w:t>
      </w:r>
      <w:r w:rsidRPr="001E3806">
        <w:rPr>
          <w:bCs/>
          <w:i/>
          <w:iCs/>
          <w:lang w:val="en-US"/>
        </w:rPr>
        <w:t>M</w:t>
      </w:r>
      <w:r w:rsidRPr="001E3806">
        <w:rPr>
          <w:bCs/>
          <w:lang w:val="en-US"/>
        </w:rPr>
        <w:t>O</w:t>
      </w:r>
      <w:r w:rsidRPr="001E3806">
        <w:rPr>
          <w:bCs/>
          <w:vertAlign w:val="subscript"/>
          <w:lang w:val="en-US"/>
        </w:rPr>
        <w:t>5</w:t>
      </w:r>
      <w:r w:rsidRPr="001E3806">
        <w:rPr>
          <w:bCs/>
          <w:lang w:val="en-US"/>
        </w:rPr>
        <w:t xml:space="preserve"> monomers and </w:t>
      </w:r>
      <w:r w:rsidRPr="001E3806">
        <w:rPr>
          <w:bCs/>
          <w:i/>
          <w:iCs/>
          <w:lang w:val="en-US"/>
        </w:rPr>
        <w:t>M</w:t>
      </w:r>
      <w:r w:rsidRPr="001E3806">
        <w:rPr>
          <w:bCs/>
          <w:lang w:val="en-US"/>
        </w:rPr>
        <w:t>O</w:t>
      </w:r>
      <w:r w:rsidRPr="001E3806">
        <w:rPr>
          <w:bCs/>
          <w:vertAlign w:val="subscript"/>
          <w:lang w:val="en-US"/>
        </w:rPr>
        <w:t>4</w:t>
      </w:r>
      <w:r w:rsidRPr="001E3806">
        <w:rPr>
          <w:bCs/>
          <w:lang w:val="en-US"/>
        </w:rPr>
        <w:t xml:space="preserve"> tetrahedra (</w:t>
      </w:r>
      <w:r w:rsidRPr="001E3806">
        <w:rPr>
          <w:bCs/>
          <w:i/>
          <w:lang w:val="en-US"/>
        </w:rPr>
        <w:t>M</w:t>
      </w:r>
      <w:r w:rsidRPr="001E3806">
        <w:rPr>
          <w:bCs/>
          <w:lang w:val="en-US"/>
        </w:rPr>
        <w:t>: Nb/Mo). This process is essential for oxide-ion migration in both hydrated and dry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which is consistent with the oxide-ion migration in Ba</w:t>
      </w:r>
      <w:r w:rsidRPr="001E3806">
        <w:rPr>
          <w:bCs/>
          <w:vertAlign w:val="subscript"/>
          <w:lang w:val="en-US"/>
        </w:rPr>
        <w:t>7</w:t>
      </w:r>
      <w:r w:rsidRPr="001E3806">
        <w:rPr>
          <w:bCs/>
          <w:lang w:val="en-US"/>
        </w:rPr>
        <w:t>Nb</w:t>
      </w:r>
      <w:r w:rsidRPr="001E3806">
        <w:rPr>
          <w:bCs/>
          <w:vertAlign w:val="subscript"/>
          <w:lang w:val="en-US"/>
        </w:rPr>
        <w:t>3.8</w:t>
      </w:r>
      <w:r w:rsidRPr="001E3806">
        <w:rPr>
          <w:bCs/>
          <w:lang w:val="en-US"/>
        </w:rPr>
        <w:t>Mo</w:t>
      </w:r>
      <w:r w:rsidRPr="001E3806">
        <w:rPr>
          <w:bCs/>
          <w:vertAlign w:val="subscript"/>
          <w:lang w:val="en-US"/>
        </w:rPr>
        <w:t>1.2</w:t>
      </w:r>
      <w:r w:rsidRPr="001E3806">
        <w:rPr>
          <w:bCs/>
          <w:lang w:val="en-US"/>
        </w:rPr>
        <w:t>O</w:t>
      </w:r>
      <w:r w:rsidRPr="001E3806">
        <w:rPr>
          <w:bCs/>
          <w:vertAlign w:val="subscript"/>
          <w:lang w:val="en-US"/>
        </w:rPr>
        <w:t>20.1</w:t>
      </w:r>
      <w:r w:rsidRPr="001E3806">
        <w:rPr>
          <w:bCs/>
          <w:lang w:val="en-US"/>
        </w:rPr>
        <w:t>.</w:t>
      </w:r>
      <w:r w:rsidRPr="001E3806">
        <w:rPr>
          <w:bCs/>
          <w:lang w:val="en-US"/>
        </w:rPr>
        <w:fldChar w:fldCharType="begin" w:fldLock="1"/>
      </w:r>
      <w:r w:rsidRPr="001E3806">
        <w:rPr>
          <w:bCs/>
          <w:lang w:val="en-US"/>
        </w:rPr>
        <w:instrText>ADDIN CSL_CITATION {"citationItems":[{"id":"ITEM-1","itemData":{"DOI":"10.1021/ACS.CHEMMATER.3C02378","ISSN":"0897-4756","abstract":"Oxide-ion and proton conductors have found diverse applications such as in electrolytes of solid-oxide, proton-conducting, and hybrid-ion fuel cells. Research of fuel cells with higher energy effic...","author":[{"dropping-particle":"","family":"Sakuda","given":"Yuichi","non-dropping-particle":"","parse-names":false,"suffix":""},{"dropping-particle":"","family":"Murakami","given":"Taito","non-dropping-particle":"","parse-names":false,"suffix":""},{"dropping-particle":"","family":"Avdeev","given":"Maxim","non-dropping-particle":"","parse-names":false,"suffix":""},{"dropping-particle":"","family":"Fujii","given":"Kotaro","non-dropping-particle":"","parse-names":false,"suffix":""},{"dropping-particle":"","family":"Yasui","given":"Yuta","non-dropping-particle":"","parse-names":false,"suffix":""},{"dropping-particle":"","family":"Hester","given":"James R.","non-dropping-particle":"","parse-names":false,"suffix":""},{"dropping-particle":"","family":"Hagihala","given":"Masato","non-dropping-particle":"","parse-names":false,"suffix":""},{"dropping-particle":"","family":"Ikeda","given":"Yoichi","non-dropping-particle":"","parse-names":false,"suffix":""},{"dropping-particle":"","family":"Nambu","given":"Yusuke","non-dropping-particle":"","parse-names":false,"suffix":""},{"dropping-particle":"","family":"Yashima","given":"Masatomo","non-dropping-particle":"","parse-names":false,"suffix":""}],"container-title":"Chemistry of Materials","id":"ITEM-1","issue":"22","issued":{"date-parts":[["2023","11","14"]]},"page":"9774–9788","publisher":"American Chemical Society","title":"Dimer-Mediated Cooperative Mechanism of Ultrafast-Ion Conduction in Hexagonal Perovskite-Related Oxides","type":"article-journal","volume":"35"},"uris":["http://www.mendeley.com/documents/?uuid=0432974d-3ff5-3823-a81a-2b39497a2f7f"]}],"mendeley":{"formattedCitation":"&lt;sup&gt;17&lt;/sup&gt;","plainTextFormattedCitation":"17","previouslyFormattedCitation":"&lt;sup&gt;17&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17</w:t>
      </w:r>
      <w:r w:rsidRPr="001E3806">
        <w:rPr>
          <w:bCs/>
          <w:lang w:val="en-US"/>
        </w:rPr>
        <w:fldChar w:fldCharType="end"/>
      </w:r>
      <w:r w:rsidRPr="001E3806">
        <w:rPr>
          <w:bCs/>
          <w:lang w:val="en-US"/>
        </w:rPr>
        <w:t xml:space="preserve"> </w:t>
      </w:r>
      <w:r w:rsidR="00816EF5" w:rsidRPr="001E3806">
        <w:rPr>
          <w:lang w:val="en-US"/>
        </w:rPr>
        <w:t xml:space="preserve">The number of </w:t>
      </w:r>
      <w:r w:rsidR="00816EF5" w:rsidRPr="001E3806">
        <w:rPr>
          <w:i/>
          <w:iCs/>
          <w:lang w:val="en-US"/>
        </w:rPr>
        <w:t>M</w:t>
      </w:r>
      <w:r w:rsidR="00816EF5" w:rsidRPr="001E3806">
        <w:rPr>
          <w:vertAlign w:val="subscript"/>
          <w:lang w:val="en-US"/>
        </w:rPr>
        <w:t>2</w:t>
      </w:r>
      <w:r w:rsidR="00816EF5" w:rsidRPr="001E3806">
        <w:rPr>
          <w:lang w:val="en-US"/>
        </w:rPr>
        <w:t>O</w:t>
      </w:r>
      <w:r w:rsidR="00816EF5" w:rsidRPr="001E3806">
        <w:rPr>
          <w:vertAlign w:val="subscript"/>
          <w:lang w:val="en-US"/>
        </w:rPr>
        <w:t>9</w:t>
      </w:r>
      <w:r w:rsidR="00816EF5" w:rsidRPr="001E3806">
        <w:rPr>
          <w:lang w:val="en-US"/>
        </w:rPr>
        <w:t xml:space="preserve"> dimers in the hydrated Ba</w:t>
      </w:r>
      <w:r w:rsidR="00816EF5" w:rsidRPr="001E3806">
        <w:rPr>
          <w:vertAlign w:val="subscript"/>
          <w:lang w:val="en-US"/>
        </w:rPr>
        <w:t>7</w:t>
      </w:r>
      <w:r w:rsidR="00816EF5" w:rsidRPr="001E3806">
        <w:rPr>
          <w:lang w:val="en-US"/>
        </w:rPr>
        <w:t>Nb</w:t>
      </w:r>
      <w:r w:rsidR="00816EF5" w:rsidRPr="001E3806">
        <w:rPr>
          <w:vertAlign w:val="subscript"/>
          <w:lang w:val="en-US"/>
        </w:rPr>
        <w:t>4</w:t>
      </w:r>
      <w:r w:rsidR="00816EF5" w:rsidRPr="001E3806">
        <w:rPr>
          <w:lang w:val="en-US"/>
        </w:rPr>
        <w:t>MoO</w:t>
      </w:r>
      <w:r w:rsidR="00816EF5" w:rsidRPr="001E3806">
        <w:rPr>
          <w:vertAlign w:val="subscript"/>
          <w:lang w:val="en-US"/>
        </w:rPr>
        <w:t>20</w:t>
      </w:r>
      <w:r w:rsidR="00816EF5" w:rsidRPr="001E3806">
        <w:rPr>
          <w:lang w:val="en-US"/>
        </w:rPr>
        <w:t xml:space="preserve"> was approximately twice that in the dry material. This is because there are more excess interstitial oxygen atoms in the hydrated form (0.3) compared with the dry form (0.0). </w:t>
      </w:r>
      <w:r w:rsidRPr="001E3806">
        <w:rPr>
          <w:bCs/>
          <w:lang w:val="en-US"/>
        </w:rPr>
        <w:t xml:space="preserve"> The presence of the interstitial oxygen ions in the hydrated Ba</w:t>
      </w:r>
      <w:r w:rsidRPr="001E3806">
        <w:rPr>
          <w:bCs/>
          <w:vertAlign w:val="subscript"/>
          <w:lang w:val="en-US"/>
        </w:rPr>
        <w:t>7</w:t>
      </w:r>
      <w:r w:rsidRPr="001E3806">
        <w:rPr>
          <w:bCs/>
          <w:lang w:val="en-US"/>
        </w:rPr>
        <w:t>Nb</w:t>
      </w:r>
      <w:r w:rsidRPr="001E3806">
        <w:rPr>
          <w:bCs/>
          <w:vertAlign w:val="subscript"/>
          <w:lang w:val="en-US"/>
        </w:rPr>
        <w:t>4</w:t>
      </w:r>
      <w:r w:rsidRPr="001E3806">
        <w:rPr>
          <w:bCs/>
          <w:lang w:val="en-US"/>
        </w:rPr>
        <w:t>MoO</w:t>
      </w:r>
      <w:r w:rsidRPr="001E3806">
        <w:rPr>
          <w:bCs/>
          <w:vertAlign w:val="subscript"/>
          <w:lang w:val="en-US"/>
        </w:rPr>
        <w:t>20</w:t>
      </w:r>
      <w:r w:rsidRPr="001E3806">
        <w:rPr>
          <w:bCs/>
          <w:lang w:val="en-US"/>
        </w:rPr>
        <w:t xml:space="preserve"> is consistent with the </w:t>
      </w:r>
      <w:r w:rsidR="00816EF5" w:rsidRPr="001E3806">
        <w:rPr>
          <w:bCs/>
          <w:lang w:val="en-US"/>
        </w:rPr>
        <w:t xml:space="preserve">reported </w:t>
      </w:r>
      <w:r w:rsidRPr="001E3806">
        <w:rPr>
          <w:bCs/>
          <w:lang w:val="en-US"/>
        </w:rPr>
        <w:t>crystal structure</w:t>
      </w:r>
      <w:r w:rsidR="00816EF5" w:rsidRPr="001E3806">
        <w:rPr>
          <w:bCs/>
          <w:lang w:val="en-US"/>
        </w:rPr>
        <w:t>s</w:t>
      </w:r>
      <w:r w:rsidRPr="001E3806">
        <w:rPr>
          <w:bCs/>
          <w:lang w:val="en-US"/>
        </w:rPr>
        <w:t>.</w:t>
      </w:r>
      <w:r w:rsidRPr="001E3806">
        <w:rPr>
          <w:bCs/>
          <w:lang w:val="en-US"/>
        </w:rPr>
        <w:fldChar w:fldCharType="begin" w:fldLock="1"/>
      </w:r>
      <w:r w:rsidRPr="001E3806">
        <w:rPr>
          <w:bCs/>
          <w:lang w:val="en-US"/>
        </w:rPr>
        <w:instrText>ADDIN CSL_CITATION {"citationItems":[{"id":"ITEM-1","itemData":{"DOI":"10.1021/acs.chemmater.1c01141","ISSN":"0897-4756","abstract":"High ionic conductivity has been recently reported in hexagonal perovskite derivative materials. These systems constitute a promising class of novel electrolytes for application in hydrogen-based energy technologies. Herein, we performed the first in situ hydration neutron diffraction experiments and atomistic calculations for the determination of the water absorption and ionic conduction mechanisms in the dual-ion conductor Ba7Nb4MoO20. Our results demonstrate a remarkable mechanism of water uptake and proton incorporation, assisted by the ability of the structure of accommodating substantial stacking and anion disorder. Simulations show high dynamic and rotational flexibility of the variable coordination MOx units, a crucial factor in enabling fast ionic transport along the palmierite-like layers. Such flexibility contributes to delocalization of the proton defects and to the creation of a frustrated proton sublattice with high proton mobility and low energy diffusion pathways. These insights provide design principles for the discovery of innovative ionic conductors crystallizing in related hexagonal systems or disordered oxide structures.","author":[{"dropping-particle":"","family":"Fop","given":"Sacha","non-dropping-particle":"","parse-names":false,"suffix":""},{"dropping-particle":"","family":"Dawson","given":"James A.","non-dropping-particle":"","parse-names":false,"suffix":""},{"dropping-particle":"","family":"Fortes","given":"Andrew Dominic","non-dropping-particle":"","parse-names":false,"suffix":""},{"dropping-particle":"","family":"Ritter","given":"Clemens","non-dropping-particle":"","parse-names":false,"suffix":""},{"dropping-particle":"","family":"McLaughlin","given":"Abbie C.","non-dropping-particle":"","parse-names":false,"suffix":""}],"container-title":"Chemistry of Materials","id":"ITEM-1","issue":"12","issued":{"date-parts":[["2021","6","22"]]},"page":"4651-4660","publisher":"American Chemical Society (ACS)","title":"Hydration and Ionic Conduction Mechanisms of Hexagonal Perovskite Derivatives","type":"article-journal","volume":"33"},"uris":["http://www.mendeley.com/documents/?uuid=b83f530a-e753-3db3-851f-8ff6d0702c38"]},{"id":"ITEM-2","itemData":{"DOI":"10.1038/s41467-023-37802-4","ISSN":"2041-1723","abstract":"The chemical order and disorder of solids have a decisive influence on the material properties. There are numerous materials exhibiting chemical order/disorder of atoms with similar X-ray atomic scattering factors and similar neutron scattering lengths. It is difficult to investigate such order/disorder hidden in the data obtained from conventional diffraction methods. Herein, we quantitatively determined the Mo/Nb order in the high ion conductor Ba7Nb4MoO20 by a technique combining resonant X-ray diffraction, solid-state nuclear magnetic resonance (NMR) and first-principle calculations. NMR provided direct evidence that Mo atoms occupy only the M2 site near the intrinsically oxygen-deficient ion-conducting layer. Resonant X-ray diffraction determined the occupancy factors of Mo atoms at the M2 and other sites to be 0.50 and 0.00, respectively. These findings provide a basis for the development of ion conductors. This combined technique would open a new avenue for in-depth investigation of the hidden chemical order/disorder in materials. Chemical order/disorder in materials can be difficult to determine for atoms with similar X-ray scattering factors and neutron scattering lengths. Here authors use resonant XRD and NMR to elucidate hidden Mo/Nb chemical order in disordered hexagonal perovskite Ba7Nb4MoO20, with Mo atoms found to be localized near the ion-conducting oxygen deficient layer.","author":[{"dropping-particle":"","family":"Yasui","given":"Yuta","non-dropping-particle":"","parse-names":false,"suffix":""},{"dropping-particle":"","family":"Tansho","given":"Masataka","non-dropping-particle":"","parse-names":false,"suffix":""},{"dropping-particle":"","family":"Fujii","given":"Kotaro","non-dropping-particle":"","parse-names":false,"suffix":""},{"dropping-particle":"","family":"Sakuda","given":"Yuichi","non-dropping-particle":"","parse-names":false,"suffix":""},{"dropping-particle":"","family":"Goto","given":"Atsushi","non-dropping-particle":"","parse-names":false,"suffix":""},{"dropping-particle":"","family":"Ohki","given":"Shinobu","non-dropping-particle":"","parse-names":false,"suffix":""},{"dropping-particle":"","family":"Mogami","given":"Yuuki","non-dropping-particle":"","parse-names":false,"suffix":""},{"dropping-particle":"","family":"Iijima","given":"Takahiro","non-dropping-particle":"","parse-names":false,"suffix":""},{"dropping-particle":"","family":"Kobayashi","given":"Shintaro","non-dropping-particle":"","parse-names":false,"suffix":""},{"dropping-particle":"","family":"Kawaguchi","given":"Shogo","non-dropping-particle":"","parse-names":false,"suffix":""},{"dropping-particle":"","family":"Osaka","given":"Keiichi","non-dropping-particle":"","parse-names":false,"suffix":""},{"dropping-particle":"","family":"Ikeda","given":"Kazutaka","non-dropping-particle":"","parse-names":false,"suffix":""},{"dropping-particle":"","family":"Otomo","given":"Toshiya","non-dropping-particle":"","parse-names":false,"suffix":""},{"dropping-particle":"","family":"Yashima","given":"Masatomo","non-dropping-particle":"","parse-names":false,"suffix":""}],"container-title":"Nature Communications ","id":"ITEM-2","issued":{"date-parts":[["2023","4","24"]]},"page":"2337","publisher":"Nature Publishing Group","title":"Hidden chemical order in disordered Ba&lt;sub&gt;7&lt;/sub&gt;Nb&lt;sub&gt;4&lt;/sub&gt;MoO&lt;sub&gt;20&lt;/sub&gt; revealed by resonant X-ray diffraction and solid-state NMR","type":"article-journal","volume":"14"},"uris":["http://www.mendeley.com/documents/?uuid=1f633cfd-2fde-33d7-adf7-f532123ac310"]}],"mendeley":{"formattedCitation":"&lt;sup&gt;52,57&lt;/sup&gt;","plainTextFormattedCitation":"52,57","previouslyFormattedCitation":"&lt;sup&gt;52,57&lt;/sup&gt;"},"properties":{"noteIndex":0},"schema":"https://github.com/citation-style-language/schema/raw/master/csl-citation.json"}</w:instrText>
      </w:r>
      <w:r w:rsidRPr="001E3806">
        <w:rPr>
          <w:bCs/>
          <w:lang w:val="en-US"/>
        </w:rPr>
        <w:fldChar w:fldCharType="separate"/>
      </w:r>
      <w:r w:rsidRPr="001E3806">
        <w:rPr>
          <w:bCs/>
          <w:noProof/>
          <w:vertAlign w:val="superscript"/>
          <w:lang w:val="en-US"/>
        </w:rPr>
        <w:t>52,57</w:t>
      </w:r>
      <w:r w:rsidRPr="001E3806">
        <w:rPr>
          <w:bCs/>
          <w:lang w:val="en-US"/>
        </w:rPr>
        <w:fldChar w:fldCharType="end"/>
      </w:r>
      <w:r w:rsidRPr="001E3806">
        <w:rPr>
          <w:bCs/>
          <w:lang w:val="en-US"/>
        </w:rPr>
        <w:t xml:space="preserve"> </w:t>
      </w:r>
      <w:r w:rsidR="00816EF5" w:rsidRPr="001E3806">
        <w:rPr>
          <w:lang w:val="en-US"/>
        </w:rPr>
        <w:t>As there are more excess oxygen atoms in hydrated Ba</w:t>
      </w:r>
      <w:r w:rsidR="00816EF5" w:rsidRPr="001E3806">
        <w:rPr>
          <w:vertAlign w:val="subscript"/>
          <w:lang w:val="en-US"/>
        </w:rPr>
        <w:t>7</w:t>
      </w:r>
      <w:r w:rsidR="00816EF5" w:rsidRPr="001E3806">
        <w:rPr>
          <w:lang w:val="en-US"/>
        </w:rPr>
        <w:t>Nb</w:t>
      </w:r>
      <w:r w:rsidR="00816EF5" w:rsidRPr="001E3806">
        <w:rPr>
          <w:vertAlign w:val="subscript"/>
          <w:lang w:val="en-US"/>
        </w:rPr>
        <w:t>4</w:t>
      </w:r>
      <w:r w:rsidR="00816EF5" w:rsidRPr="001E3806">
        <w:rPr>
          <w:lang w:val="en-US"/>
        </w:rPr>
        <w:t>MoO</w:t>
      </w:r>
      <w:r w:rsidR="00816EF5" w:rsidRPr="001E3806">
        <w:rPr>
          <w:vertAlign w:val="subscript"/>
          <w:lang w:val="en-US"/>
        </w:rPr>
        <w:t>20</w:t>
      </w:r>
      <w:r w:rsidR="00816EF5" w:rsidRPr="001E3806">
        <w:rPr>
          <w:lang w:val="en-US"/>
        </w:rPr>
        <w:t xml:space="preserve"> compared with dry material, there are more </w:t>
      </w:r>
      <w:r w:rsidR="00816EF5" w:rsidRPr="001E3806">
        <w:rPr>
          <w:i/>
          <w:iCs/>
          <w:lang w:val="en-US"/>
        </w:rPr>
        <w:t>M</w:t>
      </w:r>
      <w:r w:rsidR="00816EF5" w:rsidRPr="001E3806">
        <w:rPr>
          <w:vertAlign w:val="subscript"/>
          <w:lang w:val="en-US"/>
        </w:rPr>
        <w:t>2</w:t>
      </w:r>
      <w:r w:rsidR="00816EF5" w:rsidRPr="001E3806">
        <w:rPr>
          <w:lang w:val="en-US"/>
        </w:rPr>
        <w:t>O</w:t>
      </w:r>
      <w:r w:rsidR="00816EF5" w:rsidRPr="001E3806">
        <w:rPr>
          <w:vertAlign w:val="subscript"/>
          <w:lang w:val="en-US"/>
        </w:rPr>
        <w:t>9</w:t>
      </w:r>
      <w:r w:rsidR="00816EF5" w:rsidRPr="001E3806">
        <w:rPr>
          <w:lang w:val="en-US"/>
        </w:rPr>
        <w:t xml:space="preserve"> dimers in the hydrated Ba</w:t>
      </w:r>
      <w:r w:rsidR="00816EF5" w:rsidRPr="001E3806">
        <w:rPr>
          <w:vertAlign w:val="subscript"/>
          <w:lang w:val="en-US"/>
        </w:rPr>
        <w:t>7</w:t>
      </w:r>
      <w:r w:rsidR="00816EF5" w:rsidRPr="001E3806">
        <w:rPr>
          <w:lang w:val="en-US"/>
        </w:rPr>
        <w:t>Nb</w:t>
      </w:r>
      <w:r w:rsidR="00816EF5" w:rsidRPr="001E3806">
        <w:rPr>
          <w:vertAlign w:val="subscript"/>
          <w:lang w:val="en-US"/>
        </w:rPr>
        <w:t>4</w:t>
      </w:r>
      <w:r w:rsidR="00816EF5" w:rsidRPr="001E3806">
        <w:rPr>
          <w:lang w:val="en-US"/>
        </w:rPr>
        <w:t>MoO</w:t>
      </w:r>
      <w:r w:rsidR="00816EF5" w:rsidRPr="001E3806">
        <w:rPr>
          <w:vertAlign w:val="subscript"/>
          <w:lang w:val="en-US"/>
        </w:rPr>
        <w:t>20</w:t>
      </w:r>
      <w:r w:rsidR="00816EF5" w:rsidRPr="001E3806">
        <w:rPr>
          <w:lang w:val="en-US"/>
        </w:rPr>
        <w:t xml:space="preserve"> than in dry material. At the atomic level, this is the reason why the oxygen diffusion coefficient is higher in wet atmospheres compared with dry conditions.</w:t>
      </w:r>
    </w:p>
    <w:bookmarkEnd w:id="22"/>
    <w:p w14:paraId="378AC7F7" w14:textId="3F506B3F" w:rsidR="00942D32" w:rsidRPr="001E3806" w:rsidRDefault="00081248" w:rsidP="0061024F">
      <w:pPr>
        <w:pStyle w:val="RSCB02ArticleText"/>
        <w:rPr>
          <w:rStyle w:val="06CHeading"/>
          <w:rFonts w:asciiTheme="minorHAnsi" w:hAnsiTheme="minorHAnsi"/>
          <w:b w:val="0"/>
          <w:bCs/>
          <w:smallCaps w:val="0"/>
        </w:rPr>
      </w:pPr>
      <w:r w:rsidRPr="001E3806">
        <w:rPr>
          <w:rFonts w:ascii="Times New Roman"/>
          <w:noProof/>
          <w:sz w:val="22"/>
          <w:lang w:val="ja-JP"/>
        </w:rPr>
        <mc:AlternateContent>
          <mc:Choice Requires="wps">
            <w:drawing>
              <wp:anchor distT="45720" distB="45720" distL="114300" distR="114300" simplePos="0" relativeHeight="251714560" behindDoc="0" locked="0" layoutInCell="1" allowOverlap="1" wp14:anchorId="093262ED" wp14:editId="6E9DE032">
                <wp:simplePos x="0" y="0"/>
                <wp:positionH relativeFrom="margin">
                  <wp:posOffset>46330</wp:posOffset>
                </wp:positionH>
                <wp:positionV relativeFrom="paragraph">
                  <wp:posOffset>589932</wp:posOffset>
                </wp:positionV>
                <wp:extent cx="3145790" cy="2774950"/>
                <wp:effectExtent l="0" t="0" r="0" b="6350"/>
                <wp:wrapSquare wrapText="bothSides"/>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2774950"/>
                        </a:xfrm>
                        <a:prstGeom prst="rect">
                          <a:avLst/>
                        </a:prstGeom>
                        <a:solidFill>
                          <a:srgbClr val="FFFFFF"/>
                        </a:solidFill>
                        <a:ln w="9525">
                          <a:noFill/>
                          <a:miter lim="800000"/>
                          <a:headEnd/>
                          <a:tailEnd/>
                        </a:ln>
                      </wps:spPr>
                      <wps:txbx>
                        <w:txbxContent>
                          <w:p w14:paraId="69B00564" w14:textId="77777777" w:rsidR="00982388" w:rsidRDefault="00982388" w:rsidP="00081248">
                            <w:pPr>
                              <w:jc w:val="center"/>
                              <w:rPr>
                                <w:rFonts w:ascii="Times New Roman"/>
                                <w:szCs w:val="10"/>
                                <w:lang w:eastAsia="ja-JP"/>
                              </w:rPr>
                            </w:pPr>
                            <w:r w:rsidDel="00B30AD1">
                              <w:rPr>
                                <w:noProof/>
                                <w:lang w:eastAsia="ja-JP"/>
                              </w:rPr>
                              <w:t xml:space="preserve"> </w:t>
                            </w:r>
                            <w:r>
                              <w:rPr>
                                <w:noProof/>
                              </w:rPr>
                              <w:drawing>
                                <wp:inline distT="0" distB="0" distL="0" distR="0" wp14:anchorId="5681B642" wp14:editId="4939F5E4">
                                  <wp:extent cx="3007995" cy="2030095"/>
                                  <wp:effectExtent l="0" t="0" r="1905" b="8255"/>
                                  <wp:docPr id="19" name="図 1"/>
                                  <wp:cNvGraphicFramePr/>
                                  <a:graphic xmlns:a="http://schemas.openxmlformats.org/drawingml/2006/main">
                                    <a:graphicData uri="http://schemas.openxmlformats.org/drawingml/2006/picture">
                                      <pic:pic xmlns:pic="http://schemas.openxmlformats.org/drawingml/2006/picture">
                                        <pic:nvPicPr>
                                          <pic:cNvPr id="2014070758" name="図 1"/>
                                          <pic:cNvPicPr/>
                                        </pic:nvPicPr>
                                        <pic:blipFill>
                                          <a:blip r:embed="rId30"/>
                                          <a:stretch>
                                            <a:fillRect/>
                                          </a:stretch>
                                        </pic:blipFill>
                                        <pic:spPr>
                                          <a:xfrm>
                                            <a:off x="0" y="0"/>
                                            <a:ext cx="3007995" cy="2030095"/>
                                          </a:xfrm>
                                          <a:prstGeom prst="rect">
                                            <a:avLst/>
                                          </a:prstGeom>
                                        </pic:spPr>
                                      </pic:pic>
                                    </a:graphicData>
                                  </a:graphic>
                                </wp:inline>
                              </w:drawing>
                            </w:r>
                          </w:p>
                          <w:p w14:paraId="20CBB28F" w14:textId="77777777" w:rsidR="00982388" w:rsidRPr="005A2DA3" w:rsidRDefault="00982388" w:rsidP="00081248">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8</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Snapshots of oxygen diffusion process of hydrated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at 1200 K. The blue spheres (</w:t>
                            </w:r>
                            <w:r w:rsidRPr="005A2DA3">
                              <w:rPr>
                                <w:rFonts w:cs="Arial"/>
                                <w:i/>
                                <w:iCs/>
                                <w:color w:val="000000" w:themeColor="text1"/>
                                <w:sz w:val="18"/>
                                <w:szCs w:val="18"/>
                                <w:lang w:eastAsia="ja-JP"/>
                              </w:rPr>
                              <w:t>M</w:t>
                            </w:r>
                            <w:r w:rsidRPr="005A2DA3">
                              <w:rPr>
                                <w:rFonts w:cs="Arial"/>
                                <w:color w:val="000000" w:themeColor="text1"/>
                                <w:sz w:val="18"/>
                                <w:szCs w:val="18"/>
                                <w:lang w:eastAsia="ja-JP"/>
                              </w:rPr>
                              <w:t>) represent Nb or Mo cation. The red spheres (O) denote oxide ions.</w:t>
                            </w:r>
                            <w:r>
                              <w:rPr>
                                <w:rFonts w:cs="Arial"/>
                                <w:color w:val="000000" w:themeColor="text1"/>
                                <w:sz w:val="18"/>
                                <w:szCs w:val="18"/>
                                <w:lang w:eastAsia="ja-JP"/>
                              </w:rPr>
                              <w:t xml:space="preserve"> </w:t>
                            </w:r>
                          </w:p>
                          <w:p w14:paraId="418DDAA3" w14:textId="77777777" w:rsidR="00982388" w:rsidRPr="00D77C38" w:rsidRDefault="00982388" w:rsidP="00081248">
                            <w:pPr>
                              <w:spacing w:line="240" w:lineRule="exact"/>
                              <w:jc w:val="both"/>
                              <w:rPr>
                                <w:rFonts w:cs="Arial"/>
                                <w:color w:val="000000" w:themeColor="text1"/>
                                <w:sz w:val="18"/>
                                <w:szCs w:val="18"/>
                                <w:lang w:eastAsia="ja-JP"/>
                              </w:rPr>
                            </w:pPr>
                          </w:p>
                          <w:p w14:paraId="7A096C03" w14:textId="77777777" w:rsidR="00982388" w:rsidRPr="001921ED" w:rsidRDefault="00982388" w:rsidP="00081248">
                            <w:pPr>
                              <w:spacing w:line="240" w:lineRule="exact"/>
                              <w:rPr>
                                <w:rFonts w:cs="Arial"/>
                                <w:lang w:eastAsia="ja-JP"/>
                              </w:rPr>
                            </w:pP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262ED" id="テキスト ボックス 9" o:spid="_x0000_s1035" type="#_x0000_t202" style="position:absolute;left:0;text-align:left;margin-left:3.65pt;margin-top:46.45pt;width:247.7pt;height:218.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" stroked="f">
                <v:textbox inset="0,,0">
                  <w:txbxContent>
                    <w:p w14:paraId="69B00564" w14:textId="77777777" w:rsidR="00982388" w:rsidRDefault="00982388" w:rsidP="00081248">
                      <w:pPr>
                        <w:jc w:val="center"/>
                        <w:rPr>
                          <w:rFonts w:ascii="Times New Roman"/>
                          <w:szCs w:val="10"/>
                          <w:lang w:eastAsia="ja-JP"/>
                        </w:rPr>
                      </w:pPr>
                      <w:r w:rsidDel="00B30AD1">
                        <w:rPr>
                          <w:noProof/>
                          <w:lang w:eastAsia="ja-JP"/>
                        </w:rPr>
                        <w:t xml:space="preserve"> </w:t>
                      </w:r>
                      <w:r>
                        <w:rPr>
                          <w:noProof/>
                        </w:rPr>
                        <w:drawing>
                          <wp:inline distT="0" distB="0" distL="0" distR="0" wp14:anchorId="5681B642" wp14:editId="4939F5E4">
                            <wp:extent cx="3007995" cy="2030095"/>
                            <wp:effectExtent l="0" t="0" r="1905" b="8255"/>
                            <wp:docPr id="19" name="図 1"/>
                            <wp:cNvGraphicFramePr/>
                            <a:graphic xmlns:a="http://schemas.openxmlformats.org/drawingml/2006/main">
                              <a:graphicData uri="http://schemas.openxmlformats.org/drawingml/2006/picture">
                                <pic:pic xmlns:pic="http://schemas.openxmlformats.org/drawingml/2006/picture">
                                  <pic:nvPicPr>
                                    <pic:cNvPr id="2014070758" name="図 1"/>
                                    <pic:cNvPicPr/>
                                  </pic:nvPicPr>
                                  <pic:blipFill>
                                    <a:blip r:embed="rId31"/>
                                    <a:stretch>
                                      <a:fillRect/>
                                    </a:stretch>
                                  </pic:blipFill>
                                  <pic:spPr>
                                    <a:xfrm>
                                      <a:off x="0" y="0"/>
                                      <a:ext cx="3007995" cy="2030095"/>
                                    </a:xfrm>
                                    <a:prstGeom prst="rect">
                                      <a:avLst/>
                                    </a:prstGeom>
                                  </pic:spPr>
                                </pic:pic>
                              </a:graphicData>
                            </a:graphic>
                          </wp:inline>
                        </w:drawing>
                      </w:r>
                    </w:p>
                    <w:p w14:paraId="20CBB28F" w14:textId="77777777" w:rsidR="00982388" w:rsidRPr="005A2DA3" w:rsidRDefault="00982388" w:rsidP="00081248">
                      <w:pPr>
                        <w:spacing w:line="240" w:lineRule="exact"/>
                        <w:jc w:val="both"/>
                        <w:rPr>
                          <w:rFonts w:cs="Arial"/>
                          <w:color w:val="000000" w:themeColor="text1"/>
                          <w:sz w:val="18"/>
                          <w:szCs w:val="18"/>
                          <w:lang w:eastAsia="ja-JP"/>
                        </w:rPr>
                      </w:pPr>
                      <w:r w:rsidRPr="00D77C38">
                        <w:rPr>
                          <w:rFonts w:cs="Arial"/>
                          <w:b/>
                          <w:color w:val="000000" w:themeColor="text1"/>
                          <w:sz w:val="18"/>
                          <w:szCs w:val="18"/>
                          <w:lang w:eastAsia="ja-JP"/>
                        </w:rPr>
                        <w:t xml:space="preserve">Fig. </w:t>
                      </w:r>
                      <w:r>
                        <w:rPr>
                          <w:rFonts w:cs="Arial" w:hint="eastAsia"/>
                          <w:b/>
                          <w:color w:val="000000" w:themeColor="text1"/>
                          <w:sz w:val="18"/>
                          <w:szCs w:val="18"/>
                          <w:lang w:eastAsia="ja-JP"/>
                        </w:rPr>
                        <w:t>8</w:t>
                      </w:r>
                      <w:r w:rsidRPr="00D77C38">
                        <w:rPr>
                          <w:rFonts w:cs="Arial"/>
                          <w:color w:val="000000" w:themeColor="text1"/>
                          <w:sz w:val="18"/>
                          <w:szCs w:val="18"/>
                          <w:lang w:eastAsia="ja-JP"/>
                        </w:rPr>
                        <w:t xml:space="preserve"> </w:t>
                      </w:r>
                      <w:r w:rsidRPr="005A2DA3">
                        <w:rPr>
                          <w:rFonts w:cs="Arial"/>
                          <w:color w:val="000000" w:themeColor="text1"/>
                          <w:sz w:val="18"/>
                          <w:szCs w:val="18"/>
                          <w:lang w:eastAsia="ja-JP"/>
                        </w:rPr>
                        <w:t>Snapshots of oxygen diffusion process of hydrated Ba</w:t>
                      </w:r>
                      <w:r w:rsidRPr="005A2DA3">
                        <w:rPr>
                          <w:rFonts w:cs="Arial"/>
                          <w:color w:val="000000" w:themeColor="text1"/>
                          <w:sz w:val="18"/>
                          <w:szCs w:val="18"/>
                          <w:vertAlign w:val="subscript"/>
                          <w:lang w:eastAsia="ja-JP"/>
                        </w:rPr>
                        <w:t>7</w:t>
                      </w:r>
                      <w:r w:rsidRPr="005A2DA3">
                        <w:rPr>
                          <w:rFonts w:cs="Arial"/>
                          <w:color w:val="000000" w:themeColor="text1"/>
                          <w:sz w:val="18"/>
                          <w:szCs w:val="18"/>
                          <w:lang w:eastAsia="ja-JP"/>
                        </w:rPr>
                        <w:t>Nb</w:t>
                      </w:r>
                      <w:r w:rsidRPr="005A2DA3">
                        <w:rPr>
                          <w:rFonts w:cs="Arial"/>
                          <w:color w:val="000000" w:themeColor="text1"/>
                          <w:sz w:val="18"/>
                          <w:szCs w:val="18"/>
                          <w:vertAlign w:val="subscript"/>
                          <w:lang w:eastAsia="ja-JP"/>
                        </w:rPr>
                        <w:t>4</w:t>
                      </w:r>
                      <w:r w:rsidRPr="005A2DA3">
                        <w:rPr>
                          <w:rFonts w:cs="Arial"/>
                          <w:color w:val="000000" w:themeColor="text1"/>
                          <w:sz w:val="18"/>
                          <w:szCs w:val="18"/>
                          <w:lang w:eastAsia="ja-JP"/>
                        </w:rPr>
                        <w:t>MoO</w:t>
                      </w:r>
                      <w:r w:rsidRPr="005A2DA3">
                        <w:rPr>
                          <w:rFonts w:cs="Arial"/>
                          <w:color w:val="000000" w:themeColor="text1"/>
                          <w:sz w:val="18"/>
                          <w:szCs w:val="18"/>
                          <w:vertAlign w:val="subscript"/>
                          <w:lang w:eastAsia="ja-JP"/>
                        </w:rPr>
                        <w:t>20</w:t>
                      </w:r>
                      <w:r w:rsidRPr="005A2DA3">
                        <w:rPr>
                          <w:rFonts w:cs="Arial"/>
                          <w:color w:val="000000" w:themeColor="text1"/>
                          <w:sz w:val="18"/>
                          <w:szCs w:val="18"/>
                          <w:lang w:eastAsia="ja-JP"/>
                        </w:rPr>
                        <w:t xml:space="preserve"> at 1200 K. The blue spheres (</w:t>
                      </w:r>
                      <w:r w:rsidRPr="005A2DA3">
                        <w:rPr>
                          <w:rFonts w:cs="Arial"/>
                          <w:i/>
                          <w:iCs/>
                          <w:color w:val="000000" w:themeColor="text1"/>
                          <w:sz w:val="18"/>
                          <w:szCs w:val="18"/>
                          <w:lang w:eastAsia="ja-JP"/>
                        </w:rPr>
                        <w:t>M</w:t>
                      </w:r>
                      <w:r w:rsidRPr="005A2DA3">
                        <w:rPr>
                          <w:rFonts w:cs="Arial"/>
                          <w:color w:val="000000" w:themeColor="text1"/>
                          <w:sz w:val="18"/>
                          <w:szCs w:val="18"/>
                          <w:lang w:eastAsia="ja-JP"/>
                        </w:rPr>
                        <w:t xml:space="preserve">) represent </w:t>
                      </w:r>
                      <w:proofErr w:type="spellStart"/>
                      <w:r w:rsidRPr="005A2DA3">
                        <w:rPr>
                          <w:rFonts w:cs="Arial"/>
                          <w:color w:val="000000" w:themeColor="text1"/>
                          <w:sz w:val="18"/>
                          <w:szCs w:val="18"/>
                          <w:lang w:eastAsia="ja-JP"/>
                        </w:rPr>
                        <w:t>Nb</w:t>
                      </w:r>
                      <w:proofErr w:type="spellEnd"/>
                      <w:r w:rsidRPr="005A2DA3">
                        <w:rPr>
                          <w:rFonts w:cs="Arial"/>
                          <w:color w:val="000000" w:themeColor="text1"/>
                          <w:sz w:val="18"/>
                          <w:szCs w:val="18"/>
                          <w:lang w:eastAsia="ja-JP"/>
                        </w:rPr>
                        <w:t xml:space="preserve"> or Mo cation. The red spheres (O) denote oxide ions.</w:t>
                      </w:r>
                      <w:r>
                        <w:rPr>
                          <w:rFonts w:cs="Arial"/>
                          <w:color w:val="000000" w:themeColor="text1"/>
                          <w:sz w:val="18"/>
                          <w:szCs w:val="18"/>
                          <w:lang w:eastAsia="ja-JP"/>
                        </w:rPr>
                        <w:t xml:space="preserve"> </w:t>
                      </w:r>
                    </w:p>
                    <w:p w14:paraId="418DDAA3" w14:textId="77777777" w:rsidR="00982388" w:rsidRPr="00D77C38" w:rsidRDefault="00982388" w:rsidP="00081248">
                      <w:pPr>
                        <w:spacing w:line="240" w:lineRule="exact"/>
                        <w:jc w:val="both"/>
                        <w:rPr>
                          <w:rFonts w:cs="Arial"/>
                          <w:color w:val="000000" w:themeColor="text1"/>
                          <w:sz w:val="18"/>
                          <w:szCs w:val="18"/>
                          <w:lang w:eastAsia="ja-JP"/>
                        </w:rPr>
                      </w:pPr>
                    </w:p>
                    <w:p w14:paraId="7A096C03" w14:textId="77777777" w:rsidR="00982388" w:rsidRPr="001921ED" w:rsidRDefault="00982388" w:rsidP="00081248">
                      <w:pPr>
                        <w:spacing w:line="240" w:lineRule="exact"/>
                        <w:rPr>
                          <w:rFonts w:cs="Arial"/>
                          <w:lang w:eastAsia="ja-JP"/>
                        </w:rPr>
                      </w:pPr>
                    </w:p>
                  </w:txbxContent>
                </v:textbox>
                <w10:wrap type="square" anchorx="margin"/>
              </v:shape>
            </w:pict>
          </mc:Fallback>
        </mc:AlternateContent>
      </w:r>
      <w:r w:rsidR="0061024F" w:rsidRPr="001E3806">
        <w:rPr>
          <w:bCs/>
          <w:lang w:val="en-US"/>
        </w:rPr>
        <w:t xml:space="preserve">  Next, we </w:t>
      </w:r>
      <w:r w:rsidR="00816EF5" w:rsidRPr="001E3806">
        <w:rPr>
          <w:bCs/>
          <w:lang w:val="en-US"/>
        </w:rPr>
        <w:t xml:space="preserve">will </w:t>
      </w:r>
      <w:r w:rsidR="0061024F" w:rsidRPr="001E3806">
        <w:rPr>
          <w:bCs/>
          <w:lang w:val="en-US"/>
        </w:rPr>
        <w:t>discuss the reason</w:t>
      </w:r>
      <w:r w:rsidR="00816EF5" w:rsidRPr="001E3806">
        <w:rPr>
          <w:bCs/>
          <w:lang w:val="en-US"/>
        </w:rPr>
        <w:t>s</w:t>
      </w:r>
      <w:r w:rsidR="0061024F" w:rsidRPr="001E3806">
        <w:rPr>
          <w:bCs/>
          <w:lang w:val="en-US"/>
        </w:rPr>
        <w:t xml:space="preserve"> for the low proton transport number and conductivity of hydrated Ba</w:t>
      </w:r>
      <w:r w:rsidR="0061024F" w:rsidRPr="001E3806">
        <w:rPr>
          <w:bCs/>
          <w:vertAlign w:val="subscript"/>
          <w:lang w:val="en-US"/>
        </w:rPr>
        <w:t>7</w:t>
      </w:r>
      <w:r w:rsidR="0061024F" w:rsidRPr="001E3806">
        <w:rPr>
          <w:bCs/>
          <w:lang w:val="en-US"/>
        </w:rPr>
        <w:t>Nb</w:t>
      </w:r>
      <w:r w:rsidR="0061024F" w:rsidRPr="001E3806">
        <w:rPr>
          <w:bCs/>
          <w:vertAlign w:val="subscript"/>
          <w:lang w:val="en-US"/>
        </w:rPr>
        <w:t>4</w:t>
      </w:r>
      <w:r w:rsidR="0061024F" w:rsidRPr="001E3806">
        <w:rPr>
          <w:bCs/>
          <w:lang w:val="en-US"/>
        </w:rPr>
        <w:t>MoO</w:t>
      </w:r>
      <w:r w:rsidR="0061024F" w:rsidRPr="001E3806">
        <w:rPr>
          <w:bCs/>
          <w:vertAlign w:val="subscript"/>
          <w:lang w:val="en-US"/>
        </w:rPr>
        <w:t>20</w:t>
      </w:r>
      <w:r w:rsidR="0061024F" w:rsidRPr="001E3806">
        <w:rPr>
          <w:bCs/>
          <w:lang w:val="en-US"/>
        </w:rPr>
        <w:t xml:space="preserve">. </w:t>
      </w:r>
      <w:r w:rsidR="00DD5A1F" w:rsidRPr="001E3806">
        <w:rPr>
          <w:bCs/>
          <w:lang w:val="en-US"/>
        </w:rPr>
        <w:t>T</w:t>
      </w:r>
      <w:r w:rsidR="0061024F" w:rsidRPr="001E3806">
        <w:rPr>
          <w:bCs/>
          <w:lang w:val="en-US"/>
        </w:rPr>
        <w:t xml:space="preserve">he </w:t>
      </w:r>
      <w:r w:rsidR="00816EF5" w:rsidRPr="001E3806">
        <w:rPr>
          <w:lang w:val="en-US"/>
        </w:rPr>
        <w:t xml:space="preserve">proton conductivity diffusion coefficient </w:t>
      </w:r>
      <w:r w:rsidR="00816EF5" w:rsidRPr="001E3806">
        <w:rPr>
          <w:i/>
          <w:iCs/>
          <w:lang w:val="en-US"/>
        </w:rPr>
        <w:t>D</w:t>
      </w:r>
      <w:r w:rsidR="00816EF5" w:rsidRPr="001E3806">
        <w:rPr>
          <w:vertAlign w:val="subscript"/>
          <w:lang w:val="en-US"/>
        </w:rPr>
        <w:t>H/</w:t>
      </w:r>
      <w:r w:rsidR="00816EF5" w:rsidRPr="001E3806">
        <w:rPr>
          <w:i/>
          <w:iCs/>
          <w:vertAlign w:val="subscript"/>
          <w:lang w:val="en-US"/>
        </w:rPr>
        <w:t>σ</w:t>
      </w:r>
      <w:r w:rsidR="00816EF5" w:rsidRPr="001E3806">
        <w:rPr>
          <w:lang w:val="en-US"/>
        </w:rPr>
        <w:t xml:space="preserve"> (e.g., 4.3×10</w:t>
      </w:r>
      <w:r w:rsidR="00816EF5" w:rsidRPr="001E3806">
        <w:rPr>
          <w:vertAlign w:val="superscript"/>
          <w:lang w:val="en-US"/>
        </w:rPr>
        <w:t>‒7</w:t>
      </w:r>
      <w:r w:rsidR="00816EF5" w:rsidRPr="001E3806">
        <w:rPr>
          <w:lang w:val="en-US"/>
        </w:rPr>
        <w:t xml:space="preserve"> cm</w:t>
      </w:r>
      <w:r w:rsidR="00816EF5" w:rsidRPr="001E3806">
        <w:rPr>
          <w:vertAlign w:val="superscript"/>
          <w:lang w:val="en-US"/>
        </w:rPr>
        <w:t>2</w:t>
      </w:r>
      <w:r w:rsidR="00816EF5" w:rsidRPr="001E3806">
        <w:rPr>
          <w:lang w:val="en-US"/>
        </w:rPr>
        <w:t xml:space="preserve">/s at </w:t>
      </w:r>
      <w:r w:rsidR="00816EF5" w:rsidRPr="001E3806">
        <w:rPr>
          <w:lang w:val="en-US"/>
        </w:rPr>
        <w:t xml:space="preserve">500 </w:t>
      </w:r>
      <w:r w:rsidR="00816EF5" w:rsidRPr="001E3806">
        <w:rPr>
          <w:vertAlign w:val="superscript"/>
          <w:lang w:val="en-US"/>
        </w:rPr>
        <w:t>o</w:t>
      </w:r>
      <w:r w:rsidR="00816EF5" w:rsidRPr="001E3806">
        <w:rPr>
          <w:lang w:val="en-US"/>
        </w:rPr>
        <w:t xml:space="preserve">C) was higher than the oxygen conductivity diffusion coefficient </w:t>
      </w:r>
      <w:r w:rsidR="00816EF5" w:rsidRPr="001E3806">
        <w:rPr>
          <w:i/>
          <w:iCs/>
          <w:lang w:val="en-US"/>
        </w:rPr>
        <w:t>D</w:t>
      </w:r>
      <w:r w:rsidR="00816EF5" w:rsidRPr="001E3806">
        <w:rPr>
          <w:vertAlign w:val="subscript"/>
          <w:lang w:val="en-US"/>
        </w:rPr>
        <w:t>wet/O</w:t>
      </w:r>
      <w:r w:rsidR="00816EF5" w:rsidRPr="001E3806">
        <w:rPr>
          <w:lang w:val="en-US"/>
        </w:rPr>
        <w:t xml:space="preserve"> (e.g., 1.8×10</w:t>
      </w:r>
      <w:r w:rsidR="00816EF5" w:rsidRPr="001E3806">
        <w:rPr>
          <w:vertAlign w:val="superscript"/>
          <w:lang w:val="en-US"/>
        </w:rPr>
        <w:t>‒9</w:t>
      </w:r>
      <w:r w:rsidR="00816EF5" w:rsidRPr="001E3806">
        <w:rPr>
          <w:lang w:val="en-US"/>
        </w:rPr>
        <w:t xml:space="preserve"> cm</w:t>
      </w:r>
      <w:r w:rsidR="00816EF5" w:rsidRPr="001E3806">
        <w:rPr>
          <w:vertAlign w:val="superscript"/>
          <w:lang w:val="en-US"/>
        </w:rPr>
        <w:t>2</w:t>
      </w:r>
      <w:r w:rsidR="00816EF5" w:rsidRPr="001E3806">
        <w:rPr>
          <w:lang w:val="en-US"/>
        </w:rPr>
        <w:t xml:space="preserve">/s at 500 </w:t>
      </w:r>
      <w:r w:rsidR="00816EF5" w:rsidRPr="001E3806">
        <w:rPr>
          <w:vertAlign w:val="superscript"/>
          <w:lang w:val="en-US"/>
        </w:rPr>
        <w:t>o</w:t>
      </w:r>
      <w:r w:rsidR="00816EF5" w:rsidRPr="001E3806">
        <w:rPr>
          <w:lang w:val="en-US"/>
        </w:rPr>
        <w:t xml:space="preserve">C), </w:t>
      </w:r>
      <w:r w:rsidR="00DD5A1F" w:rsidRPr="001E3806">
        <w:rPr>
          <w:lang w:val="en-US"/>
        </w:rPr>
        <w:t xml:space="preserve">which was also supported by the trajectories of protons (Fig. S8).  </w:t>
      </w:r>
      <w:r w:rsidR="00C04C61" w:rsidRPr="001E3806">
        <w:rPr>
          <w:lang w:val="en-US"/>
        </w:rPr>
        <w:t xml:space="preserve">However, </w:t>
      </w:r>
      <w:r w:rsidR="00816EF5" w:rsidRPr="001E3806">
        <w:rPr>
          <w:lang w:val="en-US"/>
        </w:rPr>
        <w:t>the proton carrier concent</w:t>
      </w:r>
      <w:r w:rsidR="00816EF5" w:rsidRPr="001E3806">
        <w:rPr>
          <w:rFonts w:hint="eastAsia"/>
          <w:lang w:val="en-US"/>
        </w:rPr>
        <w:t>r</w:t>
      </w:r>
      <w:r w:rsidR="00816EF5" w:rsidRPr="001E3806">
        <w:rPr>
          <w:lang w:val="en-US"/>
        </w:rPr>
        <w:t>ation (e.g., 1.7×10</w:t>
      </w:r>
      <w:r w:rsidR="00816EF5" w:rsidRPr="001E3806">
        <w:rPr>
          <w:vertAlign w:val="superscript"/>
          <w:lang w:val="en-US"/>
        </w:rPr>
        <w:t>20</w:t>
      </w:r>
      <w:r w:rsidR="00816EF5" w:rsidRPr="001E3806">
        <w:rPr>
          <w:lang w:val="en-US"/>
        </w:rPr>
        <w:t xml:space="preserve"> cm</w:t>
      </w:r>
      <w:r w:rsidR="00816EF5" w:rsidRPr="001E3806">
        <w:rPr>
          <w:vertAlign w:val="superscript"/>
          <w:lang w:val="en-US"/>
        </w:rPr>
        <w:t>‒3</w:t>
      </w:r>
      <w:r w:rsidR="00816EF5" w:rsidRPr="001E3806">
        <w:rPr>
          <w:lang w:val="en-US"/>
        </w:rPr>
        <w:t xml:space="preserve"> at 500 </w:t>
      </w:r>
      <w:r w:rsidR="00816EF5" w:rsidRPr="001E3806">
        <w:rPr>
          <w:vertAlign w:val="superscript"/>
          <w:lang w:val="en-US"/>
        </w:rPr>
        <w:t>o</w:t>
      </w:r>
      <w:r w:rsidR="00816EF5" w:rsidRPr="001E3806">
        <w:rPr>
          <w:lang w:val="en-US"/>
        </w:rPr>
        <w:t>C) was much lower than the oxide-ion carrier concentration (e.g., 4.0×10</w:t>
      </w:r>
      <w:r w:rsidR="00816EF5" w:rsidRPr="001E3806">
        <w:rPr>
          <w:vertAlign w:val="superscript"/>
          <w:lang w:val="en-US"/>
        </w:rPr>
        <w:t>22</w:t>
      </w:r>
      <w:r w:rsidR="00816EF5" w:rsidRPr="001E3806">
        <w:rPr>
          <w:lang w:val="en-US"/>
        </w:rPr>
        <w:t xml:space="preserve"> cm</w:t>
      </w:r>
      <w:r w:rsidR="00816EF5" w:rsidRPr="001E3806">
        <w:rPr>
          <w:vertAlign w:val="superscript"/>
          <w:lang w:val="en-US"/>
        </w:rPr>
        <w:t>‒3</w:t>
      </w:r>
      <w:r w:rsidR="00816EF5" w:rsidRPr="001E3806">
        <w:rPr>
          <w:lang w:val="en-US"/>
        </w:rPr>
        <w:t xml:space="preserve"> at 500 </w:t>
      </w:r>
      <w:r w:rsidR="00816EF5" w:rsidRPr="001E3806">
        <w:rPr>
          <w:vertAlign w:val="superscript"/>
          <w:lang w:val="en-US"/>
        </w:rPr>
        <w:t>o</w:t>
      </w:r>
      <w:r w:rsidR="00816EF5" w:rsidRPr="001E3806">
        <w:rPr>
          <w:lang w:val="en-US"/>
        </w:rPr>
        <w:t xml:space="preserve">C). Here the </w:t>
      </w:r>
      <w:r w:rsidR="00816EF5" w:rsidRPr="001E3806">
        <w:rPr>
          <w:i/>
          <w:iCs/>
          <w:lang w:val="en-US"/>
        </w:rPr>
        <w:t>D</w:t>
      </w:r>
      <w:r w:rsidR="00816EF5" w:rsidRPr="001E3806">
        <w:rPr>
          <w:vertAlign w:val="subscript"/>
          <w:lang w:val="en-US"/>
        </w:rPr>
        <w:t>H/</w:t>
      </w:r>
      <w:r w:rsidR="00816EF5" w:rsidRPr="001E3806">
        <w:rPr>
          <w:i/>
          <w:iCs/>
          <w:vertAlign w:val="subscript"/>
          <w:lang w:val="en-US"/>
        </w:rPr>
        <w:t>σ</w:t>
      </w:r>
      <w:r w:rsidR="00816EF5" w:rsidRPr="001E3806">
        <w:rPr>
          <w:lang w:val="en-US"/>
        </w:rPr>
        <w:t xml:space="preserve"> was estimated using the equation, </w:t>
      </w:r>
      <w:r w:rsidR="00816EF5" w:rsidRPr="001E3806">
        <w:rPr>
          <w:i/>
          <w:iCs/>
          <w:lang w:val="en-US"/>
        </w:rPr>
        <w:t>D</w:t>
      </w:r>
      <w:r w:rsidR="00816EF5" w:rsidRPr="001E3806">
        <w:rPr>
          <w:vertAlign w:val="subscript"/>
          <w:lang w:val="en-US"/>
        </w:rPr>
        <w:t>H/</w:t>
      </w:r>
      <w:r w:rsidR="00816EF5" w:rsidRPr="001E3806">
        <w:rPr>
          <w:i/>
          <w:iCs/>
          <w:vertAlign w:val="subscript"/>
          <w:lang w:val="en-US"/>
        </w:rPr>
        <w:t>σ</w:t>
      </w:r>
      <w:r w:rsidR="00816EF5" w:rsidRPr="001E3806">
        <w:rPr>
          <w:lang w:val="en-US"/>
        </w:rPr>
        <w:t xml:space="preserve"> = </w:t>
      </w:r>
      <w:proofErr w:type="spellStart"/>
      <w:r w:rsidR="00816EF5" w:rsidRPr="001E3806">
        <w:rPr>
          <w:i/>
          <w:iCs/>
          <w:lang w:val="en-US"/>
        </w:rPr>
        <w:t>kT</w:t>
      </w:r>
      <w:proofErr w:type="spellEnd"/>
      <w:r w:rsidR="00816EF5" w:rsidRPr="001E3806">
        <w:rPr>
          <w:i/>
          <w:iCs/>
          <w:lang w:val="en-US"/>
        </w:rPr>
        <w:sym w:font="Symbol" w:char="F073"/>
      </w:r>
      <w:r w:rsidR="00816EF5" w:rsidRPr="001E3806">
        <w:rPr>
          <w:vertAlign w:val="subscript"/>
          <w:lang w:val="en-US"/>
        </w:rPr>
        <w:t>wet</w:t>
      </w:r>
      <w:r w:rsidR="00816EF5" w:rsidRPr="001E3806">
        <w:rPr>
          <w:lang w:val="en-US"/>
        </w:rPr>
        <w:t xml:space="preserve"> × </w:t>
      </w:r>
      <w:proofErr w:type="spellStart"/>
      <w:r w:rsidR="00816EF5" w:rsidRPr="001E3806">
        <w:rPr>
          <w:i/>
          <w:iCs/>
          <w:lang w:val="en-US"/>
        </w:rPr>
        <w:t>t</w:t>
      </w:r>
      <w:r w:rsidR="00816EF5" w:rsidRPr="001E3806">
        <w:rPr>
          <w:vertAlign w:val="subscript"/>
          <w:lang w:val="en-US"/>
        </w:rPr>
        <w:t>H</w:t>
      </w:r>
      <w:proofErr w:type="spellEnd"/>
      <w:r w:rsidR="00816EF5" w:rsidRPr="001E3806">
        <w:rPr>
          <w:vertAlign w:val="subscript"/>
          <w:lang w:val="en-US"/>
        </w:rPr>
        <w:t>/EMF</w:t>
      </w:r>
      <w:r w:rsidR="00816EF5" w:rsidRPr="001E3806">
        <w:rPr>
          <w:lang w:val="en-US"/>
        </w:rPr>
        <w:t xml:space="preserve"> /(4</w:t>
      </w:r>
      <w:r w:rsidR="00816EF5" w:rsidRPr="001E3806">
        <w:rPr>
          <w:i/>
          <w:iCs/>
          <w:lang w:val="en-US"/>
        </w:rPr>
        <w:t>e</w:t>
      </w:r>
      <w:r w:rsidR="00816EF5" w:rsidRPr="001E3806">
        <w:rPr>
          <w:vertAlign w:val="superscript"/>
          <w:lang w:val="en-US"/>
        </w:rPr>
        <w:t>2</w:t>
      </w:r>
      <w:r w:rsidR="00816EF5" w:rsidRPr="001E3806">
        <w:rPr>
          <w:i/>
          <w:iCs/>
          <w:lang w:val="en-US"/>
        </w:rPr>
        <w:t>n</w:t>
      </w:r>
      <w:r w:rsidR="00816EF5" w:rsidRPr="001E3806">
        <w:rPr>
          <w:vertAlign w:val="subscript"/>
          <w:lang w:val="en-US"/>
        </w:rPr>
        <w:t>H</w:t>
      </w:r>
      <w:r w:rsidR="00816EF5" w:rsidRPr="001E3806">
        <w:rPr>
          <w:lang w:val="en-US"/>
        </w:rPr>
        <w:t xml:space="preserve">), where </w:t>
      </w:r>
      <w:proofErr w:type="spellStart"/>
      <w:r w:rsidR="00816EF5" w:rsidRPr="001E3806">
        <w:rPr>
          <w:i/>
          <w:iCs/>
          <w:lang w:val="en-US"/>
        </w:rPr>
        <w:t>n</w:t>
      </w:r>
      <w:r w:rsidR="00816EF5" w:rsidRPr="001E3806">
        <w:rPr>
          <w:vertAlign w:val="subscript"/>
          <w:lang w:val="en-US"/>
        </w:rPr>
        <w:t>H</w:t>
      </w:r>
      <w:proofErr w:type="spellEnd"/>
      <w:r w:rsidR="00816EF5" w:rsidRPr="001E3806">
        <w:rPr>
          <w:lang w:val="en-US"/>
        </w:rPr>
        <w:t xml:space="preserve"> is the proton concentration obtained from TG measurements. In addition, the oxide-ion conductivity is enhanced by hydration (Fig. 5). The low proton concentration compared with oxide-ion concentration and enhanced oxide-ion conductiv</w:t>
      </w:r>
      <w:r w:rsidR="00816EF5" w:rsidRPr="001E3806">
        <w:rPr>
          <w:rFonts w:hint="eastAsia"/>
          <w:lang w:val="en-US"/>
        </w:rPr>
        <w:t>it</w:t>
      </w:r>
      <w:r w:rsidR="00816EF5" w:rsidRPr="001E3806">
        <w:rPr>
          <w:lang w:val="en-US"/>
        </w:rPr>
        <w:t>y by hydration are the reasons for the low proton transport number and conductivity.</w:t>
      </w:r>
      <w:r w:rsidR="00816EF5" w:rsidRPr="001E3806">
        <w:rPr>
          <w:rFonts w:ascii="Times New Roman"/>
          <w:noProof/>
          <w:sz w:val="22"/>
          <w:lang w:val="en-US"/>
        </w:rPr>
        <w:t xml:space="preserve"> </w:t>
      </w:r>
      <w:r w:rsidR="00A74C66" w:rsidRPr="001E3806">
        <w:rPr>
          <w:rFonts w:ascii="Times New Roman"/>
          <w:noProof/>
          <w:sz w:val="22"/>
          <w:lang w:val="en-US"/>
        </w:rPr>
        <w:t xml:space="preserve"> </w:t>
      </w:r>
    </w:p>
    <w:p w14:paraId="7F948B1F" w14:textId="5D88F5C9" w:rsidR="00E61949" w:rsidRPr="001E3806" w:rsidRDefault="00180ABE" w:rsidP="00AF4737">
      <w:pPr>
        <w:pStyle w:val="RSCB04AHeadingSection"/>
      </w:pPr>
      <w:r w:rsidRPr="001E3806">
        <w:t>Conclusions</w:t>
      </w:r>
      <w:r w:rsidR="00625BC6" w:rsidRPr="001E3806">
        <w:t xml:space="preserve"> and </w:t>
      </w:r>
      <w:r w:rsidR="007E3151" w:rsidRPr="001E3806">
        <w:t>D</w:t>
      </w:r>
      <w:r w:rsidR="00625BC6" w:rsidRPr="001E3806">
        <w:t>iscussion</w:t>
      </w:r>
    </w:p>
    <w:p w14:paraId="3BCE71A6" w14:textId="075A507E" w:rsidR="004A775E" w:rsidRPr="001E3806" w:rsidRDefault="004A775E" w:rsidP="007237F9">
      <w:pPr>
        <w:pStyle w:val="RSCB02ArticleText"/>
        <w:spacing w:line="240" w:lineRule="auto"/>
        <w:rPr>
          <w:lang w:val="en-US"/>
        </w:rPr>
      </w:pPr>
      <w:r w:rsidRPr="001E3806">
        <w:rPr>
          <w:lang w:val="en-US"/>
        </w:rPr>
        <w:t xml:space="preserve">Understanding oxide-ion and proton conduction in </w:t>
      </w:r>
      <w:r w:rsidR="007D2035" w:rsidRPr="001E3806">
        <w:rPr>
          <w:rFonts w:hint="eastAsia"/>
          <w:lang w:val="en-US" w:eastAsia="ja-JP"/>
        </w:rPr>
        <w:t xml:space="preserve">ceramic </w:t>
      </w:r>
      <w:r w:rsidRPr="001E3806">
        <w:rPr>
          <w:lang w:val="en-US"/>
        </w:rPr>
        <w:t xml:space="preserve">oxide-ion, proton, and dual-ion conductors is vital for clean energy. </w:t>
      </w:r>
      <w:r w:rsidR="00816EF5" w:rsidRPr="001E3806">
        <w:rPr>
          <w:lang w:val="en-US"/>
        </w:rPr>
        <w:t>There are two main types of oxide-ion diffusion mechanism: the oxygen vacancy mechanism and the interstitialcy diffusion mechanism. Oxide-ion conduction by the oxygen vacancy mechanism is generally suppressed by hydration due to the decreased number of oxygen vacancies. However, the effects of hydration on the oxide-ion conductivity and diffusivity were not known for the interstitialcy diffusion mechanism. This study has demonstrated that hydration enhances both oxygen conductivity and diffusivity in the dual-ion conductor Ba</w:t>
      </w:r>
      <w:r w:rsidR="00816EF5" w:rsidRPr="001E3806">
        <w:rPr>
          <w:vertAlign w:val="subscript"/>
          <w:lang w:val="en-US"/>
        </w:rPr>
        <w:t>7</w:t>
      </w:r>
      <w:r w:rsidR="00816EF5" w:rsidRPr="001E3806">
        <w:rPr>
          <w:lang w:val="en-US"/>
        </w:rPr>
        <w:t>Nb</w:t>
      </w:r>
      <w:r w:rsidR="00816EF5" w:rsidRPr="001E3806">
        <w:rPr>
          <w:vertAlign w:val="subscript"/>
          <w:lang w:val="en-US"/>
        </w:rPr>
        <w:t>4</w:t>
      </w:r>
      <w:r w:rsidR="00816EF5" w:rsidRPr="001E3806">
        <w:rPr>
          <w:lang w:val="en-US"/>
        </w:rPr>
        <w:t>MoO</w:t>
      </w:r>
      <w:r w:rsidR="00816EF5" w:rsidRPr="001E3806">
        <w:rPr>
          <w:vertAlign w:val="subscript"/>
          <w:lang w:val="en-US"/>
        </w:rPr>
        <w:t>20</w:t>
      </w:r>
      <w:r w:rsidR="00816EF5" w:rsidRPr="001E3806">
        <w:rPr>
          <w:lang w:val="en-US"/>
        </w:rPr>
        <w:t xml:space="preserve">, which exhibits interstitialcy diffusion of oxide ions. This was demonstrated using the EMF, </w:t>
      </w:r>
      <w:r w:rsidR="00625BC6" w:rsidRPr="001E3806">
        <w:rPr>
          <w:lang w:val="en-US"/>
        </w:rPr>
        <w:t xml:space="preserve">total electrical </w:t>
      </w:r>
      <w:r w:rsidR="00816EF5" w:rsidRPr="001E3806">
        <w:rPr>
          <w:lang w:val="en-US"/>
        </w:rPr>
        <w:t xml:space="preserve">conductivity, and IEDP measurements, as well as the M3GNet-MD simulations. </w:t>
      </w:r>
      <w:r w:rsidRPr="001E3806">
        <w:rPr>
          <w:lang w:val="en-US"/>
        </w:rPr>
        <w:t>The oxide-ion conductivity in wet atmospheres (</w:t>
      </w:r>
      <w:proofErr w:type="spellStart"/>
      <w:r w:rsidRPr="001E3806">
        <w:rPr>
          <w:i/>
          <w:iCs/>
          <w:lang w:val="en-US"/>
        </w:rPr>
        <w:t>σ</w:t>
      </w:r>
      <w:r w:rsidRPr="001E3806">
        <w:rPr>
          <w:vertAlign w:val="subscript"/>
          <w:lang w:val="en-US"/>
        </w:rPr>
        <w:t>wet</w:t>
      </w:r>
      <w:proofErr w:type="spellEnd"/>
      <w:r w:rsidRPr="001E3806">
        <w:rPr>
          <w:vertAlign w:val="subscript"/>
          <w:lang w:val="en-US"/>
        </w:rPr>
        <w:t>/O/EMF</w:t>
      </w:r>
      <w:r w:rsidRPr="001E3806">
        <w:rPr>
          <w:lang w:val="en-US"/>
        </w:rPr>
        <w:t xml:space="preserve"> = 5.</w:t>
      </w:r>
      <w:r w:rsidR="00B84411" w:rsidRPr="001E3806">
        <w:rPr>
          <w:lang w:val="en-US"/>
        </w:rPr>
        <w:t>3</w:t>
      </w:r>
      <w:r w:rsidRPr="001E3806">
        <w:rPr>
          <w:lang w:val="en-US"/>
        </w:rPr>
        <w:t>×10</w:t>
      </w:r>
      <w:r w:rsidRPr="001E3806">
        <w:rPr>
          <w:vertAlign w:val="superscript"/>
          <w:lang w:val="en-US"/>
        </w:rPr>
        <w:t>‒4</w:t>
      </w:r>
      <w:r w:rsidRPr="001E3806">
        <w:rPr>
          <w:lang w:val="en-US"/>
        </w:rPr>
        <w:t xml:space="preserve"> S cm</w:t>
      </w:r>
      <w:r w:rsidRPr="001E3806">
        <w:rPr>
          <w:vertAlign w:val="superscript"/>
          <w:lang w:val="en-US"/>
        </w:rPr>
        <w:t>‒1</w:t>
      </w:r>
      <w:r w:rsidRPr="001E3806">
        <w:rPr>
          <w:lang w:val="en-US"/>
        </w:rPr>
        <w:t xml:space="preserve"> at 500 </w:t>
      </w:r>
      <w:r w:rsidRPr="001E3806">
        <w:rPr>
          <w:vertAlign w:val="superscript"/>
          <w:lang w:val="en-US"/>
        </w:rPr>
        <w:t>o</w:t>
      </w:r>
      <w:r w:rsidRPr="001E3806">
        <w:rPr>
          <w:lang w:val="en-US"/>
        </w:rPr>
        <w:t>C;</w:t>
      </w:r>
      <w:r w:rsidRPr="001E3806">
        <w:rPr>
          <w:i/>
          <w:lang w:val="en-US"/>
        </w:rPr>
        <w:t xml:space="preserve"> </w:t>
      </w:r>
      <w:r w:rsidRPr="001E3806">
        <w:rPr>
          <w:lang w:val="en-US"/>
        </w:rPr>
        <w:t>1.6×10</w:t>
      </w:r>
      <w:r w:rsidRPr="001E3806">
        <w:rPr>
          <w:vertAlign w:val="superscript"/>
          <w:lang w:val="en-US"/>
        </w:rPr>
        <w:t>‒3</w:t>
      </w:r>
      <w:r w:rsidRPr="001E3806">
        <w:rPr>
          <w:lang w:val="en-US"/>
        </w:rPr>
        <w:t xml:space="preserve"> S cm</w:t>
      </w:r>
      <w:r w:rsidRPr="001E3806">
        <w:rPr>
          <w:vertAlign w:val="superscript"/>
          <w:lang w:val="en-US"/>
        </w:rPr>
        <w:t>‒1</w:t>
      </w:r>
      <w:r w:rsidRPr="001E3806">
        <w:rPr>
          <w:lang w:val="en-US"/>
        </w:rPr>
        <w:t xml:space="preserve"> at 600 </w:t>
      </w:r>
      <w:r w:rsidRPr="001E3806">
        <w:rPr>
          <w:vertAlign w:val="superscript"/>
          <w:lang w:val="en-US"/>
        </w:rPr>
        <w:t>o</w:t>
      </w:r>
      <w:r w:rsidRPr="001E3806">
        <w:rPr>
          <w:lang w:val="en-US"/>
        </w:rPr>
        <w:t>C) is higher than that in dry conditions (</w:t>
      </w:r>
      <w:r w:rsidRPr="001E3806">
        <w:rPr>
          <w:i/>
          <w:iCs/>
          <w:lang w:val="en-US"/>
        </w:rPr>
        <w:sym w:font="Symbol" w:char="F073"/>
      </w:r>
      <w:r w:rsidRPr="001E3806">
        <w:rPr>
          <w:vertAlign w:val="subscript"/>
          <w:lang w:val="en-US"/>
        </w:rPr>
        <w:t>dry/O/EMF</w:t>
      </w:r>
      <w:r w:rsidRPr="001E3806" w:rsidDel="00941BAC">
        <w:rPr>
          <w:i/>
          <w:iCs/>
          <w:lang w:val="en-US"/>
        </w:rPr>
        <w:t xml:space="preserve"> </w:t>
      </w:r>
      <w:r w:rsidRPr="001E3806">
        <w:rPr>
          <w:lang w:val="en-US"/>
        </w:rPr>
        <w:t>= 2.5×10</w:t>
      </w:r>
      <w:r w:rsidRPr="001E3806">
        <w:rPr>
          <w:vertAlign w:val="superscript"/>
          <w:lang w:val="en-US"/>
        </w:rPr>
        <w:t>‒4</w:t>
      </w:r>
      <w:r w:rsidRPr="001E3806">
        <w:rPr>
          <w:lang w:val="en-US"/>
        </w:rPr>
        <w:t xml:space="preserve"> S cm</w:t>
      </w:r>
      <w:r w:rsidRPr="001E3806">
        <w:rPr>
          <w:vertAlign w:val="superscript"/>
          <w:lang w:val="en-US"/>
        </w:rPr>
        <w:t>‒1</w:t>
      </w:r>
      <w:r w:rsidRPr="001E3806">
        <w:rPr>
          <w:lang w:val="en-US"/>
        </w:rPr>
        <w:t xml:space="preserve"> at 500 </w:t>
      </w:r>
      <w:r w:rsidRPr="001E3806">
        <w:rPr>
          <w:vertAlign w:val="superscript"/>
          <w:lang w:val="en-US"/>
        </w:rPr>
        <w:t>o</w:t>
      </w:r>
      <w:r w:rsidRPr="001E3806">
        <w:rPr>
          <w:lang w:val="en-US"/>
        </w:rPr>
        <w:t>C;</w:t>
      </w:r>
      <w:r w:rsidRPr="001E3806">
        <w:rPr>
          <w:i/>
          <w:lang w:val="en-US"/>
        </w:rPr>
        <w:t xml:space="preserve"> </w:t>
      </w:r>
      <w:r w:rsidRPr="001E3806">
        <w:rPr>
          <w:lang w:val="en-US"/>
        </w:rPr>
        <w:t>6.4×10</w:t>
      </w:r>
      <w:r w:rsidRPr="001E3806">
        <w:rPr>
          <w:vertAlign w:val="superscript"/>
          <w:lang w:val="en-US"/>
        </w:rPr>
        <w:t>‒4</w:t>
      </w:r>
      <w:r w:rsidRPr="001E3806">
        <w:rPr>
          <w:lang w:val="en-US"/>
        </w:rPr>
        <w:t xml:space="preserve"> S cm</w:t>
      </w:r>
      <w:r w:rsidRPr="001E3806">
        <w:rPr>
          <w:vertAlign w:val="superscript"/>
          <w:lang w:val="en-US"/>
        </w:rPr>
        <w:t>‒1</w:t>
      </w:r>
      <w:r w:rsidRPr="001E3806">
        <w:rPr>
          <w:lang w:val="en-US"/>
        </w:rPr>
        <w:t xml:space="preserve"> at 600 </w:t>
      </w:r>
      <w:r w:rsidRPr="001E3806">
        <w:rPr>
          <w:vertAlign w:val="superscript"/>
          <w:lang w:val="en-US"/>
        </w:rPr>
        <w:t>o</w:t>
      </w:r>
      <w:r w:rsidRPr="001E3806">
        <w:rPr>
          <w:lang w:val="en-US"/>
        </w:rPr>
        <w:t>C)</w:t>
      </w:r>
      <w:r w:rsidRPr="001E3806">
        <w:rPr>
          <w:bCs/>
          <w:lang w:val="en-US"/>
        </w:rPr>
        <w:t xml:space="preserve"> (Fig. 5)</w:t>
      </w:r>
      <w:r w:rsidRPr="001E3806">
        <w:rPr>
          <w:lang w:val="en-US"/>
        </w:rPr>
        <w:t>. The enhancement of oxide-ion conductivity was found to be attributed to that of oxygen diffusion coefficient by hydration. The oxygen diffusion coefficient is higher in wet atmospheres than in dry conditions (</w:t>
      </w:r>
      <w:r w:rsidRPr="001E3806">
        <w:rPr>
          <w:i/>
          <w:iCs/>
          <w:lang w:val="en-US"/>
        </w:rPr>
        <w:t>D</w:t>
      </w:r>
      <w:r w:rsidRPr="001E3806">
        <w:rPr>
          <w:vertAlign w:val="subscript"/>
          <w:lang w:val="en-US"/>
        </w:rPr>
        <w:t>wet/O/</w:t>
      </w:r>
      <w:r w:rsidRPr="001E3806">
        <w:rPr>
          <w:i/>
          <w:iCs/>
          <w:vertAlign w:val="subscript"/>
          <w:lang w:val="en-US"/>
        </w:rPr>
        <w:t>σ</w:t>
      </w:r>
      <w:r w:rsidRPr="001E3806">
        <w:rPr>
          <w:lang w:val="en-US"/>
        </w:rPr>
        <w:t xml:space="preserve"> = 2.5</w:t>
      </w:r>
      <w:r w:rsidRPr="001E3806">
        <w:rPr>
          <w:i/>
          <w:iCs/>
          <w:lang w:val="en-US"/>
        </w:rPr>
        <w:t>D</w:t>
      </w:r>
      <w:r w:rsidRPr="001E3806">
        <w:rPr>
          <w:vertAlign w:val="subscript"/>
          <w:lang w:val="en-US"/>
        </w:rPr>
        <w:t>dry/O/</w:t>
      </w:r>
      <w:r w:rsidRPr="001E3806">
        <w:rPr>
          <w:i/>
          <w:iCs/>
          <w:vertAlign w:val="subscript"/>
          <w:lang w:val="en-US"/>
        </w:rPr>
        <w:t>σ</w:t>
      </w:r>
      <w:r w:rsidRPr="001E3806">
        <w:rPr>
          <w:lang w:val="en-US"/>
        </w:rPr>
        <w:t xml:space="preserve"> at 600 </w:t>
      </w:r>
      <w:r w:rsidRPr="001E3806">
        <w:rPr>
          <w:vertAlign w:val="superscript"/>
          <w:lang w:val="en-US"/>
        </w:rPr>
        <w:t>o</w:t>
      </w:r>
      <w:r w:rsidRPr="001E3806">
        <w:rPr>
          <w:lang w:val="en-US"/>
        </w:rPr>
        <w:t xml:space="preserve">C, </w:t>
      </w:r>
      <w:r w:rsidRPr="001E3806">
        <w:rPr>
          <w:i/>
          <w:iCs/>
          <w:lang w:val="en-US"/>
        </w:rPr>
        <w:t>D</w:t>
      </w:r>
      <w:r w:rsidRPr="001E3806">
        <w:rPr>
          <w:vertAlign w:val="subscript"/>
          <w:lang w:val="en-US"/>
        </w:rPr>
        <w:t>wet/O/</w:t>
      </w:r>
      <w:r w:rsidRPr="001E3806">
        <w:rPr>
          <w:i/>
          <w:iCs/>
          <w:vertAlign w:val="subscript"/>
          <w:lang w:val="en-US"/>
        </w:rPr>
        <w:t>σ</w:t>
      </w:r>
      <w:r w:rsidRPr="001E3806">
        <w:rPr>
          <w:lang w:val="en-US"/>
        </w:rPr>
        <w:t xml:space="preserve"> = 2.8</w:t>
      </w:r>
      <w:r w:rsidRPr="001E3806">
        <w:rPr>
          <w:i/>
          <w:iCs/>
          <w:lang w:val="en-US"/>
        </w:rPr>
        <w:t>D</w:t>
      </w:r>
      <w:r w:rsidRPr="001E3806">
        <w:rPr>
          <w:vertAlign w:val="subscript"/>
          <w:lang w:val="en-US"/>
        </w:rPr>
        <w:t>dry/O/</w:t>
      </w:r>
      <w:r w:rsidRPr="001E3806">
        <w:rPr>
          <w:i/>
          <w:iCs/>
          <w:vertAlign w:val="subscript"/>
          <w:lang w:val="en-US"/>
        </w:rPr>
        <w:t>σ</w:t>
      </w:r>
      <w:r w:rsidRPr="001E3806">
        <w:rPr>
          <w:lang w:val="en-US"/>
        </w:rPr>
        <w:t xml:space="preserve"> at 500 </w:t>
      </w:r>
      <w:r w:rsidRPr="001E3806">
        <w:rPr>
          <w:vertAlign w:val="superscript"/>
          <w:lang w:val="en-US"/>
        </w:rPr>
        <w:t>o</w:t>
      </w:r>
      <w:r w:rsidRPr="001E3806">
        <w:rPr>
          <w:lang w:val="en-US"/>
        </w:rPr>
        <w:t xml:space="preserve">C, and </w:t>
      </w:r>
      <m:oMath>
        <m:sSubSup>
          <m:sSubSupPr>
            <m:ctrlPr>
              <w:rPr>
                <w:rFonts w:ascii="Cambria Math" w:hAnsi="Cambria Math"/>
                <w:i/>
                <w:lang w:val="en-US"/>
              </w:rPr>
            </m:ctrlPr>
          </m:sSubSupPr>
          <m:e>
            <m:r>
              <w:rPr>
                <w:rFonts w:ascii="Cambria Math" w:hAnsi="Cambria Math"/>
                <w:lang w:val="en-US"/>
              </w:rPr>
              <m:t>D</m:t>
            </m:r>
          </m:e>
          <m:sub>
            <m:r>
              <m:rPr>
                <m:sty m:val="p"/>
              </m:rPr>
              <w:rPr>
                <w:rFonts w:ascii="Cambria Math" w:hAnsi="Cambria Math"/>
                <w:vertAlign w:val="subscript"/>
                <w:lang w:val="en-US"/>
              </w:rPr>
              <m:t>wet/O</m:t>
            </m:r>
          </m:sub>
          <m:sup>
            <m:r>
              <m:rPr>
                <m:sty m:val="p"/>
              </m:rPr>
              <w:rPr>
                <w:rFonts w:ascii="Cambria Math" w:hAnsi="Cambria Math"/>
                <w:lang w:val="en-US"/>
              </w:rPr>
              <m:t>*</m:t>
            </m:r>
          </m:sup>
        </m:sSubSup>
      </m:oMath>
      <w:r w:rsidRPr="001E3806">
        <w:rPr>
          <w:lang w:val="en-US"/>
        </w:rPr>
        <w:t xml:space="preserve"> = </w:t>
      </w:r>
      <w:r w:rsidR="00B84411" w:rsidRPr="001E3806">
        <w:rPr>
          <w:lang w:val="en-US"/>
        </w:rPr>
        <w:t>4.6</w:t>
      </w:r>
      <m:oMath>
        <m:sSubSup>
          <m:sSubSupPr>
            <m:ctrlPr>
              <w:rPr>
                <w:rFonts w:ascii="Cambria Math" w:hAnsi="Cambria Math"/>
                <w:i/>
                <w:lang w:val="en-US"/>
              </w:rPr>
            </m:ctrlPr>
          </m:sSubSupPr>
          <m:e>
            <m:r>
              <w:rPr>
                <w:rFonts w:ascii="Cambria Math" w:hAnsi="Cambria Math"/>
                <w:lang w:val="en-US"/>
              </w:rPr>
              <m:t>D</m:t>
            </m:r>
          </m:e>
          <m:sub>
            <m:r>
              <m:rPr>
                <m:sty m:val="p"/>
              </m:rPr>
              <w:rPr>
                <w:rFonts w:ascii="Cambria Math" w:hAnsi="Cambria Math"/>
                <w:vertAlign w:val="subscript"/>
                <w:lang w:val="en-US"/>
              </w:rPr>
              <m:t>dry/O</m:t>
            </m:r>
          </m:sub>
          <m:sup>
            <m:r>
              <m:rPr>
                <m:sty m:val="p"/>
              </m:rPr>
              <w:rPr>
                <w:rFonts w:ascii="Cambria Math" w:hAnsi="Cambria Math"/>
                <w:lang w:val="en-US"/>
              </w:rPr>
              <m:t>*</m:t>
            </m:r>
          </m:sup>
        </m:sSubSup>
      </m:oMath>
      <w:r w:rsidRPr="001E3806">
        <w:rPr>
          <w:lang w:val="en-US"/>
        </w:rPr>
        <w:t xml:space="preserve"> at 500 </w:t>
      </w:r>
      <w:r w:rsidRPr="001E3806">
        <w:rPr>
          <w:vertAlign w:val="superscript"/>
          <w:lang w:val="en-US"/>
        </w:rPr>
        <w:t>o</w:t>
      </w:r>
      <w:r w:rsidRPr="001E3806">
        <w:rPr>
          <w:lang w:val="en-US"/>
        </w:rPr>
        <w:t xml:space="preserve">C, see Fig. 6b). </w:t>
      </w:r>
      <w:r w:rsidR="00816EF5" w:rsidRPr="001E3806">
        <w:rPr>
          <w:lang w:val="en-US"/>
        </w:rPr>
        <w:t>The p</w:t>
      </w:r>
      <w:r w:rsidRPr="001E3806">
        <w:rPr>
          <w:lang w:val="en-US"/>
        </w:rPr>
        <w:t xml:space="preserve">resent M3GNet-MD simulations using the NNP have shown that enhanced oxygen diffusivity by hydration is attributable to an increased number of </w:t>
      </w:r>
      <w:r w:rsidRPr="001E3806">
        <w:rPr>
          <w:i/>
          <w:lang w:val="en-US"/>
        </w:rPr>
        <w:t>M</w:t>
      </w:r>
      <w:r w:rsidRPr="001E3806">
        <w:rPr>
          <w:vertAlign w:val="subscript"/>
          <w:lang w:val="en-US"/>
        </w:rPr>
        <w:t>2</w:t>
      </w:r>
      <w:r w:rsidRPr="001E3806">
        <w:rPr>
          <w:lang w:val="en-US"/>
        </w:rPr>
        <w:t>O</w:t>
      </w:r>
      <w:r w:rsidRPr="001E3806">
        <w:rPr>
          <w:vertAlign w:val="subscript"/>
          <w:lang w:val="en-US"/>
        </w:rPr>
        <w:t>9</w:t>
      </w:r>
      <w:r w:rsidRPr="001E3806">
        <w:rPr>
          <w:lang w:val="en-US"/>
        </w:rPr>
        <w:t xml:space="preserve"> dimer (</w:t>
      </w:r>
      <w:r w:rsidRPr="001E3806">
        <w:rPr>
          <w:i/>
          <w:lang w:val="en-US"/>
        </w:rPr>
        <w:t>M</w:t>
      </w:r>
      <w:r w:rsidRPr="001E3806">
        <w:rPr>
          <w:lang w:val="en-US"/>
        </w:rPr>
        <w:t xml:space="preserve"> = Nb, Mo). This is due to an increased number of excess interstitial oxygen atoms by hydration.</w:t>
      </w:r>
      <w:r w:rsidR="00C2292F" w:rsidRPr="001E3806">
        <w:rPr>
          <w:lang w:val="en-US"/>
        </w:rPr>
        <w:t xml:space="preserve"> </w:t>
      </w:r>
      <w:bookmarkStart w:id="26" w:name="_Hlk203227539"/>
      <w:r w:rsidR="00C2292F" w:rsidRPr="001E3806">
        <w:rPr>
          <w:lang w:val="en-US"/>
        </w:rPr>
        <w:t xml:space="preserve">The present oxide-ion conductivity and conductivity-diffusion coefficient were estimated </w:t>
      </w:r>
      <w:r w:rsidR="00855A2B" w:rsidRPr="001E3806">
        <w:rPr>
          <w:lang w:val="en-US"/>
        </w:rPr>
        <w:t>based on</w:t>
      </w:r>
      <w:r w:rsidR="00C2292F" w:rsidRPr="001E3806">
        <w:rPr>
          <w:lang w:val="en-US"/>
        </w:rPr>
        <w:t xml:space="preserve"> the total conductivity data, </w:t>
      </w:r>
      <w:r w:rsidR="009075B5" w:rsidRPr="001E3806">
        <w:rPr>
          <w:lang w:val="en-US"/>
        </w:rPr>
        <w:t>as</w:t>
      </w:r>
      <w:r w:rsidR="00C2292F" w:rsidRPr="001E3806">
        <w:rPr>
          <w:lang w:val="en-US"/>
        </w:rPr>
        <w:t xml:space="preserve"> the tracer diffusion coefficient and transport number were obtained using polycrystalline pellets</w:t>
      </w:r>
      <w:r w:rsidR="009075B5" w:rsidRPr="001E3806">
        <w:rPr>
          <w:lang w:val="en-US"/>
        </w:rPr>
        <w:t>, and therefore</w:t>
      </w:r>
      <w:r w:rsidR="00C2292F" w:rsidRPr="001E3806">
        <w:rPr>
          <w:lang w:val="en-US"/>
        </w:rPr>
        <w:t xml:space="preserve"> includ</w:t>
      </w:r>
      <w:r w:rsidR="009075B5" w:rsidRPr="001E3806">
        <w:rPr>
          <w:lang w:val="en-US"/>
        </w:rPr>
        <w:t>e the effects of</w:t>
      </w:r>
      <w:r w:rsidR="00C2292F" w:rsidRPr="001E3806">
        <w:rPr>
          <w:lang w:val="en-US"/>
        </w:rPr>
        <w:t xml:space="preserve"> grain boundaries.</w:t>
      </w:r>
      <w:r w:rsidR="003E5FF9" w:rsidRPr="001E3806">
        <w:rPr>
          <w:lang w:val="en-US"/>
        </w:rPr>
        <w:t xml:space="preserve"> </w:t>
      </w:r>
      <w:r w:rsidR="002F6C41" w:rsidRPr="001E3806">
        <w:rPr>
          <w:lang w:val="en-US"/>
        </w:rPr>
        <w:t>The</w:t>
      </w:r>
      <w:r w:rsidR="009075B5" w:rsidRPr="001E3806">
        <w:rPr>
          <w:lang w:val="en-US"/>
        </w:rPr>
        <w:t>se values</w:t>
      </w:r>
      <w:r w:rsidR="002F6C41" w:rsidRPr="001E3806">
        <w:rPr>
          <w:lang w:val="en-US"/>
        </w:rPr>
        <w:t xml:space="preserve"> were also estimated </w:t>
      </w:r>
      <w:r w:rsidR="009075B5" w:rsidRPr="001E3806">
        <w:rPr>
          <w:lang w:val="en-US"/>
        </w:rPr>
        <w:t>based on</w:t>
      </w:r>
      <w:r w:rsidR="002F6C41" w:rsidRPr="001E3806">
        <w:rPr>
          <w:lang w:val="en-US"/>
        </w:rPr>
        <w:t xml:space="preserve"> the</w:t>
      </w:r>
      <w:r w:rsidR="00C2292F" w:rsidRPr="001E3806">
        <w:rPr>
          <w:lang w:val="en-US"/>
        </w:rPr>
        <w:t xml:space="preserve"> </w:t>
      </w:r>
      <w:r w:rsidR="002F6C41" w:rsidRPr="001E3806">
        <w:rPr>
          <w:lang w:val="en-US"/>
        </w:rPr>
        <w:t xml:space="preserve">bulk conductivities under dry and wet conditions, </w:t>
      </w:r>
      <w:r w:rsidR="009075B5" w:rsidRPr="001E3806">
        <w:rPr>
          <w:lang w:val="en-US"/>
        </w:rPr>
        <w:t>yielding</w:t>
      </w:r>
      <w:r w:rsidR="002F6C41" w:rsidRPr="001E3806">
        <w:rPr>
          <w:lang w:val="en-US"/>
        </w:rPr>
        <w:t xml:space="preserve"> </w:t>
      </w:r>
      <w:r w:rsidR="009075B5" w:rsidRPr="001E3806">
        <w:rPr>
          <w:lang w:val="en-US"/>
        </w:rPr>
        <w:t>consistent</w:t>
      </w:r>
      <w:r w:rsidR="002F6C41" w:rsidRPr="001E3806">
        <w:rPr>
          <w:lang w:val="en-US"/>
        </w:rPr>
        <w:t xml:space="preserve"> conclusions</w:t>
      </w:r>
      <w:r w:rsidR="009075B5" w:rsidRPr="001E3806">
        <w:rPr>
          <w:lang w:val="en-US"/>
        </w:rPr>
        <w:t xml:space="preserve">. </w:t>
      </w:r>
      <w:r w:rsidR="004B62FD" w:rsidRPr="001E3806">
        <w:rPr>
          <w:lang w:val="en-US"/>
        </w:rPr>
        <w:t>The results show</w:t>
      </w:r>
      <w:r w:rsidR="007A51DA" w:rsidRPr="001E3806">
        <w:rPr>
          <w:lang w:val="en-US"/>
        </w:rPr>
        <w:t>ed</w:t>
      </w:r>
      <w:r w:rsidR="004B62FD" w:rsidRPr="001E3806">
        <w:rPr>
          <w:lang w:val="en-US"/>
        </w:rPr>
        <w:t xml:space="preserve"> both the enhancements of bulk oxide-ion conductivity and bulk oxygen diffusivity by hydration (Fig. S9</w:t>
      </w:r>
      <w:proofErr w:type="gramStart"/>
      <w:r w:rsidR="004B62FD" w:rsidRPr="001E3806">
        <w:rPr>
          <w:lang w:val="en-US"/>
        </w:rPr>
        <w:t>b,c</w:t>
      </w:r>
      <w:proofErr w:type="gramEnd"/>
      <w:r w:rsidR="004B62FD" w:rsidRPr="001E3806">
        <w:rPr>
          <w:lang w:val="en-US"/>
        </w:rPr>
        <w:t xml:space="preserve">). </w:t>
      </w:r>
      <w:r w:rsidR="009075B5" w:rsidRPr="001E3806">
        <w:rPr>
          <w:lang w:val="en-US"/>
        </w:rPr>
        <w:t>For</w:t>
      </w:r>
      <w:r w:rsidR="002F6C41" w:rsidRPr="001E3806">
        <w:rPr>
          <w:lang w:val="en-US"/>
        </w:rPr>
        <w:t xml:space="preserve"> details</w:t>
      </w:r>
      <w:r w:rsidR="009075B5" w:rsidRPr="001E3806">
        <w:rPr>
          <w:lang w:val="en-US"/>
        </w:rPr>
        <w:t>,</w:t>
      </w:r>
      <w:r w:rsidR="002F6C41" w:rsidRPr="001E3806">
        <w:rPr>
          <w:lang w:val="en-US"/>
        </w:rPr>
        <w:t xml:space="preserve"> </w:t>
      </w:r>
      <w:r w:rsidR="009075B5" w:rsidRPr="001E3806">
        <w:rPr>
          <w:lang w:val="en-US"/>
        </w:rPr>
        <w:t>see</w:t>
      </w:r>
      <w:r w:rsidR="002F6C41" w:rsidRPr="001E3806">
        <w:rPr>
          <w:lang w:val="en-US"/>
        </w:rPr>
        <w:t xml:space="preserve"> the Supplementary </w:t>
      </w:r>
      <w:r w:rsidR="009075B5" w:rsidRPr="001E3806">
        <w:rPr>
          <w:lang w:val="en-US"/>
        </w:rPr>
        <w:t>N</w:t>
      </w:r>
      <w:r w:rsidR="002F6C41" w:rsidRPr="001E3806">
        <w:rPr>
          <w:lang w:val="en-US"/>
        </w:rPr>
        <w:t>ote and Fig. S</w:t>
      </w:r>
      <w:r w:rsidR="00C04C61" w:rsidRPr="001E3806">
        <w:rPr>
          <w:lang w:val="en-US"/>
        </w:rPr>
        <w:t>9</w:t>
      </w:r>
      <w:r w:rsidR="002F6C41" w:rsidRPr="001E3806">
        <w:rPr>
          <w:lang w:val="en-US"/>
        </w:rPr>
        <w:t xml:space="preserve"> in </w:t>
      </w:r>
      <w:r w:rsidR="009075B5" w:rsidRPr="001E3806">
        <w:rPr>
          <w:lang w:val="en-US"/>
        </w:rPr>
        <w:t xml:space="preserve">the </w:t>
      </w:r>
      <w:r w:rsidR="002F6C41" w:rsidRPr="001E3806">
        <w:rPr>
          <w:lang w:val="en-US"/>
        </w:rPr>
        <w:t>ESI.</w:t>
      </w:r>
      <w:bookmarkEnd w:id="26"/>
    </w:p>
    <w:p w14:paraId="00AA11E3" w14:textId="25AB6A04" w:rsidR="00FA2DA2" w:rsidRPr="001E3806" w:rsidRDefault="00CC7019" w:rsidP="004A775E">
      <w:pPr>
        <w:pStyle w:val="RSCB02ArticleText"/>
        <w:ind w:firstLineChars="100" w:firstLine="194"/>
        <w:rPr>
          <w:lang w:val="en-US" w:eastAsia="ja-JP"/>
        </w:rPr>
      </w:pPr>
      <w:r w:rsidRPr="001E3806">
        <w:rPr>
          <w:lang w:val="en-US"/>
        </w:rPr>
        <w:t>This work has also demonstrated that Ba</w:t>
      </w:r>
      <w:r w:rsidRPr="001E3806">
        <w:rPr>
          <w:vertAlign w:val="subscript"/>
          <w:lang w:val="en-US"/>
        </w:rPr>
        <w:t>7</w:t>
      </w:r>
      <w:r w:rsidRPr="001E3806">
        <w:rPr>
          <w:lang w:val="en-US"/>
        </w:rPr>
        <w:t>Nb</w:t>
      </w:r>
      <w:r w:rsidRPr="001E3806">
        <w:rPr>
          <w:vertAlign w:val="subscript"/>
          <w:lang w:val="en-US"/>
        </w:rPr>
        <w:t>4</w:t>
      </w:r>
      <w:r w:rsidRPr="001E3806">
        <w:rPr>
          <w:lang w:val="en-US"/>
        </w:rPr>
        <w:t>MoO</w:t>
      </w:r>
      <w:r w:rsidRPr="001E3806">
        <w:rPr>
          <w:vertAlign w:val="subscript"/>
          <w:lang w:val="en-US"/>
        </w:rPr>
        <w:t>20</w:t>
      </w:r>
      <w:r w:rsidRPr="001E3806">
        <w:rPr>
          <w:lang w:val="en-US"/>
        </w:rPr>
        <w:t xml:space="preserve"> is not proton, but oxide-ion conductor even in wet atmospheres. The apparent proton and oxygen transport numbers obtained from the simple estimates using equations (3) and (4) are greater than 0.6 and less than 0.4, respectively. These estimates assume that the oxide-ion conductivity of the hydrated sample </w:t>
      </w:r>
      <w:r w:rsidR="00816EF5" w:rsidRPr="001E3806">
        <w:rPr>
          <w:lang w:val="en-US"/>
        </w:rPr>
        <w:t xml:space="preserve">is </w:t>
      </w:r>
      <w:r w:rsidRPr="001E3806">
        <w:rPr>
          <w:lang w:val="en-US"/>
        </w:rPr>
        <w:t xml:space="preserve">equal </w:t>
      </w:r>
      <w:r w:rsidRPr="001E3806">
        <w:rPr>
          <w:lang w:val="en-US"/>
        </w:rPr>
        <w:lastRenderedPageBreak/>
        <w:t>to that of the dry sample without water. In sharp contrast, the present accurate proton and oxygen transport numbers obtained from the EMF measurements are lower than 0.3 and higher than 0.7, respectively. Fop claimed that Ba</w:t>
      </w:r>
      <w:r w:rsidRPr="001E3806">
        <w:rPr>
          <w:vertAlign w:val="subscript"/>
          <w:lang w:val="en-US"/>
        </w:rPr>
        <w:t>7</w:t>
      </w:r>
      <w:r w:rsidRPr="001E3806">
        <w:rPr>
          <w:lang w:val="en-US"/>
        </w:rPr>
        <w:t>Nb</w:t>
      </w:r>
      <w:r w:rsidRPr="001E3806">
        <w:rPr>
          <w:vertAlign w:val="subscript"/>
          <w:lang w:val="en-US"/>
        </w:rPr>
        <w:t>4</w:t>
      </w:r>
      <w:r w:rsidRPr="001E3806">
        <w:rPr>
          <w:lang w:val="en-US"/>
        </w:rPr>
        <w:t>MoO</w:t>
      </w:r>
      <w:r w:rsidRPr="001E3806">
        <w:rPr>
          <w:vertAlign w:val="subscript"/>
          <w:lang w:val="en-US"/>
        </w:rPr>
        <w:t>20</w:t>
      </w:r>
      <w:r w:rsidRPr="001E3806">
        <w:rPr>
          <w:lang w:val="en-US"/>
        </w:rPr>
        <w:t xml:space="preserve"> exhibit</w:t>
      </w:r>
      <w:r w:rsidR="0067218A" w:rsidRPr="001E3806">
        <w:rPr>
          <w:lang w:val="en-US"/>
        </w:rPr>
        <w:t>ed</w:t>
      </w:r>
      <w:r w:rsidRPr="001E3806">
        <w:rPr>
          <w:lang w:val="en-US"/>
        </w:rPr>
        <w:t xml:space="preserve"> high proton conductivity of 4.0 × 10</w:t>
      </w:r>
      <w:r w:rsidRPr="001E3806">
        <w:rPr>
          <w:vertAlign w:val="superscript"/>
          <w:lang w:val="en-US"/>
        </w:rPr>
        <w:t>−3</w:t>
      </w:r>
      <w:r w:rsidRPr="001E3806">
        <w:rPr>
          <w:lang w:val="en-US"/>
        </w:rPr>
        <w:t xml:space="preserve"> S cm</w:t>
      </w:r>
      <w:r w:rsidRPr="001E3806">
        <w:rPr>
          <w:vertAlign w:val="superscript"/>
          <w:lang w:val="en-US"/>
        </w:rPr>
        <w:t>−1</w:t>
      </w:r>
      <w:r w:rsidRPr="001E3806">
        <w:rPr>
          <w:lang w:val="en-US"/>
        </w:rPr>
        <w:t xml:space="preserve"> and high (apparent) proton transport number of 0.8 at 500 °C.</w:t>
      </w:r>
      <w:r w:rsidRPr="001E3806">
        <w:rPr>
          <w:lang w:val="en-US"/>
        </w:rPr>
        <w:fldChar w:fldCharType="begin" w:fldLock="1"/>
      </w:r>
      <w:r w:rsidR="0061024F" w:rsidRPr="001E3806">
        <w:rPr>
          <w:lang w:val="en-US"/>
        </w:rPr>
        <w:instrText>ADDIN CSL_CITATION {"citationItems":[{"id":"ITEM-1","itemData":{"DOI":"10.1039/D1TA03499E","ISSN":"20507496","abstract":"Solid oxide proton conductors are crucially emerging as key materials for enabling hydrogen-based energy conversion, storage, and electrochemical technologies. Oxides crystallising in the ideal ABO3perovskite structure, such as barium cerates and zirconates, are widely investigated thanks to their excellent proton conducting properties. Nevertheless, alternative structure-type solid oxide systems (hexagonal perovskite derivatives, brownmillerite, scheelite,etc.) can efficiently incorporate and enable the transport of protonic defects, with recent reports of materials exhibiting high ionic conductivity comparable to the conventional perovskite conductors. This perspective provides an overview of these alternative and less established proton conducting materials, with particular attention to the relationship between the structural and ionic conduction features and the mechanistic aspects. The goals are to highlight the differences between these materials and the traditional perovskites and to point out new potential crystal routes for the discovery of innovative solid oxide proton conductors.","author":[{"dropping-particle":"","family":"Fop","given":"Sacha","non-dropping-particle":"","parse-names":false,"suffix":""}],"container-title":"Journal of Materials Chemistry A","id":"ITEM-1","issue":"35","issued":{"date-parts":[["2021","9","14"]]},"page":"18836-18856","publisher":"Royal Society of Chemistry","title":"Solid oxide proton conductors beyond perovskites","type":"article-journal","volume":"9"},"uris":["http://www.mendeley.com/documents/?uuid=c72d8318-9bf4-3fa2-9301-048d4d745bc8"]}],"mendeley":{"formattedCitation":"&lt;sup&gt;7&lt;/sup&gt;","plainTextFormattedCitation":"7","previouslyFormattedCitation":"&lt;sup&gt;2&lt;/sup&gt;"},"properties":{"noteIndex":0},"schema":"https://github.com/citation-style-language/schema/raw/master/csl-citation.json"}</w:instrText>
      </w:r>
      <w:r w:rsidRPr="001E3806">
        <w:rPr>
          <w:lang w:val="en-US"/>
        </w:rPr>
        <w:fldChar w:fldCharType="separate"/>
      </w:r>
      <w:r w:rsidR="0061024F" w:rsidRPr="001E3806">
        <w:rPr>
          <w:noProof/>
          <w:vertAlign w:val="superscript"/>
          <w:lang w:val="en-US"/>
        </w:rPr>
        <w:t>7</w:t>
      </w:r>
      <w:r w:rsidRPr="001E3806">
        <w:rPr>
          <w:lang w:val="en-US"/>
        </w:rPr>
        <w:fldChar w:fldCharType="end"/>
      </w:r>
      <w:r w:rsidRPr="001E3806">
        <w:rPr>
          <w:lang w:val="en-US"/>
        </w:rPr>
        <w:t xml:space="preserve"> However, the conductivity of 4.0 × 10</w:t>
      </w:r>
      <w:r w:rsidRPr="001E3806">
        <w:rPr>
          <w:vertAlign w:val="superscript"/>
          <w:lang w:val="en-US"/>
        </w:rPr>
        <w:t>−3</w:t>
      </w:r>
      <w:r w:rsidRPr="001E3806">
        <w:rPr>
          <w:lang w:val="en-US"/>
        </w:rPr>
        <w:t xml:space="preserve"> S cm</w:t>
      </w:r>
      <w:r w:rsidRPr="001E3806">
        <w:rPr>
          <w:vertAlign w:val="superscript"/>
          <w:lang w:val="en-US"/>
        </w:rPr>
        <w:t>−1</w:t>
      </w:r>
      <w:r w:rsidRPr="001E3806">
        <w:rPr>
          <w:lang w:val="en-US"/>
        </w:rPr>
        <w:t xml:space="preserve"> at 500 °C is not the proton conductivity, but the total conductivity (= oxide-ion conductivity + proton conductivity). The present accurate proton conductivity </w:t>
      </w:r>
      <w:r w:rsidRPr="001E3806">
        <w:rPr>
          <w:i/>
          <w:iCs/>
          <w:lang w:val="en-US"/>
        </w:rPr>
        <w:sym w:font="Symbol" w:char="F073"/>
      </w:r>
      <w:r w:rsidRPr="001E3806">
        <w:rPr>
          <w:vertAlign w:val="subscript"/>
          <w:lang w:val="en-US"/>
        </w:rPr>
        <w:t>wet</w:t>
      </w:r>
      <w:r w:rsidRPr="001E3806">
        <w:rPr>
          <w:lang w:val="en-US"/>
        </w:rPr>
        <w:t xml:space="preserve"> × </w:t>
      </w:r>
      <w:r w:rsidRPr="001E3806">
        <w:rPr>
          <w:i/>
          <w:iCs/>
          <w:lang w:val="en-US"/>
        </w:rPr>
        <w:t>t</w:t>
      </w:r>
      <w:r w:rsidRPr="001E3806">
        <w:rPr>
          <w:vertAlign w:val="subscript"/>
          <w:lang w:val="en-US"/>
        </w:rPr>
        <w:t>H/EMF</w:t>
      </w:r>
      <w:r w:rsidRPr="001E3806">
        <w:rPr>
          <w:lang w:val="en-US"/>
        </w:rPr>
        <w:t xml:space="preserve"> is as low as 1.6 × 10</w:t>
      </w:r>
      <w:r w:rsidRPr="001E3806">
        <w:rPr>
          <w:vertAlign w:val="superscript"/>
          <w:lang w:val="en-US"/>
        </w:rPr>
        <w:t>−4</w:t>
      </w:r>
      <w:r w:rsidRPr="001E3806">
        <w:rPr>
          <w:lang w:val="en-US"/>
        </w:rPr>
        <w:t xml:space="preserve"> S cm</w:t>
      </w:r>
      <w:r w:rsidRPr="001E3806">
        <w:rPr>
          <w:vertAlign w:val="superscript"/>
          <w:lang w:val="en-US"/>
        </w:rPr>
        <w:t>−1</w:t>
      </w:r>
      <w:r w:rsidRPr="001E3806">
        <w:rPr>
          <w:lang w:val="en-US"/>
        </w:rPr>
        <w:t xml:space="preserve"> at 500 °C, which is much lower compared with leading perovskite-type proton conductors (e.g., 1.2 × 10</w:t>
      </w:r>
      <w:r w:rsidRPr="001E3806">
        <w:rPr>
          <w:vertAlign w:val="superscript"/>
          <w:lang w:val="en-US"/>
        </w:rPr>
        <w:t>−2</w:t>
      </w:r>
      <w:r w:rsidRPr="001E3806">
        <w:rPr>
          <w:lang w:val="en-US"/>
        </w:rPr>
        <w:t xml:space="preserve"> S cm</w:t>
      </w:r>
      <w:r w:rsidRPr="001E3806">
        <w:rPr>
          <w:vertAlign w:val="superscript"/>
          <w:lang w:val="en-US"/>
        </w:rPr>
        <w:t>−1</w:t>
      </w:r>
      <w:r w:rsidRPr="001E3806">
        <w:rPr>
          <w:lang w:val="en-US"/>
        </w:rPr>
        <w:t xml:space="preserve"> at 500 °C in BaZr</w:t>
      </w:r>
      <w:r w:rsidRPr="001E3806">
        <w:rPr>
          <w:vertAlign w:val="subscript"/>
          <w:lang w:val="en-US"/>
        </w:rPr>
        <w:t>0.8</w:t>
      </w:r>
      <w:r w:rsidRPr="001E3806">
        <w:rPr>
          <w:lang w:val="en-US"/>
        </w:rPr>
        <w:t>Y</w:t>
      </w:r>
      <w:r w:rsidRPr="001E3806">
        <w:rPr>
          <w:vertAlign w:val="subscript"/>
          <w:lang w:val="en-US"/>
        </w:rPr>
        <w:t>0.2</w:t>
      </w:r>
      <w:r w:rsidRPr="001E3806">
        <w:rPr>
          <w:lang w:val="en-US"/>
        </w:rPr>
        <w:t>O</w:t>
      </w:r>
      <w:r w:rsidRPr="001E3806">
        <w:rPr>
          <w:vertAlign w:val="subscript"/>
          <w:lang w:val="en-US"/>
        </w:rPr>
        <w:t>2.9</w:t>
      </w:r>
      <w:r w:rsidRPr="001E3806">
        <w:rPr>
          <w:lang w:val="en-US"/>
        </w:rPr>
        <w:t>).</w:t>
      </w:r>
      <w:r w:rsidRPr="001E3806">
        <w:rPr>
          <w:lang w:val="en-US"/>
        </w:rPr>
        <w:fldChar w:fldCharType="begin" w:fldLock="1"/>
      </w:r>
      <w:r w:rsidR="0061024F" w:rsidRPr="001E3806">
        <w:rPr>
          <w:lang w:val="en-US"/>
        </w:rPr>
        <w:instrText>ADDIN CSL_CITATION {"citationItems":[{"id":"ITEM-1","itemData":{"DOI":"10.1146/annurev.matsci.33.022802.091825","ISSN":"15317331","abstract":"The structural and chemical parameters determining the formation and mobility of protonic defects in oxides are discussed, and the paramount role of high-molar volume, coordination numbers, and symmetry are emphasized. Symmetry also relates to the structural and chemical matching of the acceptor dopant. Y-doped BaZrO3based oxides are demonstrated to combine high stability with high proton conductivity that exceeds the conductivity of the best oxide ion conductors at temperatures below about 700°C. The unfavorably high grain boundary impedances and brittleness of ceramics have been reduced by forming solid solutions with small amounts of BaCeO 3, and an initial fuel cell test has demonstrated that proton-conducting electrolytes based on Y-doped BaZrO3 provide alternatives for separator materials in solid oxide fuel cells (SOFCs). These materials have the potential to operate at lower temperatures compared with those of conventional SOFCs, and the appearance of chemical water diffusion across the electrolyte at typical operation temperatures (T = 500-800°C) allows the use of dry methane as a fuel.","author":[{"dropping-particle":"","family":"Kreuer","given":"K. D.","non-dropping-particle":"","parse-names":false,"suffix":""}],"container-title":"Annual Review of Materials Research","id":"ITEM-1","issued":{"date-parts":[["2003","11","28"]]},"page":"333-359","publisher":" Annual Reviews  4139 El Camino Way, P.O. Box 10139, Palo Alto, CA 94303-0139, USA  ","title":"Proton-Conducting Oxides","type":"article","volume":"33"},"uris":["http://www.mendeley.com/documents/?uuid=752d4dd5-8a92-30fc-8453-b6d16ca5467f"]}],"mendeley":{"formattedCitation":"&lt;sup&gt;61&lt;/sup&gt;","plainTextFormattedCitation":"61","previouslyFormattedCitation":"&lt;sup&gt;59&lt;/sup&gt;"},"properties":{"noteIndex":0},"schema":"https://github.com/citation-style-language/schema/raw/master/csl-citation.json"}</w:instrText>
      </w:r>
      <w:r w:rsidRPr="001E3806">
        <w:rPr>
          <w:lang w:val="en-US"/>
        </w:rPr>
        <w:fldChar w:fldCharType="separate"/>
      </w:r>
      <w:r w:rsidR="0061024F" w:rsidRPr="001E3806">
        <w:rPr>
          <w:noProof/>
          <w:vertAlign w:val="superscript"/>
          <w:lang w:val="en-US"/>
        </w:rPr>
        <w:t>61</w:t>
      </w:r>
      <w:r w:rsidRPr="001E3806">
        <w:rPr>
          <w:lang w:val="en-US"/>
        </w:rPr>
        <w:fldChar w:fldCharType="end"/>
      </w:r>
      <w:r w:rsidRPr="001E3806">
        <w:rPr>
          <w:lang w:val="en-US"/>
        </w:rPr>
        <w:t xml:space="preserve"> Since the oxide-ion conductivity is higher in wet atmospheres than in dry conditions, the apparent proton transport number is higher than the accurate proton transport number. The proton diffusivity is higher than oxygen one, however, since the number of protons is smaller than that of oxide</w:t>
      </w:r>
      <w:r w:rsidRPr="001E3806">
        <w:rPr>
          <w:rFonts w:hint="eastAsia"/>
          <w:lang w:val="en-US"/>
        </w:rPr>
        <w:t xml:space="preserve"> </w:t>
      </w:r>
      <w:r w:rsidRPr="001E3806">
        <w:rPr>
          <w:lang w:val="en-US"/>
        </w:rPr>
        <w:t>ions, the proton conductivity is relatively low compared with the oxide-ion conductivity. The</w:t>
      </w:r>
      <w:r w:rsidR="00816EF5" w:rsidRPr="001E3806">
        <w:rPr>
          <w:lang w:val="en-US"/>
        </w:rPr>
        <w:t>se</w:t>
      </w:r>
      <w:r w:rsidRPr="001E3806">
        <w:rPr>
          <w:lang w:val="en-US"/>
        </w:rPr>
        <w:t xml:space="preserve"> new findings may </w:t>
      </w:r>
      <w:r w:rsidR="00816EF5" w:rsidRPr="001E3806">
        <w:rPr>
          <w:lang w:val="en-US"/>
        </w:rPr>
        <w:t>advance</w:t>
      </w:r>
      <w:r w:rsidRPr="001E3806">
        <w:rPr>
          <w:lang w:val="en-US"/>
        </w:rPr>
        <w:t xml:space="preserve"> the science and engineering of oxide-ion, proton, and dual-ion conductors.</w:t>
      </w:r>
    </w:p>
    <w:p w14:paraId="466E01EF" w14:textId="2BC40143" w:rsidR="001925B0" w:rsidRPr="001E3806" w:rsidRDefault="001925B0" w:rsidP="001925B0">
      <w:pPr>
        <w:pStyle w:val="RSCB04AHeadingSection"/>
      </w:pPr>
      <w:r w:rsidRPr="001E3806">
        <w:t>Author Contributions</w:t>
      </w:r>
    </w:p>
    <w:p w14:paraId="37A04FB3" w14:textId="443E91E4" w:rsidR="00816EF5" w:rsidRPr="001E3806" w:rsidRDefault="00816EF5" w:rsidP="00816EF5">
      <w:pPr>
        <w:spacing w:line="240" w:lineRule="exact"/>
        <w:jc w:val="both"/>
        <w:rPr>
          <w:sz w:val="18"/>
          <w:szCs w:val="18"/>
          <w:lang w:eastAsia="ja-JP"/>
        </w:rPr>
      </w:pPr>
      <w:r w:rsidRPr="001E3806">
        <w:rPr>
          <w:rFonts w:hint="eastAsia"/>
          <w:sz w:val="18"/>
          <w:szCs w:val="18"/>
          <w:lang w:eastAsia="ja-JP"/>
        </w:rPr>
        <w:t xml:space="preserve">MY </w:t>
      </w:r>
      <w:r w:rsidRPr="001E3806">
        <w:rPr>
          <w:sz w:val="18"/>
          <w:szCs w:val="18"/>
          <w:lang w:eastAsia="ja-JP"/>
        </w:rPr>
        <w:t>and YS designed the research project.</w:t>
      </w:r>
      <w:r w:rsidRPr="001E3806">
        <w:rPr>
          <w:rFonts w:hint="eastAsia"/>
          <w:sz w:val="18"/>
          <w:szCs w:val="18"/>
          <w:lang w:eastAsia="ja-JP"/>
        </w:rPr>
        <w:t xml:space="preserve"> YS </w:t>
      </w:r>
      <w:r w:rsidRPr="001E3806">
        <w:rPr>
          <w:sz w:val="18"/>
          <w:szCs w:val="18"/>
          <w:lang w:eastAsia="ja-JP"/>
        </w:rPr>
        <w:t>prepared the samples and carried out the XRD measurements.</w:t>
      </w:r>
      <w:r w:rsidRPr="001E3806">
        <w:rPr>
          <w:rFonts w:hint="eastAsia"/>
          <w:sz w:val="18"/>
          <w:szCs w:val="18"/>
          <w:lang w:eastAsia="ja-JP"/>
        </w:rPr>
        <w:t xml:space="preserve"> </w:t>
      </w:r>
      <w:r w:rsidRPr="001E3806">
        <w:rPr>
          <w:sz w:val="18"/>
          <w:szCs w:val="18"/>
          <w:lang w:eastAsia="ja-JP"/>
        </w:rPr>
        <w:t xml:space="preserve">YS also measured </w:t>
      </w:r>
      <w:r w:rsidRPr="001E3806">
        <w:rPr>
          <w:rFonts w:hint="eastAsia"/>
          <w:sz w:val="18"/>
          <w:szCs w:val="18"/>
          <w:lang w:eastAsia="ja-JP"/>
        </w:rPr>
        <w:t xml:space="preserve">electrical conductivity and </w:t>
      </w:r>
      <w:r w:rsidRPr="001E3806">
        <w:rPr>
          <w:sz w:val="18"/>
          <w:szCs w:val="18"/>
          <w:lang w:eastAsia="ja-JP"/>
        </w:rPr>
        <w:t>TG data</w:t>
      </w:r>
      <w:r w:rsidRPr="001E3806">
        <w:rPr>
          <w:rFonts w:hint="eastAsia"/>
          <w:sz w:val="18"/>
          <w:szCs w:val="18"/>
          <w:lang w:eastAsia="ja-JP"/>
        </w:rPr>
        <w:t xml:space="preserve">, </w:t>
      </w:r>
      <w:r w:rsidRPr="001E3806">
        <w:rPr>
          <w:sz w:val="18"/>
          <w:szCs w:val="18"/>
          <w:lang w:eastAsia="ja-JP"/>
        </w:rPr>
        <w:t>and performed the DFT</w:t>
      </w:r>
      <w:r w:rsidRPr="001E3806">
        <w:rPr>
          <w:rFonts w:hint="eastAsia"/>
          <w:sz w:val="18"/>
          <w:szCs w:val="18"/>
          <w:lang w:eastAsia="ja-JP"/>
        </w:rPr>
        <w:t xml:space="preserve"> calculations.</w:t>
      </w:r>
      <w:r w:rsidRPr="001E3806">
        <w:t xml:space="preserve"> </w:t>
      </w:r>
      <w:r w:rsidRPr="001E3806">
        <w:rPr>
          <w:rFonts w:hint="eastAsia"/>
          <w:sz w:val="18"/>
          <w:szCs w:val="18"/>
          <w:lang w:eastAsia="ja-JP"/>
        </w:rPr>
        <w:t>MAY</w:t>
      </w:r>
      <w:r w:rsidRPr="001E3806">
        <w:rPr>
          <w:sz w:val="18"/>
          <w:szCs w:val="18"/>
          <w:lang w:eastAsia="ja-JP"/>
        </w:rPr>
        <w:t xml:space="preserve"> and Y</w:t>
      </w:r>
      <w:r w:rsidRPr="001E3806">
        <w:rPr>
          <w:rFonts w:hint="eastAsia"/>
          <w:sz w:val="18"/>
          <w:szCs w:val="18"/>
          <w:lang w:eastAsia="ja-JP"/>
        </w:rPr>
        <w:t>S</w:t>
      </w:r>
      <w:r w:rsidRPr="001E3806">
        <w:rPr>
          <w:sz w:val="18"/>
          <w:szCs w:val="18"/>
          <w:lang w:eastAsia="ja-JP"/>
        </w:rPr>
        <w:t xml:space="preserve"> carried out the </w:t>
      </w:r>
      <w:r w:rsidRPr="001E3806">
        <w:rPr>
          <w:rFonts w:hint="eastAsia"/>
          <w:sz w:val="18"/>
          <w:szCs w:val="18"/>
          <w:lang w:val="en-US" w:eastAsia="ja-JP"/>
        </w:rPr>
        <w:t>t</w:t>
      </w:r>
      <w:r w:rsidRPr="001E3806">
        <w:rPr>
          <w:sz w:val="18"/>
          <w:szCs w:val="18"/>
          <w:lang w:val="en-US" w:eastAsia="ja-JP"/>
        </w:rPr>
        <w:t>racer diffusion experiments</w:t>
      </w:r>
      <w:r w:rsidRPr="001E3806">
        <w:rPr>
          <w:sz w:val="18"/>
          <w:szCs w:val="18"/>
          <w:lang w:eastAsia="ja-JP"/>
        </w:rPr>
        <w:t xml:space="preserve"> under the supervision of SJS.</w:t>
      </w:r>
      <w:r w:rsidRPr="001E3806">
        <w:t xml:space="preserve"> </w:t>
      </w:r>
      <w:r w:rsidRPr="001E3806">
        <w:rPr>
          <w:rFonts w:hint="eastAsia"/>
          <w:sz w:val="18"/>
          <w:szCs w:val="18"/>
          <w:lang w:eastAsia="ja-JP"/>
        </w:rPr>
        <w:t>BM, VV, SY and MY</w:t>
      </w:r>
      <w:r w:rsidRPr="001E3806">
        <w:rPr>
          <w:sz w:val="18"/>
          <w:szCs w:val="18"/>
          <w:lang w:eastAsia="ja-JP"/>
        </w:rPr>
        <w:t xml:space="preserve"> </w:t>
      </w:r>
      <w:r w:rsidRPr="001E3806">
        <w:rPr>
          <w:rFonts w:hint="eastAsia"/>
          <w:sz w:val="18"/>
          <w:szCs w:val="18"/>
          <w:lang w:eastAsia="ja-JP"/>
        </w:rPr>
        <w:t>performed the EMF</w:t>
      </w:r>
      <w:r w:rsidRPr="001E3806">
        <w:rPr>
          <w:sz w:val="18"/>
          <w:szCs w:val="18"/>
          <w:lang w:val="en-US" w:eastAsia="ja-JP"/>
        </w:rPr>
        <w:t xml:space="preserve"> </w:t>
      </w:r>
      <w:r w:rsidRPr="001E3806">
        <w:rPr>
          <w:rFonts w:hint="eastAsia"/>
          <w:sz w:val="18"/>
          <w:szCs w:val="18"/>
          <w:lang w:val="en-US" w:eastAsia="ja-JP"/>
        </w:rPr>
        <w:t>measurements</w:t>
      </w:r>
      <w:r w:rsidRPr="001E3806">
        <w:rPr>
          <w:sz w:val="18"/>
          <w:szCs w:val="18"/>
          <w:lang w:eastAsia="ja-JP"/>
        </w:rPr>
        <w:t xml:space="preserve"> under the supervision of </w:t>
      </w:r>
      <w:r w:rsidRPr="001E3806">
        <w:rPr>
          <w:rFonts w:hint="eastAsia"/>
          <w:sz w:val="18"/>
          <w:szCs w:val="18"/>
          <w:lang w:eastAsia="ja-JP"/>
        </w:rPr>
        <w:t>HM</w:t>
      </w:r>
      <w:r w:rsidRPr="001E3806">
        <w:rPr>
          <w:sz w:val="18"/>
          <w:szCs w:val="18"/>
          <w:lang w:eastAsia="ja-JP"/>
        </w:rPr>
        <w:t>.</w:t>
      </w:r>
      <w:r w:rsidRPr="001E3806">
        <w:rPr>
          <w:rFonts w:hint="eastAsia"/>
          <w:sz w:val="18"/>
          <w:szCs w:val="18"/>
          <w:lang w:eastAsia="ja-JP"/>
        </w:rPr>
        <w:t xml:space="preserve"> JH</w:t>
      </w:r>
      <w:r w:rsidRPr="001E3806">
        <w:rPr>
          <w:sz w:val="18"/>
          <w:szCs w:val="18"/>
          <w:lang w:eastAsia="ja-JP"/>
        </w:rPr>
        <w:t xml:space="preserve"> performed </w:t>
      </w:r>
      <w:r w:rsidRPr="001E3806">
        <w:rPr>
          <w:sz w:val="18"/>
          <w:szCs w:val="18"/>
          <w:lang w:val="en-US" w:eastAsia="ja-JP"/>
        </w:rPr>
        <w:t>M3GNet-MD</w:t>
      </w:r>
      <w:r w:rsidRPr="001E3806">
        <w:rPr>
          <w:sz w:val="18"/>
          <w:szCs w:val="18"/>
          <w:lang w:eastAsia="ja-JP"/>
        </w:rPr>
        <w:t xml:space="preserve"> simulations.</w:t>
      </w:r>
      <w:r w:rsidRPr="001E3806">
        <w:rPr>
          <w:rFonts w:hint="eastAsia"/>
          <w:sz w:val="18"/>
          <w:szCs w:val="18"/>
          <w:lang w:eastAsia="ja-JP"/>
        </w:rPr>
        <w:t xml:space="preserve"> </w:t>
      </w:r>
      <w:r w:rsidRPr="001E3806">
        <w:rPr>
          <w:sz w:val="18"/>
          <w:szCs w:val="18"/>
          <w:lang w:eastAsia="ja-JP"/>
        </w:rPr>
        <w:t xml:space="preserve">Funding acquisition and supervision: MY, HM, YS, and SJS. MY </w:t>
      </w:r>
      <w:r w:rsidR="007E3151" w:rsidRPr="001E3806">
        <w:rPr>
          <w:sz w:val="18"/>
          <w:szCs w:val="18"/>
          <w:lang w:eastAsia="ja-JP"/>
        </w:rPr>
        <w:t xml:space="preserve">(leading) </w:t>
      </w:r>
      <w:r w:rsidRPr="001E3806">
        <w:rPr>
          <w:sz w:val="18"/>
          <w:szCs w:val="18"/>
          <w:lang w:eastAsia="ja-JP"/>
        </w:rPr>
        <w:t xml:space="preserve">and </w:t>
      </w:r>
      <w:r w:rsidRPr="001E3806">
        <w:rPr>
          <w:rFonts w:hint="eastAsia"/>
          <w:sz w:val="18"/>
          <w:szCs w:val="18"/>
          <w:lang w:eastAsia="ja-JP"/>
        </w:rPr>
        <w:t>YS</w:t>
      </w:r>
      <w:r w:rsidRPr="001E3806">
        <w:rPr>
          <w:sz w:val="18"/>
          <w:szCs w:val="18"/>
          <w:lang w:eastAsia="ja-JP"/>
        </w:rPr>
        <w:t xml:space="preserve"> wrote </w:t>
      </w:r>
      <w:r w:rsidR="007E3151" w:rsidRPr="001E3806">
        <w:rPr>
          <w:sz w:val="18"/>
          <w:szCs w:val="18"/>
          <w:lang w:eastAsia="ja-JP"/>
        </w:rPr>
        <w:t>the manuscript. MY (leading), YS, SJS</w:t>
      </w:r>
      <w:r w:rsidR="00573E77" w:rsidRPr="001E3806">
        <w:rPr>
          <w:sz w:val="18"/>
          <w:szCs w:val="18"/>
          <w:lang w:eastAsia="ja-JP"/>
        </w:rPr>
        <w:t>,</w:t>
      </w:r>
      <w:r w:rsidR="007E3151" w:rsidRPr="001E3806">
        <w:rPr>
          <w:sz w:val="18"/>
          <w:szCs w:val="18"/>
          <w:lang w:eastAsia="ja-JP"/>
        </w:rPr>
        <w:t xml:space="preserve"> </w:t>
      </w:r>
      <w:r w:rsidRPr="001E3806">
        <w:rPr>
          <w:sz w:val="18"/>
          <w:szCs w:val="18"/>
          <w:lang w:eastAsia="ja-JP"/>
        </w:rPr>
        <w:t xml:space="preserve">and </w:t>
      </w:r>
      <w:r w:rsidR="007E3151" w:rsidRPr="001E3806">
        <w:rPr>
          <w:sz w:val="18"/>
          <w:szCs w:val="18"/>
          <w:lang w:eastAsia="ja-JP"/>
        </w:rPr>
        <w:t xml:space="preserve">JH </w:t>
      </w:r>
      <w:r w:rsidRPr="001E3806">
        <w:rPr>
          <w:sz w:val="18"/>
          <w:szCs w:val="18"/>
          <w:lang w:eastAsia="ja-JP"/>
        </w:rPr>
        <w:t>edited the manuscript.</w:t>
      </w:r>
      <w:r w:rsidRPr="001E3806">
        <w:t xml:space="preserve"> </w:t>
      </w:r>
      <w:r w:rsidRPr="001E3806">
        <w:rPr>
          <w:sz w:val="18"/>
          <w:szCs w:val="18"/>
          <w:lang w:eastAsia="ja-JP"/>
        </w:rPr>
        <w:t>All the authors read the manuscript.</w:t>
      </w:r>
    </w:p>
    <w:p w14:paraId="177CDB0E" w14:textId="30DD831C" w:rsidR="00C9557D" w:rsidRPr="001E3806" w:rsidRDefault="00C9557D" w:rsidP="00C9557D">
      <w:pPr>
        <w:pStyle w:val="RSCB04AHeadingSection"/>
      </w:pPr>
      <w:r w:rsidRPr="001E3806">
        <w:t>Conflict</w:t>
      </w:r>
      <w:r w:rsidR="00F05C18" w:rsidRPr="001E3806">
        <w:t>s</w:t>
      </w:r>
      <w:r w:rsidRPr="001E3806">
        <w:t xml:space="preserve"> of interest</w:t>
      </w:r>
    </w:p>
    <w:p w14:paraId="246AAD08" w14:textId="3CE67A49" w:rsidR="00A05364" w:rsidRPr="001E3806" w:rsidRDefault="00A05364" w:rsidP="00A05364">
      <w:pPr>
        <w:rPr>
          <w:rFonts w:cs="Times New Roman"/>
          <w:w w:val="108"/>
          <w:sz w:val="18"/>
          <w:szCs w:val="18"/>
        </w:rPr>
      </w:pPr>
      <w:r w:rsidRPr="001E3806">
        <w:rPr>
          <w:rFonts w:cs="Times New Roman"/>
          <w:w w:val="108"/>
          <w:sz w:val="18"/>
          <w:szCs w:val="18"/>
        </w:rPr>
        <w:t>There are no conflicts to declare.</w:t>
      </w:r>
    </w:p>
    <w:p w14:paraId="2B7CDDB1" w14:textId="22A5C954" w:rsidR="00FA2DA2" w:rsidRPr="001E3806" w:rsidRDefault="00FA2DA2" w:rsidP="00FA2DA2">
      <w:pPr>
        <w:pStyle w:val="RSCB04AHeadingSection"/>
      </w:pPr>
      <w:r w:rsidRPr="001E3806">
        <w:t>Acknowledgements</w:t>
      </w:r>
    </w:p>
    <w:p w14:paraId="7EB3B75D" w14:textId="220B0892" w:rsidR="00816EF5" w:rsidRPr="001E3806" w:rsidRDefault="00816EF5" w:rsidP="00816EF5">
      <w:pPr>
        <w:pStyle w:val="RSCB02ArticleText"/>
      </w:pPr>
      <w:r w:rsidRPr="001E3806">
        <w:rPr>
          <w:lang w:val="en-US"/>
        </w:rPr>
        <w:t>We would like to thank Prof. K. Fujii and Dr. K. Saito for their assistance with the experiments and calculations, and for their valuable contributions to the discussions. We express special thanks to Kojundo Chemical Laboratory Co., Ltd. for ICP measurements and providing raw materials. This work was supported by Japan Society for the Promotion of Science (JSPS) KAKENHI (Grant</w:t>
      </w:r>
      <w:r w:rsidRPr="001E3806">
        <w:rPr>
          <w:rFonts w:hint="eastAsia"/>
          <w:lang w:val="en-US"/>
        </w:rPr>
        <w:t xml:space="preserve"> Numbers</w:t>
      </w:r>
      <w:r w:rsidRPr="001E3806">
        <w:rPr>
          <w:lang w:val="en-US"/>
        </w:rPr>
        <w:t xml:space="preserve"> JP21K18182, JP24H00041</w:t>
      </w:r>
      <w:r w:rsidR="008A1E40" w:rsidRPr="001E3806">
        <w:rPr>
          <w:lang w:val="en-US"/>
        </w:rPr>
        <w:t>,</w:t>
      </w:r>
      <w:r w:rsidRPr="001E3806">
        <w:rPr>
          <w:lang w:val="en-US"/>
        </w:rPr>
        <w:t xml:space="preserve"> </w:t>
      </w:r>
      <w:r w:rsidR="008A1E40" w:rsidRPr="001E3806">
        <w:rPr>
          <w:lang w:val="en-US"/>
        </w:rPr>
        <w:t>JP</w:t>
      </w:r>
      <w:r w:rsidRPr="001E3806">
        <w:rPr>
          <w:lang w:val="en-US"/>
        </w:rPr>
        <w:t>24K23013</w:t>
      </w:r>
      <w:r w:rsidR="008A1E40" w:rsidRPr="001E3806">
        <w:rPr>
          <w:lang w:val="en-US"/>
        </w:rPr>
        <w:t>, and JP25K21695</w:t>
      </w:r>
      <w:r w:rsidRPr="001E3806">
        <w:rPr>
          <w:lang w:val="en-US"/>
        </w:rPr>
        <w:t xml:space="preserve">), by Adopting Sustainable Partnerships for Innovative Research Ecosystem (ASPIRE) from the Japan Science and Technology Agency (JST) (Grant JPMJAP2308), and by JSPS Core-to-Core Programme (Advanced Research Networks), Solid Oxide Interfaces for Faster Ion Transport (SOIFIT). Y.S. acknowledges support from a JSPS Fellowship for Young Scientists, DC1 (JP22KJ1285). SJS and MY acknowledge that part of the work has received funding from </w:t>
      </w:r>
      <w:r w:rsidRPr="001E3806">
        <w:rPr>
          <w:lang w:val="en-US"/>
        </w:rPr>
        <w:t>the European Union’s Horizon 2020 research and innovation programme under grant agreement no. 952184.</w:t>
      </w:r>
    </w:p>
    <w:p w14:paraId="1892B867" w14:textId="0EF9BEED" w:rsidR="00D010E8" w:rsidRPr="001E3806" w:rsidRDefault="00890A32" w:rsidP="0047645B">
      <w:pPr>
        <w:spacing w:before="400" w:after="80" w:line="240" w:lineRule="auto"/>
        <w:rPr>
          <w:sz w:val="18"/>
          <w:szCs w:val="18"/>
        </w:rPr>
      </w:pPr>
      <w:r w:rsidRPr="001E3806">
        <w:rPr>
          <w:rFonts w:hint="eastAsia"/>
          <w:b/>
          <w:sz w:val="24"/>
          <w:lang w:eastAsia="ja-JP"/>
        </w:rPr>
        <w:t>R</w:t>
      </w:r>
      <w:r w:rsidR="00E61949" w:rsidRPr="001E3806">
        <w:rPr>
          <w:b/>
          <w:sz w:val="24"/>
        </w:rPr>
        <w:t>eferences</w:t>
      </w:r>
    </w:p>
    <w:p w14:paraId="51E0C5D8" w14:textId="77777777" w:rsidR="00CE5F87" w:rsidRPr="001E3806" w:rsidRDefault="00CE5F87" w:rsidP="00CE5F87">
      <w:pPr>
        <w:pStyle w:val="RSCR02References"/>
        <w:rPr>
          <w:noProof/>
        </w:rPr>
      </w:pPr>
      <w:r w:rsidRPr="001E3806">
        <w:rPr>
          <w:noProof/>
        </w:rPr>
        <w:t xml:space="preserve">J. M. Serra, V. B. Vert, M. Betz, V. A. C. Haanappel, W. A. Meulenberg and F. Tietz, </w:t>
      </w:r>
      <w:r w:rsidRPr="001E3806">
        <w:rPr>
          <w:i/>
          <w:iCs/>
          <w:noProof/>
        </w:rPr>
        <w:t>J. Electrochem. Soc.</w:t>
      </w:r>
      <w:r w:rsidRPr="001E3806">
        <w:rPr>
          <w:noProof/>
        </w:rPr>
        <w:t xml:space="preserve">, 2007, </w:t>
      </w:r>
      <w:r w:rsidRPr="001E3806">
        <w:rPr>
          <w:b/>
          <w:bCs/>
          <w:noProof/>
        </w:rPr>
        <w:t>155</w:t>
      </w:r>
      <w:r w:rsidRPr="001E3806">
        <w:rPr>
          <w:noProof/>
        </w:rPr>
        <w:t>, B207.</w:t>
      </w:r>
    </w:p>
    <w:p w14:paraId="3712DC7E" w14:textId="30621025" w:rsidR="00CE5F87" w:rsidRPr="001E3806" w:rsidRDefault="00CE5F87" w:rsidP="00CE5F87">
      <w:pPr>
        <w:pStyle w:val="RSCR02References"/>
        <w:rPr>
          <w:noProof/>
        </w:rPr>
      </w:pPr>
      <w:r w:rsidRPr="001E3806">
        <w:rPr>
          <w:noProof/>
        </w:rPr>
        <w:t xml:space="preserve">J. M. Serra and W. A. Meulenberg, </w:t>
      </w:r>
      <w:r w:rsidRPr="001E3806">
        <w:rPr>
          <w:i/>
          <w:iCs/>
          <w:noProof/>
        </w:rPr>
        <w:t>J. Am. Ceram. Soc.</w:t>
      </w:r>
      <w:r w:rsidRPr="001E3806">
        <w:rPr>
          <w:noProof/>
        </w:rPr>
        <w:t xml:space="preserve">, 2007, </w:t>
      </w:r>
      <w:r w:rsidRPr="001E3806">
        <w:rPr>
          <w:b/>
          <w:bCs/>
          <w:noProof/>
        </w:rPr>
        <w:t>90</w:t>
      </w:r>
      <w:r w:rsidRPr="001E3806">
        <w:rPr>
          <w:noProof/>
        </w:rPr>
        <w:t>, 2082.</w:t>
      </w:r>
    </w:p>
    <w:p w14:paraId="3E393E94" w14:textId="77777777" w:rsidR="00CE5F87" w:rsidRPr="001E3806" w:rsidRDefault="00CE5F87" w:rsidP="00CE5F87">
      <w:pPr>
        <w:pStyle w:val="RSCR02References"/>
        <w:rPr>
          <w:lang w:val="en-US"/>
        </w:rPr>
      </w:pPr>
      <w:r w:rsidRPr="001E3806">
        <w:rPr>
          <w:lang w:val="en-US"/>
        </w:rPr>
        <w:fldChar w:fldCharType="begin" w:fldLock="1"/>
      </w:r>
      <w:r w:rsidRPr="001E3806">
        <w:rPr>
          <w:lang w:val="en-US"/>
        </w:rPr>
        <w:instrText xml:space="preserve">ADDIN Mendeley Bibliography CSL_BIBLIOGRAPHY </w:instrText>
      </w:r>
      <w:r w:rsidRPr="001E3806">
        <w:rPr>
          <w:lang w:val="en-US"/>
        </w:rPr>
        <w:fldChar w:fldCharType="separate"/>
      </w:r>
      <w:r w:rsidRPr="001E3806">
        <w:rPr>
          <w:lang w:val="en-US"/>
        </w:rPr>
        <w:t xml:space="preserve">I. Staffell, D. Scamman, A. Velazquez Abad, P. Balcombe, P. E. Dodds, P. Ekins, N. Shah and K. R. Ward, </w:t>
      </w:r>
      <w:r w:rsidRPr="001E3806">
        <w:rPr>
          <w:i/>
          <w:iCs/>
          <w:lang w:val="en-US"/>
        </w:rPr>
        <w:t>Energy Environ. Sci.</w:t>
      </w:r>
      <w:r w:rsidRPr="001E3806">
        <w:rPr>
          <w:lang w:val="en-US"/>
        </w:rPr>
        <w:t xml:space="preserve">, 2019, </w:t>
      </w:r>
      <w:r w:rsidRPr="001E3806">
        <w:rPr>
          <w:b/>
          <w:bCs/>
          <w:lang w:val="en-US"/>
        </w:rPr>
        <w:t>12</w:t>
      </w:r>
      <w:r w:rsidRPr="001E3806">
        <w:rPr>
          <w:lang w:val="en-US"/>
        </w:rPr>
        <w:t>, 463.</w:t>
      </w:r>
    </w:p>
    <w:p w14:paraId="35229C11" w14:textId="77777777" w:rsidR="00CE5F87" w:rsidRPr="001E3806" w:rsidRDefault="00CE5F87" w:rsidP="00CE5F87">
      <w:pPr>
        <w:pStyle w:val="RSCR02References"/>
        <w:rPr>
          <w:lang w:val="en-US"/>
        </w:rPr>
      </w:pPr>
      <w:r w:rsidRPr="001E3806">
        <w:rPr>
          <w:lang w:val="en-US"/>
        </w:rPr>
        <w:t xml:space="preserve">S. Fop, </w:t>
      </w:r>
      <w:r w:rsidRPr="001E3806">
        <w:rPr>
          <w:i/>
          <w:iCs/>
          <w:lang w:val="en-US"/>
        </w:rPr>
        <w:t>J. Mater. Chem. A</w:t>
      </w:r>
      <w:r w:rsidRPr="001E3806">
        <w:rPr>
          <w:lang w:val="en-US"/>
        </w:rPr>
        <w:t xml:space="preserve">, 2021, </w:t>
      </w:r>
      <w:r w:rsidRPr="001E3806">
        <w:rPr>
          <w:b/>
          <w:bCs/>
          <w:lang w:val="en-US"/>
        </w:rPr>
        <w:t>9</w:t>
      </w:r>
      <w:r w:rsidRPr="001E3806">
        <w:rPr>
          <w:lang w:val="en-US"/>
        </w:rPr>
        <w:t>, 18836–18856.</w:t>
      </w:r>
    </w:p>
    <w:p w14:paraId="0BCA0C06" w14:textId="77777777" w:rsidR="00CE5F87" w:rsidRPr="001E3806" w:rsidRDefault="00CE5F87" w:rsidP="00CE5F87">
      <w:pPr>
        <w:pStyle w:val="RSCR02References"/>
        <w:rPr>
          <w:lang w:val="en-US"/>
        </w:rPr>
      </w:pPr>
      <w:r w:rsidRPr="001E3806">
        <w:rPr>
          <w:lang w:val="en-US"/>
        </w:rPr>
        <w:t xml:space="preserve">M. Coduri, M. Karlsson and L. Malavasi, </w:t>
      </w:r>
      <w:r w:rsidRPr="001E3806">
        <w:rPr>
          <w:i/>
          <w:iCs/>
          <w:lang w:val="en-US"/>
        </w:rPr>
        <w:t>J. Mater. Chem. A</w:t>
      </w:r>
      <w:r w:rsidRPr="001E3806">
        <w:rPr>
          <w:lang w:val="en-US"/>
        </w:rPr>
        <w:t xml:space="preserve">, 2022, </w:t>
      </w:r>
      <w:r w:rsidRPr="001E3806">
        <w:rPr>
          <w:b/>
          <w:bCs/>
          <w:lang w:val="en-US"/>
        </w:rPr>
        <w:t>10</w:t>
      </w:r>
      <w:r w:rsidRPr="001E3806">
        <w:rPr>
          <w:lang w:val="en-US"/>
        </w:rPr>
        <w:t>, 5082.</w:t>
      </w:r>
    </w:p>
    <w:p w14:paraId="613BFF78" w14:textId="77777777" w:rsidR="00CE5F87" w:rsidRPr="001E3806" w:rsidRDefault="00CE5F87" w:rsidP="00CE5F87">
      <w:pPr>
        <w:pStyle w:val="RSCR02References"/>
        <w:rPr>
          <w:lang w:val="en-US"/>
        </w:rPr>
      </w:pPr>
      <w:r w:rsidRPr="001E3806">
        <w:rPr>
          <w:lang w:val="en-US"/>
        </w:rPr>
        <w:t xml:space="preserve">N. A. Tarasova, I. E. Animitsa, A. O. Galisheva and D. A. Medvedev, </w:t>
      </w:r>
      <w:r w:rsidRPr="001E3806">
        <w:rPr>
          <w:i/>
          <w:iCs/>
          <w:lang w:val="en-US"/>
        </w:rPr>
        <w:t>Electrochem. Mater. Technol.</w:t>
      </w:r>
      <w:r w:rsidRPr="001E3806">
        <w:rPr>
          <w:lang w:val="en-US"/>
        </w:rPr>
        <w:t xml:space="preserve">, 2022, </w:t>
      </w:r>
      <w:r w:rsidRPr="001E3806">
        <w:rPr>
          <w:b/>
          <w:bCs/>
          <w:lang w:val="en-US"/>
        </w:rPr>
        <w:t>1</w:t>
      </w:r>
      <w:r w:rsidRPr="001E3806">
        <w:rPr>
          <w:lang w:val="en-US"/>
        </w:rPr>
        <w:t>, 20221004.</w:t>
      </w:r>
    </w:p>
    <w:p w14:paraId="55C48EC3" w14:textId="77777777" w:rsidR="00CE5F87" w:rsidRPr="001E3806" w:rsidRDefault="00CE5F87" w:rsidP="00CE5F87">
      <w:pPr>
        <w:pStyle w:val="RSCR02References"/>
        <w:rPr>
          <w:lang w:val="en-US"/>
        </w:rPr>
      </w:pPr>
      <w:r w:rsidRPr="001E3806">
        <w:rPr>
          <w:lang w:val="en-US"/>
        </w:rPr>
        <w:t xml:space="preserve">W. Zhang and M. Yashima, </w:t>
      </w:r>
      <w:r w:rsidRPr="001E3806">
        <w:rPr>
          <w:i/>
          <w:iCs/>
          <w:lang w:val="en-US"/>
        </w:rPr>
        <w:t>Chem. Commun.</w:t>
      </w:r>
      <w:r w:rsidRPr="001E3806">
        <w:rPr>
          <w:lang w:val="en-US"/>
        </w:rPr>
        <w:t xml:space="preserve">, 2023, </w:t>
      </w:r>
      <w:r w:rsidRPr="001E3806">
        <w:rPr>
          <w:b/>
          <w:bCs/>
          <w:lang w:val="en-US"/>
        </w:rPr>
        <w:t>59</w:t>
      </w:r>
      <w:r w:rsidRPr="001E3806">
        <w:rPr>
          <w:lang w:val="en-US"/>
        </w:rPr>
        <w:t>, 134.</w:t>
      </w:r>
    </w:p>
    <w:p w14:paraId="70A5A574" w14:textId="77777777" w:rsidR="00CE5F87" w:rsidRPr="001E3806" w:rsidRDefault="00CE5F87" w:rsidP="00CE5F87">
      <w:pPr>
        <w:pStyle w:val="RSCR02References"/>
        <w:rPr>
          <w:lang w:val="en-US"/>
        </w:rPr>
      </w:pPr>
      <w:r w:rsidRPr="001E3806">
        <w:rPr>
          <w:lang w:val="en-US"/>
        </w:rPr>
        <w:t xml:space="preserve">X. Yang, A. J. Fernández-Carrión and X. Kuang, </w:t>
      </w:r>
      <w:r w:rsidRPr="001E3806">
        <w:rPr>
          <w:i/>
          <w:iCs/>
          <w:lang w:val="en-US"/>
        </w:rPr>
        <w:t>Chem. Rev.</w:t>
      </w:r>
      <w:r w:rsidRPr="001E3806">
        <w:rPr>
          <w:lang w:val="en-US"/>
        </w:rPr>
        <w:t xml:space="preserve">, 2023, </w:t>
      </w:r>
      <w:r w:rsidRPr="001E3806">
        <w:rPr>
          <w:b/>
          <w:bCs/>
          <w:lang w:val="en-US"/>
        </w:rPr>
        <w:t>123</w:t>
      </w:r>
      <w:r w:rsidRPr="001E3806">
        <w:rPr>
          <w:lang w:val="en-US"/>
        </w:rPr>
        <w:t>, 9356.</w:t>
      </w:r>
    </w:p>
    <w:p w14:paraId="1DC95272" w14:textId="35A66B61" w:rsidR="00CE5F87" w:rsidRPr="001E3806" w:rsidRDefault="00CE5F87" w:rsidP="00CE5F87">
      <w:pPr>
        <w:pStyle w:val="RSCR02References"/>
        <w:rPr>
          <w:lang w:val="en-US"/>
        </w:rPr>
      </w:pPr>
      <w:r w:rsidRPr="001E3806">
        <w:rPr>
          <w:lang w:val="en-US"/>
        </w:rPr>
        <w:t xml:space="preserve">K. Saito, M. Baba, K. Umeda, K. Fujii, T. Honda and M. Yashima, </w:t>
      </w:r>
      <w:r w:rsidRPr="001E3806">
        <w:rPr>
          <w:i/>
          <w:iCs/>
          <w:lang w:val="en-US"/>
        </w:rPr>
        <w:t>Inorg. Chem. Front.</w:t>
      </w:r>
      <w:r w:rsidRPr="001E3806">
        <w:rPr>
          <w:lang w:val="en-US"/>
        </w:rPr>
        <w:t xml:space="preserve">, May 30 </w:t>
      </w:r>
      <w:r w:rsidRPr="001E3806">
        <w:rPr>
          <w:rFonts w:hint="eastAsia"/>
          <w:lang w:val="en-US" w:eastAsia="ja-JP"/>
        </w:rPr>
        <w:t>2025</w:t>
      </w:r>
      <w:r w:rsidRPr="001E3806">
        <w:rPr>
          <w:lang w:val="en-US" w:eastAsia="ja-JP"/>
        </w:rPr>
        <w:t>, Published Online</w:t>
      </w:r>
      <w:r w:rsidRPr="001E3806">
        <w:rPr>
          <w:lang w:val="en-US"/>
        </w:rPr>
        <w:t>.</w:t>
      </w:r>
      <w:r w:rsidR="008235CB" w:rsidRPr="001E3806">
        <w:rPr>
          <w:lang w:val="en-US"/>
        </w:rPr>
        <w:t xml:space="preserve"> DOI: 10.1039/D5QI00632E</w:t>
      </w:r>
    </w:p>
    <w:p w14:paraId="4F6CAA44" w14:textId="77777777" w:rsidR="00CE5F87" w:rsidRPr="001E3806" w:rsidRDefault="00CE5F87" w:rsidP="00CE5F87">
      <w:pPr>
        <w:pStyle w:val="RSCR02References"/>
        <w:rPr>
          <w:lang w:val="en-US"/>
        </w:rPr>
      </w:pPr>
      <w:r w:rsidRPr="001E3806">
        <w:rPr>
          <w:lang w:val="en-US"/>
        </w:rPr>
        <w:t xml:space="preserve">K. Hatakeyama, T. Tsugawa, H. Watanabe, K. Oka, S. Kinoshita, K. Awaya, M. Koinuma and S. Ida, </w:t>
      </w:r>
      <w:r w:rsidRPr="001E3806">
        <w:rPr>
          <w:i/>
          <w:iCs/>
          <w:lang w:val="en-US"/>
        </w:rPr>
        <w:t>J. Mater. Chem. A</w:t>
      </w:r>
      <w:r w:rsidRPr="001E3806">
        <w:rPr>
          <w:lang w:val="en-US"/>
        </w:rPr>
        <w:t xml:space="preserve">, 2025, </w:t>
      </w:r>
      <w:r w:rsidRPr="001E3806">
        <w:rPr>
          <w:b/>
          <w:bCs/>
          <w:lang w:val="en-US"/>
        </w:rPr>
        <w:t>2</w:t>
      </w:r>
      <w:r w:rsidRPr="001E3806">
        <w:rPr>
          <w:lang w:val="en-US"/>
        </w:rPr>
        <w:t>, 734.</w:t>
      </w:r>
    </w:p>
    <w:p w14:paraId="16CCDE27" w14:textId="77777777" w:rsidR="00CE5F87" w:rsidRPr="001E3806" w:rsidRDefault="00CE5F87" w:rsidP="00CE5F87">
      <w:pPr>
        <w:pStyle w:val="RSCR02References"/>
        <w:rPr>
          <w:lang w:val="en-US"/>
        </w:rPr>
      </w:pPr>
      <w:r w:rsidRPr="001E3806">
        <w:rPr>
          <w:lang w:val="en-US"/>
        </w:rPr>
        <w:t xml:space="preserve">A. Pathak, H. Watanabe, B. Manna, K. Hatakeyama and S. Ida, </w:t>
      </w:r>
      <w:r w:rsidRPr="001E3806">
        <w:rPr>
          <w:i/>
          <w:iCs/>
          <w:lang w:val="en-US"/>
        </w:rPr>
        <w:t>Small</w:t>
      </w:r>
      <w:r w:rsidRPr="001E3806">
        <w:rPr>
          <w:lang w:val="en-US"/>
        </w:rPr>
        <w:t xml:space="preserve">, 2024, </w:t>
      </w:r>
      <w:r w:rsidRPr="001E3806">
        <w:rPr>
          <w:b/>
          <w:bCs/>
          <w:lang w:val="en-US"/>
        </w:rPr>
        <w:t>20</w:t>
      </w:r>
      <w:r w:rsidRPr="001E3806">
        <w:rPr>
          <w:lang w:val="en-US"/>
        </w:rPr>
        <w:t>, 2400222.</w:t>
      </w:r>
    </w:p>
    <w:p w14:paraId="4C7343C7" w14:textId="77777777" w:rsidR="00CE5F87" w:rsidRPr="001E3806" w:rsidRDefault="00CE5F87" w:rsidP="00CE5F87">
      <w:pPr>
        <w:pStyle w:val="RSCR02References"/>
        <w:rPr>
          <w:lang w:val="en-US"/>
        </w:rPr>
      </w:pPr>
      <w:r w:rsidRPr="001E3806">
        <w:rPr>
          <w:lang w:val="en-US"/>
        </w:rPr>
        <w:t xml:space="preserve">L. Malavasi, C. A. J. Fisher and M. S. Islam, </w:t>
      </w:r>
      <w:r w:rsidRPr="001E3806">
        <w:rPr>
          <w:i/>
          <w:iCs/>
          <w:lang w:val="en-US"/>
        </w:rPr>
        <w:t>Chem. Soc. Rev.</w:t>
      </w:r>
      <w:r w:rsidRPr="001E3806">
        <w:rPr>
          <w:lang w:val="en-US"/>
        </w:rPr>
        <w:t xml:space="preserve">, 2010, </w:t>
      </w:r>
      <w:r w:rsidRPr="001E3806">
        <w:rPr>
          <w:b/>
          <w:bCs/>
          <w:lang w:val="en-US"/>
        </w:rPr>
        <w:t>39</w:t>
      </w:r>
      <w:r w:rsidRPr="001E3806">
        <w:rPr>
          <w:lang w:val="en-US"/>
        </w:rPr>
        <w:t>, 4370.</w:t>
      </w:r>
    </w:p>
    <w:p w14:paraId="7CFBF950" w14:textId="77777777" w:rsidR="00CE5F87" w:rsidRPr="001E3806" w:rsidRDefault="00CE5F87" w:rsidP="00CE5F87">
      <w:pPr>
        <w:pStyle w:val="RSCR02References"/>
        <w:rPr>
          <w:lang w:val="en-US"/>
        </w:rPr>
      </w:pPr>
      <w:r w:rsidRPr="001E3806">
        <w:rPr>
          <w:lang w:val="en-US"/>
        </w:rPr>
        <w:t xml:space="preserve">S. Rauf, B. Zhu, M. A. K. Yousaf Shah, Z. Tayyab, S. Attique, N. Ali, N. Mushtaq, B. Wang, C. Yang, M. I. Asghar and P. D. Lund, </w:t>
      </w:r>
      <w:r w:rsidRPr="001E3806">
        <w:rPr>
          <w:i/>
          <w:iCs/>
          <w:lang w:val="en-US"/>
        </w:rPr>
        <w:t>ACS Appl. Mater. Interfaces</w:t>
      </w:r>
      <w:r w:rsidRPr="001E3806">
        <w:rPr>
          <w:lang w:val="en-US"/>
        </w:rPr>
        <w:t xml:space="preserve">, 2020, </w:t>
      </w:r>
      <w:r w:rsidRPr="001E3806">
        <w:rPr>
          <w:b/>
          <w:bCs/>
          <w:lang w:val="en-US"/>
        </w:rPr>
        <w:t>12</w:t>
      </w:r>
      <w:r w:rsidRPr="001E3806">
        <w:rPr>
          <w:lang w:val="en-US"/>
        </w:rPr>
        <w:t>, 35071.</w:t>
      </w:r>
    </w:p>
    <w:p w14:paraId="699871F6" w14:textId="77777777" w:rsidR="00CE5F87" w:rsidRPr="001E3806" w:rsidRDefault="00CE5F87" w:rsidP="00CE5F87">
      <w:pPr>
        <w:pStyle w:val="RSCR02References"/>
        <w:rPr>
          <w:lang w:val="en-US"/>
        </w:rPr>
      </w:pPr>
      <w:r w:rsidRPr="001E3806">
        <w:rPr>
          <w:lang w:val="en-US"/>
        </w:rPr>
        <w:t xml:space="preserve">H. Shi, C. Su, R. Ran, J. Cao and Z. Shao, </w:t>
      </w:r>
      <w:r w:rsidRPr="001E3806">
        <w:rPr>
          <w:i/>
          <w:iCs/>
          <w:lang w:val="en-US"/>
        </w:rPr>
        <w:t>Prog. Nat. Sci. Mater. Int.</w:t>
      </w:r>
      <w:r w:rsidRPr="001E3806">
        <w:rPr>
          <w:lang w:val="en-US"/>
        </w:rPr>
        <w:t xml:space="preserve">, 2020, </w:t>
      </w:r>
      <w:r w:rsidRPr="001E3806">
        <w:rPr>
          <w:b/>
          <w:bCs/>
          <w:lang w:val="en-US"/>
        </w:rPr>
        <w:t>30</w:t>
      </w:r>
      <w:r w:rsidRPr="001E3806">
        <w:rPr>
          <w:lang w:val="en-US"/>
        </w:rPr>
        <w:t>, 764.</w:t>
      </w:r>
    </w:p>
    <w:p w14:paraId="1858ECF8" w14:textId="77777777" w:rsidR="00CE5F87" w:rsidRPr="001E3806" w:rsidRDefault="00CE5F87" w:rsidP="00CE5F87">
      <w:pPr>
        <w:pStyle w:val="RSCR02References"/>
        <w:rPr>
          <w:lang w:val="en-US"/>
        </w:rPr>
      </w:pPr>
      <w:r w:rsidRPr="001E3806">
        <w:rPr>
          <w:lang w:val="en-US"/>
        </w:rPr>
        <w:t xml:space="preserve">Y. Sakuda, T. Murakami, M. Avdeev, K. Fujii, Y. Yasui, J. R. Hester, M. Hagihala, Y. Ikeda, Y. Nambu and M. Yashima, </w:t>
      </w:r>
      <w:r w:rsidRPr="001E3806">
        <w:rPr>
          <w:i/>
          <w:iCs/>
          <w:lang w:val="en-US"/>
        </w:rPr>
        <w:t>Chem. Mater.</w:t>
      </w:r>
      <w:r w:rsidRPr="001E3806">
        <w:rPr>
          <w:lang w:val="en-US"/>
        </w:rPr>
        <w:t xml:space="preserve">, 2023, </w:t>
      </w:r>
      <w:r w:rsidRPr="001E3806">
        <w:rPr>
          <w:b/>
          <w:bCs/>
          <w:lang w:val="en-US"/>
        </w:rPr>
        <w:t>35</w:t>
      </w:r>
      <w:r w:rsidRPr="001E3806">
        <w:rPr>
          <w:lang w:val="en-US"/>
        </w:rPr>
        <w:t>, 9774.</w:t>
      </w:r>
    </w:p>
    <w:p w14:paraId="2687B093" w14:textId="77777777" w:rsidR="00CE5F87" w:rsidRPr="001E3806" w:rsidRDefault="00CE5F87" w:rsidP="00CE5F87">
      <w:pPr>
        <w:pStyle w:val="RSCR02References"/>
        <w:rPr>
          <w:lang w:val="en-US"/>
        </w:rPr>
      </w:pPr>
      <w:r w:rsidRPr="001E3806">
        <w:rPr>
          <w:lang w:val="en-US"/>
        </w:rPr>
        <w:t xml:space="preserve">Y. Yamazaki, F. Blanc, Y. Okuyama, L. Buannic, J. C. Lucio-Vega, C. P. Grey and S. M. Haile, </w:t>
      </w:r>
      <w:r w:rsidRPr="001E3806">
        <w:rPr>
          <w:i/>
          <w:iCs/>
          <w:lang w:val="en-US"/>
        </w:rPr>
        <w:t>Nat. Mater.</w:t>
      </w:r>
      <w:r w:rsidRPr="001E3806">
        <w:rPr>
          <w:iCs/>
          <w:lang w:val="en-US"/>
        </w:rPr>
        <w:t>,</w:t>
      </w:r>
      <w:r w:rsidRPr="001E3806">
        <w:rPr>
          <w:i/>
          <w:iCs/>
          <w:lang w:val="en-US"/>
        </w:rPr>
        <w:t xml:space="preserve"> </w:t>
      </w:r>
      <w:r w:rsidRPr="001E3806">
        <w:rPr>
          <w:lang w:val="en-US"/>
        </w:rPr>
        <w:t xml:space="preserve">2013, </w:t>
      </w:r>
      <w:r w:rsidRPr="001E3806">
        <w:rPr>
          <w:b/>
          <w:bCs/>
          <w:lang w:val="en-US"/>
        </w:rPr>
        <w:t>12</w:t>
      </w:r>
      <w:r w:rsidRPr="001E3806">
        <w:rPr>
          <w:lang w:val="en-US"/>
        </w:rPr>
        <w:t>, 647.</w:t>
      </w:r>
    </w:p>
    <w:p w14:paraId="3E8DC002" w14:textId="77777777" w:rsidR="00CE5F87" w:rsidRPr="001E3806" w:rsidRDefault="00CE5F87" w:rsidP="00CE5F87">
      <w:pPr>
        <w:pStyle w:val="RSCR02References"/>
        <w:rPr>
          <w:lang w:val="en-US"/>
        </w:rPr>
      </w:pPr>
      <w:r w:rsidRPr="001E3806">
        <w:rPr>
          <w:lang w:val="en-US"/>
        </w:rPr>
        <w:t xml:space="preserve">N. Ueno, H. Yaguchi, K. Fujii and M. Yashima, </w:t>
      </w:r>
      <w:r w:rsidRPr="001E3806">
        <w:rPr>
          <w:i/>
          <w:iCs/>
          <w:lang w:val="en-US"/>
        </w:rPr>
        <w:t>J. Am. Chem. Soc.</w:t>
      </w:r>
      <w:r w:rsidRPr="001E3806">
        <w:rPr>
          <w:lang w:val="en-US"/>
        </w:rPr>
        <w:t xml:space="preserve">, 2024, </w:t>
      </w:r>
      <w:r w:rsidRPr="001E3806">
        <w:rPr>
          <w:b/>
          <w:bCs/>
          <w:lang w:val="en-US"/>
        </w:rPr>
        <w:t>146</w:t>
      </w:r>
      <w:r w:rsidRPr="001E3806">
        <w:rPr>
          <w:lang w:val="en-US"/>
        </w:rPr>
        <w:t>, 11235.</w:t>
      </w:r>
    </w:p>
    <w:p w14:paraId="5F0BE6F0" w14:textId="77777777" w:rsidR="00CE5F87" w:rsidRPr="001E3806" w:rsidRDefault="00CE5F87" w:rsidP="00CE5F87">
      <w:pPr>
        <w:pStyle w:val="RSCR02References"/>
        <w:rPr>
          <w:lang w:val="en-US"/>
        </w:rPr>
      </w:pPr>
      <w:r w:rsidRPr="001E3806">
        <w:rPr>
          <w:lang w:val="en-US"/>
        </w:rPr>
        <w:t xml:space="preserve">Y. Yasui, K. Jojima, K. Fujii, K. Mori and M. Yashima, </w:t>
      </w:r>
      <w:r w:rsidRPr="001E3806">
        <w:rPr>
          <w:i/>
          <w:iCs/>
          <w:lang w:val="en-US"/>
        </w:rPr>
        <w:t>Chem. Mater.</w:t>
      </w:r>
      <w:r w:rsidRPr="001E3806">
        <w:rPr>
          <w:lang w:val="en-US"/>
        </w:rPr>
        <w:t xml:space="preserve">, 2025, </w:t>
      </w:r>
      <w:r w:rsidRPr="001E3806">
        <w:rPr>
          <w:b/>
          <w:bCs/>
          <w:lang w:val="en-US"/>
        </w:rPr>
        <w:t>37</w:t>
      </w:r>
      <w:r w:rsidRPr="001E3806">
        <w:rPr>
          <w:lang w:val="en-US"/>
        </w:rPr>
        <w:t>, 9.</w:t>
      </w:r>
    </w:p>
    <w:p w14:paraId="66A779B3" w14:textId="77777777" w:rsidR="00CE5F87" w:rsidRPr="001E3806" w:rsidRDefault="00CE5F87" w:rsidP="00CE5F87">
      <w:pPr>
        <w:pStyle w:val="RSCR02References"/>
        <w:rPr>
          <w:lang w:val="en-US"/>
        </w:rPr>
      </w:pPr>
      <w:r w:rsidRPr="001E3806">
        <w:rPr>
          <w:lang w:val="en-US"/>
        </w:rPr>
        <w:t xml:space="preserve">H. Yaguchi, D. Morikawa, T. Saito, K. Tsuda, M. Yashima, H. Yaguchi, M. Yashima, D. Morikawa, T. Saito and K. Tsuda, </w:t>
      </w:r>
      <w:r w:rsidRPr="001E3806">
        <w:rPr>
          <w:i/>
          <w:iCs/>
          <w:lang w:val="en-US"/>
        </w:rPr>
        <w:t>Adv. Funct. Mater.</w:t>
      </w:r>
      <w:r w:rsidRPr="001E3806">
        <w:rPr>
          <w:lang w:val="en-US"/>
        </w:rPr>
        <w:t xml:space="preserve">, 2023, </w:t>
      </w:r>
      <w:r w:rsidRPr="001E3806">
        <w:rPr>
          <w:b/>
          <w:lang w:val="en-US"/>
        </w:rPr>
        <w:t>33</w:t>
      </w:r>
      <w:r w:rsidRPr="001E3806">
        <w:rPr>
          <w:lang w:val="en-US"/>
        </w:rPr>
        <w:t>, 2214082.</w:t>
      </w:r>
    </w:p>
    <w:p w14:paraId="41F4B32D" w14:textId="77777777" w:rsidR="00CE5F87" w:rsidRPr="001E3806" w:rsidRDefault="00CE5F87" w:rsidP="00CE5F87">
      <w:pPr>
        <w:pStyle w:val="RSCR02References"/>
        <w:rPr>
          <w:lang w:val="en-US"/>
        </w:rPr>
      </w:pPr>
      <w:r w:rsidRPr="001E3806">
        <w:rPr>
          <w:lang w:val="en-US"/>
        </w:rPr>
        <w:t xml:space="preserve">J. Meng, M. S. Sheikh, R. Jacobs, J. Liu, W. O. Nachlas, X. Li and D. Morgan, </w:t>
      </w:r>
      <w:r w:rsidRPr="001E3806">
        <w:rPr>
          <w:i/>
          <w:iCs/>
          <w:lang w:val="en-US"/>
        </w:rPr>
        <w:t xml:space="preserve">Nat. Mater. </w:t>
      </w:r>
      <w:r w:rsidRPr="001E3806">
        <w:rPr>
          <w:iCs/>
          <w:lang w:val="en-US"/>
        </w:rPr>
        <w:t>2024</w:t>
      </w:r>
      <w:r w:rsidRPr="001E3806">
        <w:rPr>
          <w:lang w:val="en-US"/>
        </w:rPr>
        <w:t xml:space="preserve">, </w:t>
      </w:r>
      <w:r w:rsidRPr="001E3806">
        <w:rPr>
          <w:b/>
          <w:bCs/>
          <w:lang w:val="en-US"/>
        </w:rPr>
        <w:t>23</w:t>
      </w:r>
      <w:r w:rsidRPr="001E3806">
        <w:rPr>
          <w:lang w:val="en-US"/>
        </w:rPr>
        <w:t>, 1252.</w:t>
      </w:r>
    </w:p>
    <w:p w14:paraId="638A9572" w14:textId="77777777" w:rsidR="00CE5F87" w:rsidRPr="001E3806" w:rsidRDefault="00CE5F87" w:rsidP="00CE5F87">
      <w:pPr>
        <w:pStyle w:val="RSCR02References"/>
        <w:rPr>
          <w:lang w:val="en-US"/>
        </w:rPr>
      </w:pPr>
      <w:r w:rsidRPr="001E3806">
        <w:rPr>
          <w:lang w:val="en-US"/>
        </w:rPr>
        <w:t xml:space="preserve">K. Amezawa, H. Maekawa, Y. Tomii and N. Yamamoto, </w:t>
      </w:r>
      <w:r w:rsidRPr="001E3806">
        <w:rPr>
          <w:i/>
          <w:iCs/>
          <w:lang w:val="en-US"/>
        </w:rPr>
        <w:t>Solid State Ionics</w:t>
      </w:r>
      <w:r w:rsidRPr="001E3806">
        <w:rPr>
          <w:lang w:val="en-US"/>
        </w:rPr>
        <w:t xml:space="preserve">, 2001, </w:t>
      </w:r>
      <w:r w:rsidRPr="001E3806">
        <w:rPr>
          <w:b/>
          <w:bCs/>
          <w:lang w:val="en-US"/>
        </w:rPr>
        <w:t>145</w:t>
      </w:r>
      <w:r w:rsidRPr="001E3806">
        <w:rPr>
          <w:lang w:val="en-US"/>
        </w:rPr>
        <w:t>, 233.</w:t>
      </w:r>
    </w:p>
    <w:p w14:paraId="569416EC" w14:textId="77777777" w:rsidR="00CE5F87" w:rsidRPr="001E3806" w:rsidRDefault="00CE5F87" w:rsidP="00CE5F87">
      <w:pPr>
        <w:pStyle w:val="RSCR02References"/>
        <w:rPr>
          <w:lang w:val="en-US"/>
        </w:rPr>
      </w:pPr>
      <w:r w:rsidRPr="001E3806">
        <w:rPr>
          <w:lang w:val="en-US"/>
        </w:rPr>
        <w:t xml:space="preserve">H. Sumi, H. Shimada, Y. Yamaguchi, Y. Mizutani, Y. Okuyama and K. Amezawa, </w:t>
      </w:r>
      <w:r w:rsidRPr="001E3806">
        <w:rPr>
          <w:i/>
          <w:iCs/>
          <w:lang w:val="en-US"/>
        </w:rPr>
        <w:t>Sci. Rep.</w:t>
      </w:r>
      <w:r w:rsidRPr="001E3806">
        <w:rPr>
          <w:lang w:val="en-US"/>
        </w:rPr>
        <w:t xml:space="preserve">, 2021, </w:t>
      </w:r>
      <w:r w:rsidRPr="001E3806">
        <w:rPr>
          <w:b/>
          <w:bCs/>
          <w:lang w:val="en-US"/>
        </w:rPr>
        <w:t>11</w:t>
      </w:r>
      <w:r w:rsidRPr="001E3806">
        <w:rPr>
          <w:lang w:val="en-US"/>
        </w:rPr>
        <w:t>, 1.</w:t>
      </w:r>
    </w:p>
    <w:p w14:paraId="0A4033C7" w14:textId="77777777" w:rsidR="00CE5F87" w:rsidRPr="001E3806" w:rsidRDefault="00CE5F87" w:rsidP="00CE5F87">
      <w:pPr>
        <w:pStyle w:val="RSCR02References"/>
        <w:rPr>
          <w:lang w:val="en-US"/>
        </w:rPr>
      </w:pPr>
      <w:r w:rsidRPr="001E3806">
        <w:rPr>
          <w:lang w:val="en-US"/>
        </w:rPr>
        <w:t xml:space="preserve">K. Saito and M. Yashima, </w:t>
      </w:r>
      <w:r w:rsidRPr="001E3806">
        <w:rPr>
          <w:i/>
          <w:iCs/>
          <w:lang w:val="en-US"/>
        </w:rPr>
        <w:t>Nat. Commun.</w:t>
      </w:r>
      <w:r w:rsidRPr="001E3806">
        <w:rPr>
          <w:lang w:val="en-US"/>
        </w:rPr>
        <w:t xml:space="preserve">, 2023, </w:t>
      </w:r>
      <w:r w:rsidRPr="001E3806">
        <w:rPr>
          <w:b/>
          <w:bCs/>
          <w:lang w:val="en-US"/>
        </w:rPr>
        <w:t>14</w:t>
      </w:r>
      <w:r w:rsidRPr="001E3806">
        <w:rPr>
          <w:lang w:val="en-US"/>
        </w:rPr>
        <w:t>, 7466.</w:t>
      </w:r>
    </w:p>
    <w:p w14:paraId="5C0F1D2D" w14:textId="77777777" w:rsidR="00CE5F87" w:rsidRPr="001E3806" w:rsidRDefault="00CE5F87" w:rsidP="00CE5F87">
      <w:pPr>
        <w:pStyle w:val="RSCR02References"/>
        <w:rPr>
          <w:lang w:val="en-US"/>
        </w:rPr>
      </w:pPr>
      <w:r w:rsidRPr="001E3806">
        <w:rPr>
          <w:lang w:val="en-US"/>
        </w:rPr>
        <w:t xml:space="preserve">A. K. E. Andersson, S. M. Selbach, C. S. Knee and T. Grande, </w:t>
      </w:r>
      <w:r w:rsidRPr="001E3806">
        <w:rPr>
          <w:i/>
          <w:iCs/>
          <w:lang w:val="en-US"/>
        </w:rPr>
        <w:t>J. Am. Ceram. Soc.</w:t>
      </w:r>
      <w:r w:rsidRPr="001E3806">
        <w:rPr>
          <w:lang w:val="en-US"/>
        </w:rPr>
        <w:t xml:space="preserve">, 2014, </w:t>
      </w:r>
      <w:r w:rsidRPr="001E3806">
        <w:rPr>
          <w:b/>
          <w:bCs/>
          <w:lang w:val="en-US"/>
        </w:rPr>
        <w:t>97</w:t>
      </w:r>
      <w:r w:rsidRPr="001E3806">
        <w:rPr>
          <w:lang w:val="en-US"/>
        </w:rPr>
        <w:t>, 2654.</w:t>
      </w:r>
    </w:p>
    <w:p w14:paraId="4ADF36EA" w14:textId="77777777" w:rsidR="00CE5F87" w:rsidRPr="001E3806" w:rsidRDefault="00CE5F87" w:rsidP="00CE5F87">
      <w:pPr>
        <w:pStyle w:val="RSCR02References"/>
        <w:rPr>
          <w:lang w:val="en-US"/>
        </w:rPr>
      </w:pPr>
      <w:r w:rsidRPr="001E3806">
        <w:rPr>
          <w:lang w:val="en-US"/>
        </w:rPr>
        <w:t xml:space="preserve">A. Løken, S. Ricote and S. Wachowski, </w:t>
      </w:r>
      <w:r w:rsidRPr="001E3806">
        <w:rPr>
          <w:i/>
          <w:iCs/>
          <w:lang w:val="en-US"/>
        </w:rPr>
        <w:t>Cryst.</w:t>
      </w:r>
      <w:r w:rsidRPr="001E3806">
        <w:rPr>
          <w:lang w:val="en-US"/>
        </w:rPr>
        <w:t xml:space="preserve"> 2018, </w:t>
      </w:r>
      <w:r w:rsidRPr="001E3806">
        <w:rPr>
          <w:b/>
          <w:bCs/>
          <w:lang w:val="en-US"/>
        </w:rPr>
        <w:t>8</w:t>
      </w:r>
      <w:r w:rsidRPr="001E3806">
        <w:rPr>
          <w:lang w:val="en-US"/>
        </w:rPr>
        <w:t>, 365.</w:t>
      </w:r>
    </w:p>
    <w:p w14:paraId="704A9A9A" w14:textId="77777777" w:rsidR="00CE5F87" w:rsidRPr="001E3806" w:rsidRDefault="00CE5F87" w:rsidP="00CE5F87">
      <w:pPr>
        <w:pStyle w:val="RSCR02References"/>
        <w:rPr>
          <w:lang w:val="en-US"/>
        </w:rPr>
      </w:pPr>
      <w:r w:rsidRPr="001E3806">
        <w:rPr>
          <w:lang w:val="en-US"/>
        </w:rPr>
        <w:t xml:space="preserve">I. Animitsa, D. Korona, A. Bushueva, R. Andreev and S. Nokhrin, </w:t>
      </w:r>
      <w:r w:rsidRPr="001E3806">
        <w:rPr>
          <w:i/>
          <w:iCs/>
          <w:lang w:val="en-US"/>
        </w:rPr>
        <w:t>Chim. Techno Acta</w:t>
      </w:r>
      <w:r w:rsidRPr="001E3806">
        <w:rPr>
          <w:lang w:val="en-US"/>
        </w:rPr>
        <w:t>, 2024</w:t>
      </w:r>
      <w:r w:rsidRPr="001E3806">
        <w:rPr>
          <w:rFonts w:hint="eastAsia"/>
          <w:lang w:val="en-US" w:eastAsia="ja-JP"/>
        </w:rPr>
        <w:t xml:space="preserve">, </w:t>
      </w:r>
      <w:r w:rsidRPr="001E3806">
        <w:rPr>
          <w:b/>
          <w:bCs/>
          <w:lang w:val="en-US"/>
        </w:rPr>
        <w:t>11</w:t>
      </w:r>
      <w:r w:rsidRPr="001E3806">
        <w:rPr>
          <w:lang w:val="en-US"/>
        </w:rPr>
        <w:t>, 202411403.</w:t>
      </w:r>
    </w:p>
    <w:p w14:paraId="7919FFDA" w14:textId="77777777" w:rsidR="00CE5F87" w:rsidRPr="001E3806" w:rsidRDefault="00CE5F87" w:rsidP="00CE5F87">
      <w:pPr>
        <w:pStyle w:val="RSCR02References"/>
        <w:rPr>
          <w:lang w:val="en-US"/>
        </w:rPr>
      </w:pPr>
      <w:r w:rsidRPr="001E3806">
        <w:rPr>
          <w:lang w:val="en-US"/>
        </w:rPr>
        <w:t xml:space="preserve">L. Yang, S. Wang, K. Blinn, M. Liu, Z. Liu, Z. Cheng and M. Liu, </w:t>
      </w:r>
      <w:r w:rsidRPr="001E3806">
        <w:rPr>
          <w:i/>
          <w:iCs/>
          <w:lang w:val="en-US"/>
        </w:rPr>
        <w:t>Science</w:t>
      </w:r>
      <w:r w:rsidRPr="001E3806">
        <w:rPr>
          <w:lang w:val="en-US"/>
        </w:rPr>
        <w:t xml:space="preserve">, 2009, </w:t>
      </w:r>
      <w:r w:rsidRPr="001E3806">
        <w:rPr>
          <w:b/>
          <w:bCs/>
          <w:lang w:val="en-US"/>
        </w:rPr>
        <w:t>326</w:t>
      </w:r>
      <w:r w:rsidRPr="001E3806">
        <w:rPr>
          <w:lang w:val="en-US"/>
        </w:rPr>
        <w:t>, 126.</w:t>
      </w:r>
    </w:p>
    <w:p w14:paraId="75793C69" w14:textId="77777777" w:rsidR="00CE5F87" w:rsidRPr="001E3806" w:rsidRDefault="00CE5F87" w:rsidP="00CE5F87">
      <w:pPr>
        <w:pStyle w:val="RSCR02References"/>
        <w:rPr>
          <w:lang w:val="en-US"/>
        </w:rPr>
      </w:pPr>
      <w:r w:rsidRPr="001E3806">
        <w:rPr>
          <w:lang w:val="en-US"/>
        </w:rPr>
        <w:t xml:space="preserve">C. Zhou, J. Sunarso, Y. Song, J. Dai, J. Zhang, B. Gu, W. Zhou and Z. Shao, </w:t>
      </w:r>
      <w:r w:rsidRPr="001E3806">
        <w:rPr>
          <w:i/>
          <w:iCs/>
          <w:lang w:val="en-US"/>
        </w:rPr>
        <w:t>J. Mater. Chem. A</w:t>
      </w:r>
      <w:r w:rsidRPr="001E3806">
        <w:rPr>
          <w:lang w:val="en-US"/>
        </w:rPr>
        <w:t xml:space="preserve">, 2019, </w:t>
      </w:r>
      <w:r w:rsidRPr="001E3806">
        <w:rPr>
          <w:b/>
          <w:bCs/>
          <w:lang w:val="en-US"/>
        </w:rPr>
        <w:t>7</w:t>
      </w:r>
      <w:r w:rsidRPr="001E3806">
        <w:rPr>
          <w:lang w:val="en-US"/>
        </w:rPr>
        <w:t>, 13265.</w:t>
      </w:r>
    </w:p>
    <w:p w14:paraId="470F8FD7" w14:textId="77777777" w:rsidR="00CE5F87" w:rsidRPr="001E3806" w:rsidRDefault="00CE5F87" w:rsidP="00CE5F87">
      <w:pPr>
        <w:pStyle w:val="RSCR02References"/>
        <w:rPr>
          <w:lang w:val="en-US"/>
        </w:rPr>
      </w:pPr>
      <w:r w:rsidRPr="001E3806">
        <w:rPr>
          <w:lang w:val="en-US"/>
        </w:rPr>
        <w:t xml:space="preserve">S. Fop, K. S. McCombie, E. J. Wildman, J. M. S. Skakle, J. T. S. Irvine, P. A. Connor, C. Savaniu, C. Ritter and A. C. Mclaughlin, </w:t>
      </w:r>
      <w:r w:rsidRPr="001E3806">
        <w:rPr>
          <w:i/>
          <w:iCs/>
          <w:lang w:val="en-US"/>
        </w:rPr>
        <w:t>Nat. Mater.</w:t>
      </w:r>
      <w:r w:rsidRPr="001E3806">
        <w:rPr>
          <w:lang w:val="en-US"/>
        </w:rPr>
        <w:t xml:space="preserve">, 2020, </w:t>
      </w:r>
      <w:r w:rsidRPr="001E3806">
        <w:rPr>
          <w:b/>
          <w:bCs/>
          <w:lang w:val="en-US"/>
        </w:rPr>
        <w:t>19</w:t>
      </w:r>
      <w:r w:rsidRPr="001E3806">
        <w:rPr>
          <w:lang w:val="en-US"/>
        </w:rPr>
        <w:t>, 752.</w:t>
      </w:r>
    </w:p>
    <w:p w14:paraId="3B0E0326" w14:textId="77777777" w:rsidR="00CE5F87" w:rsidRPr="001E3806" w:rsidRDefault="00CE5F87" w:rsidP="00CE5F87">
      <w:pPr>
        <w:pStyle w:val="RSCR02References"/>
        <w:rPr>
          <w:lang w:val="en-US"/>
        </w:rPr>
      </w:pPr>
      <w:r w:rsidRPr="001E3806">
        <w:rPr>
          <w:lang w:val="en-US"/>
        </w:rPr>
        <w:lastRenderedPageBreak/>
        <w:t xml:space="preserve">J. Cao, C. Su, Y. Ji, G. Yang and Z. Shao, </w:t>
      </w:r>
      <w:r w:rsidRPr="001E3806">
        <w:rPr>
          <w:i/>
          <w:iCs/>
          <w:lang w:val="en-US"/>
        </w:rPr>
        <w:t>J. Energy Chem.</w:t>
      </w:r>
      <w:r w:rsidRPr="001E3806">
        <w:rPr>
          <w:lang w:val="en-US"/>
        </w:rPr>
        <w:t xml:space="preserve">, 2021, </w:t>
      </w:r>
      <w:r w:rsidRPr="001E3806">
        <w:rPr>
          <w:b/>
          <w:bCs/>
          <w:lang w:val="en-US"/>
        </w:rPr>
        <w:t>57</w:t>
      </w:r>
      <w:r w:rsidRPr="001E3806">
        <w:rPr>
          <w:lang w:val="en-US"/>
        </w:rPr>
        <w:t>, 406.</w:t>
      </w:r>
    </w:p>
    <w:p w14:paraId="239B8CB1" w14:textId="77777777" w:rsidR="00CE5F87" w:rsidRPr="001E3806" w:rsidRDefault="00CE5F87" w:rsidP="00CE5F87">
      <w:pPr>
        <w:pStyle w:val="RSCR02References"/>
        <w:rPr>
          <w:lang w:val="en-US"/>
        </w:rPr>
      </w:pPr>
      <w:r w:rsidRPr="001E3806">
        <w:rPr>
          <w:lang w:val="en-US"/>
        </w:rPr>
        <w:t xml:space="preserve">T. Murakami, J. R. Hester and M. Yashima, </w:t>
      </w:r>
      <w:r w:rsidRPr="001E3806">
        <w:rPr>
          <w:i/>
          <w:iCs/>
          <w:lang w:val="en-US"/>
        </w:rPr>
        <w:t>J. Am. Chem. Soc.</w:t>
      </w:r>
      <w:r w:rsidRPr="001E3806">
        <w:rPr>
          <w:lang w:val="en-US"/>
        </w:rPr>
        <w:t xml:space="preserve">, 2020, </w:t>
      </w:r>
      <w:r w:rsidRPr="001E3806">
        <w:rPr>
          <w:b/>
          <w:bCs/>
          <w:lang w:val="en-US"/>
        </w:rPr>
        <w:t>142</w:t>
      </w:r>
      <w:r w:rsidRPr="001E3806">
        <w:rPr>
          <w:lang w:val="en-US"/>
        </w:rPr>
        <w:t>, 11653.</w:t>
      </w:r>
    </w:p>
    <w:p w14:paraId="21712B82" w14:textId="77777777" w:rsidR="00CE5F87" w:rsidRPr="001E3806" w:rsidRDefault="00CE5F87" w:rsidP="00CE5F87">
      <w:pPr>
        <w:pStyle w:val="RSCR02References"/>
        <w:rPr>
          <w:lang w:val="en-US"/>
        </w:rPr>
      </w:pPr>
      <w:r w:rsidRPr="001E3806">
        <w:rPr>
          <w:lang w:val="en-US"/>
        </w:rPr>
        <w:t xml:space="preserve">Y. Youn, B. Hussain, A. Ullah, I. J. Hwang, J. Shin, J. E. Hong, D. W. Joh, S. B. Lee, R. H. Song, S. J. Park, T. W. Kim, Y. Choi, T. H. Lim and H. S. Kim, </w:t>
      </w:r>
      <w:r w:rsidRPr="001E3806">
        <w:rPr>
          <w:i/>
          <w:iCs/>
          <w:lang w:val="en-US"/>
        </w:rPr>
        <w:t>Chem. Mater.</w:t>
      </w:r>
      <w:r w:rsidRPr="001E3806">
        <w:rPr>
          <w:lang w:val="en-US"/>
        </w:rPr>
        <w:t xml:space="preserve">, 2023, </w:t>
      </w:r>
      <w:r w:rsidRPr="001E3806">
        <w:rPr>
          <w:b/>
          <w:bCs/>
          <w:lang w:val="en-US"/>
        </w:rPr>
        <w:t>35</w:t>
      </w:r>
      <w:r w:rsidRPr="001E3806">
        <w:rPr>
          <w:lang w:val="en-US"/>
        </w:rPr>
        <w:t>, 9493.</w:t>
      </w:r>
    </w:p>
    <w:p w14:paraId="0D9EDF77" w14:textId="77777777" w:rsidR="00CE5F87" w:rsidRPr="001E3806" w:rsidRDefault="00CE5F87" w:rsidP="00CE5F87">
      <w:pPr>
        <w:pStyle w:val="RSCR02References"/>
        <w:rPr>
          <w:lang w:val="en-US"/>
        </w:rPr>
      </w:pPr>
      <w:r w:rsidRPr="001E3806">
        <w:rPr>
          <w:lang w:val="en-US"/>
        </w:rPr>
        <w:t xml:space="preserve">K. Matsuzaki, K. Saito, Y. Ikeda, Y. Nambu and M. Yashima, </w:t>
      </w:r>
      <w:r w:rsidRPr="001E3806">
        <w:rPr>
          <w:i/>
          <w:iCs/>
          <w:lang w:val="en-US"/>
        </w:rPr>
        <w:t>J. Am. Chem. Soc.</w:t>
      </w:r>
      <w:r w:rsidRPr="001E3806">
        <w:rPr>
          <w:lang w:val="en-US"/>
        </w:rPr>
        <w:t xml:space="preserve">, 2024, </w:t>
      </w:r>
      <w:r w:rsidRPr="001E3806">
        <w:rPr>
          <w:b/>
          <w:bCs/>
          <w:lang w:val="en-US"/>
        </w:rPr>
        <w:t>146</w:t>
      </w:r>
      <w:r w:rsidRPr="001E3806">
        <w:rPr>
          <w:lang w:val="en-US"/>
        </w:rPr>
        <w:t>, 18544.</w:t>
      </w:r>
    </w:p>
    <w:p w14:paraId="22EF856A" w14:textId="77777777" w:rsidR="00CE5F87" w:rsidRPr="001E3806" w:rsidRDefault="00CE5F87" w:rsidP="00CE5F87">
      <w:pPr>
        <w:pStyle w:val="RSCR02References"/>
        <w:rPr>
          <w:lang w:val="en-US"/>
        </w:rPr>
      </w:pPr>
      <w:r w:rsidRPr="001E3806">
        <w:rPr>
          <w:lang w:val="en-US"/>
        </w:rPr>
        <w:t xml:space="preserve">M. Yashima, T. Tsujiguchi, Y. Sakuda, Y. Yasui, Y. Zhou, K. Fujii, S. Torii, T. Kamiyama and S. J. Skinner, </w:t>
      </w:r>
      <w:r w:rsidRPr="001E3806">
        <w:rPr>
          <w:i/>
          <w:iCs/>
          <w:lang w:val="en-US"/>
        </w:rPr>
        <w:t>Nat. Commun.</w:t>
      </w:r>
      <w:r w:rsidRPr="001E3806">
        <w:rPr>
          <w:lang w:val="en-US"/>
        </w:rPr>
        <w:t xml:space="preserve">, 2021, </w:t>
      </w:r>
      <w:r w:rsidRPr="001E3806">
        <w:rPr>
          <w:b/>
          <w:bCs/>
          <w:lang w:val="en-US"/>
        </w:rPr>
        <w:t>12</w:t>
      </w:r>
      <w:r w:rsidRPr="001E3806">
        <w:rPr>
          <w:lang w:val="en-US"/>
        </w:rPr>
        <w:t>, 556.</w:t>
      </w:r>
    </w:p>
    <w:p w14:paraId="59DDFB4A" w14:textId="77777777" w:rsidR="00CE5F87" w:rsidRPr="001E3806" w:rsidRDefault="00CE5F87" w:rsidP="00CE5F87">
      <w:pPr>
        <w:pStyle w:val="RSCR02References"/>
        <w:rPr>
          <w:lang w:val="en-US"/>
        </w:rPr>
      </w:pPr>
      <w:r w:rsidRPr="001E3806">
        <w:rPr>
          <w:lang w:val="en-US"/>
        </w:rPr>
        <w:t xml:space="preserve">T. Murakami, T. Shibata, Y. Yasui, K. Fujii, J. R. Hester and M. Yashima, </w:t>
      </w:r>
      <w:r w:rsidRPr="001E3806">
        <w:rPr>
          <w:i/>
          <w:iCs/>
          <w:lang w:val="en-US"/>
        </w:rPr>
        <w:t>Small</w:t>
      </w:r>
      <w:r w:rsidRPr="001E3806">
        <w:rPr>
          <w:lang w:val="en-US"/>
        </w:rPr>
        <w:t xml:space="preserve">, 2021, </w:t>
      </w:r>
      <w:r w:rsidRPr="001E3806">
        <w:rPr>
          <w:b/>
          <w:bCs/>
          <w:lang w:val="en-US"/>
        </w:rPr>
        <w:t>18</w:t>
      </w:r>
      <w:r w:rsidRPr="001E3806">
        <w:rPr>
          <w:lang w:val="en-US"/>
        </w:rPr>
        <w:t>, 2106785.</w:t>
      </w:r>
    </w:p>
    <w:p w14:paraId="33FE202C" w14:textId="77777777" w:rsidR="00CE5F87" w:rsidRPr="001E3806" w:rsidRDefault="00CE5F87" w:rsidP="00CE5F87">
      <w:pPr>
        <w:pStyle w:val="RSCR02References"/>
        <w:rPr>
          <w:lang w:val="en-US"/>
        </w:rPr>
      </w:pPr>
      <w:r w:rsidRPr="001E3806">
        <w:rPr>
          <w:lang w:val="en-US"/>
        </w:rPr>
        <w:t xml:space="preserve">Y. Sakuda, J. R. Hester and M. Yashima, </w:t>
      </w:r>
      <w:r w:rsidRPr="001E3806">
        <w:rPr>
          <w:i/>
          <w:iCs/>
          <w:lang w:val="en-US"/>
        </w:rPr>
        <w:t>J. Ceram. Soc. Japan</w:t>
      </w:r>
      <w:r w:rsidRPr="001E3806">
        <w:rPr>
          <w:lang w:val="en-US"/>
        </w:rPr>
        <w:t xml:space="preserve">, 2022, </w:t>
      </w:r>
      <w:r w:rsidRPr="001E3806">
        <w:rPr>
          <w:b/>
          <w:bCs/>
          <w:lang w:val="en-US"/>
        </w:rPr>
        <w:t>130</w:t>
      </w:r>
      <w:r w:rsidRPr="001E3806">
        <w:rPr>
          <w:lang w:val="en-US"/>
        </w:rPr>
        <w:t>, 442.</w:t>
      </w:r>
    </w:p>
    <w:p w14:paraId="37250D1B" w14:textId="77777777" w:rsidR="00CE5F87" w:rsidRPr="001E3806" w:rsidRDefault="00CE5F87" w:rsidP="00CE5F87">
      <w:pPr>
        <w:pStyle w:val="RSCR02References"/>
        <w:rPr>
          <w:lang w:val="en-US"/>
        </w:rPr>
      </w:pPr>
      <w:r w:rsidRPr="001E3806">
        <w:rPr>
          <w:lang w:val="en-US"/>
        </w:rPr>
        <w:t xml:space="preserve">Y. Suzuki, T. Murakami, K. Fujii, J. R. Hester, Y. Yasui and M. Yashima, </w:t>
      </w:r>
      <w:r w:rsidRPr="001E3806">
        <w:rPr>
          <w:i/>
          <w:iCs/>
          <w:lang w:val="en-US"/>
        </w:rPr>
        <w:t>Inorg. Chem.</w:t>
      </w:r>
      <w:r w:rsidRPr="001E3806">
        <w:rPr>
          <w:lang w:val="en-US"/>
        </w:rPr>
        <w:t xml:space="preserve">, 2022, </w:t>
      </w:r>
      <w:r w:rsidRPr="001E3806">
        <w:rPr>
          <w:b/>
          <w:bCs/>
          <w:lang w:val="en-US"/>
        </w:rPr>
        <w:t>61</w:t>
      </w:r>
      <w:r w:rsidRPr="001E3806">
        <w:rPr>
          <w:lang w:val="en-US"/>
        </w:rPr>
        <w:t>, 7537.</w:t>
      </w:r>
    </w:p>
    <w:p w14:paraId="23748579" w14:textId="77777777" w:rsidR="00CE5F87" w:rsidRPr="001E3806" w:rsidRDefault="00CE5F87" w:rsidP="00CE5F87">
      <w:pPr>
        <w:pStyle w:val="RSCR02References"/>
        <w:rPr>
          <w:lang w:val="en-US"/>
        </w:rPr>
      </w:pPr>
      <w:r w:rsidRPr="001E3806">
        <w:rPr>
          <w:lang w:val="en-US"/>
        </w:rPr>
        <w:t xml:space="preserve">T. Murakami, M. Avdeev, R. Morikawa, J. R. Hester, M. Yashima, T. Murakami, M. Avdeev, R. Morikawa, M. Yashima and J. R. Hester, </w:t>
      </w:r>
      <w:r w:rsidRPr="001E3806">
        <w:rPr>
          <w:i/>
          <w:iCs/>
          <w:lang w:val="en-US"/>
        </w:rPr>
        <w:t>Adv. Funct. Mater.</w:t>
      </w:r>
      <w:r w:rsidRPr="001E3806">
        <w:rPr>
          <w:lang w:val="en-US"/>
        </w:rPr>
        <w:t xml:space="preserve">, 2023, </w:t>
      </w:r>
      <w:r w:rsidRPr="001E3806">
        <w:rPr>
          <w:b/>
          <w:bCs/>
          <w:lang w:val="en-US"/>
        </w:rPr>
        <w:t>33</w:t>
      </w:r>
      <w:r w:rsidRPr="001E3806">
        <w:rPr>
          <w:lang w:val="en-US"/>
        </w:rPr>
        <w:t>, 2206777.</w:t>
      </w:r>
    </w:p>
    <w:p w14:paraId="4831436E" w14:textId="77777777" w:rsidR="00CE5F87" w:rsidRPr="001E3806" w:rsidRDefault="00CE5F87" w:rsidP="00CE5F87">
      <w:pPr>
        <w:pStyle w:val="RSCR02References"/>
        <w:rPr>
          <w:lang w:val="en-US"/>
        </w:rPr>
      </w:pPr>
      <w:r w:rsidRPr="001E3806">
        <w:rPr>
          <w:lang w:val="en-US"/>
        </w:rPr>
        <w:t xml:space="preserve">S. Nakayama, </w:t>
      </w:r>
      <w:r w:rsidRPr="001E3806">
        <w:rPr>
          <w:i/>
          <w:iCs/>
          <w:lang w:val="en-US"/>
        </w:rPr>
        <w:t>Results Mater.</w:t>
      </w:r>
      <w:r w:rsidRPr="001E3806">
        <w:rPr>
          <w:lang w:val="en-US"/>
        </w:rPr>
        <w:t xml:space="preserve">, 2022, </w:t>
      </w:r>
      <w:r w:rsidRPr="001E3806">
        <w:rPr>
          <w:b/>
          <w:bCs/>
          <w:lang w:val="en-US"/>
        </w:rPr>
        <w:t>16</w:t>
      </w:r>
      <w:r w:rsidRPr="001E3806">
        <w:rPr>
          <w:lang w:val="en-US"/>
        </w:rPr>
        <w:t>, 100318.</w:t>
      </w:r>
    </w:p>
    <w:p w14:paraId="24F4AFF3" w14:textId="77777777" w:rsidR="00CE5F87" w:rsidRPr="001E3806" w:rsidRDefault="00CE5F87" w:rsidP="00CE5F87">
      <w:pPr>
        <w:pStyle w:val="RSCR02References"/>
        <w:rPr>
          <w:lang w:val="en-US"/>
        </w:rPr>
      </w:pPr>
      <w:r w:rsidRPr="001E3806">
        <w:rPr>
          <w:lang w:val="en-US"/>
        </w:rPr>
        <w:t xml:space="preserve">O. Bezdorozhev, I. Solodkyi, A. Ostroverkh, I. Morozov, Y. Ostroverkh and Y. Solonin, </w:t>
      </w:r>
      <w:r w:rsidRPr="001E3806">
        <w:rPr>
          <w:i/>
          <w:iCs/>
          <w:lang w:val="en-US"/>
        </w:rPr>
        <w:t>Ukr. Chem. J.</w:t>
      </w:r>
      <w:r w:rsidRPr="001E3806">
        <w:rPr>
          <w:lang w:val="en-US"/>
        </w:rPr>
        <w:t xml:space="preserve">, 2022, </w:t>
      </w:r>
      <w:r w:rsidRPr="001E3806">
        <w:rPr>
          <w:b/>
          <w:bCs/>
          <w:lang w:val="en-US"/>
        </w:rPr>
        <w:t>88</w:t>
      </w:r>
      <w:r w:rsidRPr="001E3806">
        <w:rPr>
          <w:lang w:val="en-US"/>
        </w:rPr>
        <w:t>, 63.</w:t>
      </w:r>
    </w:p>
    <w:p w14:paraId="5A0EC0B6" w14:textId="77777777" w:rsidR="00CE5F87" w:rsidRPr="001E3806" w:rsidRDefault="00CE5F87" w:rsidP="00CE5F87">
      <w:pPr>
        <w:pStyle w:val="RSCR02References"/>
        <w:rPr>
          <w:lang w:val="en-US"/>
        </w:rPr>
      </w:pPr>
      <w:r w:rsidRPr="001E3806">
        <w:rPr>
          <w:lang w:val="en-US"/>
        </w:rPr>
        <w:t xml:space="preserve">A. O. Biffo, T. Famprikis and P. B. Groszewicz, </w:t>
      </w:r>
      <w:r w:rsidRPr="001E3806">
        <w:rPr>
          <w:i/>
          <w:iCs/>
          <w:lang w:val="en-US"/>
        </w:rPr>
        <w:t>J. Mater. Chem. A</w:t>
      </w:r>
      <w:r w:rsidRPr="001E3806">
        <w:rPr>
          <w:lang w:val="en-US"/>
        </w:rPr>
        <w:t xml:space="preserve">, 2024, </w:t>
      </w:r>
      <w:r w:rsidRPr="001E3806">
        <w:rPr>
          <w:b/>
          <w:bCs/>
          <w:lang w:val="en-US"/>
        </w:rPr>
        <w:t>12</w:t>
      </w:r>
      <w:r w:rsidRPr="001E3806">
        <w:rPr>
          <w:lang w:val="en-US"/>
        </w:rPr>
        <w:t>, 30082.</w:t>
      </w:r>
    </w:p>
    <w:p w14:paraId="0303F23E" w14:textId="77777777" w:rsidR="00CE5F87" w:rsidRPr="001E3806" w:rsidRDefault="00CE5F87" w:rsidP="00CE5F87">
      <w:pPr>
        <w:pStyle w:val="RSCR02References"/>
        <w:rPr>
          <w:lang w:val="en-US"/>
        </w:rPr>
      </w:pPr>
      <w:r w:rsidRPr="001E3806">
        <w:rPr>
          <w:lang w:val="en-US"/>
        </w:rPr>
        <w:t xml:space="preserve">M. Yashima, </w:t>
      </w:r>
      <w:r w:rsidRPr="001E3806">
        <w:rPr>
          <w:i/>
          <w:iCs/>
          <w:lang w:val="en-US"/>
        </w:rPr>
        <w:t>J. Ceram. Soc. Japan</w:t>
      </w:r>
      <w:r w:rsidRPr="001E3806">
        <w:rPr>
          <w:lang w:val="en-US"/>
        </w:rPr>
        <w:t xml:space="preserve">, 2009, </w:t>
      </w:r>
      <w:r w:rsidRPr="001E3806">
        <w:rPr>
          <w:b/>
          <w:bCs/>
          <w:lang w:val="en-US"/>
        </w:rPr>
        <w:t>117</w:t>
      </w:r>
      <w:r w:rsidRPr="001E3806">
        <w:rPr>
          <w:lang w:val="en-US"/>
        </w:rPr>
        <w:t>, 1055.</w:t>
      </w:r>
    </w:p>
    <w:p w14:paraId="4970EC1F" w14:textId="77777777" w:rsidR="00CE5F87" w:rsidRPr="001E3806" w:rsidRDefault="00CE5F87" w:rsidP="00CE5F87">
      <w:pPr>
        <w:pStyle w:val="RSCR02References"/>
        <w:rPr>
          <w:lang w:val="en-US"/>
        </w:rPr>
      </w:pPr>
      <w:r w:rsidRPr="001E3806">
        <w:rPr>
          <w:lang w:val="en-US"/>
        </w:rPr>
        <w:t xml:space="preserve">D. Pérez-Coll, G. Heras-Juaristi, D. P. Fagg and G. C. Mather, </w:t>
      </w:r>
      <w:r w:rsidRPr="001E3806">
        <w:rPr>
          <w:i/>
          <w:iCs/>
          <w:lang w:val="en-US"/>
        </w:rPr>
        <w:t>J. Power Sources</w:t>
      </w:r>
      <w:r w:rsidRPr="001E3806">
        <w:rPr>
          <w:lang w:val="en-US"/>
        </w:rPr>
        <w:t xml:space="preserve">, 2014, </w:t>
      </w:r>
      <w:r w:rsidRPr="001E3806">
        <w:rPr>
          <w:b/>
          <w:bCs/>
          <w:lang w:val="en-US"/>
        </w:rPr>
        <w:t>245</w:t>
      </w:r>
      <w:r w:rsidRPr="001E3806">
        <w:rPr>
          <w:lang w:val="en-US"/>
        </w:rPr>
        <w:t>, 445.</w:t>
      </w:r>
    </w:p>
    <w:p w14:paraId="0C1F3291" w14:textId="77777777" w:rsidR="00CE5F87" w:rsidRPr="001E3806" w:rsidRDefault="00CE5F87" w:rsidP="00CE5F87">
      <w:pPr>
        <w:pStyle w:val="RSCR02References"/>
        <w:rPr>
          <w:lang w:val="en-US"/>
        </w:rPr>
      </w:pPr>
      <w:r w:rsidRPr="001E3806">
        <w:rPr>
          <w:lang w:val="en-US"/>
        </w:rPr>
        <w:t xml:space="preserve">J. Kler and R. A. De Souza, </w:t>
      </w:r>
      <w:r w:rsidRPr="001E3806">
        <w:rPr>
          <w:i/>
          <w:iCs/>
          <w:lang w:val="en-US"/>
        </w:rPr>
        <w:t>J. Phys. Chem. Lett.</w:t>
      </w:r>
      <w:r w:rsidRPr="001E3806">
        <w:rPr>
          <w:lang w:val="en-US"/>
        </w:rPr>
        <w:t xml:space="preserve">, 2022, </w:t>
      </w:r>
      <w:r w:rsidRPr="001E3806">
        <w:rPr>
          <w:b/>
          <w:bCs/>
          <w:lang w:val="en-US"/>
        </w:rPr>
        <w:t>13</w:t>
      </w:r>
      <w:r w:rsidRPr="001E3806">
        <w:rPr>
          <w:lang w:val="en-US"/>
        </w:rPr>
        <w:t>, 4133.</w:t>
      </w:r>
    </w:p>
    <w:p w14:paraId="23E38BDE" w14:textId="77777777" w:rsidR="00CE5F87" w:rsidRPr="001E3806" w:rsidRDefault="00CE5F87" w:rsidP="00CE5F87">
      <w:pPr>
        <w:pStyle w:val="RSCR02References"/>
        <w:rPr>
          <w:lang w:val="en-US"/>
        </w:rPr>
      </w:pPr>
      <w:r w:rsidRPr="001E3806">
        <w:rPr>
          <w:lang w:val="en-US"/>
        </w:rPr>
        <w:t xml:space="preserve">M. Yashima, H. Yamada, S. Nuansaeng and T. Ishihara, </w:t>
      </w:r>
      <w:r w:rsidRPr="001E3806">
        <w:rPr>
          <w:i/>
          <w:iCs/>
          <w:lang w:val="en-US"/>
        </w:rPr>
        <w:t>Chem. Mater.</w:t>
      </w:r>
      <w:r w:rsidRPr="001E3806">
        <w:rPr>
          <w:lang w:val="en-US"/>
        </w:rPr>
        <w:t xml:space="preserve">, 2012, </w:t>
      </w:r>
      <w:r w:rsidRPr="001E3806">
        <w:rPr>
          <w:b/>
          <w:bCs/>
          <w:lang w:val="en-US"/>
        </w:rPr>
        <w:t>24</w:t>
      </w:r>
      <w:r w:rsidRPr="001E3806">
        <w:rPr>
          <w:lang w:val="en-US"/>
        </w:rPr>
        <w:t>, 4100.</w:t>
      </w:r>
    </w:p>
    <w:p w14:paraId="6B79770C" w14:textId="77777777" w:rsidR="00CE5F87" w:rsidRPr="001E3806" w:rsidRDefault="00CE5F87" w:rsidP="00CE5F87">
      <w:pPr>
        <w:pStyle w:val="RSCR02References"/>
        <w:rPr>
          <w:lang w:val="en-US"/>
        </w:rPr>
      </w:pPr>
      <w:r w:rsidRPr="001E3806">
        <w:rPr>
          <w:lang w:val="en-US"/>
        </w:rPr>
        <w:t xml:space="preserve">C. Chen and S. P. Ong, </w:t>
      </w:r>
      <w:r w:rsidRPr="001E3806">
        <w:rPr>
          <w:i/>
          <w:iCs/>
          <w:lang w:val="en-US"/>
        </w:rPr>
        <w:t>Nat. Comput. Sci.</w:t>
      </w:r>
      <w:r w:rsidRPr="001E3806">
        <w:rPr>
          <w:lang w:val="en-US"/>
        </w:rPr>
        <w:t xml:space="preserve">, 2022, </w:t>
      </w:r>
      <w:r w:rsidRPr="001E3806">
        <w:rPr>
          <w:b/>
          <w:bCs/>
          <w:lang w:val="en-US"/>
        </w:rPr>
        <w:t>2</w:t>
      </w:r>
      <w:r w:rsidRPr="001E3806">
        <w:rPr>
          <w:lang w:val="en-US"/>
        </w:rPr>
        <w:t>, 718.</w:t>
      </w:r>
    </w:p>
    <w:p w14:paraId="2DD8F86D" w14:textId="77777777" w:rsidR="00CE5F87" w:rsidRPr="001E3806" w:rsidRDefault="00CE5F87" w:rsidP="00CE5F87">
      <w:pPr>
        <w:pStyle w:val="RSCR02References"/>
        <w:rPr>
          <w:lang w:val="en-US"/>
        </w:rPr>
      </w:pPr>
      <w:r w:rsidRPr="001E3806">
        <w:rPr>
          <w:lang w:val="en-US"/>
        </w:rPr>
        <w:t xml:space="preserve">K. Makino, N. Tanibata, H. Takeda and M. Nakayama, </w:t>
      </w:r>
      <w:r w:rsidRPr="001E3806">
        <w:rPr>
          <w:i/>
          <w:iCs/>
          <w:lang w:val="en-US"/>
        </w:rPr>
        <w:t>J. Solid State Electrochem.</w:t>
      </w:r>
      <w:r w:rsidRPr="001E3806">
        <w:rPr>
          <w:lang w:val="en-US"/>
        </w:rPr>
        <w:t xml:space="preserve">, 2024, </w:t>
      </w:r>
      <w:r w:rsidRPr="001E3806">
        <w:rPr>
          <w:b/>
          <w:bCs/>
          <w:lang w:val="en-US"/>
        </w:rPr>
        <w:t>28</w:t>
      </w:r>
      <w:r w:rsidRPr="001E3806">
        <w:rPr>
          <w:lang w:val="en-US"/>
        </w:rPr>
        <w:t>, 4471.</w:t>
      </w:r>
    </w:p>
    <w:p w14:paraId="77BF4B2E" w14:textId="77777777" w:rsidR="00CE5F87" w:rsidRPr="001E3806" w:rsidRDefault="00CE5F87" w:rsidP="00CE5F87">
      <w:pPr>
        <w:pStyle w:val="RSCR02References"/>
        <w:rPr>
          <w:lang w:val="en-US"/>
        </w:rPr>
      </w:pPr>
      <w:r w:rsidRPr="001E3806">
        <w:rPr>
          <w:lang w:val="en-US"/>
        </w:rPr>
        <w:t xml:space="preserve">Y. Choi, H. W. Kim, Y. Youn, P. J. Chun, H. S. Kim, J. H. Yu, S. D. Kim and T. W. Kim, </w:t>
      </w:r>
      <w:r w:rsidRPr="001E3806">
        <w:rPr>
          <w:i/>
          <w:iCs/>
          <w:lang w:val="en-US"/>
        </w:rPr>
        <w:t>J. Eur. Ceram. Soc.</w:t>
      </w:r>
      <w:r w:rsidRPr="001E3806">
        <w:rPr>
          <w:lang w:val="en-US"/>
        </w:rPr>
        <w:t xml:space="preserve">, 2024, </w:t>
      </w:r>
      <w:r w:rsidRPr="001E3806">
        <w:rPr>
          <w:b/>
          <w:bCs/>
          <w:lang w:val="en-US"/>
        </w:rPr>
        <w:t>44</w:t>
      </w:r>
      <w:r w:rsidRPr="001E3806">
        <w:rPr>
          <w:lang w:val="en-US"/>
        </w:rPr>
        <w:t>, 116702.</w:t>
      </w:r>
    </w:p>
    <w:p w14:paraId="00B41EE6" w14:textId="77777777" w:rsidR="00CE5F87" w:rsidRPr="001E3806" w:rsidRDefault="00CE5F87" w:rsidP="00CE5F87">
      <w:pPr>
        <w:pStyle w:val="RSCR02References"/>
        <w:rPr>
          <w:lang w:val="en-US"/>
        </w:rPr>
      </w:pPr>
      <w:r w:rsidRPr="001E3806">
        <w:rPr>
          <w:lang w:val="en-US"/>
        </w:rPr>
        <w:t xml:space="preserve">M. Tansho, A. Goto, S. Ohki, Y. Mogami, Y. Yasui, Y. Sakuda, K. Fujii, T. Iijima and M. Yashima, </w:t>
      </w:r>
      <w:r w:rsidRPr="001E3806">
        <w:rPr>
          <w:i/>
          <w:iCs/>
          <w:lang w:val="en-US"/>
        </w:rPr>
        <w:t>J. Phys. Chem. C</w:t>
      </w:r>
      <w:r w:rsidRPr="001E3806">
        <w:rPr>
          <w:lang w:val="en-US"/>
        </w:rPr>
        <w:t xml:space="preserve">, 2024, </w:t>
      </w:r>
      <w:r w:rsidRPr="001E3806">
        <w:rPr>
          <w:b/>
          <w:bCs/>
          <w:lang w:val="en-US"/>
        </w:rPr>
        <w:t>128</w:t>
      </w:r>
      <w:r w:rsidRPr="001E3806">
        <w:rPr>
          <w:lang w:val="en-US"/>
        </w:rPr>
        <w:t>, 19679.</w:t>
      </w:r>
    </w:p>
    <w:p w14:paraId="19120259" w14:textId="77777777" w:rsidR="00CE5F87" w:rsidRPr="001E3806" w:rsidRDefault="00CE5F87" w:rsidP="00CE5F87">
      <w:pPr>
        <w:pStyle w:val="RSCR02References"/>
        <w:rPr>
          <w:lang w:val="en-US"/>
        </w:rPr>
      </w:pPr>
      <w:r w:rsidRPr="001E3806">
        <w:rPr>
          <w:lang w:val="en-US"/>
        </w:rPr>
        <w:t xml:space="preserve">Cooper, S. J. </w:t>
      </w:r>
      <w:r w:rsidRPr="001E3806">
        <w:rPr>
          <w:rFonts w:hint="eastAsia"/>
          <w:lang w:val="en-US" w:eastAsia="ja-JP"/>
        </w:rPr>
        <w:t>PhD</w:t>
      </w:r>
      <w:r w:rsidRPr="001E3806">
        <w:rPr>
          <w:lang w:val="en-US"/>
        </w:rPr>
        <w:t xml:space="preserve"> thesis, Imperial College London, </w:t>
      </w:r>
      <w:r w:rsidRPr="001E3806">
        <w:rPr>
          <w:rFonts w:hint="eastAsia"/>
          <w:lang w:val="en-US" w:eastAsia="ja-JP"/>
        </w:rPr>
        <w:t>2016</w:t>
      </w:r>
      <w:r w:rsidRPr="001E3806">
        <w:rPr>
          <w:lang w:val="en-US"/>
        </w:rPr>
        <w:t>.</w:t>
      </w:r>
    </w:p>
    <w:p w14:paraId="62F0CAED" w14:textId="77777777" w:rsidR="00CE5F87" w:rsidRPr="001E3806" w:rsidRDefault="00CE5F87" w:rsidP="00CE5F87">
      <w:pPr>
        <w:pStyle w:val="RSCR02References"/>
        <w:rPr>
          <w:lang w:val="en-US"/>
        </w:rPr>
      </w:pPr>
      <w:r w:rsidRPr="001E3806">
        <w:rPr>
          <w:lang w:val="en-US"/>
        </w:rPr>
        <w:t xml:space="preserve">A. Hjorth Larsen, J. JØrgen Mortensen, J. Blomqvist, I. E. Castelli, R. Christensen, M. Dułak, J. Friis, M. N. Groves, B. Hammer, C. Hargus, E. D. Hermes, P. C. Jennings, P. Bjerre Jensen, J. Kermode, J. R. Kitchin, E. Leonhard Kolsbjerg, J. Kubal, K. Kaasbjerg, S. Lysgaard, J. Bergmann Maronsson, T. Maxson, T. Olsen, L. Pastewka, A. Peterson, C. Rostgaard, J. SchiØtz, O. Schütt, M. Strange, K. S. Thygesen, T. Vegge, L. Vilhelmsen, M. Walter, Z. Zeng and K. W. Jacobsen, </w:t>
      </w:r>
      <w:r w:rsidRPr="001E3806">
        <w:rPr>
          <w:i/>
          <w:iCs/>
          <w:lang w:val="en-US"/>
        </w:rPr>
        <w:t>J. Phys. Condens. Matter</w:t>
      </w:r>
      <w:r w:rsidRPr="001E3806">
        <w:rPr>
          <w:lang w:val="en-US"/>
        </w:rPr>
        <w:t xml:space="preserve">, 2017, </w:t>
      </w:r>
      <w:r w:rsidRPr="001E3806">
        <w:rPr>
          <w:b/>
          <w:bCs/>
          <w:lang w:val="en-US"/>
        </w:rPr>
        <w:t>29</w:t>
      </w:r>
      <w:r w:rsidRPr="001E3806">
        <w:rPr>
          <w:lang w:val="en-US"/>
        </w:rPr>
        <w:t>, 273002.</w:t>
      </w:r>
    </w:p>
    <w:p w14:paraId="4AA5CD16" w14:textId="77777777" w:rsidR="00CE5F87" w:rsidRPr="001E3806" w:rsidRDefault="00CE5F87" w:rsidP="00CE5F87">
      <w:pPr>
        <w:pStyle w:val="RSCR02References"/>
        <w:rPr>
          <w:lang w:val="en-US"/>
        </w:rPr>
      </w:pPr>
      <w:r w:rsidRPr="001E3806">
        <w:rPr>
          <w:lang w:val="en-US"/>
        </w:rPr>
        <w:t xml:space="preserve">Y. Yasui, M. Tansho, K. Fujii, Y. Sakuda, A. Goto, S. Ohki, Y. Mogami, T. Iijima, S. Kobayashi, S. Kawaguchi, K. Osaka, K. Ikeda, T. Otomo and M. Yashima, </w:t>
      </w:r>
      <w:r w:rsidRPr="001E3806">
        <w:rPr>
          <w:i/>
          <w:iCs/>
          <w:lang w:val="en-US"/>
        </w:rPr>
        <w:t>Nat. Commun.</w:t>
      </w:r>
      <w:r w:rsidRPr="001E3806">
        <w:rPr>
          <w:lang w:val="en-US"/>
        </w:rPr>
        <w:t xml:space="preserve">, 2023, </w:t>
      </w:r>
      <w:r w:rsidRPr="001E3806">
        <w:rPr>
          <w:b/>
          <w:bCs/>
          <w:lang w:val="en-US"/>
        </w:rPr>
        <w:t>14</w:t>
      </w:r>
      <w:r w:rsidRPr="001E3806">
        <w:rPr>
          <w:lang w:val="en-US"/>
        </w:rPr>
        <w:t>, 2337.</w:t>
      </w:r>
    </w:p>
    <w:p w14:paraId="55B9A533" w14:textId="77777777" w:rsidR="00CE5F87" w:rsidRPr="001E3806" w:rsidRDefault="00CE5F87" w:rsidP="00CE5F87">
      <w:pPr>
        <w:pStyle w:val="RSCR02References"/>
        <w:rPr>
          <w:lang w:val="en-US"/>
        </w:rPr>
      </w:pPr>
      <w:r w:rsidRPr="001E3806">
        <w:rPr>
          <w:lang w:val="en-US"/>
        </w:rPr>
        <w:t xml:space="preserve">G. Kresse and D. Joubert, </w:t>
      </w:r>
      <w:r w:rsidRPr="001E3806">
        <w:rPr>
          <w:i/>
          <w:iCs/>
          <w:lang w:val="en-US"/>
        </w:rPr>
        <w:t>Phys. Rev. B</w:t>
      </w:r>
      <w:r w:rsidRPr="001E3806">
        <w:rPr>
          <w:lang w:val="en-US"/>
        </w:rPr>
        <w:t>, 1999</w:t>
      </w:r>
      <w:r w:rsidRPr="001E3806">
        <w:rPr>
          <w:b/>
          <w:bCs/>
          <w:lang w:val="en-US"/>
        </w:rPr>
        <w:t>,</w:t>
      </w:r>
      <w:r w:rsidRPr="001E3806">
        <w:rPr>
          <w:lang w:val="en-US"/>
        </w:rPr>
        <w:t xml:space="preserve"> </w:t>
      </w:r>
      <w:r w:rsidRPr="001E3806">
        <w:rPr>
          <w:b/>
          <w:bCs/>
          <w:lang w:val="en-US"/>
        </w:rPr>
        <w:t>59</w:t>
      </w:r>
      <w:r w:rsidRPr="001E3806">
        <w:rPr>
          <w:lang w:val="en-US"/>
        </w:rPr>
        <w:t>, 1758.</w:t>
      </w:r>
    </w:p>
    <w:p w14:paraId="4E03780F" w14:textId="77777777" w:rsidR="00CE5F87" w:rsidRPr="001E3806" w:rsidRDefault="00CE5F87" w:rsidP="00CE5F87">
      <w:pPr>
        <w:pStyle w:val="RSCR02References"/>
        <w:rPr>
          <w:lang w:val="en-US"/>
        </w:rPr>
      </w:pPr>
      <w:r w:rsidRPr="001E3806">
        <w:rPr>
          <w:lang w:val="en-US"/>
        </w:rPr>
        <w:t xml:space="preserve">J. Habasaki, C. León and K. L. Ngai, Dynamics of Glassy, Crystalline and Liquid Ionic Conductors: Experiments, Theories, Simulations; </w:t>
      </w:r>
      <w:r w:rsidRPr="001E3806">
        <w:rPr>
          <w:i/>
          <w:iCs/>
        </w:rPr>
        <w:t>Springer International, Cham</w:t>
      </w:r>
      <w:r w:rsidRPr="001E3806">
        <w:rPr>
          <w:lang w:val="en-US"/>
        </w:rPr>
        <w:t xml:space="preserve">, </w:t>
      </w:r>
      <w:r w:rsidRPr="001E3806">
        <w:rPr>
          <w:rFonts w:hint="eastAsia"/>
          <w:lang w:val="en-US"/>
        </w:rPr>
        <w:t>2017</w:t>
      </w:r>
      <w:r w:rsidRPr="001E3806">
        <w:rPr>
          <w:lang w:val="en-US"/>
        </w:rPr>
        <w:t>.</w:t>
      </w:r>
    </w:p>
    <w:p w14:paraId="7621ABD1" w14:textId="77777777" w:rsidR="00CE5F87" w:rsidRPr="001E3806" w:rsidRDefault="00CE5F87" w:rsidP="00CE5F87">
      <w:pPr>
        <w:pStyle w:val="RSCR02References"/>
        <w:rPr>
          <w:lang w:val="en-US"/>
        </w:rPr>
      </w:pPr>
      <w:r w:rsidRPr="001E3806">
        <w:rPr>
          <w:lang w:val="en-US"/>
        </w:rPr>
        <w:t xml:space="preserve">A. Stukowski, </w:t>
      </w:r>
      <w:r w:rsidRPr="001E3806">
        <w:rPr>
          <w:i/>
          <w:iCs/>
          <w:lang w:val="en-US"/>
        </w:rPr>
        <w:t>Model. Simul. Mater. Sci. Eng.</w:t>
      </w:r>
      <w:r w:rsidRPr="001E3806">
        <w:rPr>
          <w:lang w:val="en-US"/>
        </w:rPr>
        <w:t xml:space="preserve">, 2009, </w:t>
      </w:r>
      <w:r w:rsidRPr="001E3806">
        <w:rPr>
          <w:b/>
          <w:bCs/>
          <w:lang w:val="en-US"/>
        </w:rPr>
        <w:t>18</w:t>
      </w:r>
      <w:r w:rsidRPr="001E3806">
        <w:rPr>
          <w:lang w:val="en-US"/>
        </w:rPr>
        <w:t>, 015012.</w:t>
      </w:r>
    </w:p>
    <w:p w14:paraId="04C95F00" w14:textId="77777777" w:rsidR="00CE5F87" w:rsidRPr="001E3806" w:rsidRDefault="00CE5F87" w:rsidP="00CE5F87">
      <w:pPr>
        <w:pStyle w:val="RSCR02References"/>
        <w:rPr>
          <w:lang w:val="en-US"/>
        </w:rPr>
      </w:pPr>
      <w:r w:rsidRPr="001E3806">
        <w:rPr>
          <w:lang w:val="en-US"/>
        </w:rPr>
        <w:t xml:space="preserve">E. García-González, M. Parras and J. M. González-Calbet, </w:t>
      </w:r>
      <w:r w:rsidRPr="001E3806">
        <w:rPr>
          <w:i/>
          <w:iCs/>
          <w:lang w:val="en-US"/>
        </w:rPr>
        <w:t>Chem. Mater.</w:t>
      </w:r>
      <w:r w:rsidRPr="001E3806">
        <w:rPr>
          <w:lang w:val="en-US"/>
        </w:rPr>
        <w:t xml:space="preserve">, 1999, </w:t>
      </w:r>
      <w:r w:rsidRPr="001E3806">
        <w:rPr>
          <w:b/>
          <w:bCs/>
          <w:lang w:val="en-US"/>
        </w:rPr>
        <w:t>11</w:t>
      </w:r>
      <w:r w:rsidRPr="001E3806">
        <w:rPr>
          <w:lang w:val="en-US"/>
        </w:rPr>
        <w:t>, 433.</w:t>
      </w:r>
    </w:p>
    <w:p w14:paraId="3C4E3008" w14:textId="77777777" w:rsidR="00CE5F87" w:rsidRPr="001E3806" w:rsidRDefault="00CE5F87" w:rsidP="00CE5F87">
      <w:pPr>
        <w:pStyle w:val="RSCR02References"/>
        <w:rPr>
          <w:lang w:val="en-US"/>
        </w:rPr>
      </w:pPr>
      <w:r w:rsidRPr="001E3806">
        <w:rPr>
          <w:lang w:val="en-US"/>
        </w:rPr>
        <w:t xml:space="preserve">S. Fop, J. A. Dawson, A. D. Fortes, C. Ritter and A. C. McLaughlin, </w:t>
      </w:r>
      <w:r w:rsidRPr="001E3806">
        <w:rPr>
          <w:i/>
          <w:iCs/>
          <w:lang w:val="en-US"/>
        </w:rPr>
        <w:t>Chem. Mater.</w:t>
      </w:r>
      <w:r w:rsidRPr="001E3806">
        <w:rPr>
          <w:lang w:val="en-US"/>
        </w:rPr>
        <w:t xml:space="preserve">, 2021, </w:t>
      </w:r>
      <w:r w:rsidRPr="001E3806">
        <w:rPr>
          <w:b/>
          <w:bCs/>
          <w:lang w:val="en-US"/>
        </w:rPr>
        <w:t>33</w:t>
      </w:r>
      <w:r w:rsidRPr="001E3806">
        <w:rPr>
          <w:lang w:val="en-US"/>
        </w:rPr>
        <w:t>, 4651.</w:t>
      </w:r>
    </w:p>
    <w:p w14:paraId="1E95831E" w14:textId="77777777" w:rsidR="00CE5F87" w:rsidRPr="001E3806" w:rsidRDefault="00CE5F87" w:rsidP="00CE5F87">
      <w:pPr>
        <w:pStyle w:val="RSCR02References"/>
        <w:rPr>
          <w:lang w:val="en-US"/>
        </w:rPr>
      </w:pPr>
      <w:r w:rsidRPr="001E3806">
        <w:rPr>
          <w:lang w:val="en-US"/>
        </w:rPr>
        <w:t xml:space="preserve">S. Skinner and J. A. Kilner, </w:t>
      </w:r>
      <w:r w:rsidRPr="001E3806">
        <w:rPr>
          <w:i/>
          <w:iCs/>
          <w:lang w:val="en-US"/>
        </w:rPr>
        <w:t>Solid State Ionics</w:t>
      </w:r>
      <w:r w:rsidRPr="001E3806">
        <w:rPr>
          <w:lang w:val="en-US"/>
        </w:rPr>
        <w:t xml:space="preserve">, 2000, </w:t>
      </w:r>
      <w:r w:rsidRPr="001E3806">
        <w:rPr>
          <w:b/>
          <w:bCs/>
          <w:lang w:val="en-US"/>
        </w:rPr>
        <w:t>135</w:t>
      </w:r>
      <w:r w:rsidRPr="001E3806">
        <w:rPr>
          <w:lang w:val="en-US"/>
        </w:rPr>
        <w:t>, 709.</w:t>
      </w:r>
    </w:p>
    <w:p w14:paraId="68D3D210" w14:textId="77777777" w:rsidR="00CE5F87" w:rsidRPr="001E3806" w:rsidRDefault="00CE5F87" w:rsidP="00CE5F87">
      <w:pPr>
        <w:pStyle w:val="RSCR02References"/>
        <w:rPr>
          <w:lang w:val="en-US"/>
        </w:rPr>
      </w:pPr>
      <w:r w:rsidRPr="001E3806">
        <w:rPr>
          <w:lang w:val="en-US"/>
        </w:rPr>
        <w:t xml:space="preserve">J. A. Kilner, S. J. Skinner and H. H. Brongersma, </w:t>
      </w:r>
      <w:r w:rsidRPr="001E3806">
        <w:rPr>
          <w:i/>
          <w:iCs/>
          <w:lang w:val="en-US"/>
        </w:rPr>
        <w:t>J. Solid State Electrochem.</w:t>
      </w:r>
      <w:r w:rsidRPr="001E3806">
        <w:rPr>
          <w:lang w:val="en-US"/>
        </w:rPr>
        <w:t xml:space="preserve">, 2011, </w:t>
      </w:r>
      <w:r w:rsidRPr="001E3806">
        <w:rPr>
          <w:b/>
          <w:bCs/>
          <w:lang w:val="en-US"/>
        </w:rPr>
        <w:t>15</w:t>
      </w:r>
      <w:r w:rsidRPr="001E3806">
        <w:rPr>
          <w:lang w:val="en-US"/>
        </w:rPr>
        <w:t>, 861.</w:t>
      </w:r>
    </w:p>
    <w:p w14:paraId="212EAA8C" w14:textId="77777777" w:rsidR="00CE5F87" w:rsidRPr="001E3806" w:rsidRDefault="00CE5F87" w:rsidP="00CE5F87">
      <w:pPr>
        <w:pStyle w:val="RSCR02References"/>
        <w:rPr>
          <w:lang w:val="en-US"/>
        </w:rPr>
      </w:pPr>
      <w:r w:rsidRPr="001E3806">
        <w:rPr>
          <w:lang w:val="en-US"/>
        </w:rPr>
        <w:t xml:space="preserve">B. Schwaighofer, M. Appel, M. A. Gonzalez and I. R. Evans, </w:t>
      </w:r>
      <w:r w:rsidRPr="001E3806">
        <w:rPr>
          <w:i/>
          <w:lang w:val="en-US"/>
        </w:rPr>
        <w:t>RSC Adv.</w:t>
      </w:r>
      <w:r w:rsidRPr="001E3806">
        <w:rPr>
          <w:lang w:val="en-US"/>
        </w:rPr>
        <w:t xml:space="preserve">, 2023, </w:t>
      </w:r>
      <w:r w:rsidRPr="001E3806">
        <w:rPr>
          <w:b/>
          <w:bCs/>
          <w:lang w:val="en-US"/>
        </w:rPr>
        <w:t>5</w:t>
      </w:r>
      <w:r w:rsidRPr="001E3806">
        <w:rPr>
          <w:lang w:val="en-US"/>
        </w:rPr>
        <w:t>, 1676.</w:t>
      </w:r>
    </w:p>
    <w:p w14:paraId="16518492" w14:textId="77777777" w:rsidR="00CE5F87" w:rsidRPr="001E3806" w:rsidRDefault="00CE5F87" w:rsidP="00CE5F87">
      <w:pPr>
        <w:pStyle w:val="RSCR02References"/>
        <w:rPr>
          <w:lang w:val="en-US"/>
        </w:rPr>
      </w:pPr>
      <w:r w:rsidRPr="001E3806">
        <w:rPr>
          <w:lang w:val="en-US"/>
        </w:rPr>
        <w:t xml:space="preserve">K. D. Kreuer, </w:t>
      </w:r>
      <w:r w:rsidRPr="001E3806">
        <w:rPr>
          <w:i/>
          <w:iCs/>
          <w:lang w:val="en-US"/>
        </w:rPr>
        <w:t xml:space="preserve"> </w:t>
      </w:r>
      <w:r w:rsidRPr="001E3806">
        <w:rPr>
          <w:i/>
          <w:iCs/>
        </w:rPr>
        <w:t>Annu. Rev. Mater. Res</w:t>
      </w:r>
      <w:r w:rsidRPr="001E3806">
        <w:rPr>
          <w:lang w:val="en-US"/>
        </w:rPr>
        <w:t>, 2003,</w:t>
      </w:r>
      <w:r w:rsidRPr="001E3806">
        <w:rPr>
          <w:b/>
          <w:bCs/>
          <w:lang w:val="en-US"/>
        </w:rPr>
        <w:t xml:space="preserve"> 33</w:t>
      </w:r>
      <w:r w:rsidRPr="001E3806">
        <w:rPr>
          <w:lang w:val="en-US"/>
        </w:rPr>
        <w:t xml:space="preserve">, </w:t>
      </w:r>
      <w:r w:rsidRPr="001E3806">
        <w:rPr>
          <w:rFonts w:hint="eastAsia"/>
          <w:lang w:val="en-US" w:eastAsia="ja-JP"/>
        </w:rPr>
        <w:t>333</w:t>
      </w:r>
      <w:r w:rsidRPr="001E3806">
        <w:rPr>
          <w:lang w:val="en-US" w:eastAsia="ja-JP"/>
        </w:rPr>
        <w:t>.</w:t>
      </w:r>
      <w:r w:rsidRPr="001E3806">
        <w:rPr>
          <w:rFonts w:hint="eastAsia"/>
          <w:lang w:val="en-US" w:eastAsia="ja-JP"/>
        </w:rPr>
        <w:t xml:space="preserve"> </w:t>
      </w:r>
    </w:p>
    <w:p w14:paraId="62B4A3D5" w14:textId="50A313E3" w:rsidR="00CE5F87" w:rsidRDefault="00CE5F87" w:rsidP="00D15BD0">
      <w:pPr>
        <w:pStyle w:val="RSCF02FootnotestoTitleAuthors"/>
        <w:spacing w:line="200" w:lineRule="exact"/>
        <w:ind w:left="284"/>
        <w:rPr>
          <w:lang w:val="de-DE" w:eastAsia="ja-JP"/>
        </w:rPr>
      </w:pPr>
      <w:r w:rsidRPr="001E3806">
        <w:rPr>
          <w:lang w:val="de-DE"/>
        </w:rPr>
        <w:fldChar w:fldCharType="end"/>
      </w:r>
    </w:p>
    <w:p w14:paraId="5D2E348E" w14:textId="1B3EBF50" w:rsidR="00D15BD0" w:rsidRDefault="00D15BD0" w:rsidP="00CE5F87">
      <w:pPr>
        <w:pStyle w:val="RSCF02FootnotestoTitleAuthors"/>
        <w:spacing w:line="200" w:lineRule="exact"/>
        <w:rPr>
          <w:lang w:val="en-US"/>
        </w:rPr>
      </w:pPr>
    </w:p>
    <w:p w14:paraId="513E1D5A" w14:textId="56F8F5DD" w:rsidR="00D15BD0" w:rsidRDefault="00D15BD0" w:rsidP="00CE5F87">
      <w:pPr>
        <w:pStyle w:val="RSCF02FootnotestoTitleAuthors"/>
        <w:spacing w:line="200" w:lineRule="exact"/>
        <w:rPr>
          <w:lang w:val="en-US"/>
        </w:rPr>
      </w:pPr>
    </w:p>
    <w:p w14:paraId="27FCF5E7" w14:textId="6697D1B3" w:rsidR="00D15BD0" w:rsidRDefault="00D15BD0" w:rsidP="00CE5F87">
      <w:pPr>
        <w:pStyle w:val="RSCF02FootnotestoTitleAuthors"/>
        <w:spacing w:line="200" w:lineRule="exact"/>
        <w:rPr>
          <w:sz w:val="21"/>
          <w:lang w:val="en-US"/>
        </w:rPr>
      </w:pPr>
      <w:bookmarkStart w:id="27" w:name="_Hlk203408909"/>
      <w:r w:rsidRPr="00D15BD0">
        <w:rPr>
          <w:sz w:val="21"/>
          <w:lang w:val="en-US"/>
        </w:rPr>
        <w:t>TOC figure and text</w:t>
      </w:r>
    </w:p>
    <w:p w14:paraId="69549AEA" w14:textId="65300FD9" w:rsidR="00D15BD0" w:rsidRDefault="00D15BD0" w:rsidP="00D15BD0">
      <w:pPr>
        <w:pStyle w:val="RSCF02FootnotestoTitleAuthors"/>
        <w:rPr>
          <w:sz w:val="21"/>
          <w:lang w:val="en-US"/>
        </w:rPr>
      </w:pPr>
      <w:r w:rsidRPr="000F2206">
        <w:rPr>
          <w:rFonts w:ascii="Arial" w:eastAsiaTheme="minorEastAsia" w:hAnsi="Arial" w:cs="Arial"/>
          <w:noProof/>
          <w:sz w:val="20"/>
          <w:szCs w:val="20"/>
        </w:rPr>
        <w:drawing>
          <wp:inline distT="0" distB="0" distL="0" distR="0" wp14:anchorId="7FDCE5F9" wp14:editId="3D398516">
            <wp:extent cx="2880000" cy="1203299"/>
            <wp:effectExtent l="0" t="0" r="0" b="0"/>
            <wp:docPr id="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36228" name=""/>
                    <pic:cNvPicPr/>
                  </pic:nvPicPr>
                  <pic:blipFill>
                    <a:blip r:embed="rId9"/>
                    <a:stretch>
                      <a:fillRect/>
                    </a:stretch>
                  </pic:blipFill>
                  <pic:spPr>
                    <a:xfrm>
                      <a:off x="0" y="0"/>
                      <a:ext cx="2880000" cy="1203299"/>
                    </a:xfrm>
                    <a:prstGeom prst="rect">
                      <a:avLst/>
                    </a:prstGeom>
                  </pic:spPr>
                </pic:pic>
              </a:graphicData>
            </a:graphic>
          </wp:inline>
        </w:drawing>
      </w:r>
    </w:p>
    <w:p w14:paraId="29560CA6" w14:textId="1E93A1CE" w:rsidR="00D15BD0" w:rsidRPr="00C0634B" w:rsidRDefault="00D15BD0" w:rsidP="00CE5F87">
      <w:pPr>
        <w:pStyle w:val="RSCF02FootnotestoTitleAuthors"/>
        <w:spacing w:line="200" w:lineRule="exact"/>
        <w:rPr>
          <w:sz w:val="18"/>
          <w:szCs w:val="18"/>
          <w:lang w:val="en-US"/>
        </w:rPr>
      </w:pPr>
      <w:r w:rsidRPr="00C0634B">
        <w:rPr>
          <w:sz w:val="18"/>
          <w:szCs w:val="18"/>
          <w:lang w:val="en-US"/>
        </w:rPr>
        <w:t xml:space="preserve">Hydration </w:t>
      </w:r>
      <w:r w:rsidR="00A2185F" w:rsidRPr="00C0634B">
        <w:rPr>
          <w:sz w:val="18"/>
          <w:szCs w:val="18"/>
          <w:lang w:val="en-US"/>
        </w:rPr>
        <w:t>of</w:t>
      </w:r>
      <w:r w:rsidRPr="00C0634B">
        <w:rPr>
          <w:sz w:val="18"/>
          <w:szCs w:val="18"/>
          <w:lang w:val="en-US"/>
        </w:rPr>
        <w:t xml:space="preserve"> </w:t>
      </w:r>
      <w:r w:rsidR="00C778B7" w:rsidRPr="00C0634B">
        <w:rPr>
          <w:sz w:val="18"/>
          <w:szCs w:val="18"/>
          <w:lang w:val="en-US"/>
        </w:rPr>
        <w:t xml:space="preserve">an </w:t>
      </w:r>
      <w:r w:rsidRPr="00C0634B">
        <w:rPr>
          <w:sz w:val="18"/>
          <w:szCs w:val="18"/>
          <w:lang w:val="en-US"/>
        </w:rPr>
        <w:t>interstitialcy oxide-ion conductor enhances oxygen conductivity and diffusivity</w:t>
      </w:r>
      <w:r w:rsidR="00A2185F" w:rsidRPr="00C0634B">
        <w:rPr>
          <w:sz w:val="18"/>
          <w:szCs w:val="18"/>
          <w:lang w:val="en-US"/>
        </w:rPr>
        <w:t>, as evidenced by</w:t>
      </w:r>
      <w:r w:rsidRPr="00C0634B">
        <w:rPr>
          <w:sz w:val="18"/>
          <w:szCs w:val="18"/>
          <w:lang w:val="en-US"/>
        </w:rPr>
        <w:t xml:space="preserve"> water vapor and oxygen concentration cell</w:t>
      </w:r>
      <w:r w:rsidR="00A2185F" w:rsidRPr="00C0634B">
        <w:rPr>
          <w:sz w:val="18"/>
          <w:szCs w:val="18"/>
          <w:lang w:val="en-US"/>
        </w:rPr>
        <w:t xml:space="preserve">, TG, conductivity, and tracer diffusion measurements </w:t>
      </w:r>
      <w:r w:rsidR="00982388" w:rsidRPr="00C0634B">
        <w:rPr>
          <w:sz w:val="18"/>
          <w:szCs w:val="18"/>
          <w:lang w:val="en-US"/>
        </w:rPr>
        <w:t xml:space="preserve">and </w:t>
      </w:r>
      <w:r w:rsidR="00A2185F" w:rsidRPr="00C0634B">
        <w:rPr>
          <w:sz w:val="18"/>
          <w:szCs w:val="18"/>
          <w:lang w:val="en-US"/>
        </w:rPr>
        <w:t>neural network MD</w:t>
      </w:r>
      <w:r w:rsidR="00982388" w:rsidRPr="00C0634B">
        <w:rPr>
          <w:sz w:val="18"/>
          <w:szCs w:val="18"/>
          <w:lang w:val="en-US"/>
        </w:rPr>
        <w:t xml:space="preserve"> simulations</w:t>
      </w:r>
      <w:r w:rsidRPr="00C0634B">
        <w:rPr>
          <w:sz w:val="18"/>
          <w:szCs w:val="18"/>
          <w:lang w:val="en-US"/>
        </w:rPr>
        <w:t>.</w:t>
      </w:r>
    </w:p>
    <w:bookmarkEnd w:id="27"/>
    <w:p w14:paraId="7FECB52D" w14:textId="77777777" w:rsidR="00D15BD0" w:rsidRPr="00890A32" w:rsidRDefault="00D15BD0" w:rsidP="00CE5F87">
      <w:pPr>
        <w:pStyle w:val="RSCF02FootnotestoTitleAuthors"/>
        <w:spacing w:line="200" w:lineRule="exact"/>
        <w:rPr>
          <w:lang w:val="en-US"/>
        </w:rPr>
      </w:pPr>
    </w:p>
    <w:sectPr w:rsidR="00D15BD0" w:rsidRPr="00890A32" w:rsidSect="00F11D79">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DA183" w14:textId="77777777" w:rsidR="00E84C0E" w:rsidRDefault="00E84C0E" w:rsidP="00E547DB">
      <w:pPr>
        <w:spacing w:after="0" w:line="240" w:lineRule="auto"/>
      </w:pPr>
      <w:r>
        <w:separator/>
      </w:r>
    </w:p>
    <w:p w14:paraId="550A1520" w14:textId="77777777" w:rsidR="00E84C0E" w:rsidRDefault="00E84C0E"/>
    <w:p w14:paraId="7ED95419" w14:textId="77777777" w:rsidR="00E84C0E" w:rsidRDefault="00E84C0E"/>
    <w:p w14:paraId="727C3D5D" w14:textId="77777777" w:rsidR="00E84C0E" w:rsidRDefault="00E84C0E"/>
    <w:p w14:paraId="234B0369" w14:textId="77777777" w:rsidR="00E84C0E" w:rsidRDefault="00E84C0E"/>
    <w:p w14:paraId="0FCE98E8" w14:textId="77777777" w:rsidR="00E84C0E" w:rsidRDefault="00E84C0E"/>
  </w:endnote>
  <w:endnote w:type="continuationSeparator" w:id="0">
    <w:p w14:paraId="5F1D9009" w14:textId="77777777" w:rsidR="00E84C0E" w:rsidRDefault="00E84C0E" w:rsidP="00E547DB">
      <w:pPr>
        <w:spacing w:after="0" w:line="240" w:lineRule="auto"/>
      </w:pPr>
      <w:r>
        <w:continuationSeparator/>
      </w:r>
    </w:p>
    <w:p w14:paraId="0C2B862F" w14:textId="77777777" w:rsidR="00E84C0E" w:rsidRDefault="00E84C0E"/>
    <w:p w14:paraId="7CC7758A" w14:textId="77777777" w:rsidR="00E84C0E" w:rsidRDefault="00E84C0E"/>
    <w:p w14:paraId="0AF51F61" w14:textId="77777777" w:rsidR="00E84C0E" w:rsidRDefault="00E84C0E"/>
    <w:p w14:paraId="78C18375" w14:textId="77777777" w:rsidR="00E84C0E" w:rsidRDefault="00E84C0E"/>
    <w:p w14:paraId="32DD1AB0" w14:textId="77777777" w:rsidR="00E84C0E" w:rsidRDefault="00E84C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495B755-608C-2E4E-82D7-97DB9D898FAB}"/>
    <w:embedBold r:id="rId2" w:fontKey="{15492AA1-E78E-004F-9DC2-6736D3ACBB90}"/>
    <w:embedItalic r:id="rId3" w:fontKey="{B4B92B46-9CF9-6042-A11C-688F641EF0DE}"/>
    <w:embedBoldItalic r:id="rId4" w:fontKey="{8E5CF76A-5EC2-0E44-82E5-E9F0B433F43F}"/>
  </w:font>
  <w:font w:name="Calibri">
    <w:panose1 w:val="020F0502020204030204"/>
    <w:charset w:val="00"/>
    <w:family w:val="swiss"/>
    <w:pitch w:val="variable"/>
    <w:sig w:usb0="E0002AFF" w:usb1="C000ACFF" w:usb2="00000009" w:usb3="00000000" w:csb0="000001FF" w:csb1="00000000"/>
    <w:embedRegular r:id="rId5" w:fontKey="{064970A2-AC24-3249-8D28-5754C82B0863}"/>
    <w:embedBold r:id="rId6" w:fontKey="{97B63161-081C-FF4B-88ED-092986C13D13}"/>
    <w:embedItalic r:id="rId7" w:fontKey="{D04B3259-C0FE-7D4B-9986-CFC9E7A068D3}"/>
  </w:font>
  <w:font w:name="Courier New">
    <w:panose1 w:val="02070309020205020404"/>
    <w:charset w:val="00"/>
    <w:family w:val="modern"/>
    <w:pitch w:val="fixed"/>
    <w:sig w:usb0="E0002EFF" w:usb1="C0007843" w:usb2="00000009" w:usb3="00000000" w:csb0="000001FF" w:csb1="00000000"/>
    <w:embedRegular r:id="rId8" w:fontKey="{CE0F4C2A-6813-4F4D-BF3F-57E887FAC275}"/>
  </w:font>
  <w:font w:name="Wingdings">
    <w:panose1 w:val="05000000000000000000"/>
    <w:charset w:val="02"/>
    <w:family w:val="auto"/>
    <w:pitch w:val="variable"/>
    <w:sig w:usb0="00000000" w:usb1="10000000" w:usb2="00000000" w:usb3="00000000" w:csb0="80000000" w:csb1="00000000"/>
    <w:embedRegular r:id="rId9" w:fontKey="{5798B80A-6CBF-DF4F-91F8-C36917A7C133}"/>
  </w:font>
  <w:font w:name="Symbol">
    <w:panose1 w:val="05050102010706020507"/>
    <w:charset w:val="02"/>
    <w:family w:val="decorative"/>
    <w:pitch w:val="variable"/>
    <w:sig w:usb0="00000000" w:usb1="10000000" w:usb2="00000000" w:usb3="00000000" w:csb0="80000000" w:csb1="00000000"/>
    <w:embedRegular r:id="rId10" w:fontKey="{D4887EC6-E2D3-6548-A7FC-01246314EC57}"/>
  </w:font>
  <w:font w:name="MS Mincho">
    <w:altName w:val="ＭＳ 明朝"/>
    <w:panose1 w:val="02020609040205080304"/>
    <w:charset w:val="80"/>
    <w:family w:val="modern"/>
    <w:pitch w:val="fixed"/>
    <w:sig w:usb0="E00002FF" w:usb1="6AC7FDFB" w:usb2="08000012" w:usb3="00000000" w:csb0="0002009F" w:csb1="00000000"/>
    <w:embedRegular r:id="rId11" w:subsetted="1" w:fontKey="{8DB5973E-7D5E-764F-BEBB-37620F59AD38}"/>
  </w:font>
  <w:font w:name="Cambria">
    <w:panose1 w:val="02040503050406030204"/>
    <w:charset w:val="00"/>
    <w:family w:val="roman"/>
    <w:pitch w:val="variable"/>
    <w:sig w:usb0="E00006FF" w:usb1="420024FF" w:usb2="02000000" w:usb3="00000000" w:csb0="0000019F" w:csb1="00000000"/>
    <w:embedRegular r:id="rId12" w:fontKey="{89F9A42D-F5E7-7843-8AFD-68A529BD993F}"/>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3" w:fontKey="{18BCA4AD-25BC-7148-8552-13989C93722E}"/>
  </w:font>
  <w:font w:name="Times">
    <w:panose1 w:val="020B0604020202020204"/>
    <w:charset w:val="00"/>
    <w:family w:val="roman"/>
    <w:pitch w:val="variable"/>
    <w:sig w:usb0="E0002EFF" w:usb1="C000785B" w:usb2="00000009" w:usb3="00000000" w:csb0="000001FF" w:csb1="00000000"/>
    <w:embedRegular r:id="rId14" w:fontKey="{C0D647CE-B959-6E47-B030-0989720D7D21}"/>
  </w:font>
  <w:font w:name="Arial">
    <w:panose1 w:val="020B0604020202020204"/>
    <w:charset w:val="00"/>
    <w:family w:val="swiss"/>
    <w:pitch w:val="variable"/>
    <w:sig w:usb0="E0002AFF" w:usb1="C0007843" w:usb2="00000009" w:usb3="00000000" w:csb0="000001FF" w:csb1="00000000"/>
    <w:embedRegular r:id="rId15" w:fontKey="{0BA1F6D7-0896-CD47-9FA9-6073353F3F46}"/>
    <w:embedBold r:id="rId16" w:fontKey="{D66A27EB-9139-0240-AA2E-382E3C3E55EF}"/>
    <w:embedItalic r:id="rId17" w:fontKey="{DE50BBDF-D1C9-A448-934B-11085E8FC61B}"/>
  </w:font>
  <w:font w:name="MS PGothic">
    <w:altName w:val="ＭＳ Ｐゴシック"/>
    <w:panose1 w:val="020B0600070205080204"/>
    <w:charset w:val="80"/>
    <w:family w:val="swiss"/>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embedRegular r:id="rId18" w:fontKey="{3094EF86-0C39-6F4B-BE09-26D2A016A93D}"/>
    <w:embedBold r:id="rId19" w:fontKey="{CAA40A3C-B012-C744-A7F8-0523DA83D264}"/>
    <w:embedItalic r:id="rId20" w:fontKey="{BE45A573-4974-FD45-9FE5-425EA08ED3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C395" w14:textId="196B2BB6" w:rsidR="00982388" w:rsidRPr="006602F1" w:rsidRDefault="00982388" w:rsidP="00D45ADF">
    <w:pPr>
      <w:pStyle w:val="Footer"/>
      <w:tabs>
        <w:tab w:val="clear" w:pos="4513"/>
        <w:tab w:val="clear" w:pos="9026"/>
        <w:tab w:val="right" w:pos="10206"/>
      </w:tabs>
      <w:spacing w:before="480"/>
      <w:rPr>
        <w:spacing w:val="1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148E" w14:textId="4CD70307" w:rsidR="00982388" w:rsidRPr="006602F1" w:rsidRDefault="00982388" w:rsidP="00D45ADF">
    <w:pPr>
      <w:pStyle w:val="Footer"/>
      <w:tabs>
        <w:tab w:val="clear" w:pos="4513"/>
        <w:tab w:val="clear" w:pos="9026"/>
        <w:tab w:val="right" w:pos="10205"/>
      </w:tabs>
      <w:spacing w:before="48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C4DD8" w14:textId="02A1A46E" w:rsidR="00982388" w:rsidRPr="006602F1" w:rsidRDefault="00982388" w:rsidP="00D45ADF">
    <w:pPr>
      <w:pStyle w:val="Footer"/>
      <w:tabs>
        <w:tab w:val="clear" w:pos="4513"/>
        <w:tab w:val="clear" w:pos="9026"/>
        <w:tab w:val="right" w:pos="10206"/>
      </w:tabs>
      <w:spacing w:before="480"/>
      <w:rPr>
        <w:sz w:val="16"/>
        <w:szCs w:val="16"/>
      </w:rPr>
    </w:pPr>
    <w:r w:rsidRPr="006602F1">
      <w:rPr>
        <w:i/>
        <w:noProof/>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0598" w14:textId="77777777" w:rsidR="00E84C0E" w:rsidRDefault="00E84C0E" w:rsidP="00E547DB">
      <w:pPr>
        <w:spacing w:after="0" w:line="240" w:lineRule="auto"/>
      </w:pPr>
      <w:r>
        <w:separator/>
      </w:r>
    </w:p>
    <w:p w14:paraId="4F6539A3" w14:textId="77777777" w:rsidR="00E84C0E" w:rsidRDefault="00E84C0E"/>
    <w:p w14:paraId="7960FC80" w14:textId="77777777" w:rsidR="00E84C0E" w:rsidRDefault="00E84C0E"/>
    <w:p w14:paraId="18C3B5FC" w14:textId="77777777" w:rsidR="00E84C0E" w:rsidRDefault="00E84C0E"/>
    <w:p w14:paraId="27294536" w14:textId="77777777" w:rsidR="00E84C0E" w:rsidRDefault="00E84C0E"/>
    <w:p w14:paraId="7550F916" w14:textId="77777777" w:rsidR="00E84C0E" w:rsidRDefault="00E84C0E"/>
  </w:footnote>
  <w:footnote w:type="continuationSeparator" w:id="0">
    <w:p w14:paraId="0729277C" w14:textId="77777777" w:rsidR="00E84C0E" w:rsidRDefault="00E84C0E" w:rsidP="00E547DB">
      <w:pPr>
        <w:spacing w:after="0" w:line="240" w:lineRule="auto"/>
      </w:pPr>
      <w:r>
        <w:continuationSeparator/>
      </w:r>
    </w:p>
    <w:p w14:paraId="50DC6669" w14:textId="77777777" w:rsidR="00E84C0E" w:rsidRDefault="00E84C0E"/>
    <w:p w14:paraId="3251A3FC" w14:textId="77777777" w:rsidR="00E84C0E" w:rsidRDefault="00E84C0E"/>
    <w:p w14:paraId="010CCC39" w14:textId="77777777" w:rsidR="00E84C0E" w:rsidRDefault="00E84C0E"/>
    <w:p w14:paraId="630359BB" w14:textId="77777777" w:rsidR="00E84C0E" w:rsidRDefault="00E84C0E"/>
    <w:p w14:paraId="12964F87" w14:textId="77777777" w:rsidR="00E84C0E" w:rsidRDefault="00E84C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5D6BB" w14:textId="3F78A88E" w:rsidR="00982388" w:rsidRPr="00E70DCE" w:rsidRDefault="00982388" w:rsidP="00D45ADF">
    <w:pPr>
      <w:pStyle w:val="Header"/>
      <w:tabs>
        <w:tab w:val="clear" w:pos="4513"/>
        <w:tab w:val="clear" w:pos="9026"/>
        <w:tab w:val="right" w:pos="10206"/>
      </w:tabs>
      <w:spacing w:after="240"/>
      <w:rPr>
        <w:rFonts w:cstheme="minorHAnsi"/>
        <w:color w:val="999999"/>
        <w:sz w:val="20"/>
        <w:szCs w:val="20"/>
      </w:rPr>
    </w:pPr>
    <w:r w:rsidRPr="00E70DCE">
      <w:rPr>
        <w:rFonts w:cstheme="minorHAnsi"/>
        <w:color w:val="999999"/>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EC0D" w14:textId="28F1BE80" w:rsidR="00982388" w:rsidRPr="009316A6" w:rsidRDefault="00982388" w:rsidP="00D45ADF">
    <w:pPr>
      <w:pStyle w:val="Header"/>
      <w:tabs>
        <w:tab w:val="clear" w:pos="4513"/>
        <w:tab w:val="clear" w:pos="9026"/>
        <w:tab w:val="right" w:pos="10206"/>
      </w:tabs>
      <w:spacing w:after="240"/>
      <w:rPr>
        <w:rFonts w:cstheme="minorHAnsi"/>
        <w:b/>
        <w:color w:val="999999"/>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C7B5B" w14:textId="26833667" w:rsidR="00982388" w:rsidRPr="00AA090B" w:rsidRDefault="00982388" w:rsidP="00AA090B">
    <w:pPr>
      <w:pStyle w:val="Header"/>
      <w:shd w:val="clear" w:color="auto" w:fill="FFFFFF" w:themeFill="background1"/>
      <w:tabs>
        <w:tab w:val="clear" w:pos="4513"/>
        <w:tab w:val="clear" w:pos="9026"/>
        <w:tab w:val="right" w:pos="10205"/>
      </w:tabs>
      <w:spacing w:after="240"/>
      <w:rPr>
        <w:b/>
        <w:noProof/>
        <w:sz w:val="32"/>
        <w:szCs w:val="32"/>
        <w:lang w:eastAsia="en-GB"/>
      </w:rPr>
    </w:pPr>
    <w:r>
      <w:rPr>
        <w:b/>
        <w:sz w:val="32"/>
        <w:szCs w:val="3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15A1D"/>
    <w:multiLevelType w:val="hybridMultilevel"/>
    <w:tmpl w:val="F1DE7148"/>
    <w:lvl w:ilvl="0" w:tplc="F350F36A">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16241"/>
    <w:multiLevelType w:val="hybridMultilevel"/>
    <w:tmpl w:val="3F620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A19DE"/>
    <w:multiLevelType w:val="hybridMultilevel"/>
    <w:tmpl w:val="29A8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BCD4D4E"/>
    <w:multiLevelType w:val="hybridMultilevel"/>
    <w:tmpl w:val="C8C00290"/>
    <w:lvl w:ilvl="0" w:tplc="C40CAD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632185">
    <w:abstractNumId w:val="0"/>
  </w:num>
  <w:num w:numId="2" w16cid:durableId="110512426">
    <w:abstractNumId w:val="6"/>
  </w:num>
  <w:num w:numId="3" w16cid:durableId="1020550259">
    <w:abstractNumId w:val="5"/>
  </w:num>
  <w:num w:numId="4" w16cid:durableId="30688263">
    <w:abstractNumId w:val="10"/>
  </w:num>
  <w:num w:numId="5" w16cid:durableId="162859694">
    <w:abstractNumId w:val="9"/>
  </w:num>
  <w:num w:numId="6" w16cid:durableId="982391472">
    <w:abstractNumId w:val="2"/>
  </w:num>
  <w:num w:numId="7" w16cid:durableId="49309116">
    <w:abstractNumId w:val="7"/>
  </w:num>
  <w:num w:numId="8" w16cid:durableId="1520124326">
    <w:abstractNumId w:val="3"/>
  </w:num>
  <w:num w:numId="9" w16cid:durableId="1816026341">
    <w:abstractNumId w:val="1"/>
  </w:num>
  <w:num w:numId="10" w16cid:durableId="389184955">
    <w:abstractNumId w:val="4"/>
  </w:num>
  <w:num w:numId="11" w16cid:durableId="8962780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bordersDoNotSurroundHeader/>
  <w:bordersDoNotSurroundFooter/>
  <w:proofState w:spelling="clean" w:grammar="clean"/>
  <w:stylePaneSortMethod w:val="0000"/>
  <w:defaultTabStop w:val="284"/>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A0"/>
    <w:rsid w:val="00005B8A"/>
    <w:rsid w:val="00013D49"/>
    <w:rsid w:val="00020BF6"/>
    <w:rsid w:val="00022D8A"/>
    <w:rsid w:val="00025AB7"/>
    <w:rsid w:val="00034F4B"/>
    <w:rsid w:val="0003744F"/>
    <w:rsid w:val="00051A96"/>
    <w:rsid w:val="000615B8"/>
    <w:rsid w:val="00061771"/>
    <w:rsid w:val="000622D1"/>
    <w:rsid w:val="000676D7"/>
    <w:rsid w:val="00070F23"/>
    <w:rsid w:val="00071E41"/>
    <w:rsid w:val="00073639"/>
    <w:rsid w:val="0007432C"/>
    <w:rsid w:val="00081248"/>
    <w:rsid w:val="00082CA0"/>
    <w:rsid w:val="00083D13"/>
    <w:rsid w:val="000A055C"/>
    <w:rsid w:val="000A1275"/>
    <w:rsid w:val="000A2670"/>
    <w:rsid w:val="000A3CB0"/>
    <w:rsid w:val="000A5A2B"/>
    <w:rsid w:val="000A5DC1"/>
    <w:rsid w:val="000A67ED"/>
    <w:rsid w:val="000A6B3F"/>
    <w:rsid w:val="000A7AB8"/>
    <w:rsid w:val="000B3BBE"/>
    <w:rsid w:val="000B3CFE"/>
    <w:rsid w:val="000C0A9D"/>
    <w:rsid w:val="000D2FAC"/>
    <w:rsid w:val="000D3227"/>
    <w:rsid w:val="000D3D24"/>
    <w:rsid w:val="000D5891"/>
    <w:rsid w:val="000D6963"/>
    <w:rsid w:val="000E7A32"/>
    <w:rsid w:val="000F0959"/>
    <w:rsid w:val="000F3A41"/>
    <w:rsid w:val="0010011D"/>
    <w:rsid w:val="00103074"/>
    <w:rsid w:val="0011006E"/>
    <w:rsid w:val="0011433D"/>
    <w:rsid w:val="00116E56"/>
    <w:rsid w:val="00120227"/>
    <w:rsid w:val="00126027"/>
    <w:rsid w:val="00126041"/>
    <w:rsid w:val="00127BAD"/>
    <w:rsid w:val="001318C0"/>
    <w:rsid w:val="001447F6"/>
    <w:rsid w:val="00146AFD"/>
    <w:rsid w:val="00150823"/>
    <w:rsid w:val="001508E9"/>
    <w:rsid w:val="0015402A"/>
    <w:rsid w:val="00161A37"/>
    <w:rsid w:val="001633D9"/>
    <w:rsid w:val="001656DF"/>
    <w:rsid w:val="001703A7"/>
    <w:rsid w:val="001777F5"/>
    <w:rsid w:val="00180ABE"/>
    <w:rsid w:val="001923AB"/>
    <w:rsid w:val="001925B0"/>
    <w:rsid w:val="001A3D04"/>
    <w:rsid w:val="001B29D1"/>
    <w:rsid w:val="001B47CD"/>
    <w:rsid w:val="001C10C0"/>
    <w:rsid w:val="001C1EB8"/>
    <w:rsid w:val="001C7FFC"/>
    <w:rsid w:val="001D3E02"/>
    <w:rsid w:val="001D7E9D"/>
    <w:rsid w:val="001E3806"/>
    <w:rsid w:val="001E431D"/>
    <w:rsid w:val="001F182D"/>
    <w:rsid w:val="001F2B3D"/>
    <w:rsid w:val="001F325B"/>
    <w:rsid w:val="001F40A7"/>
    <w:rsid w:val="002021CE"/>
    <w:rsid w:val="00206A82"/>
    <w:rsid w:val="0021052B"/>
    <w:rsid w:val="00211553"/>
    <w:rsid w:val="00211562"/>
    <w:rsid w:val="00214BEC"/>
    <w:rsid w:val="002226DD"/>
    <w:rsid w:val="002252EA"/>
    <w:rsid w:val="00237C8A"/>
    <w:rsid w:val="0024022C"/>
    <w:rsid w:val="00240353"/>
    <w:rsid w:val="00241ACD"/>
    <w:rsid w:val="00250971"/>
    <w:rsid w:val="00253551"/>
    <w:rsid w:val="00260200"/>
    <w:rsid w:val="002607D2"/>
    <w:rsid w:val="00263AEF"/>
    <w:rsid w:val="00266567"/>
    <w:rsid w:val="00266F1E"/>
    <w:rsid w:val="00270DD5"/>
    <w:rsid w:val="00271235"/>
    <w:rsid w:val="00272886"/>
    <w:rsid w:val="00272D6F"/>
    <w:rsid w:val="00283F87"/>
    <w:rsid w:val="002904DB"/>
    <w:rsid w:val="00296519"/>
    <w:rsid w:val="00296556"/>
    <w:rsid w:val="00297168"/>
    <w:rsid w:val="002A5421"/>
    <w:rsid w:val="002B62B5"/>
    <w:rsid w:val="002B646F"/>
    <w:rsid w:val="002C04DD"/>
    <w:rsid w:val="002C0803"/>
    <w:rsid w:val="002C251C"/>
    <w:rsid w:val="002C3D7C"/>
    <w:rsid w:val="002D193E"/>
    <w:rsid w:val="002D63A6"/>
    <w:rsid w:val="002E059A"/>
    <w:rsid w:val="002E5B1D"/>
    <w:rsid w:val="002F1579"/>
    <w:rsid w:val="002F4020"/>
    <w:rsid w:val="002F52C3"/>
    <w:rsid w:val="002F6C41"/>
    <w:rsid w:val="0030396C"/>
    <w:rsid w:val="0031296D"/>
    <w:rsid w:val="0032603F"/>
    <w:rsid w:val="003269F8"/>
    <w:rsid w:val="00332CE1"/>
    <w:rsid w:val="00335D5A"/>
    <w:rsid w:val="0034108E"/>
    <w:rsid w:val="0034121D"/>
    <w:rsid w:val="003514F7"/>
    <w:rsid w:val="00352029"/>
    <w:rsid w:val="00352AA4"/>
    <w:rsid w:val="00354579"/>
    <w:rsid w:val="00356F00"/>
    <w:rsid w:val="00377481"/>
    <w:rsid w:val="00385965"/>
    <w:rsid w:val="003A1DC6"/>
    <w:rsid w:val="003A3D9F"/>
    <w:rsid w:val="003A7E95"/>
    <w:rsid w:val="003B739C"/>
    <w:rsid w:val="003B7CB5"/>
    <w:rsid w:val="003C6313"/>
    <w:rsid w:val="003D36D9"/>
    <w:rsid w:val="003D39B7"/>
    <w:rsid w:val="003D4ECA"/>
    <w:rsid w:val="003D6715"/>
    <w:rsid w:val="003E55B2"/>
    <w:rsid w:val="003E5FF9"/>
    <w:rsid w:val="003F2475"/>
    <w:rsid w:val="003F5AD9"/>
    <w:rsid w:val="003F6597"/>
    <w:rsid w:val="00404E37"/>
    <w:rsid w:val="004116DD"/>
    <w:rsid w:val="00412335"/>
    <w:rsid w:val="004241F1"/>
    <w:rsid w:val="0042588F"/>
    <w:rsid w:val="0043180D"/>
    <w:rsid w:val="004357E3"/>
    <w:rsid w:val="0043628F"/>
    <w:rsid w:val="0043731E"/>
    <w:rsid w:val="0043771E"/>
    <w:rsid w:val="004414A5"/>
    <w:rsid w:val="00442A10"/>
    <w:rsid w:val="00442B26"/>
    <w:rsid w:val="0044700B"/>
    <w:rsid w:val="00450C3D"/>
    <w:rsid w:val="0045579F"/>
    <w:rsid w:val="00456CFB"/>
    <w:rsid w:val="004601ED"/>
    <w:rsid w:val="004624EB"/>
    <w:rsid w:val="00462662"/>
    <w:rsid w:val="00467171"/>
    <w:rsid w:val="00467C80"/>
    <w:rsid w:val="00474052"/>
    <w:rsid w:val="0047557D"/>
    <w:rsid w:val="0047645B"/>
    <w:rsid w:val="004877C8"/>
    <w:rsid w:val="004901D3"/>
    <w:rsid w:val="0049081C"/>
    <w:rsid w:val="00491FAD"/>
    <w:rsid w:val="004A1EF7"/>
    <w:rsid w:val="004A2AF8"/>
    <w:rsid w:val="004A638B"/>
    <w:rsid w:val="004A775E"/>
    <w:rsid w:val="004B5EA4"/>
    <w:rsid w:val="004B62FD"/>
    <w:rsid w:val="004B76EF"/>
    <w:rsid w:val="004C531E"/>
    <w:rsid w:val="004C6C90"/>
    <w:rsid w:val="004C7468"/>
    <w:rsid w:val="004C774E"/>
    <w:rsid w:val="004D1E60"/>
    <w:rsid w:val="004D3966"/>
    <w:rsid w:val="004D44E0"/>
    <w:rsid w:val="004D5B59"/>
    <w:rsid w:val="004E11B2"/>
    <w:rsid w:val="004E25DC"/>
    <w:rsid w:val="004E3490"/>
    <w:rsid w:val="004F7244"/>
    <w:rsid w:val="005011E1"/>
    <w:rsid w:val="005037CD"/>
    <w:rsid w:val="00504795"/>
    <w:rsid w:val="00514CBA"/>
    <w:rsid w:val="0052472E"/>
    <w:rsid w:val="00526186"/>
    <w:rsid w:val="0052630A"/>
    <w:rsid w:val="0053177A"/>
    <w:rsid w:val="00533EA1"/>
    <w:rsid w:val="0054520C"/>
    <w:rsid w:val="00550906"/>
    <w:rsid w:val="005653F7"/>
    <w:rsid w:val="00571029"/>
    <w:rsid w:val="005725A5"/>
    <w:rsid w:val="00573E77"/>
    <w:rsid w:val="00574511"/>
    <w:rsid w:val="005771C3"/>
    <w:rsid w:val="00577B54"/>
    <w:rsid w:val="00582487"/>
    <w:rsid w:val="0058685C"/>
    <w:rsid w:val="00590F6D"/>
    <w:rsid w:val="00594500"/>
    <w:rsid w:val="0059500C"/>
    <w:rsid w:val="005A2DA3"/>
    <w:rsid w:val="005A5A6D"/>
    <w:rsid w:val="005A5ED7"/>
    <w:rsid w:val="005C1A41"/>
    <w:rsid w:val="005C3758"/>
    <w:rsid w:val="005C4565"/>
    <w:rsid w:val="005D214B"/>
    <w:rsid w:val="005E05CD"/>
    <w:rsid w:val="005E52D2"/>
    <w:rsid w:val="005F6741"/>
    <w:rsid w:val="005F741A"/>
    <w:rsid w:val="0060627E"/>
    <w:rsid w:val="0061024F"/>
    <w:rsid w:val="0061572F"/>
    <w:rsid w:val="00616D34"/>
    <w:rsid w:val="00625BC6"/>
    <w:rsid w:val="00631399"/>
    <w:rsid w:val="00631441"/>
    <w:rsid w:val="00641030"/>
    <w:rsid w:val="0064156E"/>
    <w:rsid w:val="00645D52"/>
    <w:rsid w:val="0065133B"/>
    <w:rsid w:val="006556AC"/>
    <w:rsid w:val="006602F1"/>
    <w:rsid w:val="006637DD"/>
    <w:rsid w:val="00667E21"/>
    <w:rsid w:val="00670ED4"/>
    <w:rsid w:val="0067218A"/>
    <w:rsid w:val="00672928"/>
    <w:rsid w:val="00674A86"/>
    <w:rsid w:val="0067564C"/>
    <w:rsid w:val="006871AE"/>
    <w:rsid w:val="00697EC8"/>
    <w:rsid w:val="006A4739"/>
    <w:rsid w:val="006A69C8"/>
    <w:rsid w:val="006B218D"/>
    <w:rsid w:val="006C3D05"/>
    <w:rsid w:val="006D35EC"/>
    <w:rsid w:val="006D6163"/>
    <w:rsid w:val="006D6C90"/>
    <w:rsid w:val="006D722C"/>
    <w:rsid w:val="006E58B1"/>
    <w:rsid w:val="006F01C4"/>
    <w:rsid w:val="006F1239"/>
    <w:rsid w:val="006F487B"/>
    <w:rsid w:val="006F740B"/>
    <w:rsid w:val="0070147B"/>
    <w:rsid w:val="00722420"/>
    <w:rsid w:val="007237F9"/>
    <w:rsid w:val="00726C35"/>
    <w:rsid w:val="00731481"/>
    <w:rsid w:val="00733D35"/>
    <w:rsid w:val="00740512"/>
    <w:rsid w:val="00742F40"/>
    <w:rsid w:val="00744387"/>
    <w:rsid w:val="00744A41"/>
    <w:rsid w:val="00750AA2"/>
    <w:rsid w:val="00753D08"/>
    <w:rsid w:val="00762FE7"/>
    <w:rsid w:val="0076676D"/>
    <w:rsid w:val="00773102"/>
    <w:rsid w:val="007749BF"/>
    <w:rsid w:val="007775B1"/>
    <w:rsid w:val="00780A41"/>
    <w:rsid w:val="0078347E"/>
    <w:rsid w:val="00794787"/>
    <w:rsid w:val="007A375D"/>
    <w:rsid w:val="007A37D8"/>
    <w:rsid w:val="007A51DA"/>
    <w:rsid w:val="007B1028"/>
    <w:rsid w:val="007B60ED"/>
    <w:rsid w:val="007B622D"/>
    <w:rsid w:val="007C3D03"/>
    <w:rsid w:val="007D0791"/>
    <w:rsid w:val="007D1EFA"/>
    <w:rsid w:val="007D2035"/>
    <w:rsid w:val="007D28F0"/>
    <w:rsid w:val="007D2BE3"/>
    <w:rsid w:val="007D4724"/>
    <w:rsid w:val="007D5FE4"/>
    <w:rsid w:val="007D7A50"/>
    <w:rsid w:val="007E2DEB"/>
    <w:rsid w:val="007E3151"/>
    <w:rsid w:val="007F5E8F"/>
    <w:rsid w:val="007F75F8"/>
    <w:rsid w:val="008000AC"/>
    <w:rsid w:val="00811B7F"/>
    <w:rsid w:val="008125A0"/>
    <w:rsid w:val="00816EF5"/>
    <w:rsid w:val="0082287E"/>
    <w:rsid w:val="0082328E"/>
    <w:rsid w:val="008235CB"/>
    <w:rsid w:val="008312C1"/>
    <w:rsid w:val="00832766"/>
    <w:rsid w:val="00835180"/>
    <w:rsid w:val="008407B8"/>
    <w:rsid w:val="00855A2B"/>
    <w:rsid w:val="008560DE"/>
    <w:rsid w:val="008621A7"/>
    <w:rsid w:val="0087214D"/>
    <w:rsid w:val="008736C2"/>
    <w:rsid w:val="00874E62"/>
    <w:rsid w:val="00876451"/>
    <w:rsid w:val="00880E6A"/>
    <w:rsid w:val="008819AE"/>
    <w:rsid w:val="0088525A"/>
    <w:rsid w:val="0088780F"/>
    <w:rsid w:val="00890A32"/>
    <w:rsid w:val="0089352B"/>
    <w:rsid w:val="008A0D60"/>
    <w:rsid w:val="008A1E40"/>
    <w:rsid w:val="008A2149"/>
    <w:rsid w:val="008A4DB8"/>
    <w:rsid w:val="008B4E6A"/>
    <w:rsid w:val="008C1387"/>
    <w:rsid w:val="008C3019"/>
    <w:rsid w:val="008C682F"/>
    <w:rsid w:val="008D49B1"/>
    <w:rsid w:val="008E08A4"/>
    <w:rsid w:val="008E122F"/>
    <w:rsid w:val="008E509B"/>
    <w:rsid w:val="008E6E79"/>
    <w:rsid w:val="008F4811"/>
    <w:rsid w:val="008F525A"/>
    <w:rsid w:val="009026D4"/>
    <w:rsid w:val="0090371D"/>
    <w:rsid w:val="009075B5"/>
    <w:rsid w:val="009234A6"/>
    <w:rsid w:val="00924659"/>
    <w:rsid w:val="009250AC"/>
    <w:rsid w:val="0092763E"/>
    <w:rsid w:val="009316A6"/>
    <w:rsid w:val="00936114"/>
    <w:rsid w:val="009400E9"/>
    <w:rsid w:val="00942D32"/>
    <w:rsid w:val="00945582"/>
    <w:rsid w:val="00946830"/>
    <w:rsid w:val="00952E4D"/>
    <w:rsid w:val="00956779"/>
    <w:rsid w:val="0096057C"/>
    <w:rsid w:val="00962779"/>
    <w:rsid w:val="00964C9A"/>
    <w:rsid w:val="009654EC"/>
    <w:rsid w:val="00980071"/>
    <w:rsid w:val="00982388"/>
    <w:rsid w:val="009918D9"/>
    <w:rsid w:val="009A392D"/>
    <w:rsid w:val="009B10CB"/>
    <w:rsid w:val="009B115C"/>
    <w:rsid w:val="009B1558"/>
    <w:rsid w:val="009D11E8"/>
    <w:rsid w:val="009D17C3"/>
    <w:rsid w:val="009D47C2"/>
    <w:rsid w:val="009E122B"/>
    <w:rsid w:val="009E2AFE"/>
    <w:rsid w:val="009E51F8"/>
    <w:rsid w:val="009F2649"/>
    <w:rsid w:val="009F74B8"/>
    <w:rsid w:val="00A00CD7"/>
    <w:rsid w:val="00A02589"/>
    <w:rsid w:val="00A05364"/>
    <w:rsid w:val="00A074D7"/>
    <w:rsid w:val="00A14FDA"/>
    <w:rsid w:val="00A16BA1"/>
    <w:rsid w:val="00A17D23"/>
    <w:rsid w:val="00A208E1"/>
    <w:rsid w:val="00A2185F"/>
    <w:rsid w:val="00A34311"/>
    <w:rsid w:val="00A50605"/>
    <w:rsid w:val="00A521AB"/>
    <w:rsid w:val="00A5254C"/>
    <w:rsid w:val="00A54612"/>
    <w:rsid w:val="00A56CD0"/>
    <w:rsid w:val="00A61D3E"/>
    <w:rsid w:val="00A6205C"/>
    <w:rsid w:val="00A702D8"/>
    <w:rsid w:val="00A70607"/>
    <w:rsid w:val="00A74C66"/>
    <w:rsid w:val="00A7643E"/>
    <w:rsid w:val="00A76470"/>
    <w:rsid w:val="00A9649E"/>
    <w:rsid w:val="00AA090B"/>
    <w:rsid w:val="00AA1341"/>
    <w:rsid w:val="00AB0168"/>
    <w:rsid w:val="00AB16D0"/>
    <w:rsid w:val="00AB2C1B"/>
    <w:rsid w:val="00AB36F5"/>
    <w:rsid w:val="00AB6821"/>
    <w:rsid w:val="00AB7BEE"/>
    <w:rsid w:val="00AC3BF2"/>
    <w:rsid w:val="00AD5483"/>
    <w:rsid w:val="00AD7D61"/>
    <w:rsid w:val="00AF0249"/>
    <w:rsid w:val="00AF150F"/>
    <w:rsid w:val="00AF4737"/>
    <w:rsid w:val="00B0470A"/>
    <w:rsid w:val="00B0665C"/>
    <w:rsid w:val="00B136B0"/>
    <w:rsid w:val="00B13D27"/>
    <w:rsid w:val="00B16430"/>
    <w:rsid w:val="00B2364D"/>
    <w:rsid w:val="00B4026D"/>
    <w:rsid w:val="00B41DE7"/>
    <w:rsid w:val="00B47AA6"/>
    <w:rsid w:val="00B53582"/>
    <w:rsid w:val="00B6137E"/>
    <w:rsid w:val="00B6239D"/>
    <w:rsid w:val="00B66D04"/>
    <w:rsid w:val="00B67630"/>
    <w:rsid w:val="00B70B18"/>
    <w:rsid w:val="00B722DE"/>
    <w:rsid w:val="00B73FD7"/>
    <w:rsid w:val="00B80DDB"/>
    <w:rsid w:val="00B81EB6"/>
    <w:rsid w:val="00B81EE1"/>
    <w:rsid w:val="00B84411"/>
    <w:rsid w:val="00B85117"/>
    <w:rsid w:val="00B9392D"/>
    <w:rsid w:val="00BA0C7E"/>
    <w:rsid w:val="00BA42DD"/>
    <w:rsid w:val="00BA761E"/>
    <w:rsid w:val="00BB3FBE"/>
    <w:rsid w:val="00BB66FC"/>
    <w:rsid w:val="00BB77F2"/>
    <w:rsid w:val="00BB7CCA"/>
    <w:rsid w:val="00BC0E97"/>
    <w:rsid w:val="00BC603D"/>
    <w:rsid w:val="00BC6698"/>
    <w:rsid w:val="00BC6D86"/>
    <w:rsid w:val="00BD48A6"/>
    <w:rsid w:val="00BE571B"/>
    <w:rsid w:val="00BE7569"/>
    <w:rsid w:val="00BF69F9"/>
    <w:rsid w:val="00C003A6"/>
    <w:rsid w:val="00C03CE1"/>
    <w:rsid w:val="00C040D1"/>
    <w:rsid w:val="00C049BE"/>
    <w:rsid w:val="00C04C61"/>
    <w:rsid w:val="00C04F5C"/>
    <w:rsid w:val="00C0528D"/>
    <w:rsid w:val="00C0634B"/>
    <w:rsid w:val="00C06DDA"/>
    <w:rsid w:val="00C11A1E"/>
    <w:rsid w:val="00C2292F"/>
    <w:rsid w:val="00C25214"/>
    <w:rsid w:val="00C3016F"/>
    <w:rsid w:val="00C31285"/>
    <w:rsid w:val="00C31922"/>
    <w:rsid w:val="00C31FD8"/>
    <w:rsid w:val="00C32EDF"/>
    <w:rsid w:val="00C35A99"/>
    <w:rsid w:val="00C405FD"/>
    <w:rsid w:val="00C42573"/>
    <w:rsid w:val="00C5024A"/>
    <w:rsid w:val="00C57107"/>
    <w:rsid w:val="00C62C2D"/>
    <w:rsid w:val="00C733D9"/>
    <w:rsid w:val="00C778B7"/>
    <w:rsid w:val="00C82057"/>
    <w:rsid w:val="00C846D4"/>
    <w:rsid w:val="00C86DE5"/>
    <w:rsid w:val="00C91C92"/>
    <w:rsid w:val="00C9227C"/>
    <w:rsid w:val="00C9557D"/>
    <w:rsid w:val="00C96A26"/>
    <w:rsid w:val="00C97C0D"/>
    <w:rsid w:val="00CA2575"/>
    <w:rsid w:val="00CA2740"/>
    <w:rsid w:val="00CB0E5D"/>
    <w:rsid w:val="00CB15A4"/>
    <w:rsid w:val="00CB4FD7"/>
    <w:rsid w:val="00CC12E6"/>
    <w:rsid w:val="00CC2E25"/>
    <w:rsid w:val="00CC7019"/>
    <w:rsid w:val="00CC7C64"/>
    <w:rsid w:val="00CD0B47"/>
    <w:rsid w:val="00CD0D48"/>
    <w:rsid w:val="00CD355A"/>
    <w:rsid w:val="00CE4B4B"/>
    <w:rsid w:val="00CE5F87"/>
    <w:rsid w:val="00CF5F1A"/>
    <w:rsid w:val="00D010E8"/>
    <w:rsid w:val="00D02C04"/>
    <w:rsid w:val="00D138E8"/>
    <w:rsid w:val="00D15BD0"/>
    <w:rsid w:val="00D20259"/>
    <w:rsid w:val="00D208BA"/>
    <w:rsid w:val="00D21668"/>
    <w:rsid w:val="00D216BC"/>
    <w:rsid w:val="00D23964"/>
    <w:rsid w:val="00D42F8F"/>
    <w:rsid w:val="00D43F17"/>
    <w:rsid w:val="00D45ADF"/>
    <w:rsid w:val="00D544BC"/>
    <w:rsid w:val="00D62D0B"/>
    <w:rsid w:val="00D73BC6"/>
    <w:rsid w:val="00D77C38"/>
    <w:rsid w:val="00D80D8C"/>
    <w:rsid w:val="00D8795D"/>
    <w:rsid w:val="00D91638"/>
    <w:rsid w:val="00D960AE"/>
    <w:rsid w:val="00DA07F1"/>
    <w:rsid w:val="00DA1E4C"/>
    <w:rsid w:val="00DB0A57"/>
    <w:rsid w:val="00DB6738"/>
    <w:rsid w:val="00DC28E2"/>
    <w:rsid w:val="00DD06F4"/>
    <w:rsid w:val="00DD500F"/>
    <w:rsid w:val="00DD5A1F"/>
    <w:rsid w:val="00DD5E96"/>
    <w:rsid w:val="00DD6C7A"/>
    <w:rsid w:val="00DF53E4"/>
    <w:rsid w:val="00DF63AB"/>
    <w:rsid w:val="00E01E0E"/>
    <w:rsid w:val="00E11155"/>
    <w:rsid w:val="00E13527"/>
    <w:rsid w:val="00E2136E"/>
    <w:rsid w:val="00E219AD"/>
    <w:rsid w:val="00E25AF8"/>
    <w:rsid w:val="00E31A6A"/>
    <w:rsid w:val="00E46BDF"/>
    <w:rsid w:val="00E510F5"/>
    <w:rsid w:val="00E533FB"/>
    <w:rsid w:val="00E547DB"/>
    <w:rsid w:val="00E555BF"/>
    <w:rsid w:val="00E571F9"/>
    <w:rsid w:val="00E61949"/>
    <w:rsid w:val="00E62B6A"/>
    <w:rsid w:val="00E636AD"/>
    <w:rsid w:val="00E70DCE"/>
    <w:rsid w:val="00E83B8B"/>
    <w:rsid w:val="00E84C0E"/>
    <w:rsid w:val="00E87276"/>
    <w:rsid w:val="00E90BC9"/>
    <w:rsid w:val="00E96728"/>
    <w:rsid w:val="00EA346A"/>
    <w:rsid w:val="00EA446A"/>
    <w:rsid w:val="00EA5491"/>
    <w:rsid w:val="00EA7DC1"/>
    <w:rsid w:val="00EB2490"/>
    <w:rsid w:val="00EB5BA2"/>
    <w:rsid w:val="00EB5C28"/>
    <w:rsid w:val="00EB64BC"/>
    <w:rsid w:val="00EB79B8"/>
    <w:rsid w:val="00EC00D7"/>
    <w:rsid w:val="00EC045A"/>
    <w:rsid w:val="00EC2CDB"/>
    <w:rsid w:val="00EC6884"/>
    <w:rsid w:val="00EE327E"/>
    <w:rsid w:val="00EE3AFB"/>
    <w:rsid w:val="00EE47D8"/>
    <w:rsid w:val="00EF0D19"/>
    <w:rsid w:val="00EF1577"/>
    <w:rsid w:val="00EF6BD4"/>
    <w:rsid w:val="00F0242A"/>
    <w:rsid w:val="00F02A47"/>
    <w:rsid w:val="00F05C18"/>
    <w:rsid w:val="00F067EF"/>
    <w:rsid w:val="00F11D79"/>
    <w:rsid w:val="00F157DD"/>
    <w:rsid w:val="00F15F90"/>
    <w:rsid w:val="00F21465"/>
    <w:rsid w:val="00F23716"/>
    <w:rsid w:val="00F31CBC"/>
    <w:rsid w:val="00F34E67"/>
    <w:rsid w:val="00F50117"/>
    <w:rsid w:val="00F50B25"/>
    <w:rsid w:val="00F50EEB"/>
    <w:rsid w:val="00F5154A"/>
    <w:rsid w:val="00F6065C"/>
    <w:rsid w:val="00F61EB1"/>
    <w:rsid w:val="00F62C8B"/>
    <w:rsid w:val="00F64B88"/>
    <w:rsid w:val="00F72122"/>
    <w:rsid w:val="00F7616E"/>
    <w:rsid w:val="00F802D4"/>
    <w:rsid w:val="00F90959"/>
    <w:rsid w:val="00F9162B"/>
    <w:rsid w:val="00F91982"/>
    <w:rsid w:val="00F944AE"/>
    <w:rsid w:val="00FA0EAD"/>
    <w:rsid w:val="00FA2ABF"/>
    <w:rsid w:val="00FA2DA2"/>
    <w:rsid w:val="00FA311A"/>
    <w:rsid w:val="00FA67D4"/>
    <w:rsid w:val="00FB16A8"/>
    <w:rsid w:val="00FB7DE4"/>
    <w:rsid w:val="00FC0102"/>
    <w:rsid w:val="00FC1AAD"/>
    <w:rsid w:val="00FC4700"/>
    <w:rsid w:val="00FC6BAD"/>
    <w:rsid w:val="00FE0FE8"/>
    <w:rsid w:val="00FF1C4B"/>
    <w:rsid w:val="00FF56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FF81D6"/>
  <w15:docId w15:val="{832BB04B-C88E-45BB-9BE4-22D412A4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26DD"/>
  </w:style>
  <w:style w:type="paragraph" w:styleId="Heading1">
    <w:name w:val="heading 1"/>
    <w:basedOn w:val="Normal"/>
    <w:next w:val="Normal"/>
    <w:link w:val="Heading1Char"/>
    <w:uiPriority w:val="9"/>
    <w:qFormat/>
    <w:rsid w:val="0061024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61024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61024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semiHidden/>
    <w:unhideWhenUsed/>
    <w:qFormat/>
    <w:rsid w:val="0061024F"/>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61024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61024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61024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61024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61024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rsid w:val="006556AC"/>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ARTAbstractChar">
    <w:name w:val="RSC B01 ART Abstract Char"/>
    <w:basedOn w:val="DefaultParagraphFont"/>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DefaultParagraphFont"/>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6556AC"/>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6556AC"/>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qFormat/>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6556AC"/>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DefaultParagraphFont"/>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DefaultParagraphFont"/>
    <w:link w:val="RSCB07BHeadingSub-Section-standalone"/>
    <w:rsid w:val="00EF6BD4"/>
    <w:rPr>
      <w:b/>
      <w:sz w:val="18"/>
    </w:rPr>
  </w:style>
  <w:style w:type="character" w:customStyle="1" w:styleId="RSCB08CHeadingIn-lineChar">
    <w:name w:val="RSC B08 C Heading (In-line) Char"/>
    <w:basedOn w:val="DefaultParagraphFont"/>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FollowedHyperlink">
    <w:name w:val="FollowedHyperlink"/>
    <w:basedOn w:val="DefaultParagraphFont"/>
    <w:uiPriority w:val="99"/>
    <w:semiHidden/>
    <w:unhideWhenUsed/>
    <w:rsid w:val="0024022C"/>
    <w:rPr>
      <w:color w:val="800080" w:themeColor="followedHyperlink"/>
      <w:u w:val="single"/>
    </w:rPr>
  </w:style>
  <w:style w:type="character" w:styleId="CommentReference">
    <w:name w:val="annotation reference"/>
    <w:basedOn w:val="DefaultParagraphFont"/>
    <w:uiPriority w:val="99"/>
    <w:semiHidden/>
    <w:unhideWhenUsed/>
    <w:rsid w:val="0060627E"/>
    <w:rPr>
      <w:sz w:val="16"/>
      <w:szCs w:val="16"/>
    </w:rPr>
  </w:style>
  <w:style w:type="paragraph" w:styleId="CommentText">
    <w:name w:val="annotation text"/>
    <w:basedOn w:val="Normal"/>
    <w:link w:val="CommentTextChar"/>
    <w:uiPriority w:val="99"/>
    <w:semiHidden/>
    <w:unhideWhenUsed/>
    <w:rsid w:val="0060627E"/>
    <w:pPr>
      <w:spacing w:line="240" w:lineRule="auto"/>
    </w:pPr>
    <w:rPr>
      <w:sz w:val="20"/>
      <w:szCs w:val="20"/>
    </w:rPr>
  </w:style>
  <w:style w:type="character" w:customStyle="1" w:styleId="CommentTextChar">
    <w:name w:val="Comment Text Char"/>
    <w:basedOn w:val="DefaultParagraphFont"/>
    <w:link w:val="CommentText"/>
    <w:uiPriority w:val="99"/>
    <w:semiHidden/>
    <w:rsid w:val="0060627E"/>
    <w:rPr>
      <w:sz w:val="20"/>
      <w:szCs w:val="20"/>
    </w:rPr>
  </w:style>
  <w:style w:type="paragraph" w:styleId="CommentSubject">
    <w:name w:val="annotation subject"/>
    <w:basedOn w:val="CommentText"/>
    <w:next w:val="CommentText"/>
    <w:link w:val="CommentSubjectChar"/>
    <w:uiPriority w:val="99"/>
    <w:semiHidden/>
    <w:unhideWhenUsed/>
    <w:rsid w:val="0060627E"/>
    <w:rPr>
      <w:b/>
      <w:bCs/>
    </w:rPr>
  </w:style>
  <w:style w:type="character" w:customStyle="1" w:styleId="CommentSubjectChar">
    <w:name w:val="Comment Subject Char"/>
    <w:basedOn w:val="CommentTextChar"/>
    <w:link w:val="CommentSubject"/>
    <w:uiPriority w:val="99"/>
    <w:semiHidden/>
    <w:rsid w:val="0060627E"/>
    <w:rPr>
      <w:b/>
      <w:bCs/>
      <w:sz w:val="20"/>
      <w:szCs w:val="20"/>
    </w:rPr>
  </w:style>
  <w:style w:type="paragraph" w:customStyle="1" w:styleId="TCTableBody">
    <w:name w:val="TC_Table_Body"/>
    <w:basedOn w:val="Normal"/>
    <w:rsid w:val="00C31285"/>
    <w:pPr>
      <w:spacing w:line="240" w:lineRule="auto"/>
      <w:jc w:val="both"/>
    </w:pPr>
    <w:rPr>
      <w:rFonts w:ascii="Times" w:hAnsi="Times" w:cs="Times New Roman"/>
      <w:sz w:val="24"/>
      <w:szCs w:val="20"/>
      <w:lang w:val="en-US"/>
    </w:rPr>
  </w:style>
  <w:style w:type="character" w:customStyle="1" w:styleId="Heading1Char">
    <w:name w:val="Heading 1 Char"/>
    <w:basedOn w:val="DefaultParagraphFont"/>
    <w:link w:val="Heading1"/>
    <w:uiPriority w:val="9"/>
    <w:rsid w:val="0061024F"/>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61024F"/>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61024F"/>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semiHidden/>
    <w:rsid w:val="0061024F"/>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61024F"/>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61024F"/>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61024F"/>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61024F"/>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61024F"/>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61024F"/>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024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24F"/>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6102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024F"/>
    <w:rPr>
      <w:i/>
      <w:iCs/>
      <w:color w:val="404040" w:themeColor="text1" w:themeTint="BF"/>
    </w:rPr>
  </w:style>
  <w:style w:type="character" w:styleId="IntenseEmphasis">
    <w:name w:val="Intense Emphasis"/>
    <w:basedOn w:val="DefaultParagraphFont"/>
    <w:uiPriority w:val="21"/>
    <w:qFormat/>
    <w:rsid w:val="0061024F"/>
    <w:rPr>
      <w:i/>
      <w:iCs/>
      <w:color w:val="365F91" w:themeColor="accent1" w:themeShade="BF"/>
    </w:rPr>
  </w:style>
  <w:style w:type="paragraph" w:styleId="IntenseQuote">
    <w:name w:val="Intense Quote"/>
    <w:basedOn w:val="Normal"/>
    <w:next w:val="Normal"/>
    <w:link w:val="IntenseQuoteChar"/>
    <w:uiPriority w:val="30"/>
    <w:qFormat/>
    <w:rsid w:val="0061024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1024F"/>
    <w:rPr>
      <w:i/>
      <w:iCs/>
      <w:color w:val="365F91" w:themeColor="accent1" w:themeShade="BF"/>
    </w:rPr>
  </w:style>
  <w:style w:type="character" w:styleId="IntenseReference">
    <w:name w:val="Intense Reference"/>
    <w:basedOn w:val="DefaultParagraphFont"/>
    <w:uiPriority w:val="32"/>
    <w:qFormat/>
    <w:rsid w:val="0061024F"/>
    <w:rPr>
      <w:b/>
      <w:bCs/>
      <w:smallCaps/>
      <w:color w:val="365F91" w:themeColor="accent1" w:themeShade="BF"/>
      <w:spacing w:val="5"/>
    </w:rPr>
  </w:style>
  <w:style w:type="character" w:styleId="PlaceholderText">
    <w:name w:val="Placeholder Text"/>
    <w:basedOn w:val="DefaultParagraphFont"/>
    <w:uiPriority w:val="99"/>
    <w:semiHidden/>
    <w:rsid w:val="00A525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334502069">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666054831">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776603753">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852457832">
      <w:bodyDiv w:val="1"/>
      <w:marLeft w:val="0"/>
      <w:marRight w:val="0"/>
      <w:marTop w:val="0"/>
      <w:marBottom w:val="0"/>
      <w:divBdr>
        <w:top w:val="none" w:sz="0" w:space="0" w:color="auto"/>
        <w:left w:val="none" w:sz="0" w:space="0" w:color="auto"/>
        <w:bottom w:val="none" w:sz="0" w:space="0" w:color="auto"/>
        <w:right w:val="none" w:sz="0" w:space="0" w:color="auto"/>
      </w:divBdr>
    </w:div>
    <w:div w:id="896479508">
      <w:bodyDiv w:val="1"/>
      <w:marLeft w:val="0"/>
      <w:marRight w:val="0"/>
      <w:marTop w:val="0"/>
      <w:marBottom w:val="0"/>
      <w:divBdr>
        <w:top w:val="none" w:sz="0" w:space="0" w:color="auto"/>
        <w:left w:val="none" w:sz="0" w:space="0" w:color="auto"/>
        <w:bottom w:val="none" w:sz="0" w:space="0" w:color="auto"/>
        <w:right w:val="none" w:sz="0" w:space="0" w:color="auto"/>
      </w:divBdr>
    </w:div>
    <w:div w:id="905725806">
      <w:bodyDiv w:val="1"/>
      <w:marLeft w:val="0"/>
      <w:marRight w:val="0"/>
      <w:marTop w:val="0"/>
      <w:marBottom w:val="0"/>
      <w:divBdr>
        <w:top w:val="none" w:sz="0" w:space="0" w:color="auto"/>
        <w:left w:val="none" w:sz="0" w:space="0" w:color="auto"/>
        <w:bottom w:val="none" w:sz="0" w:space="0" w:color="auto"/>
        <w:right w:val="none" w:sz="0" w:space="0" w:color="auto"/>
      </w:divBdr>
    </w:div>
    <w:div w:id="923337217">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290866169">
      <w:bodyDiv w:val="1"/>
      <w:marLeft w:val="0"/>
      <w:marRight w:val="0"/>
      <w:marTop w:val="0"/>
      <w:marBottom w:val="0"/>
      <w:divBdr>
        <w:top w:val="none" w:sz="0" w:space="0" w:color="auto"/>
        <w:left w:val="none" w:sz="0" w:space="0" w:color="auto"/>
        <w:bottom w:val="none" w:sz="0" w:space="0" w:color="auto"/>
        <w:right w:val="none" w:sz="0" w:space="0" w:color="auto"/>
      </w:divBdr>
    </w:div>
    <w:div w:id="1325475318">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598557024">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712728583">
      <w:bodyDiv w:val="1"/>
      <w:marLeft w:val="0"/>
      <w:marRight w:val="0"/>
      <w:marTop w:val="0"/>
      <w:marBottom w:val="0"/>
      <w:divBdr>
        <w:top w:val="none" w:sz="0" w:space="0" w:color="auto"/>
        <w:left w:val="none" w:sz="0" w:space="0" w:color="auto"/>
        <w:bottom w:val="none" w:sz="0" w:space="0" w:color="auto"/>
        <w:right w:val="none" w:sz="0" w:space="0" w:color="auto"/>
      </w:divBdr>
    </w:div>
    <w:div w:id="1715930136">
      <w:bodyDiv w:val="1"/>
      <w:marLeft w:val="0"/>
      <w:marRight w:val="0"/>
      <w:marTop w:val="0"/>
      <w:marBottom w:val="0"/>
      <w:divBdr>
        <w:top w:val="none" w:sz="0" w:space="0" w:color="auto"/>
        <w:left w:val="none" w:sz="0" w:space="0" w:color="auto"/>
        <w:bottom w:val="none" w:sz="0" w:space="0" w:color="auto"/>
        <w:right w:val="none" w:sz="0" w:space="0" w:color="auto"/>
      </w:divBdr>
    </w:div>
    <w:div w:id="1855873327">
      <w:bodyDiv w:val="1"/>
      <w:marLeft w:val="0"/>
      <w:marRight w:val="0"/>
      <w:marTop w:val="0"/>
      <w:marBottom w:val="0"/>
      <w:divBdr>
        <w:top w:val="none" w:sz="0" w:space="0" w:color="auto"/>
        <w:left w:val="none" w:sz="0" w:space="0" w:color="auto"/>
        <w:bottom w:val="none" w:sz="0" w:space="0" w:color="auto"/>
        <w:right w:val="none" w:sz="0" w:space="0" w:color="auto"/>
      </w:divBdr>
    </w:div>
    <w:div w:id="1914730201">
      <w:bodyDiv w:val="1"/>
      <w:marLeft w:val="0"/>
      <w:marRight w:val="0"/>
      <w:marTop w:val="0"/>
      <w:marBottom w:val="0"/>
      <w:divBdr>
        <w:top w:val="none" w:sz="0" w:space="0" w:color="auto"/>
        <w:left w:val="none" w:sz="0" w:space="0" w:color="auto"/>
        <w:bottom w:val="none" w:sz="0" w:space="0" w:color="auto"/>
        <w:right w:val="none" w:sz="0" w:space="0" w:color="auto"/>
      </w:divBdr>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 w:id="2129812594">
      <w:bodyDiv w:val="1"/>
      <w:marLeft w:val="0"/>
      <w:marRight w:val="0"/>
      <w:marTop w:val="0"/>
      <w:marBottom w:val="0"/>
      <w:divBdr>
        <w:top w:val="none" w:sz="0" w:space="0" w:color="auto"/>
        <w:left w:val="none" w:sz="0" w:space="0" w:color="auto"/>
        <w:bottom w:val="none" w:sz="0" w:space="0" w:color="auto"/>
        <w:right w:val="none" w:sz="0" w:space="0" w:color="auto"/>
      </w:divBdr>
    </w:div>
    <w:div w:id="214245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40.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20.png"/><Relationship Id="rId25" Type="http://schemas.openxmlformats.org/officeDocument/2006/relationships/image" Target="media/image6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50.png"/><Relationship Id="rId28" Type="http://schemas.openxmlformats.org/officeDocument/2006/relationships/image" Target="media/image8.png"/><Relationship Id="rId10" Type="http://schemas.openxmlformats.org/officeDocument/2006/relationships/header" Target="header1.xml"/><Relationship Id="rId19" Type="http://schemas.openxmlformats.org/officeDocument/2006/relationships/image" Target="media/image30.png"/><Relationship Id="rId31" Type="http://schemas.openxmlformats.org/officeDocument/2006/relationships/image" Target="media/image90.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3.xml"/><Relationship Id="rId22" Type="http://schemas.openxmlformats.org/officeDocument/2006/relationships/image" Target="media/image5.png"/><Relationship Id="rId27" Type="http://schemas.openxmlformats.org/officeDocument/2006/relationships/image" Target="media/image70.png"/><Relationship Id="rId30" Type="http://schemas.openxmlformats.org/officeDocument/2006/relationships/image" Target="media/image9.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3D838-9050-4E72-B79F-27CB0E4F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44323</Words>
  <Characters>252643</Characters>
  <Application>Microsoft Office Word</Application>
  <DocSecurity>0</DocSecurity>
  <Lines>2105</Lines>
  <Paragraphs>592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The Royal Society of Chemistry</Company>
  <LinksUpToDate>false</LinksUpToDate>
  <CharactersWithSpaces>296374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Skinner, Stephen J</cp:lastModifiedBy>
  <cp:revision>2</cp:revision>
  <cp:lastPrinted>2025-07-13T10:31:00Z</cp:lastPrinted>
  <dcterms:created xsi:type="dcterms:W3CDTF">2025-08-27T05:14:00Z</dcterms:created>
  <dcterms:modified xsi:type="dcterms:W3CDTF">2025-08-27T05:14:00Z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11th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http://www.zotero.org/styles/journal-of-materials-chemistry-a</vt:lpwstr>
  </property>
  <property fmtid="{D5CDD505-2E9C-101B-9397-08002B2CF9AE}" pid="15" name="Mendeley Recent Style Name 6_1">
    <vt:lpwstr>Journal of Materials Chemistry A</vt:lpwstr>
  </property>
  <property fmtid="{D5CDD505-2E9C-101B-9397-08002B2CF9AE}" pid="16" name="Mendeley Recent Style Id 7_1">
    <vt:lpwstr>http://www.zotero.org/styles/journal-of-the-american-chemical-society</vt:lpwstr>
  </property>
  <property fmtid="{D5CDD505-2E9C-101B-9397-08002B2CF9AE}" pid="17" name="Mendeley Recent Style Name 7_1">
    <vt:lpwstr>Journal of the American Chemical Society</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9th edition</vt:lpwstr>
  </property>
  <property fmtid="{D5CDD505-2E9C-101B-9397-08002B2CF9AE}" pid="22" name="Mendeley Document_1">
    <vt:lpwstr>True</vt:lpwstr>
  </property>
  <property fmtid="{D5CDD505-2E9C-101B-9397-08002B2CF9AE}" pid="23" name="Mendeley Unique User Id_1">
    <vt:lpwstr>5850bf03-c764-3418-a33e-b54fc487ee4e</vt:lpwstr>
  </property>
  <property fmtid="{D5CDD505-2E9C-101B-9397-08002B2CF9AE}" pid="24" name="Mendeley Citation Style_1">
    <vt:lpwstr>http://www.zotero.org/styles/journal-of-materials-chemistry-a</vt:lpwstr>
  </property>
</Properties>
</file>