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9208C" w14:textId="77777777" w:rsidR="00D71D44" w:rsidRPr="00D71D44" w:rsidRDefault="00D71D44" w:rsidP="002F00D3">
      <w:pPr>
        <w:spacing w:after="0" w:line="240" w:lineRule="auto"/>
        <w:outlineLvl w:val="0"/>
        <w:rPr>
          <w:rFonts w:ascii="Arial" w:eastAsia="Times New Roman" w:hAnsi="Arial" w:cs="Arial"/>
          <w:b/>
          <w:bCs/>
          <w:kern w:val="36"/>
          <w:sz w:val="20"/>
          <w:szCs w:val="20"/>
          <w:lang w:eastAsia="en-GB"/>
        </w:rPr>
      </w:pPr>
      <w:r w:rsidRPr="00D71D44">
        <w:rPr>
          <w:rFonts w:ascii="Arial" w:eastAsia="Times New Roman" w:hAnsi="Arial" w:cs="Arial"/>
          <w:b/>
          <w:bCs/>
          <w:kern w:val="36"/>
          <w:sz w:val="20"/>
          <w:szCs w:val="20"/>
          <w:lang w:eastAsia="en-GB"/>
        </w:rPr>
        <w:t>Osteoarthritis</w:t>
      </w:r>
    </w:p>
    <w:p w14:paraId="145B70FF" w14:textId="77777777" w:rsidR="002F00D3" w:rsidRDefault="002F00D3" w:rsidP="002F00D3">
      <w:pPr>
        <w:spacing w:after="0" w:line="240" w:lineRule="auto"/>
        <w:rPr>
          <w:rFonts w:ascii="Arial" w:eastAsia="Times New Roman" w:hAnsi="Arial" w:cs="Arial"/>
          <w:sz w:val="20"/>
          <w:szCs w:val="20"/>
          <w:bdr w:val="none" w:sz="0" w:space="0" w:color="auto" w:frame="1"/>
          <w:lang w:eastAsia="en-GB"/>
        </w:rPr>
      </w:pPr>
    </w:p>
    <w:bookmarkStart w:id="0" w:name="bau1"/>
    <w:p w14:paraId="320760E4" w14:textId="77777777" w:rsidR="002F00D3"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fldChar w:fldCharType="begin"/>
      </w:r>
      <w:r w:rsidRPr="00D71D44">
        <w:rPr>
          <w:rFonts w:ascii="Arial" w:eastAsia="Times New Roman" w:hAnsi="Arial" w:cs="Arial"/>
          <w:sz w:val="20"/>
          <w:szCs w:val="20"/>
          <w:lang w:eastAsia="en-GB"/>
        </w:rPr>
        <w:instrText xml:space="preserve"> HYPERLINK "https://www.sciencedirect.com/science/article/pii/S1357303917303304" \l "!" </w:instrText>
      </w:r>
      <w:r w:rsidRPr="00D71D44">
        <w:rPr>
          <w:rFonts w:ascii="Arial" w:eastAsia="Times New Roman" w:hAnsi="Arial" w:cs="Arial"/>
          <w:sz w:val="20"/>
          <w:szCs w:val="20"/>
          <w:lang w:eastAsia="en-GB"/>
        </w:rPr>
        <w:fldChar w:fldCharType="separate"/>
      </w:r>
      <w:r w:rsidRPr="00D71D44">
        <w:rPr>
          <w:rFonts w:ascii="Arial" w:eastAsia="Times New Roman" w:hAnsi="Arial" w:cs="Arial"/>
          <w:sz w:val="20"/>
          <w:szCs w:val="20"/>
          <w:lang w:eastAsia="en-GB"/>
        </w:rPr>
        <w:t>Tonia L</w:t>
      </w:r>
      <w:r w:rsidR="002F00D3">
        <w:rPr>
          <w:rFonts w:ascii="Arial" w:eastAsia="Times New Roman" w:hAnsi="Arial" w:cs="Arial"/>
          <w:sz w:val="20"/>
          <w:szCs w:val="20"/>
          <w:lang w:eastAsia="en-GB"/>
        </w:rPr>
        <w:t xml:space="preserve"> </w:t>
      </w:r>
      <w:r w:rsidRPr="00D71D44">
        <w:rPr>
          <w:rFonts w:ascii="Arial" w:eastAsia="Times New Roman" w:hAnsi="Arial" w:cs="Arial"/>
          <w:sz w:val="20"/>
          <w:szCs w:val="20"/>
          <w:lang w:eastAsia="en-GB"/>
        </w:rPr>
        <w:t>Vincent</w:t>
      </w:r>
      <w:r w:rsidRPr="00D71D44">
        <w:rPr>
          <w:rFonts w:ascii="Arial" w:eastAsia="Times New Roman" w:hAnsi="Arial" w:cs="Arial"/>
          <w:sz w:val="20"/>
          <w:szCs w:val="20"/>
          <w:lang w:eastAsia="en-GB"/>
        </w:rPr>
        <w:fldChar w:fldCharType="end"/>
      </w:r>
      <w:bookmarkStart w:id="1" w:name="bau2"/>
      <w:bookmarkEnd w:id="0"/>
    </w:p>
    <w:p w14:paraId="61926C61" w14:textId="4F71C64F" w:rsidR="00D71D44" w:rsidRPr="002F00D3" w:rsidRDefault="00014C79" w:rsidP="002F00D3">
      <w:pPr>
        <w:spacing w:after="0" w:line="240" w:lineRule="auto"/>
        <w:rPr>
          <w:rFonts w:ascii="Arial" w:eastAsia="Times New Roman" w:hAnsi="Arial" w:cs="Arial"/>
          <w:sz w:val="20"/>
          <w:szCs w:val="20"/>
          <w:lang w:eastAsia="en-GB"/>
        </w:rPr>
      </w:pPr>
      <w:hyperlink r:id="rId7" w:anchor="!" w:history="1">
        <w:r w:rsidR="00D71D44" w:rsidRPr="00D71D44">
          <w:rPr>
            <w:rFonts w:ascii="Arial" w:eastAsia="Times New Roman" w:hAnsi="Arial" w:cs="Arial"/>
            <w:sz w:val="20"/>
            <w:szCs w:val="20"/>
            <w:lang w:eastAsia="en-GB"/>
          </w:rPr>
          <w:t>Fiona E</w:t>
        </w:r>
        <w:r w:rsidR="002F00D3">
          <w:rPr>
            <w:rFonts w:ascii="Arial" w:eastAsia="Times New Roman" w:hAnsi="Arial" w:cs="Arial"/>
            <w:sz w:val="20"/>
            <w:szCs w:val="20"/>
            <w:lang w:eastAsia="en-GB"/>
          </w:rPr>
          <w:t xml:space="preserve"> </w:t>
        </w:r>
        <w:r w:rsidR="00D71D44" w:rsidRPr="00D71D44">
          <w:rPr>
            <w:rFonts w:ascii="Arial" w:eastAsia="Times New Roman" w:hAnsi="Arial" w:cs="Arial"/>
            <w:sz w:val="20"/>
            <w:szCs w:val="20"/>
            <w:lang w:eastAsia="en-GB"/>
          </w:rPr>
          <w:t>Watt</w:t>
        </w:r>
      </w:hyperlink>
      <w:bookmarkEnd w:id="1"/>
    </w:p>
    <w:p w14:paraId="1E9A0669" w14:textId="114ECBD7" w:rsidR="00D71D44" w:rsidRPr="002F00D3" w:rsidRDefault="00D71D44" w:rsidP="002F00D3">
      <w:pPr>
        <w:spacing w:after="0" w:line="240" w:lineRule="auto"/>
        <w:rPr>
          <w:rFonts w:ascii="Arial" w:eastAsia="Times New Roman" w:hAnsi="Arial" w:cs="Arial"/>
          <w:sz w:val="20"/>
          <w:szCs w:val="20"/>
          <w:lang w:eastAsia="en-GB"/>
        </w:rPr>
      </w:pPr>
    </w:p>
    <w:p w14:paraId="39230A21" w14:textId="6206ACA8" w:rsidR="002F00D3" w:rsidRDefault="00D71D44" w:rsidP="002F00D3">
      <w:pPr>
        <w:spacing w:after="0" w:line="240" w:lineRule="auto"/>
        <w:rPr>
          <w:rFonts w:ascii="Arial" w:hAnsi="Arial" w:cs="Arial"/>
          <w:sz w:val="20"/>
          <w:szCs w:val="20"/>
        </w:rPr>
      </w:pPr>
      <w:r w:rsidRPr="002F00D3">
        <w:rPr>
          <w:rFonts w:ascii="Arial" w:hAnsi="Arial" w:cs="Arial"/>
          <w:sz w:val="20"/>
          <w:szCs w:val="20"/>
        </w:rPr>
        <w:t xml:space="preserve">Tonia L Vincent FRCP PhD is Professor of Musculoskeletal Biology at the Kennedy Institute of Rheumatology, and Honorary Consultant Rheumatologist at the </w:t>
      </w:r>
      <w:r w:rsidR="00E35E83">
        <w:rPr>
          <w:rFonts w:ascii="Arial" w:hAnsi="Arial" w:cs="Arial"/>
          <w:sz w:val="20"/>
          <w:szCs w:val="20"/>
        </w:rPr>
        <w:t>Oxford University Hospitals NHS Foundation Trust</w:t>
      </w:r>
      <w:r w:rsidRPr="002F00D3">
        <w:rPr>
          <w:rFonts w:ascii="Arial" w:hAnsi="Arial" w:cs="Arial"/>
          <w:sz w:val="20"/>
          <w:szCs w:val="20"/>
        </w:rPr>
        <w:t xml:space="preserve">, Oxford, UK. Competing interests: </w:t>
      </w:r>
      <w:r w:rsidR="00E35E83">
        <w:rPr>
          <w:rFonts w:ascii="Arial" w:hAnsi="Arial" w:cs="Arial"/>
          <w:sz w:val="20"/>
          <w:szCs w:val="20"/>
        </w:rPr>
        <w:t xml:space="preserve">TLV leads STEpUP OA, an academic/industry partnership through which research funding is received from Biosplice Inc, Fidia, Novartis, Galapagos. In the past </w:t>
      </w:r>
      <w:r w:rsidR="00C54EC5">
        <w:rPr>
          <w:rFonts w:ascii="Arial" w:hAnsi="Arial" w:cs="Arial"/>
          <w:sz w:val="20"/>
          <w:szCs w:val="20"/>
        </w:rPr>
        <w:t>5</w:t>
      </w:r>
      <w:r w:rsidR="00E35E83">
        <w:rPr>
          <w:rFonts w:ascii="Arial" w:hAnsi="Arial" w:cs="Arial"/>
          <w:sz w:val="20"/>
          <w:szCs w:val="20"/>
        </w:rPr>
        <w:t xml:space="preserve"> years she has also received consulting fees from Mundipharma</w:t>
      </w:r>
      <w:r w:rsidR="00C54EC5">
        <w:rPr>
          <w:rFonts w:ascii="Arial" w:hAnsi="Arial" w:cs="Arial"/>
          <w:sz w:val="20"/>
          <w:szCs w:val="20"/>
        </w:rPr>
        <w:t>, GSK and UCB</w:t>
      </w:r>
      <w:r w:rsidR="00E35E83">
        <w:rPr>
          <w:rFonts w:ascii="Arial" w:hAnsi="Arial" w:cs="Arial"/>
          <w:sz w:val="20"/>
          <w:szCs w:val="20"/>
        </w:rPr>
        <w:t>.</w:t>
      </w:r>
      <w:r w:rsidRPr="002F00D3">
        <w:rPr>
          <w:rFonts w:ascii="Arial" w:hAnsi="Arial" w:cs="Arial"/>
          <w:sz w:val="20"/>
          <w:szCs w:val="20"/>
        </w:rPr>
        <w:t xml:space="preserve"> </w:t>
      </w:r>
    </w:p>
    <w:p w14:paraId="45AA2FB0" w14:textId="77777777" w:rsidR="002F00D3" w:rsidRDefault="002F00D3" w:rsidP="002F00D3">
      <w:pPr>
        <w:spacing w:after="0" w:line="240" w:lineRule="auto"/>
        <w:rPr>
          <w:rFonts w:ascii="Arial" w:hAnsi="Arial" w:cs="Arial"/>
          <w:sz w:val="20"/>
          <w:szCs w:val="20"/>
        </w:rPr>
      </w:pPr>
    </w:p>
    <w:p w14:paraId="38B5FE0D" w14:textId="13AC2424" w:rsidR="00DA76C5" w:rsidRDefault="00D71D44" w:rsidP="00DA76C5">
      <w:pPr>
        <w:spacing w:after="0" w:line="240" w:lineRule="auto"/>
        <w:rPr>
          <w:rFonts w:ascii="Arial" w:hAnsi="Arial" w:cs="Arial"/>
          <w:sz w:val="20"/>
          <w:szCs w:val="20"/>
        </w:rPr>
      </w:pPr>
      <w:r w:rsidRPr="002F00D3">
        <w:rPr>
          <w:rFonts w:ascii="Arial" w:hAnsi="Arial" w:cs="Arial"/>
          <w:sz w:val="20"/>
          <w:szCs w:val="20"/>
        </w:rPr>
        <w:t xml:space="preserve">Fiona E Watt FRCP PhD is a </w:t>
      </w:r>
      <w:r w:rsidR="007459B7">
        <w:rPr>
          <w:rFonts w:ascii="Arial" w:hAnsi="Arial" w:cs="Arial"/>
          <w:sz w:val="20"/>
          <w:szCs w:val="20"/>
        </w:rPr>
        <w:t xml:space="preserve">Clinical </w:t>
      </w:r>
      <w:r w:rsidR="00E35E83">
        <w:rPr>
          <w:rFonts w:ascii="Arial" w:hAnsi="Arial" w:cs="Arial"/>
          <w:sz w:val="20"/>
          <w:szCs w:val="20"/>
        </w:rPr>
        <w:t>Reader</w:t>
      </w:r>
      <w:r w:rsidRPr="002F00D3">
        <w:rPr>
          <w:rFonts w:ascii="Arial" w:hAnsi="Arial" w:cs="Arial"/>
          <w:sz w:val="20"/>
          <w:szCs w:val="20"/>
        </w:rPr>
        <w:t xml:space="preserve"> </w:t>
      </w:r>
      <w:r w:rsidR="007459B7">
        <w:rPr>
          <w:rFonts w:ascii="Arial" w:hAnsi="Arial" w:cs="Arial"/>
          <w:sz w:val="20"/>
          <w:szCs w:val="20"/>
        </w:rPr>
        <w:t xml:space="preserve">in Rheumatology </w:t>
      </w:r>
      <w:r w:rsidRPr="002F00D3">
        <w:rPr>
          <w:rFonts w:ascii="Arial" w:hAnsi="Arial" w:cs="Arial"/>
          <w:sz w:val="20"/>
          <w:szCs w:val="20"/>
        </w:rPr>
        <w:t xml:space="preserve">at </w:t>
      </w:r>
      <w:r w:rsidR="007459B7">
        <w:rPr>
          <w:rFonts w:ascii="Arial" w:hAnsi="Arial" w:cs="Arial"/>
          <w:sz w:val="20"/>
          <w:szCs w:val="20"/>
        </w:rPr>
        <w:t>the Department of Immunology and Inflammation,</w:t>
      </w:r>
      <w:r w:rsidR="007459B7" w:rsidRPr="002F00D3">
        <w:rPr>
          <w:rFonts w:ascii="Arial" w:hAnsi="Arial" w:cs="Arial"/>
          <w:sz w:val="20"/>
          <w:szCs w:val="20"/>
        </w:rPr>
        <w:t xml:space="preserve"> </w:t>
      </w:r>
      <w:r w:rsidR="00E35E83">
        <w:rPr>
          <w:rFonts w:ascii="Arial" w:hAnsi="Arial" w:cs="Arial"/>
          <w:sz w:val="20"/>
          <w:szCs w:val="20"/>
        </w:rPr>
        <w:t>Imperial College London</w:t>
      </w:r>
      <w:r w:rsidRPr="002F00D3">
        <w:rPr>
          <w:rFonts w:ascii="Arial" w:hAnsi="Arial" w:cs="Arial"/>
          <w:sz w:val="20"/>
          <w:szCs w:val="20"/>
        </w:rPr>
        <w:t xml:space="preserve">, and Honorary Consultant Rheumatologist at </w:t>
      </w:r>
      <w:r w:rsidR="00E35E83">
        <w:rPr>
          <w:rFonts w:ascii="Arial" w:hAnsi="Arial" w:cs="Arial"/>
          <w:sz w:val="20"/>
          <w:szCs w:val="20"/>
        </w:rPr>
        <w:t>Imperial College Healthcare NHS Trust</w:t>
      </w:r>
      <w:r w:rsidRPr="002F00D3">
        <w:rPr>
          <w:rFonts w:ascii="Arial" w:hAnsi="Arial" w:cs="Arial"/>
          <w:sz w:val="20"/>
          <w:szCs w:val="20"/>
        </w:rPr>
        <w:t xml:space="preserve">, </w:t>
      </w:r>
      <w:r w:rsidR="00E35E83">
        <w:rPr>
          <w:rFonts w:ascii="Arial" w:hAnsi="Arial" w:cs="Arial"/>
          <w:sz w:val="20"/>
          <w:szCs w:val="20"/>
        </w:rPr>
        <w:t>London</w:t>
      </w:r>
      <w:r w:rsidRPr="002F00D3">
        <w:rPr>
          <w:rFonts w:ascii="Arial" w:hAnsi="Arial" w:cs="Arial"/>
          <w:sz w:val="20"/>
          <w:szCs w:val="20"/>
        </w:rPr>
        <w:t>, UK</w:t>
      </w:r>
      <w:r w:rsidR="00BB030C">
        <w:rPr>
          <w:rFonts w:ascii="Arial" w:hAnsi="Arial" w:cs="Arial"/>
          <w:sz w:val="20"/>
          <w:szCs w:val="20"/>
        </w:rPr>
        <w:t xml:space="preserve"> and Oxford University Hospitals NHS Foundation Trust</w:t>
      </w:r>
      <w:r w:rsidR="00DA76C5">
        <w:rPr>
          <w:rFonts w:ascii="Arial" w:hAnsi="Arial" w:cs="Arial"/>
          <w:sz w:val="20"/>
          <w:szCs w:val="20"/>
        </w:rPr>
        <w:t>, Oxford UK</w:t>
      </w:r>
      <w:r w:rsidRPr="002F00D3">
        <w:rPr>
          <w:rFonts w:ascii="Arial" w:hAnsi="Arial" w:cs="Arial"/>
          <w:sz w:val="20"/>
          <w:szCs w:val="20"/>
        </w:rPr>
        <w:t xml:space="preserve">. Competing interests: FEW </w:t>
      </w:r>
      <w:r w:rsidR="00DA76C5">
        <w:rPr>
          <w:rFonts w:ascii="Arial" w:hAnsi="Arial" w:cs="Arial"/>
          <w:sz w:val="20"/>
          <w:szCs w:val="20"/>
        </w:rPr>
        <w:t>is also a member of the STEpUP OA consortium</w:t>
      </w:r>
      <w:r w:rsidR="007E79E1">
        <w:rPr>
          <w:rFonts w:ascii="Arial" w:hAnsi="Arial" w:cs="Arial"/>
          <w:sz w:val="20"/>
          <w:szCs w:val="20"/>
        </w:rPr>
        <w:t xml:space="preserve"> described above</w:t>
      </w:r>
      <w:r w:rsidR="00DA76C5">
        <w:rPr>
          <w:rFonts w:ascii="Arial" w:hAnsi="Arial" w:cs="Arial"/>
          <w:sz w:val="20"/>
          <w:szCs w:val="20"/>
        </w:rPr>
        <w:t xml:space="preserve">. In the past 5 years she has received </w:t>
      </w:r>
      <w:r w:rsidRPr="002F00D3">
        <w:rPr>
          <w:rFonts w:ascii="Arial" w:hAnsi="Arial" w:cs="Arial"/>
          <w:sz w:val="20"/>
          <w:szCs w:val="20"/>
        </w:rPr>
        <w:t>clinical research studies grants from Pfizer and Astellas Pharma Inc.</w:t>
      </w:r>
      <w:r w:rsidR="00DA76C5" w:rsidRPr="00DA76C5">
        <w:rPr>
          <w:rFonts w:ascii="Arial" w:hAnsi="Arial" w:cs="Arial"/>
          <w:sz w:val="20"/>
          <w:szCs w:val="20"/>
        </w:rPr>
        <w:t xml:space="preserve"> </w:t>
      </w:r>
      <w:r w:rsidR="00DA76C5">
        <w:rPr>
          <w:rFonts w:ascii="Arial" w:hAnsi="Arial" w:cs="Arial"/>
          <w:sz w:val="20"/>
          <w:szCs w:val="20"/>
        </w:rPr>
        <w:t>She has also received consulting fees from Pfizer.</w:t>
      </w:r>
      <w:r w:rsidR="00DA76C5" w:rsidRPr="002F00D3">
        <w:rPr>
          <w:rFonts w:ascii="Arial" w:hAnsi="Arial" w:cs="Arial"/>
          <w:sz w:val="20"/>
          <w:szCs w:val="20"/>
        </w:rPr>
        <w:t xml:space="preserve"> </w:t>
      </w:r>
    </w:p>
    <w:p w14:paraId="16EEA27E" w14:textId="38E01928" w:rsidR="00D71D44" w:rsidRPr="002F00D3" w:rsidRDefault="00D71D44" w:rsidP="002F00D3">
      <w:pPr>
        <w:spacing w:after="0" w:line="240" w:lineRule="auto"/>
        <w:rPr>
          <w:rFonts w:ascii="Arial" w:hAnsi="Arial" w:cs="Arial"/>
          <w:sz w:val="20"/>
          <w:szCs w:val="20"/>
        </w:rPr>
      </w:pPr>
    </w:p>
    <w:p w14:paraId="4EFA222B" w14:textId="77777777" w:rsidR="00D71D44" w:rsidRPr="00D71D44" w:rsidRDefault="00D71D44" w:rsidP="002F00D3">
      <w:pPr>
        <w:spacing w:after="0" w:line="240" w:lineRule="auto"/>
        <w:rPr>
          <w:rFonts w:ascii="Arial" w:eastAsia="Times New Roman" w:hAnsi="Arial" w:cs="Arial"/>
          <w:b/>
          <w:bCs/>
          <w:color w:val="4472C4" w:themeColor="accent1"/>
          <w:sz w:val="20"/>
          <w:szCs w:val="20"/>
          <w:lang w:eastAsia="en-GB"/>
        </w:rPr>
      </w:pPr>
    </w:p>
    <w:p w14:paraId="3BD8B6F4" w14:textId="77777777" w:rsidR="00D71D44" w:rsidRPr="002F00D3" w:rsidRDefault="00D71D44" w:rsidP="002F00D3">
      <w:pPr>
        <w:pStyle w:val="Heading2"/>
        <w:spacing w:before="0" w:line="240" w:lineRule="auto"/>
        <w:rPr>
          <w:rFonts w:ascii="Arial" w:hAnsi="Arial" w:cs="Arial"/>
          <w:b/>
          <w:bCs/>
          <w:color w:val="4472C4" w:themeColor="accent1"/>
          <w:sz w:val="20"/>
          <w:szCs w:val="20"/>
          <w:lang w:val="en"/>
        </w:rPr>
      </w:pPr>
      <w:r w:rsidRPr="002F00D3">
        <w:rPr>
          <w:rFonts w:ascii="Arial" w:hAnsi="Arial" w:cs="Arial"/>
          <w:b/>
          <w:bCs/>
          <w:color w:val="4472C4" w:themeColor="accent1"/>
          <w:sz w:val="20"/>
          <w:szCs w:val="20"/>
          <w:lang w:val="en"/>
        </w:rPr>
        <w:t>Abstract</w:t>
      </w:r>
    </w:p>
    <w:p w14:paraId="03EF8B1B" w14:textId="3E95608A" w:rsidR="00D71D44" w:rsidRPr="002F00D3" w:rsidRDefault="00014C79" w:rsidP="002F00D3">
      <w:pPr>
        <w:pStyle w:val="NormalWeb"/>
        <w:spacing w:before="0" w:beforeAutospacing="0" w:after="0" w:afterAutospacing="0"/>
        <w:rPr>
          <w:rFonts w:ascii="Arial" w:hAnsi="Arial" w:cs="Arial"/>
          <w:sz w:val="20"/>
          <w:szCs w:val="20"/>
          <w:lang w:val="en"/>
        </w:rPr>
      </w:pPr>
      <w:hyperlink r:id="rId8" w:tooltip="Learn more about Osteoarthritis from ScienceDirect's AI-generated Topic Pages" w:history="1">
        <w:r w:rsidR="00D71D44" w:rsidRPr="002F00D3">
          <w:rPr>
            <w:rStyle w:val="Hyperlink"/>
            <w:rFonts w:ascii="Arial" w:hAnsi="Arial" w:cs="Arial"/>
            <w:color w:val="auto"/>
            <w:sz w:val="20"/>
            <w:szCs w:val="20"/>
            <w:u w:val="none"/>
            <w:lang w:val="en"/>
          </w:rPr>
          <w:t>Osteoarthritis</w:t>
        </w:r>
      </w:hyperlink>
      <w:r w:rsidR="00D71D44" w:rsidRPr="002F00D3">
        <w:rPr>
          <w:rFonts w:ascii="Arial" w:hAnsi="Arial" w:cs="Arial"/>
          <w:sz w:val="20"/>
          <w:szCs w:val="20"/>
          <w:lang w:val="en"/>
        </w:rPr>
        <w:t> (OA) is the most common form of </w:t>
      </w:r>
      <w:hyperlink r:id="rId9" w:tooltip="Learn more about Arthropathy from ScienceDirect's AI-generated Topic Pages" w:history="1">
        <w:r w:rsidR="00D71D44" w:rsidRPr="002F00D3">
          <w:rPr>
            <w:rStyle w:val="Hyperlink"/>
            <w:rFonts w:ascii="Arial" w:hAnsi="Arial" w:cs="Arial"/>
            <w:color w:val="auto"/>
            <w:sz w:val="20"/>
            <w:szCs w:val="20"/>
            <w:u w:val="none"/>
            <w:lang w:val="en"/>
          </w:rPr>
          <w:t>joint disease</w:t>
        </w:r>
      </w:hyperlink>
      <w:r w:rsidR="00D71D44" w:rsidRPr="002F00D3">
        <w:rPr>
          <w:rFonts w:ascii="Arial" w:hAnsi="Arial" w:cs="Arial"/>
          <w:sz w:val="20"/>
          <w:szCs w:val="20"/>
          <w:lang w:val="en"/>
        </w:rPr>
        <w:t xml:space="preserve">, and its impact is set to grow as the prevalence of obesity rises and our elderly population increases. Many clinicians regard OA as simply a disease of ‘wear and tear’, and by implication one in which disease modification is not possible. Such prejudices </w:t>
      </w:r>
      <w:r w:rsidR="004979A1">
        <w:rPr>
          <w:rFonts w:ascii="Arial" w:hAnsi="Arial" w:cs="Arial"/>
          <w:sz w:val="20"/>
          <w:szCs w:val="20"/>
          <w:lang w:val="en"/>
        </w:rPr>
        <w:t>had previously</w:t>
      </w:r>
      <w:r w:rsidR="004979A1" w:rsidRPr="002F00D3">
        <w:rPr>
          <w:rFonts w:ascii="Arial" w:hAnsi="Arial" w:cs="Arial"/>
          <w:sz w:val="20"/>
          <w:szCs w:val="20"/>
          <w:lang w:val="en"/>
        </w:rPr>
        <w:t xml:space="preserve"> </w:t>
      </w:r>
      <w:r w:rsidR="00D71D44" w:rsidRPr="002F00D3">
        <w:rPr>
          <w:rFonts w:ascii="Arial" w:hAnsi="Arial" w:cs="Arial"/>
          <w:sz w:val="20"/>
          <w:szCs w:val="20"/>
          <w:lang w:val="en"/>
        </w:rPr>
        <w:t>led to significant academic </w:t>
      </w:r>
      <w:hyperlink r:id="rId10" w:tooltip="Learn more about Apathy from ScienceDirect's AI-generated Topic Pages" w:history="1">
        <w:r w:rsidR="00D71D44" w:rsidRPr="002F00D3">
          <w:rPr>
            <w:rStyle w:val="Hyperlink"/>
            <w:rFonts w:ascii="Arial" w:hAnsi="Arial" w:cs="Arial"/>
            <w:color w:val="auto"/>
            <w:sz w:val="20"/>
            <w:szCs w:val="20"/>
            <w:u w:val="none"/>
            <w:lang w:val="en"/>
          </w:rPr>
          <w:t>apathy</w:t>
        </w:r>
      </w:hyperlink>
      <w:r w:rsidR="00D71D44" w:rsidRPr="002F00D3">
        <w:rPr>
          <w:rFonts w:ascii="Arial" w:hAnsi="Arial" w:cs="Arial"/>
          <w:sz w:val="20"/>
          <w:szCs w:val="20"/>
          <w:lang w:val="en"/>
        </w:rPr>
        <w:t> in this disease</w:t>
      </w:r>
      <w:r w:rsidR="000D13C7">
        <w:rPr>
          <w:rFonts w:ascii="Arial" w:hAnsi="Arial" w:cs="Arial"/>
          <w:sz w:val="20"/>
          <w:szCs w:val="20"/>
          <w:lang w:val="en"/>
        </w:rPr>
        <w:t xml:space="preserve"> area</w:t>
      </w:r>
      <w:r w:rsidR="00D71D44" w:rsidRPr="002F00D3">
        <w:rPr>
          <w:rFonts w:ascii="Arial" w:hAnsi="Arial" w:cs="Arial"/>
          <w:sz w:val="20"/>
          <w:szCs w:val="20"/>
          <w:lang w:val="en"/>
        </w:rPr>
        <w:t>, reflected not only in our poor understanding of disease </w:t>
      </w:r>
      <w:hyperlink r:id="rId11" w:tooltip="Learn more about Pathogenesis from ScienceDirect's AI-generated Topic Pages" w:history="1">
        <w:r w:rsidR="00D71D44" w:rsidRPr="002F00D3">
          <w:rPr>
            <w:rStyle w:val="Hyperlink"/>
            <w:rFonts w:ascii="Arial" w:hAnsi="Arial" w:cs="Arial"/>
            <w:color w:val="auto"/>
            <w:sz w:val="20"/>
            <w:szCs w:val="20"/>
            <w:u w:val="none"/>
            <w:lang w:val="en"/>
          </w:rPr>
          <w:t>pathogenesis</w:t>
        </w:r>
      </w:hyperlink>
      <w:r w:rsidR="00D71D44" w:rsidRPr="002F00D3">
        <w:rPr>
          <w:rFonts w:ascii="Arial" w:hAnsi="Arial" w:cs="Arial"/>
          <w:sz w:val="20"/>
          <w:szCs w:val="20"/>
          <w:lang w:val="en"/>
        </w:rPr>
        <w:t>, but also in the failure to classify the disease with greater precision, and to develop sensitive tools for diagnosis and </w:t>
      </w:r>
      <w:hyperlink r:id="rId12" w:tooltip="Learn more about Prognostic Assessment from ScienceDirect's AI-generated Topic Pages" w:history="1">
        <w:r w:rsidR="00D71D44" w:rsidRPr="002F00D3">
          <w:rPr>
            <w:rStyle w:val="Hyperlink"/>
            <w:rFonts w:ascii="Arial" w:hAnsi="Arial" w:cs="Arial"/>
            <w:color w:val="auto"/>
            <w:sz w:val="20"/>
            <w:szCs w:val="20"/>
            <w:u w:val="none"/>
            <w:lang w:val="en"/>
          </w:rPr>
          <w:t>prognostic assessment</w:t>
        </w:r>
      </w:hyperlink>
      <w:r w:rsidR="00D71D44" w:rsidRPr="002F00D3">
        <w:rPr>
          <w:rFonts w:ascii="Arial" w:hAnsi="Arial" w:cs="Arial"/>
          <w:sz w:val="20"/>
          <w:szCs w:val="20"/>
          <w:lang w:val="en"/>
        </w:rPr>
        <w:t>. The identification of key degradative enzymes in cartilage</w:t>
      </w:r>
      <w:r w:rsidR="00E35E83">
        <w:rPr>
          <w:rFonts w:ascii="Arial" w:hAnsi="Arial" w:cs="Arial"/>
          <w:sz w:val="20"/>
          <w:szCs w:val="20"/>
          <w:lang w:val="en"/>
        </w:rPr>
        <w:t>, the appreciation that damaged articular cartilage has repair capabilities and the recognition that ‘good’ and ‘bad’ mechanical stress triggers different molecular pathways</w:t>
      </w:r>
      <w:r w:rsidR="00D71D44" w:rsidRPr="002F00D3">
        <w:rPr>
          <w:rFonts w:ascii="Arial" w:hAnsi="Arial" w:cs="Arial"/>
          <w:sz w:val="20"/>
          <w:szCs w:val="20"/>
          <w:lang w:val="en"/>
        </w:rPr>
        <w:t xml:space="preserve"> have greatly changed our outlook in recent years. Evidence-based management of the condition is outlined in international guidelines: education, weight control/loss and exercise (general, joint-specific) are core interventions. Analgesia and non-pharmacological and </w:t>
      </w:r>
      <w:hyperlink r:id="rId13" w:tooltip="Learn more about Surgical Approach from ScienceDirect's AI-generated Topic Pages" w:history="1">
        <w:r w:rsidR="00D71D44" w:rsidRPr="002F00D3">
          <w:rPr>
            <w:rStyle w:val="Hyperlink"/>
            <w:rFonts w:ascii="Arial" w:hAnsi="Arial" w:cs="Arial"/>
            <w:color w:val="auto"/>
            <w:sz w:val="20"/>
            <w:szCs w:val="20"/>
            <w:u w:val="none"/>
            <w:lang w:val="en"/>
          </w:rPr>
          <w:t>surgical approaches</w:t>
        </w:r>
      </w:hyperlink>
      <w:r w:rsidR="00D71D44" w:rsidRPr="002F00D3">
        <w:rPr>
          <w:rFonts w:ascii="Arial" w:hAnsi="Arial" w:cs="Arial"/>
          <w:sz w:val="20"/>
          <w:szCs w:val="20"/>
          <w:lang w:val="en"/>
        </w:rPr>
        <w:t> that favourably affect joint biomechanics are used for treating painful OA unresponsive to core interventions</w:t>
      </w:r>
      <w:r w:rsidR="000D13C7">
        <w:rPr>
          <w:rFonts w:ascii="Arial" w:hAnsi="Arial" w:cs="Arial"/>
          <w:sz w:val="20"/>
          <w:szCs w:val="20"/>
          <w:lang w:val="en"/>
        </w:rPr>
        <w:t>.</w:t>
      </w:r>
      <w:r w:rsidR="00347375">
        <w:rPr>
          <w:rFonts w:ascii="Arial" w:hAnsi="Arial" w:cs="Arial"/>
          <w:sz w:val="20"/>
          <w:szCs w:val="20"/>
          <w:lang w:val="en"/>
        </w:rPr>
        <w:t xml:space="preserve"> The disease remains the commonest </w:t>
      </w:r>
      <w:r w:rsidR="00AB6FB1">
        <w:rPr>
          <w:rFonts w:ascii="Arial" w:hAnsi="Arial" w:cs="Arial"/>
          <w:sz w:val="20"/>
          <w:szCs w:val="20"/>
          <w:lang w:val="en"/>
        </w:rPr>
        <w:t>reasons for joint replacement surgery.</w:t>
      </w:r>
      <w:r w:rsidR="00D71D44" w:rsidRPr="002F00D3">
        <w:rPr>
          <w:rFonts w:ascii="Arial" w:hAnsi="Arial" w:cs="Arial"/>
          <w:sz w:val="20"/>
          <w:szCs w:val="20"/>
          <w:lang w:val="en"/>
        </w:rPr>
        <w:t xml:space="preserve"> </w:t>
      </w:r>
      <w:r w:rsidR="000D13C7">
        <w:rPr>
          <w:rFonts w:ascii="Arial" w:hAnsi="Arial" w:cs="Arial"/>
          <w:sz w:val="20"/>
          <w:szCs w:val="20"/>
          <w:lang w:val="en"/>
        </w:rPr>
        <w:t>T</w:t>
      </w:r>
      <w:r w:rsidR="00D71D44" w:rsidRPr="002F00D3">
        <w:rPr>
          <w:rFonts w:ascii="Arial" w:hAnsi="Arial" w:cs="Arial"/>
          <w:sz w:val="20"/>
          <w:szCs w:val="20"/>
          <w:lang w:val="en"/>
        </w:rPr>
        <w:t xml:space="preserve">here are no </w:t>
      </w:r>
      <w:r w:rsidR="00605266">
        <w:rPr>
          <w:rFonts w:ascii="Arial" w:hAnsi="Arial" w:cs="Arial"/>
          <w:sz w:val="20"/>
          <w:szCs w:val="20"/>
          <w:lang w:val="en"/>
        </w:rPr>
        <w:t>licensed</w:t>
      </w:r>
      <w:r w:rsidR="00E35E83">
        <w:rPr>
          <w:rFonts w:ascii="Arial" w:hAnsi="Arial" w:cs="Arial"/>
          <w:sz w:val="20"/>
          <w:szCs w:val="20"/>
          <w:lang w:val="en"/>
        </w:rPr>
        <w:t xml:space="preserve"> </w:t>
      </w:r>
      <w:r w:rsidR="00D71D44" w:rsidRPr="002F00D3">
        <w:rPr>
          <w:rFonts w:ascii="Arial" w:hAnsi="Arial" w:cs="Arial"/>
          <w:sz w:val="20"/>
          <w:szCs w:val="20"/>
          <w:lang w:val="en"/>
        </w:rPr>
        <w:t>disease-modifying OA drugs</w:t>
      </w:r>
      <w:r w:rsidR="00E35E83">
        <w:rPr>
          <w:rFonts w:ascii="Arial" w:hAnsi="Arial" w:cs="Arial"/>
          <w:sz w:val="20"/>
          <w:szCs w:val="20"/>
          <w:lang w:val="en"/>
        </w:rPr>
        <w:t xml:space="preserve"> but recent clinical trials suggest that these may be within reach</w:t>
      </w:r>
      <w:r w:rsidR="00D71D44" w:rsidRPr="002F00D3">
        <w:rPr>
          <w:rFonts w:ascii="Arial" w:hAnsi="Arial" w:cs="Arial"/>
          <w:sz w:val="20"/>
          <w:szCs w:val="20"/>
          <w:lang w:val="en"/>
        </w:rPr>
        <w:t xml:space="preserve">. </w:t>
      </w:r>
    </w:p>
    <w:p w14:paraId="600464B2" w14:textId="414AF519" w:rsidR="00D71D44" w:rsidRPr="002F00D3" w:rsidRDefault="00D71D44" w:rsidP="002F00D3">
      <w:pPr>
        <w:spacing w:after="0" w:line="240" w:lineRule="auto"/>
        <w:rPr>
          <w:rFonts w:ascii="Arial" w:hAnsi="Arial" w:cs="Arial"/>
          <w:sz w:val="20"/>
          <w:szCs w:val="20"/>
        </w:rPr>
      </w:pPr>
    </w:p>
    <w:p w14:paraId="70CB7EC5" w14:textId="77777777"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Keywords</w:t>
      </w:r>
    </w:p>
    <w:p w14:paraId="49CB4998"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Aggrecanase</w:t>
      </w:r>
    </w:p>
    <w:p w14:paraId="16D33A24"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articular cartilage</w:t>
      </w:r>
    </w:p>
    <w:p w14:paraId="406A3C76"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diagnosis</w:t>
      </w:r>
    </w:p>
    <w:p w14:paraId="469E5C59"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hand</w:t>
      </w:r>
    </w:p>
    <w:p w14:paraId="4449A83C"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knee</w:t>
      </w:r>
    </w:p>
    <w:p w14:paraId="58C7E0D5"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mechanical injury</w:t>
      </w:r>
    </w:p>
    <w:p w14:paraId="07093FD2"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MRCP</w:t>
      </w:r>
    </w:p>
    <w:p w14:paraId="08E2191C"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osteoarthritis</w:t>
      </w:r>
    </w:p>
    <w:p w14:paraId="64E9F507"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tests</w:t>
      </w:r>
    </w:p>
    <w:p w14:paraId="7E69EDAC"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treatment</w:t>
      </w:r>
    </w:p>
    <w:p w14:paraId="67C59BCB" w14:textId="77777777" w:rsidR="002F00D3" w:rsidRDefault="002F00D3" w:rsidP="002F00D3">
      <w:pPr>
        <w:pStyle w:val="Heading2"/>
        <w:spacing w:before="0" w:line="240" w:lineRule="auto"/>
        <w:rPr>
          <w:rFonts w:ascii="Arial" w:hAnsi="Arial" w:cs="Arial"/>
          <w:b/>
          <w:bCs/>
          <w:color w:val="auto"/>
          <w:sz w:val="20"/>
          <w:szCs w:val="20"/>
        </w:rPr>
      </w:pPr>
    </w:p>
    <w:p w14:paraId="6DCDD530" w14:textId="77777777" w:rsidR="002F00D3" w:rsidRPr="002F00D3" w:rsidRDefault="002F00D3" w:rsidP="002F00D3">
      <w:pPr>
        <w:pStyle w:val="Heading2"/>
        <w:spacing w:before="0" w:line="240" w:lineRule="auto"/>
        <w:rPr>
          <w:rFonts w:ascii="Arial" w:hAnsi="Arial" w:cs="Arial"/>
          <w:b/>
          <w:bCs/>
          <w:color w:val="4472C4" w:themeColor="accent1"/>
          <w:sz w:val="20"/>
          <w:szCs w:val="20"/>
        </w:rPr>
      </w:pPr>
    </w:p>
    <w:p w14:paraId="40CFE169" w14:textId="22F6B6C1"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Key points</w:t>
      </w:r>
    </w:p>
    <w:p w14:paraId="6DD96149" w14:textId="7AA117FD" w:rsidR="00D71D44" w:rsidRPr="002F00D3" w:rsidRDefault="00D71D44" w:rsidP="002F00D3">
      <w:pPr>
        <w:spacing w:after="0" w:line="240" w:lineRule="auto"/>
        <w:ind w:right="30"/>
        <w:rPr>
          <w:rFonts w:ascii="Arial" w:hAnsi="Arial" w:cs="Arial"/>
          <w:sz w:val="20"/>
          <w:szCs w:val="20"/>
        </w:rPr>
      </w:pPr>
      <w:r w:rsidRPr="002F00D3">
        <w:rPr>
          <w:rFonts w:ascii="Arial" w:hAnsi="Arial" w:cs="Arial"/>
          <w:sz w:val="20"/>
          <w:szCs w:val="20"/>
        </w:rPr>
        <w:t>•</w:t>
      </w:r>
      <w:hyperlink r:id="rId14" w:tooltip="Learn more about Osteoarthritis from ScienceDirect's AI-generated Topic Pages" w:history="1">
        <w:r w:rsidRPr="002F00D3">
          <w:rPr>
            <w:rStyle w:val="Hyperlink"/>
            <w:rFonts w:ascii="Arial" w:hAnsi="Arial" w:cs="Arial"/>
            <w:color w:val="auto"/>
            <w:sz w:val="20"/>
            <w:szCs w:val="20"/>
            <w:u w:val="none"/>
          </w:rPr>
          <w:t>Osteoarthritis</w:t>
        </w:r>
      </w:hyperlink>
      <w:r w:rsidRPr="002F00D3">
        <w:rPr>
          <w:rFonts w:ascii="Arial" w:hAnsi="Arial" w:cs="Arial"/>
          <w:sz w:val="20"/>
          <w:szCs w:val="20"/>
        </w:rPr>
        <w:t xml:space="preserve"> (OA) is a highly prevalent condition that </w:t>
      </w:r>
      <w:r w:rsidR="009F594F">
        <w:rPr>
          <w:rFonts w:ascii="Arial" w:hAnsi="Arial" w:cs="Arial"/>
          <w:sz w:val="20"/>
          <w:szCs w:val="20"/>
        </w:rPr>
        <w:t xml:space="preserve">can </w:t>
      </w:r>
      <w:r w:rsidRPr="002F00D3">
        <w:rPr>
          <w:rFonts w:ascii="Arial" w:hAnsi="Arial" w:cs="Arial"/>
          <w:sz w:val="20"/>
          <w:szCs w:val="20"/>
        </w:rPr>
        <w:t>affect the </w:t>
      </w:r>
      <w:hyperlink r:id="rId15" w:tooltip="Learn more about Axial Skeleton from ScienceDirect's AI-generated Topic Pages" w:history="1">
        <w:r w:rsidRPr="002F00D3">
          <w:rPr>
            <w:rStyle w:val="Hyperlink"/>
            <w:rFonts w:ascii="Arial" w:hAnsi="Arial" w:cs="Arial"/>
            <w:color w:val="auto"/>
            <w:sz w:val="20"/>
            <w:szCs w:val="20"/>
            <w:u w:val="none"/>
          </w:rPr>
          <w:t>axial skeleton</w:t>
        </w:r>
      </w:hyperlink>
      <w:r w:rsidRPr="002F00D3">
        <w:rPr>
          <w:rFonts w:ascii="Arial" w:hAnsi="Arial" w:cs="Arial"/>
          <w:sz w:val="20"/>
          <w:szCs w:val="20"/>
        </w:rPr>
        <w:t> </w:t>
      </w:r>
      <w:r w:rsidR="009F594F">
        <w:rPr>
          <w:rFonts w:ascii="Arial" w:hAnsi="Arial" w:cs="Arial"/>
          <w:sz w:val="20"/>
          <w:szCs w:val="20"/>
        </w:rPr>
        <w:t>or</w:t>
      </w:r>
      <w:r w:rsidR="009F594F" w:rsidRPr="002F00D3">
        <w:rPr>
          <w:rFonts w:ascii="Arial" w:hAnsi="Arial" w:cs="Arial"/>
          <w:sz w:val="20"/>
          <w:szCs w:val="20"/>
        </w:rPr>
        <w:t> </w:t>
      </w:r>
      <w:hyperlink r:id="rId16" w:tooltip="Learn more about Peripheral Joint from ScienceDirect's AI-generated Topic Pages" w:history="1">
        <w:r w:rsidRPr="002F00D3">
          <w:rPr>
            <w:rStyle w:val="Hyperlink"/>
            <w:rFonts w:ascii="Arial" w:hAnsi="Arial" w:cs="Arial"/>
            <w:color w:val="auto"/>
            <w:sz w:val="20"/>
            <w:szCs w:val="20"/>
            <w:u w:val="none"/>
          </w:rPr>
          <w:t>peripheral joints</w:t>
        </w:r>
      </w:hyperlink>
    </w:p>
    <w:p w14:paraId="1A15CE49" w14:textId="08A42F12" w:rsidR="00D71D44" w:rsidRPr="002F00D3" w:rsidRDefault="00D71D44" w:rsidP="002F00D3">
      <w:pPr>
        <w:spacing w:after="0" w:line="240" w:lineRule="auto"/>
        <w:ind w:right="30"/>
        <w:rPr>
          <w:rFonts w:ascii="Arial" w:hAnsi="Arial" w:cs="Arial"/>
          <w:sz w:val="20"/>
          <w:szCs w:val="20"/>
        </w:rPr>
      </w:pPr>
      <w:r w:rsidRPr="002F00D3">
        <w:rPr>
          <w:rFonts w:ascii="Arial" w:hAnsi="Arial" w:cs="Arial"/>
          <w:sz w:val="20"/>
          <w:szCs w:val="20"/>
        </w:rPr>
        <w:t>•Diagnosis is clinical – X-ray features can be absent in early disease</w:t>
      </w:r>
    </w:p>
    <w:p w14:paraId="3A69A63C" w14:textId="1DAE774B" w:rsidR="00D71D44" w:rsidRPr="002F00D3" w:rsidRDefault="00D71D44" w:rsidP="002F00D3">
      <w:pPr>
        <w:spacing w:after="0" w:line="240" w:lineRule="auto"/>
        <w:ind w:right="30"/>
        <w:rPr>
          <w:rFonts w:ascii="Arial" w:hAnsi="Arial" w:cs="Arial"/>
          <w:sz w:val="20"/>
          <w:szCs w:val="20"/>
        </w:rPr>
      </w:pPr>
      <w:r w:rsidRPr="002F00D3">
        <w:rPr>
          <w:rFonts w:ascii="Arial" w:hAnsi="Arial" w:cs="Arial"/>
          <w:sz w:val="20"/>
          <w:szCs w:val="20"/>
        </w:rPr>
        <w:t>•Education, weight loss and exercise are important first steps in management</w:t>
      </w:r>
    </w:p>
    <w:p w14:paraId="630D3797" w14:textId="6AD37A81" w:rsidR="00D71D44" w:rsidRPr="002F00D3" w:rsidRDefault="00D71D44" w:rsidP="002F00D3">
      <w:pPr>
        <w:spacing w:after="0" w:line="240" w:lineRule="auto"/>
        <w:ind w:right="30"/>
        <w:rPr>
          <w:rFonts w:ascii="Arial" w:hAnsi="Arial" w:cs="Arial"/>
          <w:sz w:val="20"/>
          <w:szCs w:val="20"/>
        </w:rPr>
      </w:pPr>
      <w:r w:rsidRPr="002F00D3">
        <w:rPr>
          <w:rFonts w:ascii="Arial" w:hAnsi="Arial" w:cs="Arial"/>
          <w:sz w:val="20"/>
          <w:szCs w:val="20"/>
        </w:rPr>
        <w:t xml:space="preserve">•Future </w:t>
      </w:r>
      <w:r w:rsidR="000D13C7">
        <w:rPr>
          <w:rFonts w:ascii="Arial" w:hAnsi="Arial" w:cs="Arial"/>
          <w:sz w:val="20"/>
          <w:szCs w:val="20"/>
        </w:rPr>
        <w:t>translational</w:t>
      </w:r>
      <w:r w:rsidR="000D13C7" w:rsidRPr="002F00D3">
        <w:rPr>
          <w:rFonts w:ascii="Arial" w:hAnsi="Arial" w:cs="Arial"/>
          <w:sz w:val="20"/>
          <w:szCs w:val="20"/>
        </w:rPr>
        <w:t xml:space="preserve"> </w:t>
      </w:r>
      <w:r w:rsidRPr="002F00D3">
        <w:rPr>
          <w:rFonts w:ascii="Arial" w:hAnsi="Arial" w:cs="Arial"/>
          <w:sz w:val="20"/>
          <w:szCs w:val="20"/>
        </w:rPr>
        <w:t>directions include development of therapeutic targets aimed at mechano-sensing pathways in joint tissues, promotion of intrinsic tissue repair, and identification of prognostic and diagnostic biomarkers</w:t>
      </w:r>
    </w:p>
    <w:p w14:paraId="5B918403" w14:textId="77777777" w:rsidR="002F00D3" w:rsidRDefault="002F00D3" w:rsidP="002F00D3">
      <w:pPr>
        <w:pStyle w:val="Heading2"/>
        <w:spacing w:before="0" w:line="240" w:lineRule="auto"/>
        <w:rPr>
          <w:rFonts w:ascii="Arial" w:hAnsi="Arial" w:cs="Arial"/>
          <w:color w:val="auto"/>
          <w:sz w:val="20"/>
          <w:szCs w:val="20"/>
        </w:rPr>
      </w:pPr>
    </w:p>
    <w:p w14:paraId="3C48EADC" w14:textId="77777777" w:rsidR="002F00D3" w:rsidRPr="002F00D3" w:rsidRDefault="002F00D3" w:rsidP="002F00D3">
      <w:pPr>
        <w:pStyle w:val="Heading2"/>
        <w:spacing w:before="0" w:line="240" w:lineRule="auto"/>
        <w:rPr>
          <w:rFonts w:ascii="Arial" w:hAnsi="Arial" w:cs="Arial"/>
          <w:b/>
          <w:bCs/>
          <w:color w:val="4472C4" w:themeColor="accent1"/>
          <w:sz w:val="20"/>
          <w:szCs w:val="20"/>
        </w:rPr>
      </w:pPr>
    </w:p>
    <w:p w14:paraId="0D1A746D" w14:textId="78825D79"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Introduction</w:t>
      </w:r>
    </w:p>
    <w:p w14:paraId="4AF13889" w14:textId="46CE8846" w:rsidR="00D71D44" w:rsidRPr="002F00D3" w:rsidRDefault="00014C79" w:rsidP="002F00D3">
      <w:pPr>
        <w:pStyle w:val="NormalWeb"/>
        <w:spacing w:before="0" w:beforeAutospacing="0" w:after="0" w:afterAutospacing="0"/>
        <w:rPr>
          <w:rFonts w:ascii="Arial" w:hAnsi="Arial" w:cs="Arial"/>
          <w:sz w:val="20"/>
          <w:szCs w:val="20"/>
        </w:rPr>
      </w:pPr>
      <w:hyperlink r:id="rId17" w:tooltip="Learn more about Osteoarthritis from ScienceDirect's AI-generated Topic Pages" w:history="1">
        <w:r w:rsidR="00D71D44" w:rsidRPr="002F00D3">
          <w:rPr>
            <w:rStyle w:val="Hyperlink"/>
            <w:rFonts w:ascii="Arial" w:eastAsiaTheme="majorEastAsia" w:hAnsi="Arial" w:cs="Arial"/>
            <w:color w:val="auto"/>
            <w:sz w:val="20"/>
            <w:szCs w:val="20"/>
            <w:u w:val="none"/>
          </w:rPr>
          <w:t>Osteoarthritis</w:t>
        </w:r>
      </w:hyperlink>
      <w:r w:rsidR="00D71D44" w:rsidRPr="002F00D3">
        <w:rPr>
          <w:rFonts w:ascii="Arial" w:hAnsi="Arial" w:cs="Arial"/>
          <w:sz w:val="20"/>
          <w:szCs w:val="20"/>
        </w:rPr>
        <w:t> (OA) is the most common form of </w:t>
      </w:r>
      <w:hyperlink r:id="rId18" w:tooltip="Learn more about Arthropathy from ScienceDirect's AI-generated Topic Pages" w:history="1">
        <w:r w:rsidR="00D71D44" w:rsidRPr="002F00D3">
          <w:rPr>
            <w:rStyle w:val="Hyperlink"/>
            <w:rFonts w:ascii="Arial" w:eastAsiaTheme="majorEastAsia" w:hAnsi="Arial" w:cs="Arial"/>
            <w:color w:val="auto"/>
            <w:sz w:val="20"/>
            <w:szCs w:val="20"/>
            <w:u w:val="none"/>
          </w:rPr>
          <w:t>joint disease</w:t>
        </w:r>
      </w:hyperlink>
      <w:r w:rsidR="00D71D44" w:rsidRPr="002F00D3">
        <w:rPr>
          <w:rFonts w:ascii="Arial" w:hAnsi="Arial" w:cs="Arial"/>
          <w:sz w:val="20"/>
          <w:szCs w:val="20"/>
        </w:rPr>
        <w:t>, estimated to cost the equivalent of 1–1.5% of the gross domestic product of developed countries. It is characterized by a loss of </w:t>
      </w:r>
      <w:hyperlink r:id="rId19" w:tooltip="Learn more about Articular Cartilage from ScienceDirect's AI-generated Topic Pages" w:history="1">
        <w:r w:rsidR="00D71D44" w:rsidRPr="002F00D3">
          <w:rPr>
            <w:rStyle w:val="Hyperlink"/>
            <w:rFonts w:ascii="Arial" w:eastAsiaTheme="majorEastAsia" w:hAnsi="Arial" w:cs="Arial"/>
            <w:color w:val="auto"/>
            <w:sz w:val="20"/>
            <w:szCs w:val="20"/>
            <w:u w:val="none"/>
          </w:rPr>
          <w:t>articular cartilage</w:t>
        </w:r>
      </w:hyperlink>
      <w:r w:rsidR="00D71D44" w:rsidRPr="002F00D3">
        <w:rPr>
          <w:rFonts w:ascii="Arial" w:hAnsi="Arial" w:cs="Arial"/>
          <w:sz w:val="20"/>
          <w:szCs w:val="20"/>
        </w:rPr>
        <w:t>, an avascular and </w:t>
      </w:r>
      <w:hyperlink r:id="rId20" w:tooltip="Learn more about Meprobamate from ScienceDirect's AI-generated Topic Pages" w:history="1">
        <w:r w:rsidR="00D71D44" w:rsidRPr="002F00D3">
          <w:rPr>
            <w:rStyle w:val="Hyperlink"/>
            <w:rFonts w:ascii="Arial" w:eastAsiaTheme="majorEastAsia" w:hAnsi="Arial" w:cs="Arial"/>
            <w:color w:val="auto"/>
            <w:sz w:val="20"/>
            <w:szCs w:val="20"/>
            <w:u w:val="none"/>
          </w:rPr>
          <w:t>aneural</w:t>
        </w:r>
      </w:hyperlink>
      <w:r w:rsidR="00D71D44" w:rsidRPr="002F00D3">
        <w:rPr>
          <w:rFonts w:ascii="Arial" w:hAnsi="Arial" w:cs="Arial"/>
          <w:sz w:val="20"/>
          <w:szCs w:val="20"/>
        </w:rPr>
        <w:t> tissue that overlies the ends of bone at </w:t>
      </w:r>
      <w:hyperlink r:id="rId21" w:tooltip="Learn more about Synovial Joint from ScienceDirect's AI-generated Topic Pages" w:history="1">
        <w:r w:rsidR="00D71D44" w:rsidRPr="002F00D3">
          <w:rPr>
            <w:rStyle w:val="Hyperlink"/>
            <w:rFonts w:ascii="Arial" w:eastAsiaTheme="majorEastAsia" w:hAnsi="Arial" w:cs="Arial"/>
            <w:color w:val="auto"/>
            <w:sz w:val="20"/>
            <w:szCs w:val="20"/>
            <w:u w:val="none"/>
          </w:rPr>
          <w:t>synovial joints</w:t>
        </w:r>
      </w:hyperlink>
      <w:r w:rsidR="00D71D44" w:rsidRPr="002F00D3">
        <w:rPr>
          <w:rFonts w:ascii="Arial" w:hAnsi="Arial" w:cs="Arial"/>
          <w:sz w:val="20"/>
          <w:szCs w:val="20"/>
        </w:rPr>
        <w:t xml:space="preserve">, </w:t>
      </w:r>
      <w:r w:rsidR="000D13C7">
        <w:rPr>
          <w:rFonts w:ascii="Arial" w:hAnsi="Arial" w:cs="Arial"/>
          <w:sz w:val="20"/>
          <w:szCs w:val="20"/>
        </w:rPr>
        <w:t xml:space="preserve">hypertrophy of the synovium, thickening (sclerosis) of the subchondral bone plate and new bone formation (osteophytosis). Each of these </w:t>
      </w:r>
      <w:r w:rsidR="00D71D44" w:rsidRPr="002F00D3">
        <w:rPr>
          <w:rFonts w:ascii="Arial" w:hAnsi="Arial" w:cs="Arial"/>
          <w:sz w:val="20"/>
          <w:szCs w:val="20"/>
        </w:rPr>
        <w:t>contribute to disease expression.</w:t>
      </w:r>
      <w:bookmarkStart w:id="2" w:name="bbib1"/>
      <w:r w:rsidR="00D71D44" w:rsidRPr="002F00D3">
        <w:rPr>
          <w:rFonts w:ascii="Arial" w:hAnsi="Arial" w:cs="Arial"/>
          <w:sz w:val="20"/>
          <w:szCs w:val="20"/>
        </w:rPr>
        <w:fldChar w:fldCharType="begin"/>
      </w:r>
      <w:r w:rsidR="00D71D44" w:rsidRPr="002F00D3">
        <w:rPr>
          <w:rFonts w:ascii="Arial" w:hAnsi="Arial" w:cs="Arial"/>
          <w:sz w:val="20"/>
          <w:szCs w:val="20"/>
        </w:rPr>
        <w:instrText xml:space="preserve"> HYPERLINK "https://www.sciencedirect.com/science/article/pii/S1357303917303304" \l "bib1" </w:instrText>
      </w:r>
      <w:r w:rsidR="00D71D44" w:rsidRPr="002F00D3">
        <w:rPr>
          <w:rFonts w:ascii="Arial" w:hAnsi="Arial" w:cs="Arial"/>
          <w:sz w:val="20"/>
          <w:szCs w:val="20"/>
        </w:rPr>
        <w:fldChar w:fldCharType="separate"/>
      </w:r>
      <w:r w:rsidR="00D71D44" w:rsidRPr="002F00D3">
        <w:rPr>
          <w:rStyle w:val="Hyperlink"/>
          <w:rFonts w:ascii="Arial" w:eastAsiaTheme="majorEastAsia" w:hAnsi="Arial" w:cs="Arial"/>
          <w:color w:val="auto"/>
          <w:sz w:val="20"/>
          <w:szCs w:val="20"/>
          <w:u w:val="none"/>
          <w:vertAlign w:val="superscript"/>
        </w:rPr>
        <w:t>1</w:t>
      </w:r>
      <w:r w:rsidR="00D71D44" w:rsidRPr="002F00D3">
        <w:rPr>
          <w:rFonts w:ascii="Arial" w:hAnsi="Arial" w:cs="Arial"/>
          <w:sz w:val="20"/>
          <w:szCs w:val="20"/>
        </w:rPr>
        <w:fldChar w:fldCharType="end"/>
      </w:r>
      <w:bookmarkEnd w:id="2"/>
    </w:p>
    <w:p w14:paraId="0832AD61" w14:textId="77777777" w:rsidR="002F00D3" w:rsidRPr="002F00D3" w:rsidRDefault="002F00D3" w:rsidP="002F00D3">
      <w:pPr>
        <w:pStyle w:val="Heading2"/>
        <w:spacing w:before="0" w:line="240" w:lineRule="auto"/>
        <w:rPr>
          <w:rFonts w:ascii="Arial" w:hAnsi="Arial" w:cs="Arial"/>
          <w:b/>
          <w:bCs/>
          <w:color w:val="4472C4" w:themeColor="accent1"/>
          <w:sz w:val="20"/>
          <w:szCs w:val="20"/>
        </w:rPr>
      </w:pPr>
    </w:p>
    <w:p w14:paraId="2312CFCA" w14:textId="5466D628"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Pathology</w:t>
      </w:r>
    </w:p>
    <w:p w14:paraId="23BA4111" w14:textId="33C344DD"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Cartilage is uniquely adapted to perceive and respond to mechanical stress through an elaborate, organized </w:t>
      </w:r>
      <w:hyperlink r:id="rId22" w:tooltip="Learn more about Extracellular Matrix from ScienceDirect's AI-generated Topic Pages" w:history="1">
        <w:r w:rsidRPr="002F00D3">
          <w:rPr>
            <w:rStyle w:val="Hyperlink"/>
            <w:rFonts w:ascii="Arial" w:eastAsiaTheme="majorEastAsia" w:hAnsi="Arial" w:cs="Arial"/>
            <w:color w:val="auto"/>
            <w:sz w:val="20"/>
            <w:szCs w:val="20"/>
            <w:u w:val="none"/>
          </w:rPr>
          <w:t>extracellular matrix</w:t>
        </w:r>
      </w:hyperlink>
      <w:r w:rsidRPr="002F00D3">
        <w:rPr>
          <w:rFonts w:ascii="Arial" w:hAnsi="Arial" w:cs="Arial"/>
          <w:sz w:val="20"/>
          <w:szCs w:val="20"/>
        </w:rPr>
        <w:t> made up of the </w:t>
      </w:r>
      <w:hyperlink r:id="rId23" w:tooltip="Learn more about Proteoglycan from ScienceDirect's AI-generated Topic Pages" w:history="1">
        <w:r w:rsidRPr="002F00D3">
          <w:rPr>
            <w:rStyle w:val="Hyperlink"/>
            <w:rFonts w:ascii="Arial" w:eastAsiaTheme="majorEastAsia" w:hAnsi="Arial" w:cs="Arial"/>
            <w:color w:val="auto"/>
            <w:sz w:val="20"/>
            <w:szCs w:val="20"/>
            <w:u w:val="none"/>
          </w:rPr>
          <w:t>proteoglycan</w:t>
        </w:r>
      </w:hyperlink>
      <w:r w:rsidRPr="002F00D3">
        <w:rPr>
          <w:rFonts w:ascii="Arial" w:hAnsi="Arial" w:cs="Arial"/>
          <w:sz w:val="20"/>
          <w:szCs w:val="20"/>
        </w:rPr>
        <w:t> </w:t>
      </w:r>
      <w:hyperlink r:id="rId24" w:tooltip="Learn more about Aggrecan from ScienceDirect's AI-generated Topic Pages" w:history="1">
        <w:r w:rsidRPr="002F00D3">
          <w:rPr>
            <w:rStyle w:val="Hyperlink"/>
            <w:rFonts w:ascii="Arial" w:eastAsiaTheme="majorEastAsia" w:hAnsi="Arial" w:cs="Arial"/>
            <w:color w:val="auto"/>
            <w:sz w:val="20"/>
            <w:szCs w:val="20"/>
            <w:u w:val="none"/>
          </w:rPr>
          <w:t>aggrecan</w:t>
        </w:r>
      </w:hyperlink>
      <w:r w:rsidRPr="002F00D3">
        <w:rPr>
          <w:rFonts w:ascii="Arial" w:hAnsi="Arial" w:cs="Arial"/>
          <w:sz w:val="20"/>
          <w:szCs w:val="20"/>
        </w:rPr>
        <w:t> and </w:t>
      </w:r>
      <w:hyperlink r:id="rId25" w:tooltip="Learn more about Collagen Type 2 from ScienceDirect's AI-generated Topic Pages" w:history="1">
        <w:r w:rsidRPr="002F00D3">
          <w:rPr>
            <w:rStyle w:val="Hyperlink"/>
            <w:rFonts w:ascii="Arial" w:eastAsiaTheme="majorEastAsia" w:hAnsi="Arial" w:cs="Arial"/>
            <w:color w:val="auto"/>
            <w:sz w:val="20"/>
            <w:szCs w:val="20"/>
            <w:u w:val="none"/>
          </w:rPr>
          <w:t>type II collagen</w:t>
        </w:r>
      </w:hyperlink>
      <w:r w:rsidRPr="002F00D3">
        <w:rPr>
          <w:rFonts w:ascii="Arial" w:hAnsi="Arial" w:cs="Arial"/>
          <w:sz w:val="20"/>
          <w:szCs w:val="20"/>
        </w:rPr>
        <w:t>. </w:t>
      </w:r>
      <w:hyperlink r:id="rId26" w:tooltip="Learn more about Chondrocyte from ScienceDirect's AI-generated Topic Pages" w:history="1">
        <w:r w:rsidRPr="002F00D3">
          <w:rPr>
            <w:rStyle w:val="Hyperlink"/>
            <w:rFonts w:ascii="Arial" w:eastAsiaTheme="majorEastAsia" w:hAnsi="Arial" w:cs="Arial"/>
            <w:color w:val="auto"/>
            <w:sz w:val="20"/>
            <w:szCs w:val="20"/>
            <w:u w:val="none"/>
          </w:rPr>
          <w:t>Chondrocytes</w:t>
        </w:r>
      </w:hyperlink>
      <w:r w:rsidRPr="002F00D3">
        <w:rPr>
          <w:rFonts w:ascii="Arial" w:hAnsi="Arial" w:cs="Arial"/>
          <w:sz w:val="20"/>
          <w:szCs w:val="20"/>
        </w:rPr>
        <w:t>, which are the only cells in cartilage, are responsible for maintaining the matrix during life. Ultimately, these same cells are probably also responsible for making the degradative enzymes that destroy the tissue in disease</w:t>
      </w:r>
      <w:r w:rsidR="000175EB">
        <w:rPr>
          <w:rFonts w:ascii="Arial" w:hAnsi="Arial" w:cs="Arial"/>
          <w:sz w:val="20"/>
          <w:szCs w:val="20"/>
        </w:rPr>
        <w:t xml:space="preserve"> although other tissues such as the synovium may contribute to this</w:t>
      </w:r>
      <w:r w:rsidRPr="002F00D3">
        <w:rPr>
          <w:rFonts w:ascii="Arial" w:hAnsi="Arial" w:cs="Arial"/>
          <w:sz w:val="20"/>
          <w:szCs w:val="20"/>
        </w:rPr>
        <w:t>.</w:t>
      </w:r>
    </w:p>
    <w:p w14:paraId="3B5EE3FF" w14:textId="476AFEFB"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Loss of </w:t>
      </w:r>
      <w:hyperlink r:id="rId27" w:tooltip="Learn more about Articular Cartilage from ScienceDirect's AI-generated Topic Pages" w:history="1">
        <w:r w:rsidRPr="002F00D3">
          <w:rPr>
            <w:rStyle w:val="Hyperlink"/>
            <w:rFonts w:ascii="Arial" w:eastAsiaTheme="majorEastAsia" w:hAnsi="Arial" w:cs="Arial"/>
            <w:color w:val="auto"/>
            <w:sz w:val="20"/>
            <w:szCs w:val="20"/>
            <w:u w:val="none"/>
          </w:rPr>
          <w:t>articular cartilage</w:t>
        </w:r>
      </w:hyperlink>
      <w:r w:rsidRPr="002F00D3">
        <w:rPr>
          <w:rFonts w:ascii="Arial" w:hAnsi="Arial" w:cs="Arial"/>
          <w:sz w:val="20"/>
          <w:szCs w:val="20"/>
        </w:rPr>
        <w:t> occurs initially at the articulating surface and then spreads through the matrix down to the subchondral bone (</w:t>
      </w:r>
      <w:bookmarkStart w:id="3" w:name="bfig1"/>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"fig1" </w:instrText>
      </w:r>
      <w:r w:rsidRPr="002F00D3">
        <w:rPr>
          <w:rFonts w:ascii="Arial" w:hAnsi="Arial" w:cs="Arial"/>
          <w:sz w:val="20"/>
          <w:szCs w:val="20"/>
        </w:rPr>
        <w:fldChar w:fldCharType="separate"/>
      </w:r>
      <w:r w:rsidRPr="002F00D3">
        <w:rPr>
          <w:rStyle w:val="Hyperlink"/>
          <w:rFonts w:ascii="Arial" w:eastAsiaTheme="majorEastAsia" w:hAnsi="Arial" w:cs="Arial"/>
          <w:color w:val="auto"/>
          <w:sz w:val="20"/>
          <w:szCs w:val="20"/>
          <w:u w:val="none"/>
        </w:rPr>
        <w:t>Figure 1</w:t>
      </w:r>
      <w:r w:rsidRPr="002F00D3">
        <w:rPr>
          <w:rFonts w:ascii="Arial" w:hAnsi="Arial" w:cs="Arial"/>
          <w:sz w:val="20"/>
          <w:szCs w:val="20"/>
        </w:rPr>
        <w:fldChar w:fldCharType="end"/>
      </w:r>
      <w:bookmarkEnd w:id="3"/>
      <w:r w:rsidRPr="002F00D3">
        <w:rPr>
          <w:rFonts w:ascii="Arial" w:hAnsi="Arial" w:cs="Arial"/>
          <w:sz w:val="20"/>
          <w:szCs w:val="20"/>
        </w:rPr>
        <w:t>). Other changes that occur in the tissue include patchy loss of aggrecan, and clustering and clonal expansion of chondrocytes</w:t>
      </w:r>
      <w:r w:rsidR="000175EB">
        <w:rPr>
          <w:rFonts w:ascii="Arial" w:hAnsi="Arial" w:cs="Arial"/>
          <w:sz w:val="20"/>
          <w:szCs w:val="20"/>
        </w:rPr>
        <w:t xml:space="preserve"> (which don’t normally proliferate in healthy tissue)</w:t>
      </w:r>
      <w:r w:rsidRPr="002F00D3">
        <w:rPr>
          <w:rFonts w:ascii="Arial" w:hAnsi="Arial" w:cs="Arial"/>
          <w:sz w:val="20"/>
          <w:szCs w:val="20"/>
        </w:rPr>
        <w:t>. Within the joint, there is also </w:t>
      </w:r>
      <w:hyperlink r:id="rId28" w:tooltip="Learn more about Sclerosis from ScienceDirect's AI-generated Topic Pages" w:history="1">
        <w:r w:rsidRPr="002F00D3">
          <w:rPr>
            <w:rStyle w:val="Hyperlink"/>
            <w:rFonts w:ascii="Arial" w:eastAsiaTheme="majorEastAsia" w:hAnsi="Arial" w:cs="Arial"/>
            <w:color w:val="auto"/>
            <w:sz w:val="20"/>
            <w:szCs w:val="20"/>
            <w:u w:val="none"/>
          </w:rPr>
          <w:t>sclerosis</w:t>
        </w:r>
      </w:hyperlink>
      <w:r w:rsidRPr="002F00D3">
        <w:rPr>
          <w:rFonts w:ascii="Arial" w:hAnsi="Arial" w:cs="Arial"/>
          <w:sz w:val="20"/>
          <w:szCs w:val="20"/>
        </w:rPr>
        <w:t> of the subchondral bone, bony expansion with </w:t>
      </w:r>
      <w:hyperlink r:id="rId29" w:tooltip="Learn more about Osteophyte from ScienceDirect's AI-generated Topic Pages" w:history="1">
        <w:r w:rsidRPr="002F00D3">
          <w:rPr>
            <w:rStyle w:val="Hyperlink"/>
            <w:rFonts w:ascii="Arial" w:eastAsiaTheme="majorEastAsia" w:hAnsi="Arial" w:cs="Arial"/>
            <w:color w:val="auto"/>
            <w:sz w:val="20"/>
            <w:szCs w:val="20"/>
            <w:u w:val="none"/>
          </w:rPr>
          <w:t>osteophyte</w:t>
        </w:r>
      </w:hyperlink>
      <w:r w:rsidRPr="002F00D3">
        <w:rPr>
          <w:rFonts w:ascii="Arial" w:hAnsi="Arial" w:cs="Arial"/>
          <w:sz w:val="20"/>
          <w:szCs w:val="20"/>
        </w:rPr>
        <w:t> formation and (usually episodic)</w:t>
      </w:r>
      <w:r w:rsidR="000175EB">
        <w:rPr>
          <w:rFonts w:ascii="Arial" w:hAnsi="Arial" w:cs="Arial"/>
          <w:sz w:val="20"/>
          <w:szCs w:val="20"/>
        </w:rPr>
        <w:t xml:space="preserve"> mild</w:t>
      </w:r>
      <w:r w:rsidRPr="002F00D3">
        <w:rPr>
          <w:rFonts w:ascii="Arial" w:hAnsi="Arial" w:cs="Arial"/>
          <w:sz w:val="20"/>
          <w:szCs w:val="20"/>
        </w:rPr>
        <w:t> </w:t>
      </w:r>
      <w:hyperlink r:id="rId30" w:tooltip="Learn more about Synovitis from ScienceDirect's AI-generated Topic Pages" w:history="1">
        <w:r w:rsidRPr="002F00D3">
          <w:rPr>
            <w:rStyle w:val="Hyperlink"/>
            <w:rFonts w:ascii="Arial" w:eastAsiaTheme="majorEastAsia" w:hAnsi="Arial" w:cs="Arial"/>
            <w:color w:val="auto"/>
            <w:sz w:val="20"/>
            <w:szCs w:val="20"/>
            <w:u w:val="none"/>
          </w:rPr>
          <w:t>synovitis</w:t>
        </w:r>
      </w:hyperlink>
      <w:r w:rsidRPr="002F00D3">
        <w:rPr>
          <w:rFonts w:ascii="Arial" w:hAnsi="Arial" w:cs="Arial"/>
          <w:sz w:val="20"/>
          <w:szCs w:val="20"/>
        </w:rPr>
        <w:t>.</w:t>
      </w:r>
    </w:p>
    <w:p w14:paraId="05E43549" w14:textId="74840D22" w:rsidR="00D71D44" w:rsidRDefault="000175EB" w:rsidP="002F00D3">
      <w:pPr>
        <w:pStyle w:val="NormalWeb"/>
        <w:spacing w:before="0" w:beforeAutospacing="0" w:after="0" w:afterAutospacing="0"/>
        <w:ind w:firstLine="720"/>
        <w:rPr>
          <w:rFonts w:ascii="Arial" w:hAnsi="Arial" w:cs="Arial"/>
          <w:sz w:val="20"/>
          <w:szCs w:val="20"/>
        </w:rPr>
      </w:pPr>
      <w:r>
        <w:rPr>
          <w:rFonts w:ascii="Arial" w:hAnsi="Arial" w:cs="Arial"/>
          <w:sz w:val="20"/>
          <w:szCs w:val="20"/>
        </w:rPr>
        <w:t>The relationship between pain and structural join</w:t>
      </w:r>
      <w:r w:rsidR="00E76C6F">
        <w:rPr>
          <w:rFonts w:ascii="Arial" w:hAnsi="Arial" w:cs="Arial"/>
          <w:sz w:val="20"/>
          <w:szCs w:val="20"/>
        </w:rPr>
        <w:t>t</w:t>
      </w:r>
      <w:r>
        <w:rPr>
          <w:rFonts w:ascii="Arial" w:hAnsi="Arial" w:cs="Arial"/>
          <w:sz w:val="20"/>
          <w:szCs w:val="20"/>
        </w:rPr>
        <w:t xml:space="preserve"> damage is unpredictable.</w:t>
      </w:r>
      <w:r w:rsidR="00D71D44" w:rsidRPr="002F00D3">
        <w:rPr>
          <w:rFonts w:ascii="Arial" w:hAnsi="Arial" w:cs="Arial"/>
          <w:sz w:val="20"/>
          <w:szCs w:val="20"/>
        </w:rPr>
        <w:t xml:space="preserve"> Pain </w:t>
      </w:r>
      <w:r>
        <w:rPr>
          <w:rFonts w:ascii="Arial" w:hAnsi="Arial" w:cs="Arial"/>
          <w:sz w:val="20"/>
          <w:szCs w:val="20"/>
        </w:rPr>
        <w:t>may</w:t>
      </w:r>
      <w:r w:rsidR="00D71D44" w:rsidRPr="002F00D3">
        <w:rPr>
          <w:rFonts w:ascii="Arial" w:hAnsi="Arial" w:cs="Arial"/>
          <w:sz w:val="20"/>
          <w:szCs w:val="20"/>
        </w:rPr>
        <w:t xml:space="preserve"> arise from several of the diseased tissues of the joint, including bone, </w:t>
      </w:r>
      <w:hyperlink r:id="rId31" w:tooltip="Learn more about Synovial Membrane from ScienceDirect's AI-generated Topic Pages" w:history="1">
        <w:r w:rsidR="00D71D44" w:rsidRPr="002F00D3">
          <w:rPr>
            <w:rStyle w:val="Hyperlink"/>
            <w:rFonts w:ascii="Arial" w:hAnsi="Arial" w:cs="Arial"/>
            <w:color w:val="auto"/>
            <w:sz w:val="20"/>
            <w:szCs w:val="20"/>
            <w:u w:val="none"/>
          </w:rPr>
          <w:t>synovium</w:t>
        </w:r>
      </w:hyperlink>
      <w:r w:rsidR="00D71D44" w:rsidRPr="002F00D3">
        <w:rPr>
          <w:rFonts w:ascii="Arial" w:hAnsi="Arial" w:cs="Arial"/>
          <w:sz w:val="20"/>
          <w:szCs w:val="20"/>
        </w:rPr>
        <w:t> or other peri-articular structures such as </w:t>
      </w:r>
      <w:hyperlink r:id="rId32" w:tooltip="Learn more about Enthesis from ScienceDirect's AI-generated Topic Pages" w:history="1">
        <w:r w:rsidR="00D71D44" w:rsidRPr="002F00D3">
          <w:rPr>
            <w:rStyle w:val="Hyperlink"/>
            <w:rFonts w:ascii="Arial" w:hAnsi="Arial" w:cs="Arial"/>
            <w:color w:val="auto"/>
            <w:sz w:val="20"/>
            <w:szCs w:val="20"/>
            <w:u w:val="none"/>
          </w:rPr>
          <w:t>entheses</w:t>
        </w:r>
      </w:hyperlink>
      <w:r w:rsidR="00D71D44" w:rsidRPr="002F00D3">
        <w:rPr>
          <w:rFonts w:ascii="Arial" w:hAnsi="Arial" w:cs="Arial"/>
          <w:sz w:val="20"/>
          <w:szCs w:val="20"/>
        </w:rPr>
        <w:t>, bursae or tendons. The damaged articular cartilage also produces factors, including </w:t>
      </w:r>
      <w:hyperlink r:id="rId33" w:tooltip="Learn more about Nerve Growth Factor from ScienceDirect's AI-generated Topic Pages" w:history="1">
        <w:r w:rsidR="00D71D44" w:rsidRPr="002F00D3">
          <w:rPr>
            <w:rStyle w:val="Hyperlink"/>
            <w:rFonts w:ascii="Arial" w:hAnsi="Arial" w:cs="Arial"/>
            <w:color w:val="auto"/>
            <w:sz w:val="20"/>
            <w:szCs w:val="20"/>
            <w:u w:val="none"/>
          </w:rPr>
          <w:t>nerve growth factor</w:t>
        </w:r>
      </w:hyperlink>
      <w:r w:rsidR="00D71D44" w:rsidRPr="002F00D3">
        <w:rPr>
          <w:rFonts w:ascii="Arial" w:hAnsi="Arial" w:cs="Arial"/>
          <w:sz w:val="20"/>
          <w:szCs w:val="20"/>
        </w:rPr>
        <w:t>, that can sensitize local pain fibres. Chronic pain, resulting from local sensitization of nerve fibres and central nervous system changes</w:t>
      </w:r>
      <w:r>
        <w:rPr>
          <w:rFonts w:ascii="Arial" w:hAnsi="Arial" w:cs="Arial"/>
          <w:sz w:val="20"/>
          <w:szCs w:val="20"/>
        </w:rPr>
        <w:t xml:space="preserve"> (central sensitisation)</w:t>
      </w:r>
      <w:r w:rsidR="00D71D44" w:rsidRPr="002F00D3">
        <w:rPr>
          <w:rFonts w:ascii="Arial" w:hAnsi="Arial" w:cs="Arial"/>
          <w:sz w:val="20"/>
          <w:szCs w:val="20"/>
        </w:rPr>
        <w:t>, is common over time.</w:t>
      </w:r>
    </w:p>
    <w:p w14:paraId="68E2BCE5" w14:textId="77777777" w:rsidR="002F00D3" w:rsidRPr="002F00D3" w:rsidRDefault="002F00D3" w:rsidP="002F00D3">
      <w:pPr>
        <w:pStyle w:val="NormalWeb"/>
        <w:spacing w:before="0" w:beforeAutospacing="0" w:after="0" w:afterAutospacing="0"/>
        <w:ind w:firstLine="720"/>
        <w:rPr>
          <w:rFonts w:ascii="Arial" w:hAnsi="Arial" w:cs="Arial"/>
          <w:sz w:val="20"/>
          <w:szCs w:val="20"/>
        </w:rPr>
      </w:pPr>
    </w:p>
    <w:p w14:paraId="1EDCD843" w14:textId="77777777"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Aetiology</w:t>
      </w:r>
    </w:p>
    <w:p w14:paraId="1961324C" w14:textId="18F0FE85"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Traditionally, OA has been designated as either primary or secondary, based on the presence or absence of a known </w:t>
      </w:r>
      <w:hyperlink r:id="rId34" w:tooltip="Learn more about Disease Predisposition from ScienceDirect's AI-generated Topic Pages" w:history="1">
        <w:r w:rsidRPr="002F00D3">
          <w:rPr>
            <w:rStyle w:val="Hyperlink"/>
            <w:rFonts w:ascii="Arial" w:hAnsi="Arial" w:cs="Arial"/>
            <w:color w:val="auto"/>
            <w:sz w:val="20"/>
            <w:szCs w:val="20"/>
            <w:u w:val="none"/>
          </w:rPr>
          <w:t>predisposing factor</w:t>
        </w:r>
      </w:hyperlink>
      <w:r w:rsidRPr="002F00D3">
        <w:rPr>
          <w:rFonts w:ascii="Arial" w:hAnsi="Arial" w:cs="Arial"/>
          <w:sz w:val="20"/>
          <w:szCs w:val="20"/>
        </w:rPr>
        <w:t xml:space="preserve"> or factors. In practice, </w:t>
      </w:r>
      <w:r w:rsidR="000175EB">
        <w:rPr>
          <w:rFonts w:ascii="Arial" w:hAnsi="Arial" w:cs="Arial"/>
          <w:sz w:val="20"/>
          <w:szCs w:val="20"/>
        </w:rPr>
        <w:t>a</w:t>
      </w:r>
      <w:r w:rsidRPr="002F00D3">
        <w:rPr>
          <w:rFonts w:ascii="Arial" w:hAnsi="Arial" w:cs="Arial"/>
          <w:sz w:val="20"/>
          <w:szCs w:val="20"/>
        </w:rPr>
        <w:t xml:space="preserve">bnormal mechanical load is the most </w:t>
      </w:r>
      <w:r w:rsidR="00DA203C">
        <w:rPr>
          <w:rFonts w:ascii="Arial" w:hAnsi="Arial" w:cs="Arial"/>
          <w:sz w:val="20"/>
          <w:szCs w:val="20"/>
        </w:rPr>
        <w:t xml:space="preserve"> common</w:t>
      </w:r>
      <w:r w:rsidR="000175EB">
        <w:rPr>
          <w:rFonts w:ascii="Arial" w:hAnsi="Arial" w:cs="Arial"/>
          <w:sz w:val="20"/>
          <w:szCs w:val="20"/>
        </w:rPr>
        <w:t xml:space="preserve"> </w:t>
      </w:r>
      <w:r w:rsidR="00DA203C">
        <w:rPr>
          <w:rFonts w:ascii="Arial" w:hAnsi="Arial" w:cs="Arial"/>
          <w:sz w:val="20"/>
          <w:szCs w:val="20"/>
        </w:rPr>
        <w:t xml:space="preserve">shared </w:t>
      </w:r>
      <w:r w:rsidR="000175EB">
        <w:rPr>
          <w:rFonts w:ascii="Arial" w:hAnsi="Arial" w:cs="Arial"/>
          <w:sz w:val="20"/>
          <w:szCs w:val="20"/>
        </w:rPr>
        <w:t xml:space="preserve">driver </w:t>
      </w:r>
      <w:r w:rsidR="00DA203C">
        <w:rPr>
          <w:rFonts w:ascii="Arial" w:hAnsi="Arial" w:cs="Arial"/>
          <w:sz w:val="20"/>
          <w:szCs w:val="20"/>
        </w:rPr>
        <w:t xml:space="preserve">of disease </w:t>
      </w:r>
      <w:r w:rsidR="000175EB">
        <w:rPr>
          <w:rFonts w:ascii="Arial" w:hAnsi="Arial" w:cs="Arial"/>
          <w:sz w:val="20"/>
          <w:szCs w:val="20"/>
        </w:rPr>
        <w:t xml:space="preserve">and </w:t>
      </w:r>
      <w:r w:rsidR="002646A9">
        <w:rPr>
          <w:rFonts w:ascii="Arial" w:hAnsi="Arial" w:cs="Arial"/>
          <w:sz w:val="20"/>
          <w:szCs w:val="20"/>
        </w:rPr>
        <w:t>many</w:t>
      </w:r>
      <w:r w:rsidR="000175EB">
        <w:rPr>
          <w:rFonts w:ascii="Arial" w:hAnsi="Arial" w:cs="Arial"/>
          <w:sz w:val="20"/>
          <w:szCs w:val="20"/>
        </w:rPr>
        <w:t xml:space="preserve"> patients will </w:t>
      </w:r>
      <w:r w:rsidR="002646A9">
        <w:rPr>
          <w:rFonts w:ascii="Arial" w:hAnsi="Arial" w:cs="Arial"/>
          <w:sz w:val="20"/>
          <w:szCs w:val="20"/>
        </w:rPr>
        <w:t xml:space="preserve">also </w:t>
      </w:r>
      <w:r w:rsidR="000175EB">
        <w:rPr>
          <w:rFonts w:ascii="Arial" w:hAnsi="Arial" w:cs="Arial"/>
          <w:sz w:val="20"/>
          <w:szCs w:val="20"/>
        </w:rPr>
        <w:t>have multiple other factors that contribute to disease expression such as obesity, age</w:t>
      </w:r>
      <w:r w:rsidR="002646A9">
        <w:rPr>
          <w:rFonts w:ascii="Arial" w:hAnsi="Arial" w:cs="Arial"/>
          <w:sz w:val="20"/>
          <w:szCs w:val="20"/>
        </w:rPr>
        <w:t xml:space="preserve"> or family history (genetic factors)</w:t>
      </w:r>
      <w:r w:rsidRPr="002F00D3">
        <w:rPr>
          <w:rFonts w:ascii="Arial" w:hAnsi="Arial" w:cs="Arial"/>
          <w:sz w:val="20"/>
          <w:szCs w:val="20"/>
        </w:rPr>
        <w:t>.</w:t>
      </w:r>
    </w:p>
    <w:p w14:paraId="0263918B" w14:textId="77777777" w:rsidR="002F00D3" w:rsidRDefault="002F00D3" w:rsidP="002F00D3">
      <w:pPr>
        <w:pStyle w:val="Heading3"/>
        <w:spacing w:before="0" w:line="240" w:lineRule="auto"/>
        <w:rPr>
          <w:rFonts w:ascii="Arial" w:hAnsi="Arial" w:cs="Arial"/>
          <w:color w:val="auto"/>
          <w:sz w:val="20"/>
          <w:szCs w:val="20"/>
        </w:rPr>
      </w:pPr>
    </w:p>
    <w:p w14:paraId="40D34AAD" w14:textId="5D7591B4"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Mechanical load</w:t>
      </w:r>
    </w:p>
    <w:p w14:paraId="04E4AA1D" w14:textId="7060EA69"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Irrespective of how the disease is classified, the unifying aetiological factor in development of OA is mechanical load – either abnormal load on a normal joint, or normal load on a joint that has lost its mechanoprotective mechanisms (</w:t>
      </w:r>
      <w:bookmarkStart w:id="4" w:name="btbl1"/>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"tbl1"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Table 1</w:t>
      </w:r>
      <w:r w:rsidRPr="002F00D3">
        <w:rPr>
          <w:rFonts w:ascii="Arial" w:hAnsi="Arial" w:cs="Arial"/>
          <w:sz w:val="20"/>
          <w:szCs w:val="20"/>
        </w:rPr>
        <w:fldChar w:fldCharType="end"/>
      </w:r>
      <w:bookmarkEnd w:id="4"/>
      <w:r w:rsidRPr="002F00D3">
        <w:rPr>
          <w:rFonts w:ascii="Arial" w:hAnsi="Arial" w:cs="Arial"/>
          <w:sz w:val="20"/>
          <w:szCs w:val="20"/>
        </w:rPr>
        <w:t xml:space="preserve">). This is perhaps most clearly illustrated in young individuals who have sustained destabilizing injuries to the joint (e.g. meniscal or anterior cruciate ligament injuries). They exhibit an OA risk of approximately 50% within 10 years of injury. It is also the case that repetitive low-impact </w:t>
      </w:r>
      <w:r w:rsidR="0062566D">
        <w:rPr>
          <w:rFonts w:ascii="Arial" w:hAnsi="Arial" w:cs="Arial"/>
          <w:sz w:val="20"/>
          <w:szCs w:val="20"/>
        </w:rPr>
        <w:t>increased loading of joints</w:t>
      </w:r>
      <w:r w:rsidRPr="002F00D3">
        <w:rPr>
          <w:rFonts w:ascii="Arial" w:hAnsi="Arial" w:cs="Arial"/>
          <w:sz w:val="20"/>
          <w:szCs w:val="20"/>
        </w:rPr>
        <w:t>, often occupational, are strongly associated with disease</w:t>
      </w:r>
      <w:r w:rsidR="006C1032">
        <w:rPr>
          <w:rFonts w:ascii="Arial" w:hAnsi="Arial" w:cs="Arial"/>
          <w:sz w:val="20"/>
          <w:szCs w:val="20"/>
        </w:rPr>
        <w:t xml:space="preserve">, such as repetitive kneeling </w:t>
      </w:r>
      <w:r w:rsidR="00670A23">
        <w:rPr>
          <w:rFonts w:ascii="Arial" w:hAnsi="Arial" w:cs="Arial"/>
          <w:sz w:val="20"/>
          <w:szCs w:val="20"/>
        </w:rPr>
        <w:t>being associated with</w:t>
      </w:r>
      <w:r w:rsidR="006C1032">
        <w:rPr>
          <w:rFonts w:ascii="Arial" w:hAnsi="Arial" w:cs="Arial"/>
          <w:sz w:val="20"/>
          <w:szCs w:val="20"/>
        </w:rPr>
        <w:t xml:space="preserve"> </w:t>
      </w:r>
      <w:r w:rsidR="00670A23">
        <w:rPr>
          <w:rFonts w:ascii="Arial" w:hAnsi="Arial" w:cs="Arial"/>
          <w:sz w:val="20"/>
          <w:szCs w:val="20"/>
        </w:rPr>
        <w:t>knee OA development</w:t>
      </w:r>
      <w:r w:rsidRPr="002F00D3">
        <w:rPr>
          <w:rFonts w:ascii="Arial" w:hAnsi="Arial" w:cs="Arial"/>
          <w:sz w:val="20"/>
          <w:szCs w:val="20"/>
        </w:rPr>
        <w:t>. Likewise, malaligned and misshapen joints are at increased risk of disease.</w:t>
      </w:r>
      <w:r w:rsidR="000175EB">
        <w:rPr>
          <w:rFonts w:ascii="Arial" w:hAnsi="Arial" w:cs="Arial"/>
          <w:sz w:val="20"/>
          <w:szCs w:val="20"/>
        </w:rPr>
        <w:t xml:space="preserve"> </w:t>
      </w:r>
    </w:p>
    <w:p w14:paraId="7B8ADEAB" w14:textId="1820E483" w:rsidR="00D71D44" w:rsidRPr="002F00D3" w:rsidRDefault="00D71D44" w:rsidP="002F00D3">
      <w:pPr>
        <w:spacing w:after="0" w:line="240" w:lineRule="auto"/>
        <w:ind w:firstLine="720"/>
        <w:rPr>
          <w:rFonts w:ascii="Arial" w:hAnsi="Arial" w:cs="Arial"/>
          <w:sz w:val="20"/>
          <w:szCs w:val="20"/>
        </w:rPr>
      </w:pPr>
      <w:r w:rsidRPr="002F00D3">
        <w:rPr>
          <w:rFonts w:ascii="Arial" w:hAnsi="Arial" w:cs="Arial"/>
          <w:sz w:val="20"/>
          <w:szCs w:val="20"/>
        </w:rPr>
        <w:t xml:space="preserve">Conversely, offloading a diseased joint can </w:t>
      </w:r>
      <w:r w:rsidR="003042F7">
        <w:rPr>
          <w:rFonts w:ascii="Arial" w:hAnsi="Arial" w:cs="Arial"/>
          <w:sz w:val="20"/>
          <w:szCs w:val="20"/>
        </w:rPr>
        <w:t xml:space="preserve">slow or </w:t>
      </w:r>
      <w:r w:rsidRPr="002F00D3">
        <w:rPr>
          <w:rFonts w:ascii="Arial" w:hAnsi="Arial" w:cs="Arial"/>
          <w:sz w:val="20"/>
          <w:szCs w:val="20"/>
        </w:rPr>
        <w:t>halt </w:t>
      </w:r>
      <w:hyperlink r:id="rId35" w:tooltip="Learn more about Disease Exacerbation from ScienceDirect's AI-generated Topic Pages" w:history="1">
        <w:r w:rsidRPr="002F00D3">
          <w:rPr>
            <w:rStyle w:val="Hyperlink"/>
            <w:rFonts w:ascii="Arial" w:hAnsi="Arial" w:cs="Arial"/>
            <w:color w:val="auto"/>
            <w:sz w:val="20"/>
            <w:szCs w:val="20"/>
            <w:u w:val="none"/>
          </w:rPr>
          <w:t>disease progression</w:t>
        </w:r>
      </w:hyperlink>
      <w:r w:rsidRPr="002F00D3">
        <w:rPr>
          <w:rFonts w:ascii="Arial" w:hAnsi="Arial" w:cs="Arial"/>
          <w:sz w:val="20"/>
          <w:szCs w:val="20"/>
        </w:rPr>
        <w:t>, as seen in individuals who have sustained a </w:t>
      </w:r>
      <w:hyperlink r:id="rId36" w:tooltip="Learn more about Apoplexy from ScienceDirect's AI-generated Topic Pages" w:history="1">
        <w:r w:rsidRPr="002F00D3">
          <w:rPr>
            <w:rStyle w:val="Hyperlink"/>
            <w:rFonts w:ascii="Arial" w:hAnsi="Arial" w:cs="Arial"/>
            <w:color w:val="auto"/>
            <w:sz w:val="20"/>
            <w:szCs w:val="20"/>
            <w:u w:val="none"/>
          </w:rPr>
          <w:t>cerebrovascular accident</w:t>
        </w:r>
      </w:hyperlink>
      <w:r w:rsidRPr="002F00D3">
        <w:rPr>
          <w:rFonts w:ascii="Arial" w:hAnsi="Arial" w:cs="Arial"/>
          <w:sz w:val="20"/>
          <w:szCs w:val="20"/>
        </w:rPr>
        <w:t> or had </w:t>
      </w:r>
      <w:hyperlink r:id="rId37" w:tooltip="Learn more about Poliomyelitis from ScienceDirect's AI-generated Topic Pages" w:history="1">
        <w:r w:rsidRPr="002F00D3">
          <w:rPr>
            <w:rStyle w:val="Hyperlink"/>
            <w:rFonts w:ascii="Arial" w:hAnsi="Arial" w:cs="Arial"/>
            <w:color w:val="auto"/>
            <w:sz w:val="20"/>
            <w:szCs w:val="20"/>
            <w:u w:val="none"/>
          </w:rPr>
          <w:t>polio</w:t>
        </w:r>
      </w:hyperlink>
      <w:r w:rsidRPr="002F00D3">
        <w:rPr>
          <w:rFonts w:ascii="Arial" w:hAnsi="Arial" w:cs="Arial"/>
          <w:sz w:val="20"/>
          <w:szCs w:val="20"/>
        </w:rPr>
        <w:t>. Therapeutic approaches to offload the diseased joint, for example </w:t>
      </w:r>
      <w:hyperlink r:id="rId38" w:tooltip="Learn more about High Tibial Osteotomy from ScienceDirect's AI-generated Topic Pages" w:history="1">
        <w:r w:rsidRPr="002F00D3">
          <w:rPr>
            <w:rStyle w:val="Hyperlink"/>
            <w:rFonts w:ascii="Arial" w:hAnsi="Arial" w:cs="Arial"/>
            <w:color w:val="auto"/>
            <w:sz w:val="20"/>
            <w:szCs w:val="20"/>
            <w:u w:val="none"/>
          </w:rPr>
          <w:t>high tibial osteotomy</w:t>
        </w:r>
      </w:hyperlink>
      <w:r w:rsidRPr="002F00D3">
        <w:rPr>
          <w:rFonts w:ascii="Arial" w:hAnsi="Arial" w:cs="Arial"/>
          <w:sz w:val="20"/>
          <w:szCs w:val="20"/>
        </w:rPr>
        <w:t xml:space="preserve"> or joint distraction (where an external fixator is placed across the joint for a period of </w:t>
      </w:r>
      <w:r w:rsidR="000175EB">
        <w:rPr>
          <w:rFonts w:ascii="Arial" w:hAnsi="Arial" w:cs="Arial"/>
          <w:sz w:val="20"/>
          <w:szCs w:val="20"/>
        </w:rPr>
        <w:t>6-12 weeks</w:t>
      </w:r>
      <w:r w:rsidRPr="002F00D3">
        <w:rPr>
          <w:rFonts w:ascii="Arial" w:hAnsi="Arial" w:cs="Arial"/>
          <w:sz w:val="20"/>
          <w:szCs w:val="20"/>
        </w:rPr>
        <w:t xml:space="preserve">), show good symptomatic responses and </w:t>
      </w:r>
      <w:r w:rsidR="000175EB">
        <w:rPr>
          <w:rFonts w:ascii="Arial" w:hAnsi="Arial" w:cs="Arial"/>
          <w:sz w:val="20"/>
          <w:szCs w:val="20"/>
        </w:rPr>
        <w:t>appear to</w:t>
      </w:r>
      <w:r w:rsidR="000175EB" w:rsidRPr="002F00D3">
        <w:rPr>
          <w:rFonts w:ascii="Arial" w:hAnsi="Arial" w:cs="Arial"/>
          <w:sz w:val="20"/>
          <w:szCs w:val="20"/>
        </w:rPr>
        <w:t xml:space="preserve"> </w:t>
      </w:r>
      <w:r w:rsidRPr="002F00D3">
        <w:rPr>
          <w:rFonts w:ascii="Arial" w:hAnsi="Arial" w:cs="Arial"/>
          <w:sz w:val="20"/>
          <w:szCs w:val="20"/>
        </w:rPr>
        <w:t>be disease-modifying.</w:t>
      </w:r>
    </w:p>
    <w:p w14:paraId="198D3924" w14:textId="580CF4B9" w:rsidR="00D71D44"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Other important aetiological factors then contribute to the expression of disease and presumably explain why disease is highly heterogeneous and of unpredictable course. Some of these are discussed further below.</w:t>
      </w:r>
    </w:p>
    <w:p w14:paraId="479C8A67" w14:textId="77777777" w:rsidR="002F00D3" w:rsidRPr="002F00D3" w:rsidRDefault="002F00D3" w:rsidP="002F00D3">
      <w:pPr>
        <w:pStyle w:val="NormalWeb"/>
        <w:spacing w:before="0" w:beforeAutospacing="0" w:after="0" w:afterAutospacing="0"/>
        <w:ind w:firstLine="720"/>
        <w:rPr>
          <w:rFonts w:ascii="Arial" w:hAnsi="Arial" w:cs="Arial"/>
          <w:b/>
          <w:bCs/>
          <w:sz w:val="20"/>
          <w:szCs w:val="20"/>
        </w:rPr>
      </w:pPr>
    </w:p>
    <w:p w14:paraId="59D5C6A9"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Age</w:t>
      </w:r>
    </w:p>
    <w:p w14:paraId="79331E27" w14:textId="118D15DF" w:rsidR="00D71D44"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 xml:space="preserve">Age is likely to contribute to disease </w:t>
      </w:r>
      <w:r w:rsidR="00E6586D">
        <w:rPr>
          <w:rFonts w:ascii="Arial" w:hAnsi="Arial" w:cs="Arial"/>
          <w:sz w:val="20"/>
          <w:szCs w:val="20"/>
        </w:rPr>
        <w:t>incidence</w:t>
      </w:r>
      <w:r w:rsidR="00E6586D" w:rsidRPr="002F00D3">
        <w:rPr>
          <w:rFonts w:ascii="Arial" w:hAnsi="Arial" w:cs="Arial"/>
          <w:sz w:val="20"/>
          <w:szCs w:val="20"/>
        </w:rPr>
        <w:t xml:space="preserve"> </w:t>
      </w:r>
      <w:r w:rsidR="00E6586D">
        <w:rPr>
          <w:rFonts w:ascii="Arial" w:hAnsi="Arial" w:cs="Arial"/>
          <w:sz w:val="20"/>
          <w:szCs w:val="20"/>
        </w:rPr>
        <w:t xml:space="preserve">and progression </w:t>
      </w:r>
      <w:r w:rsidRPr="002F00D3">
        <w:rPr>
          <w:rFonts w:ascii="Arial" w:hAnsi="Arial" w:cs="Arial"/>
          <w:sz w:val="20"/>
          <w:szCs w:val="20"/>
        </w:rPr>
        <w:t xml:space="preserve">by a number of mechanisms. Aged joints often exhibit mechanical failure; meniscal </w:t>
      </w:r>
      <w:r w:rsidR="008F2D41">
        <w:rPr>
          <w:rFonts w:ascii="Arial" w:hAnsi="Arial" w:cs="Arial"/>
          <w:sz w:val="20"/>
          <w:szCs w:val="20"/>
        </w:rPr>
        <w:t>extrusion or damage</w:t>
      </w:r>
      <w:r w:rsidR="008F2D41" w:rsidRPr="002F00D3">
        <w:rPr>
          <w:rFonts w:ascii="Arial" w:hAnsi="Arial" w:cs="Arial"/>
          <w:sz w:val="20"/>
          <w:szCs w:val="20"/>
        </w:rPr>
        <w:t xml:space="preserve"> </w:t>
      </w:r>
      <w:r w:rsidRPr="002F00D3">
        <w:rPr>
          <w:rFonts w:ascii="Arial" w:hAnsi="Arial" w:cs="Arial"/>
          <w:sz w:val="20"/>
          <w:szCs w:val="20"/>
        </w:rPr>
        <w:t xml:space="preserve">is evident in 40% of ‘age-related’ OA in the absence of a history of acute knee trauma. Moreover, </w:t>
      </w:r>
      <w:r w:rsidR="00F27872">
        <w:rPr>
          <w:rFonts w:ascii="Arial" w:hAnsi="Arial" w:cs="Arial"/>
          <w:sz w:val="20"/>
          <w:szCs w:val="20"/>
        </w:rPr>
        <w:t>reduction in</w:t>
      </w:r>
      <w:r w:rsidRPr="002F00D3">
        <w:rPr>
          <w:rFonts w:ascii="Arial" w:hAnsi="Arial" w:cs="Arial"/>
          <w:sz w:val="20"/>
          <w:szCs w:val="20"/>
        </w:rPr>
        <w:t xml:space="preserve"> muscle strength and reflexes with age suppresses normal mechanoprotective gait responses. It is generally accepted that aged cartilage is more susceptible to degradation, caused in part by a reduction in new matrix synthesis, as well as an increased activation of degradative pathways. Ageing also leads to a failure to clear damaged cells that accumulate in tissues, causing release of </w:t>
      </w:r>
      <w:hyperlink r:id="rId39" w:tooltip="Learn more about Reactive Oxygen Species from ScienceDirect's AI-generated Topic Pages" w:history="1">
        <w:r w:rsidRPr="002F00D3">
          <w:rPr>
            <w:rStyle w:val="Hyperlink"/>
            <w:rFonts w:ascii="Arial" w:hAnsi="Arial" w:cs="Arial"/>
            <w:color w:val="auto"/>
            <w:sz w:val="20"/>
            <w:szCs w:val="20"/>
            <w:u w:val="none"/>
          </w:rPr>
          <w:t>reactive oxygen species</w:t>
        </w:r>
      </w:hyperlink>
      <w:r w:rsidRPr="002F00D3">
        <w:rPr>
          <w:rFonts w:ascii="Arial" w:hAnsi="Arial" w:cs="Arial"/>
          <w:sz w:val="20"/>
          <w:szCs w:val="20"/>
        </w:rPr>
        <w:t> and tissue damage. Such mechanisms have been observed in joint cells.</w:t>
      </w:r>
    </w:p>
    <w:p w14:paraId="7E7DA8C1" w14:textId="77777777" w:rsidR="002F00D3" w:rsidRPr="002F00D3" w:rsidRDefault="002F00D3" w:rsidP="002F00D3">
      <w:pPr>
        <w:pStyle w:val="NormalWeb"/>
        <w:spacing w:before="0" w:beforeAutospacing="0" w:after="0" w:afterAutospacing="0"/>
        <w:rPr>
          <w:rFonts w:ascii="Arial" w:hAnsi="Arial" w:cs="Arial"/>
          <w:b/>
          <w:bCs/>
          <w:sz w:val="20"/>
          <w:szCs w:val="20"/>
        </w:rPr>
      </w:pPr>
    </w:p>
    <w:p w14:paraId="3918B96D"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Obesity</w:t>
      </w:r>
    </w:p>
    <w:p w14:paraId="048E5CCC" w14:textId="127566E0" w:rsidR="00D71D44"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Increased mechanical load on the joint is one obvious consequence of obesity, as is poor muscle tone leading to loss of joint protection. In addition, </w:t>
      </w:r>
      <w:hyperlink r:id="rId40" w:tooltip="Learn more about Adipocyte from ScienceDirect's AI-generated Topic Pages" w:history="1">
        <w:r w:rsidRPr="002F00D3">
          <w:rPr>
            <w:rStyle w:val="Hyperlink"/>
            <w:rFonts w:ascii="Arial" w:hAnsi="Arial" w:cs="Arial"/>
            <w:color w:val="auto"/>
            <w:sz w:val="20"/>
            <w:szCs w:val="20"/>
            <w:u w:val="none"/>
          </w:rPr>
          <w:t>adipocytes</w:t>
        </w:r>
      </w:hyperlink>
      <w:r w:rsidRPr="002F00D3">
        <w:rPr>
          <w:rFonts w:ascii="Arial" w:hAnsi="Arial" w:cs="Arial"/>
          <w:sz w:val="20"/>
          <w:szCs w:val="20"/>
        </w:rPr>
        <w:t> secrete inflammatory cytokines (adipokines) that can directly drive matrix degradation. Individuals with obesity have higher concentrations of circulating inflammatory response proteins</w:t>
      </w:r>
      <w:r w:rsidR="00204634">
        <w:rPr>
          <w:rFonts w:ascii="Arial" w:hAnsi="Arial" w:cs="Arial"/>
          <w:sz w:val="20"/>
          <w:szCs w:val="20"/>
        </w:rPr>
        <w:t xml:space="preserve">. </w:t>
      </w:r>
      <w:r w:rsidR="007F5829">
        <w:rPr>
          <w:rFonts w:ascii="Arial" w:hAnsi="Arial" w:cs="Arial"/>
          <w:sz w:val="20"/>
          <w:szCs w:val="20"/>
        </w:rPr>
        <w:t>A</w:t>
      </w:r>
      <w:r w:rsidR="00204634">
        <w:rPr>
          <w:rFonts w:ascii="Arial" w:hAnsi="Arial" w:cs="Arial"/>
          <w:sz w:val="20"/>
          <w:szCs w:val="20"/>
        </w:rPr>
        <w:t xml:space="preserve"> poor </w:t>
      </w:r>
      <w:r w:rsidR="007F5829">
        <w:rPr>
          <w:rFonts w:ascii="Arial" w:hAnsi="Arial" w:cs="Arial"/>
          <w:sz w:val="20"/>
          <w:szCs w:val="20"/>
        </w:rPr>
        <w:t xml:space="preserve">quality </w:t>
      </w:r>
      <w:r w:rsidR="00204634">
        <w:rPr>
          <w:rFonts w:ascii="Arial" w:hAnsi="Arial" w:cs="Arial"/>
          <w:sz w:val="20"/>
          <w:szCs w:val="20"/>
        </w:rPr>
        <w:t xml:space="preserve">diet </w:t>
      </w:r>
      <w:r w:rsidR="007F5829">
        <w:rPr>
          <w:rFonts w:ascii="Arial" w:hAnsi="Arial" w:cs="Arial"/>
          <w:sz w:val="20"/>
          <w:szCs w:val="20"/>
        </w:rPr>
        <w:t xml:space="preserve">(low fibre, high saturated fats and processed foods) </w:t>
      </w:r>
      <w:r w:rsidR="00204634">
        <w:rPr>
          <w:rFonts w:ascii="Arial" w:hAnsi="Arial" w:cs="Arial"/>
          <w:sz w:val="20"/>
          <w:szCs w:val="20"/>
        </w:rPr>
        <w:t>may</w:t>
      </w:r>
      <w:r w:rsidR="007F5829">
        <w:rPr>
          <w:rFonts w:ascii="Arial" w:hAnsi="Arial" w:cs="Arial"/>
          <w:sz w:val="20"/>
          <w:szCs w:val="20"/>
        </w:rPr>
        <w:t xml:space="preserve"> also</w:t>
      </w:r>
      <w:r w:rsidR="00204634">
        <w:rPr>
          <w:rFonts w:ascii="Arial" w:hAnsi="Arial" w:cs="Arial"/>
          <w:sz w:val="20"/>
          <w:szCs w:val="20"/>
        </w:rPr>
        <w:t xml:space="preserve"> contribute to disease risk through changes to the gut microbiome.</w:t>
      </w:r>
    </w:p>
    <w:p w14:paraId="1F0CC4C3" w14:textId="77777777" w:rsidR="002F00D3" w:rsidRPr="002F00D3" w:rsidRDefault="002F00D3" w:rsidP="002F00D3">
      <w:pPr>
        <w:pStyle w:val="NormalWeb"/>
        <w:spacing w:before="0" w:beforeAutospacing="0" w:after="0" w:afterAutospacing="0"/>
        <w:rPr>
          <w:rFonts w:ascii="Arial" w:hAnsi="Arial" w:cs="Arial"/>
          <w:b/>
          <w:bCs/>
          <w:sz w:val="20"/>
          <w:szCs w:val="20"/>
        </w:rPr>
      </w:pPr>
    </w:p>
    <w:p w14:paraId="648ABB8C"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Inflammation</w:t>
      </w:r>
    </w:p>
    <w:p w14:paraId="3949E7F7" w14:textId="3CF85D91" w:rsidR="00D71D44"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The precise role of inflammation in disease is unclear. </w:t>
      </w:r>
      <w:r w:rsidR="00204634">
        <w:rPr>
          <w:rFonts w:ascii="Arial" w:hAnsi="Arial" w:cs="Arial"/>
          <w:sz w:val="20"/>
          <w:szCs w:val="20"/>
        </w:rPr>
        <w:t xml:space="preserve">Mild to modest </w:t>
      </w:r>
      <w:hyperlink r:id="rId41" w:tooltip="Learn more about Synovitis from ScienceDirect's AI-generated Topic Pages" w:history="1">
        <w:r w:rsidR="00204634">
          <w:rPr>
            <w:rStyle w:val="Hyperlink"/>
            <w:rFonts w:ascii="Arial" w:hAnsi="Arial" w:cs="Arial"/>
            <w:color w:val="auto"/>
            <w:sz w:val="20"/>
            <w:szCs w:val="20"/>
            <w:u w:val="none"/>
          </w:rPr>
          <w:t>s</w:t>
        </w:r>
        <w:r w:rsidRPr="002F00D3">
          <w:rPr>
            <w:rStyle w:val="Hyperlink"/>
            <w:rFonts w:ascii="Arial" w:hAnsi="Arial" w:cs="Arial"/>
            <w:color w:val="auto"/>
            <w:sz w:val="20"/>
            <w:szCs w:val="20"/>
            <w:u w:val="none"/>
          </w:rPr>
          <w:t>ynovitis</w:t>
        </w:r>
      </w:hyperlink>
      <w:r w:rsidRPr="002F00D3">
        <w:rPr>
          <w:rFonts w:ascii="Arial" w:hAnsi="Arial" w:cs="Arial"/>
          <w:sz w:val="20"/>
          <w:szCs w:val="20"/>
        </w:rPr>
        <w:t> is invariably present in joints with established OA, but whether it is a bystander or contributes to matrix turnover is unknown. The presence of synovial inflammation on imaging is associated with pain, and has been reported to be associated with progression of the disease. However, neither animal studies nor clinical trials have so far supported anticytokine targeting strategies in OA.</w:t>
      </w:r>
      <w:r w:rsidR="00A41F38">
        <w:rPr>
          <w:rFonts w:ascii="Arial" w:hAnsi="Arial" w:cs="Arial"/>
          <w:sz w:val="20"/>
          <w:szCs w:val="20"/>
        </w:rPr>
        <w:t xml:space="preserve"> Tissue</w:t>
      </w:r>
      <w:r w:rsidR="009531EB">
        <w:rPr>
          <w:rFonts w:ascii="Arial" w:hAnsi="Arial" w:cs="Arial"/>
          <w:sz w:val="20"/>
          <w:szCs w:val="20"/>
        </w:rPr>
        <w:t>-</w:t>
      </w:r>
      <w:r w:rsidR="00A41F38">
        <w:rPr>
          <w:rFonts w:ascii="Arial" w:hAnsi="Arial" w:cs="Arial"/>
          <w:sz w:val="20"/>
          <w:szCs w:val="20"/>
        </w:rPr>
        <w:t xml:space="preserve">based inflammatory responses are seen </w:t>
      </w:r>
      <w:r w:rsidR="0030169F">
        <w:rPr>
          <w:rFonts w:ascii="Arial" w:hAnsi="Arial" w:cs="Arial"/>
          <w:sz w:val="20"/>
          <w:szCs w:val="20"/>
        </w:rPr>
        <w:t>following</w:t>
      </w:r>
      <w:r w:rsidR="00A41F38">
        <w:rPr>
          <w:rFonts w:ascii="Arial" w:hAnsi="Arial" w:cs="Arial"/>
          <w:sz w:val="20"/>
          <w:szCs w:val="20"/>
        </w:rPr>
        <w:t xml:space="preserve"> </w:t>
      </w:r>
      <w:r w:rsidR="0030169F">
        <w:rPr>
          <w:rFonts w:ascii="Arial" w:hAnsi="Arial" w:cs="Arial"/>
          <w:sz w:val="20"/>
          <w:szCs w:val="20"/>
        </w:rPr>
        <w:t xml:space="preserve">injury </w:t>
      </w:r>
      <w:r w:rsidR="00A41F38">
        <w:rPr>
          <w:rFonts w:ascii="Arial" w:hAnsi="Arial" w:cs="Arial"/>
          <w:sz w:val="20"/>
          <w:szCs w:val="20"/>
        </w:rPr>
        <w:t xml:space="preserve">to </w:t>
      </w:r>
      <w:r w:rsidR="00325E6B">
        <w:rPr>
          <w:rFonts w:ascii="Arial" w:hAnsi="Arial" w:cs="Arial"/>
          <w:sz w:val="20"/>
          <w:szCs w:val="20"/>
        </w:rPr>
        <w:t>joint tissue</w:t>
      </w:r>
      <w:r w:rsidR="0030169F">
        <w:rPr>
          <w:rFonts w:ascii="Arial" w:hAnsi="Arial" w:cs="Arial"/>
          <w:sz w:val="20"/>
          <w:szCs w:val="20"/>
        </w:rPr>
        <w:t>s</w:t>
      </w:r>
      <w:r w:rsidR="00A41F38">
        <w:rPr>
          <w:rFonts w:ascii="Arial" w:hAnsi="Arial" w:cs="Arial"/>
          <w:sz w:val="20"/>
          <w:szCs w:val="20"/>
        </w:rPr>
        <w:t xml:space="preserve"> and </w:t>
      </w:r>
      <w:r w:rsidR="00325E6B">
        <w:rPr>
          <w:rFonts w:ascii="Arial" w:hAnsi="Arial" w:cs="Arial"/>
          <w:sz w:val="20"/>
          <w:szCs w:val="20"/>
        </w:rPr>
        <w:t>inflammatory signalling</w:t>
      </w:r>
      <w:r w:rsidR="009531EB">
        <w:rPr>
          <w:rFonts w:ascii="Arial" w:hAnsi="Arial" w:cs="Arial"/>
          <w:sz w:val="20"/>
          <w:szCs w:val="20"/>
        </w:rPr>
        <w:t xml:space="preserve"> </w:t>
      </w:r>
      <w:r w:rsidR="00AE4CCE">
        <w:rPr>
          <w:rFonts w:ascii="Arial" w:hAnsi="Arial" w:cs="Arial"/>
          <w:sz w:val="20"/>
          <w:szCs w:val="20"/>
        </w:rPr>
        <w:t>appears</w:t>
      </w:r>
      <w:r w:rsidR="009531EB">
        <w:rPr>
          <w:rFonts w:ascii="Arial" w:hAnsi="Arial" w:cs="Arial"/>
          <w:sz w:val="20"/>
          <w:szCs w:val="20"/>
        </w:rPr>
        <w:t xml:space="preserve"> to mediate the mechanically</w:t>
      </w:r>
      <w:r w:rsidR="00325E6B">
        <w:rPr>
          <w:rFonts w:ascii="Arial" w:hAnsi="Arial" w:cs="Arial"/>
          <w:sz w:val="20"/>
          <w:szCs w:val="20"/>
        </w:rPr>
        <w:t>-</w:t>
      </w:r>
      <w:r w:rsidR="009531EB">
        <w:rPr>
          <w:rFonts w:ascii="Arial" w:hAnsi="Arial" w:cs="Arial"/>
          <w:sz w:val="20"/>
          <w:szCs w:val="20"/>
        </w:rPr>
        <w:t xml:space="preserve">driven </w:t>
      </w:r>
      <w:r w:rsidR="00325E6B">
        <w:rPr>
          <w:rFonts w:ascii="Arial" w:hAnsi="Arial" w:cs="Arial"/>
          <w:sz w:val="20"/>
          <w:szCs w:val="20"/>
        </w:rPr>
        <w:t xml:space="preserve">tissue </w:t>
      </w:r>
      <w:r w:rsidR="009531EB">
        <w:rPr>
          <w:rFonts w:ascii="Arial" w:hAnsi="Arial" w:cs="Arial"/>
          <w:sz w:val="20"/>
          <w:szCs w:val="20"/>
        </w:rPr>
        <w:t>catabolic processes seen in the disease.</w:t>
      </w:r>
    </w:p>
    <w:p w14:paraId="3B943AEB" w14:textId="77777777" w:rsidR="002F00D3" w:rsidRPr="002F00D3" w:rsidRDefault="002F00D3" w:rsidP="002F00D3">
      <w:pPr>
        <w:pStyle w:val="NormalWeb"/>
        <w:spacing w:before="0" w:beforeAutospacing="0" w:after="0" w:afterAutospacing="0"/>
        <w:rPr>
          <w:rFonts w:ascii="Arial" w:hAnsi="Arial" w:cs="Arial"/>
          <w:b/>
          <w:bCs/>
          <w:sz w:val="20"/>
          <w:szCs w:val="20"/>
        </w:rPr>
      </w:pPr>
    </w:p>
    <w:p w14:paraId="6354BD1B"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Genetics</w:t>
      </w:r>
    </w:p>
    <w:p w14:paraId="44E78E7F" w14:textId="46E67E34" w:rsidR="00D71D44"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From twin studies, </w:t>
      </w:r>
      <w:hyperlink r:id="rId42" w:tooltip="Learn more about Heritability from ScienceDirect's AI-generated Topic Pages" w:history="1">
        <w:r w:rsidRPr="002F00D3">
          <w:rPr>
            <w:rStyle w:val="Hyperlink"/>
            <w:rFonts w:ascii="Arial" w:hAnsi="Arial" w:cs="Arial"/>
            <w:color w:val="auto"/>
            <w:sz w:val="20"/>
            <w:szCs w:val="20"/>
            <w:u w:val="none"/>
          </w:rPr>
          <w:t>heritability</w:t>
        </w:r>
      </w:hyperlink>
      <w:r w:rsidRPr="002F00D3">
        <w:rPr>
          <w:rFonts w:ascii="Arial" w:hAnsi="Arial" w:cs="Arial"/>
          <w:sz w:val="20"/>
          <w:szCs w:val="20"/>
        </w:rPr>
        <w:t xml:space="preserve"> in OA is calculated to be around 60%. Recent studies have determined that OA is highly polygenic – in other words, disease is increased by polymorphisms in a number of different genes, although the relative risk of each gene is small. </w:t>
      </w:r>
      <w:r w:rsidR="00AF286A">
        <w:rPr>
          <w:rFonts w:ascii="Arial" w:hAnsi="Arial" w:cs="Arial"/>
          <w:sz w:val="20"/>
          <w:szCs w:val="20"/>
        </w:rPr>
        <w:t>W</w:t>
      </w:r>
      <w:r w:rsidRPr="002F00D3">
        <w:rPr>
          <w:rFonts w:ascii="Arial" w:hAnsi="Arial" w:cs="Arial"/>
          <w:sz w:val="20"/>
          <w:szCs w:val="20"/>
        </w:rPr>
        <w:t>hole genome-wide analys</w:t>
      </w:r>
      <w:r w:rsidR="00AF286A">
        <w:rPr>
          <w:rFonts w:ascii="Arial" w:hAnsi="Arial" w:cs="Arial"/>
          <w:sz w:val="20"/>
          <w:szCs w:val="20"/>
        </w:rPr>
        <w:t>e</w:t>
      </w:r>
      <w:r w:rsidRPr="002F00D3">
        <w:rPr>
          <w:rFonts w:ascii="Arial" w:hAnsi="Arial" w:cs="Arial"/>
          <w:sz w:val="20"/>
          <w:szCs w:val="20"/>
        </w:rPr>
        <w:t>s of large joint OA ha</w:t>
      </w:r>
      <w:r w:rsidR="00AF286A">
        <w:rPr>
          <w:rFonts w:ascii="Arial" w:hAnsi="Arial" w:cs="Arial"/>
          <w:sz w:val="20"/>
          <w:szCs w:val="20"/>
        </w:rPr>
        <w:t>ve</w:t>
      </w:r>
      <w:r w:rsidRPr="002F00D3">
        <w:rPr>
          <w:rFonts w:ascii="Arial" w:hAnsi="Arial" w:cs="Arial"/>
          <w:sz w:val="20"/>
          <w:szCs w:val="20"/>
        </w:rPr>
        <w:t xml:space="preserve"> confirmed th</w:t>
      </w:r>
      <w:r w:rsidR="00AF286A">
        <w:rPr>
          <w:rFonts w:ascii="Arial" w:hAnsi="Arial" w:cs="Arial"/>
          <w:sz w:val="20"/>
          <w:szCs w:val="20"/>
        </w:rPr>
        <w:t>ese</w:t>
      </w:r>
      <w:r w:rsidRPr="002F00D3">
        <w:rPr>
          <w:rFonts w:ascii="Arial" w:hAnsi="Arial" w:cs="Arial"/>
          <w:sz w:val="20"/>
          <w:szCs w:val="20"/>
        </w:rPr>
        <w:t xml:space="preserve"> polygenic association</w:t>
      </w:r>
      <w:r w:rsidR="00AF286A">
        <w:rPr>
          <w:rFonts w:ascii="Arial" w:hAnsi="Arial" w:cs="Arial"/>
          <w:sz w:val="20"/>
          <w:szCs w:val="20"/>
        </w:rPr>
        <w:t>s</w:t>
      </w:r>
      <w:r w:rsidR="0006610D">
        <w:rPr>
          <w:rFonts w:ascii="Arial" w:hAnsi="Arial" w:cs="Arial"/>
          <w:sz w:val="20"/>
          <w:szCs w:val="20"/>
        </w:rPr>
        <w:t>, having</w:t>
      </w:r>
      <w:r w:rsidRPr="002F00D3">
        <w:rPr>
          <w:rFonts w:ascii="Arial" w:hAnsi="Arial" w:cs="Arial"/>
          <w:sz w:val="20"/>
          <w:szCs w:val="20"/>
        </w:rPr>
        <w:t xml:space="preserve"> </w:t>
      </w:r>
      <w:r w:rsidR="00AF286A">
        <w:rPr>
          <w:rFonts w:ascii="Arial" w:hAnsi="Arial" w:cs="Arial"/>
          <w:sz w:val="20"/>
          <w:szCs w:val="20"/>
        </w:rPr>
        <w:t>most recently</w:t>
      </w:r>
      <w:r w:rsidRPr="002F00D3">
        <w:rPr>
          <w:rFonts w:ascii="Arial" w:hAnsi="Arial" w:cs="Arial"/>
          <w:sz w:val="20"/>
          <w:szCs w:val="20"/>
        </w:rPr>
        <w:t xml:space="preserve"> identified </w:t>
      </w:r>
      <w:r w:rsidR="00204634">
        <w:rPr>
          <w:rFonts w:ascii="Arial" w:hAnsi="Arial" w:cs="Arial"/>
          <w:sz w:val="20"/>
          <w:szCs w:val="20"/>
        </w:rPr>
        <w:t xml:space="preserve">around </w:t>
      </w:r>
      <w:r w:rsidR="00AF286A">
        <w:rPr>
          <w:rFonts w:ascii="Arial" w:hAnsi="Arial" w:cs="Arial"/>
          <w:sz w:val="20"/>
          <w:szCs w:val="20"/>
        </w:rPr>
        <w:t>9</w:t>
      </w:r>
      <w:r w:rsidR="00204634">
        <w:rPr>
          <w:rFonts w:ascii="Arial" w:hAnsi="Arial" w:cs="Arial"/>
          <w:sz w:val="20"/>
          <w:szCs w:val="20"/>
        </w:rPr>
        <w:t xml:space="preserve">0 </w:t>
      </w:r>
      <w:r w:rsidRPr="002F00D3">
        <w:rPr>
          <w:rFonts w:ascii="Arial" w:hAnsi="Arial" w:cs="Arial"/>
          <w:sz w:val="20"/>
          <w:szCs w:val="20"/>
        </w:rPr>
        <w:t xml:space="preserve">weak </w:t>
      </w:r>
      <w:r w:rsidR="00204634">
        <w:rPr>
          <w:rFonts w:ascii="Arial" w:hAnsi="Arial" w:cs="Arial"/>
          <w:sz w:val="20"/>
          <w:szCs w:val="20"/>
        </w:rPr>
        <w:t>putative</w:t>
      </w:r>
      <w:r w:rsidR="00204634" w:rsidRPr="002F00D3">
        <w:rPr>
          <w:rFonts w:ascii="Arial" w:hAnsi="Arial" w:cs="Arial"/>
          <w:sz w:val="20"/>
          <w:szCs w:val="20"/>
        </w:rPr>
        <w:t xml:space="preserve"> </w:t>
      </w:r>
      <w:r w:rsidR="00557FA8">
        <w:rPr>
          <w:rFonts w:ascii="Arial" w:hAnsi="Arial" w:cs="Arial"/>
          <w:sz w:val="20"/>
          <w:szCs w:val="20"/>
        </w:rPr>
        <w:t xml:space="preserve">single nucleotide </w:t>
      </w:r>
      <w:r w:rsidR="0091034B">
        <w:rPr>
          <w:rFonts w:ascii="Arial" w:hAnsi="Arial" w:cs="Arial"/>
          <w:sz w:val="20"/>
          <w:szCs w:val="20"/>
        </w:rPr>
        <w:t xml:space="preserve">polymorphisms, several of which have been associated with </w:t>
      </w:r>
      <w:r w:rsidRPr="002F00D3">
        <w:rPr>
          <w:rFonts w:ascii="Arial" w:hAnsi="Arial" w:cs="Arial"/>
          <w:sz w:val="20"/>
          <w:szCs w:val="20"/>
        </w:rPr>
        <w:t>gene</w:t>
      </w:r>
      <w:r w:rsidR="008D09CD">
        <w:rPr>
          <w:rFonts w:ascii="Arial" w:hAnsi="Arial" w:cs="Arial"/>
          <w:sz w:val="20"/>
          <w:szCs w:val="20"/>
        </w:rPr>
        <w:t>s</w:t>
      </w:r>
      <w:r w:rsidRPr="002F00D3">
        <w:rPr>
          <w:rFonts w:ascii="Arial" w:hAnsi="Arial" w:cs="Arial"/>
          <w:sz w:val="20"/>
          <w:szCs w:val="20"/>
        </w:rPr>
        <w:t xml:space="preserve"> </w:t>
      </w:r>
      <w:r w:rsidR="0091034B">
        <w:rPr>
          <w:rFonts w:ascii="Arial" w:hAnsi="Arial" w:cs="Arial"/>
          <w:sz w:val="20"/>
          <w:szCs w:val="20"/>
        </w:rPr>
        <w:t>and</w:t>
      </w:r>
      <w:r w:rsidR="004559A6">
        <w:rPr>
          <w:rFonts w:ascii="Arial" w:hAnsi="Arial" w:cs="Arial"/>
          <w:sz w:val="20"/>
          <w:szCs w:val="20"/>
        </w:rPr>
        <w:t xml:space="preserve"> replicated in </w:t>
      </w:r>
      <w:r w:rsidR="00714B45">
        <w:rPr>
          <w:rFonts w:ascii="Arial" w:hAnsi="Arial" w:cs="Arial"/>
          <w:sz w:val="20"/>
          <w:szCs w:val="20"/>
        </w:rPr>
        <w:t xml:space="preserve">international </w:t>
      </w:r>
      <w:r w:rsidR="004559A6">
        <w:rPr>
          <w:rFonts w:ascii="Arial" w:hAnsi="Arial" w:cs="Arial"/>
          <w:sz w:val="20"/>
          <w:szCs w:val="20"/>
        </w:rPr>
        <w:t>meta</w:t>
      </w:r>
      <w:r w:rsidR="00714B45">
        <w:rPr>
          <w:rFonts w:ascii="Arial" w:hAnsi="Arial" w:cs="Arial"/>
          <w:sz w:val="20"/>
          <w:szCs w:val="20"/>
        </w:rPr>
        <w:t>-</w:t>
      </w:r>
      <w:r w:rsidR="004559A6">
        <w:rPr>
          <w:rFonts w:ascii="Arial" w:hAnsi="Arial" w:cs="Arial"/>
          <w:sz w:val="20"/>
          <w:szCs w:val="20"/>
        </w:rPr>
        <w:t>analyses</w:t>
      </w:r>
      <w:r w:rsidRPr="002F00D3">
        <w:rPr>
          <w:rFonts w:ascii="Arial" w:hAnsi="Arial" w:cs="Arial"/>
          <w:sz w:val="20"/>
          <w:szCs w:val="20"/>
        </w:rPr>
        <w:t xml:space="preserve">. </w:t>
      </w:r>
      <w:r w:rsidR="004559A6">
        <w:rPr>
          <w:rFonts w:ascii="Arial" w:hAnsi="Arial" w:cs="Arial"/>
          <w:sz w:val="20"/>
          <w:szCs w:val="20"/>
        </w:rPr>
        <w:t xml:space="preserve">It is of note that many of these </w:t>
      </w:r>
      <w:r w:rsidR="00950ECE">
        <w:rPr>
          <w:rFonts w:ascii="Arial" w:hAnsi="Arial" w:cs="Arial"/>
          <w:sz w:val="20"/>
          <w:szCs w:val="20"/>
        </w:rPr>
        <w:t xml:space="preserve">identified </w:t>
      </w:r>
      <w:r w:rsidR="00714B45">
        <w:rPr>
          <w:rFonts w:ascii="Arial" w:hAnsi="Arial" w:cs="Arial"/>
          <w:sz w:val="20"/>
          <w:szCs w:val="20"/>
        </w:rPr>
        <w:t>polymorphi</w:t>
      </w:r>
      <w:r w:rsidR="00557FA8">
        <w:rPr>
          <w:rFonts w:ascii="Arial" w:hAnsi="Arial" w:cs="Arial"/>
          <w:sz w:val="20"/>
          <w:szCs w:val="20"/>
        </w:rPr>
        <w:t>c variants</w:t>
      </w:r>
      <w:r w:rsidR="00714B45">
        <w:rPr>
          <w:rFonts w:ascii="Arial" w:hAnsi="Arial" w:cs="Arial"/>
          <w:sz w:val="20"/>
          <w:szCs w:val="20"/>
        </w:rPr>
        <w:t xml:space="preserve"> </w:t>
      </w:r>
      <w:r w:rsidR="00C013F6">
        <w:rPr>
          <w:rFonts w:ascii="Arial" w:hAnsi="Arial" w:cs="Arial"/>
          <w:sz w:val="20"/>
          <w:szCs w:val="20"/>
        </w:rPr>
        <w:t xml:space="preserve">confer joint-specific risk of disease. </w:t>
      </w:r>
      <w:r w:rsidRPr="002F00D3">
        <w:rPr>
          <w:rFonts w:ascii="Arial" w:hAnsi="Arial" w:cs="Arial"/>
          <w:sz w:val="20"/>
          <w:szCs w:val="20"/>
        </w:rPr>
        <w:t>In OA of the hand, a common variant has been identified in </w:t>
      </w:r>
      <w:hyperlink r:id="rId43" w:tooltip="Learn more about Retinal Dehydrogenase from ScienceDirect's AI-generated Topic Pages" w:history="1">
        <w:r w:rsidRPr="002F00D3">
          <w:rPr>
            <w:rStyle w:val="Hyperlink"/>
            <w:rFonts w:ascii="Arial" w:hAnsi="Arial" w:cs="Arial"/>
            <w:color w:val="auto"/>
            <w:sz w:val="20"/>
            <w:szCs w:val="20"/>
            <w:u w:val="none"/>
          </w:rPr>
          <w:t>retinaldehyde dehydrogenase</w:t>
        </w:r>
      </w:hyperlink>
      <w:r w:rsidRPr="002F00D3">
        <w:rPr>
          <w:rFonts w:ascii="Arial" w:hAnsi="Arial" w:cs="Arial"/>
          <w:sz w:val="20"/>
          <w:szCs w:val="20"/>
        </w:rPr>
        <w:t> 2 (Aldh1a2), the enzyme that controls synthesis of </w:t>
      </w:r>
      <w:hyperlink r:id="rId44" w:tooltip="Learn more about Tretinoin from ScienceDirect's AI-generated Topic Pages" w:history="1">
        <w:r w:rsidRPr="002F00D3">
          <w:rPr>
            <w:rStyle w:val="Hyperlink"/>
            <w:rFonts w:ascii="Arial" w:hAnsi="Arial" w:cs="Arial"/>
            <w:color w:val="auto"/>
            <w:sz w:val="20"/>
            <w:szCs w:val="20"/>
            <w:u w:val="none"/>
          </w:rPr>
          <w:t>retinoic acid</w:t>
        </w:r>
      </w:hyperlink>
      <w:r w:rsidRPr="002F00D3">
        <w:rPr>
          <w:rFonts w:ascii="Arial" w:hAnsi="Arial" w:cs="Arial"/>
          <w:sz w:val="20"/>
          <w:szCs w:val="20"/>
        </w:rPr>
        <w:t>. </w:t>
      </w:r>
      <w:r w:rsidR="00204634">
        <w:rPr>
          <w:rFonts w:ascii="Arial" w:hAnsi="Arial" w:cs="Arial"/>
          <w:sz w:val="20"/>
          <w:szCs w:val="20"/>
        </w:rPr>
        <w:t>In large joint OA putative genes cluster in growth factor pathways (TGFb, FGF, EGF</w:t>
      </w:r>
      <w:r w:rsidR="002A10E2">
        <w:rPr>
          <w:rFonts w:ascii="Arial" w:hAnsi="Arial" w:cs="Arial"/>
          <w:sz w:val="20"/>
          <w:szCs w:val="20"/>
        </w:rPr>
        <w:t>, GDF-5</w:t>
      </w:r>
      <w:r w:rsidR="00204634">
        <w:rPr>
          <w:rFonts w:ascii="Arial" w:hAnsi="Arial" w:cs="Arial"/>
          <w:sz w:val="20"/>
          <w:szCs w:val="20"/>
        </w:rPr>
        <w:t xml:space="preserve">) suggesting failure of repair </w:t>
      </w:r>
      <w:r w:rsidR="002A10E2">
        <w:rPr>
          <w:rFonts w:ascii="Arial" w:hAnsi="Arial" w:cs="Arial"/>
          <w:sz w:val="20"/>
          <w:szCs w:val="20"/>
        </w:rPr>
        <w:t xml:space="preserve">or joint shape/growth </w:t>
      </w:r>
      <w:r w:rsidR="00204634">
        <w:rPr>
          <w:rFonts w:ascii="Arial" w:hAnsi="Arial" w:cs="Arial"/>
          <w:sz w:val="20"/>
          <w:szCs w:val="20"/>
        </w:rPr>
        <w:t>as predisposing risk factor</w:t>
      </w:r>
      <w:r w:rsidR="00005C17">
        <w:rPr>
          <w:rFonts w:ascii="Arial" w:hAnsi="Arial" w:cs="Arial"/>
          <w:sz w:val="20"/>
          <w:szCs w:val="20"/>
        </w:rPr>
        <w:t>s</w:t>
      </w:r>
      <w:r w:rsidR="00204634">
        <w:rPr>
          <w:rFonts w:ascii="Arial" w:hAnsi="Arial" w:cs="Arial"/>
          <w:sz w:val="20"/>
          <w:szCs w:val="20"/>
        </w:rPr>
        <w:t xml:space="preserve">. </w:t>
      </w:r>
      <w:hyperlink r:id="rId45" w:tooltip="Learn more about Epigenomics from ScienceDirect's AI-generated Topic Pages" w:history="1">
        <w:r w:rsidRPr="002F00D3">
          <w:rPr>
            <w:rStyle w:val="Hyperlink"/>
            <w:rFonts w:ascii="Arial" w:hAnsi="Arial" w:cs="Arial"/>
            <w:color w:val="auto"/>
            <w:sz w:val="20"/>
            <w:szCs w:val="20"/>
            <w:u w:val="none"/>
          </w:rPr>
          <w:t>Epigenetics</w:t>
        </w:r>
      </w:hyperlink>
      <w:r w:rsidRPr="002F00D3">
        <w:rPr>
          <w:rFonts w:ascii="Arial" w:hAnsi="Arial" w:cs="Arial"/>
          <w:sz w:val="20"/>
          <w:szCs w:val="20"/>
        </w:rPr>
        <w:t xml:space="preserve"> – the complex ways in which gene expression is controlled in a given individual – may also contribute to </w:t>
      </w:r>
      <w:r w:rsidR="00005C17">
        <w:rPr>
          <w:rFonts w:ascii="Arial" w:hAnsi="Arial" w:cs="Arial"/>
          <w:sz w:val="20"/>
          <w:szCs w:val="20"/>
        </w:rPr>
        <w:t>manifestation</w:t>
      </w:r>
      <w:r w:rsidR="00005C17" w:rsidRPr="002F00D3">
        <w:rPr>
          <w:rFonts w:ascii="Arial" w:hAnsi="Arial" w:cs="Arial"/>
          <w:sz w:val="20"/>
          <w:szCs w:val="20"/>
        </w:rPr>
        <w:t xml:space="preserve"> </w:t>
      </w:r>
      <w:r w:rsidRPr="002F00D3">
        <w:rPr>
          <w:rFonts w:ascii="Arial" w:hAnsi="Arial" w:cs="Arial"/>
          <w:sz w:val="20"/>
          <w:szCs w:val="20"/>
        </w:rPr>
        <w:t>of disease.</w:t>
      </w:r>
    </w:p>
    <w:p w14:paraId="193F0C0F" w14:textId="77777777" w:rsidR="002F00D3" w:rsidRPr="002F00D3" w:rsidRDefault="002F00D3" w:rsidP="002F00D3">
      <w:pPr>
        <w:pStyle w:val="NormalWeb"/>
        <w:spacing w:before="0" w:beforeAutospacing="0" w:after="0" w:afterAutospacing="0"/>
        <w:rPr>
          <w:rFonts w:ascii="Arial" w:hAnsi="Arial" w:cs="Arial"/>
          <w:sz w:val="20"/>
          <w:szCs w:val="20"/>
        </w:rPr>
      </w:pPr>
    </w:p>
    <w:p w14:paraId="0252883D"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Metabolic syndromes</w:t>
      </w:r>
    </w:p>
    <w:p w14:paraId="3341476E" w14:textId="1384796B"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A number of metabolic syndromes have been associated with the development of OA (</w:t>
      </w:r>
      <w:bookmarkStart w:id="5" w:name="btbl2"/>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"tbl2"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Table 2</w:t>
      </w:r>
      <w:r w:rsidRPr="002F00D3">
        <w:rPr>
          <w:rFonts w:ascii="Arial" w:hAnsi="Arial" w:cs="Arial"/>
          <w:sz w:val="20"/>
          <w:szCs w:val="20"/>
        </w:rPr>
        <w:fldChar w:fldCharType="end"/>
      </w:r>
      <w:bookmarkEnd w:id="5"/>
      <w:r w:rsidRPr="002F00D3">
        <w:rPr>
          <w:rFonts w:ascii="Arial" w:hAnsi="Arial" w:cs="Arial"/>
          <w:sz w:val="20"/>
          <w:szCs w:val="20"/>
        </w:rPr>
        <w:t>). </w:t>
      </w:r>
      <w:hyperlink r:id="rId46" w:tooltip="Learn more about Chondrocalcinosis from ScienceDirect's AI-generated Topic Pages" w:history="1">
        <w:r w:rsidRPr="002F00D3">
          <w:rPr>
            <w:rStyle w:val="Hyperlink"/>
            <w:rFonts w:ascii="Arial" w:hAnsi="Arial" w:cs="Arial"/>
            <w:color w:val="auto"/>
            <w:sz w:val="20"/>
            <w:szCs w:val="20"/>
            <w:u w:val="none"/>
          </w:rPr>
          <w:t>Chondrocalcinosis</w:t>
        </w:r>
      </w:hyperlink>
      <w:r w:rsidRPr="002F00D3">
        <w:rPr>
          <w:rFonts w:ascii="Arial" w:hAnsi="Arial" w:cs="Arial"/>
          <w:sz w:val="20"/>
          <w:szCs w:val="20"/>
        </w:rPr>
        <w:t> (cartilage calcification) can be present (in primary disease, or in </w:t>
      </w:r>
      <w:hyperlink r:id="rId47" w:tooltip="Learn more about Hemochromatosis from ScienceDirect's AI-generated Topic Pages" w:history="1">
        <w:r w:rsidRPr="002F00D3">
          <w:rPr>
            <w:rStyle w:val="Hyperlink"/>
            <w:rFonts w:ascii="Arial" w:hAnsi="Arial" w:cs="Arial"/>
            <w:color w:val="auto"/>
            <w:sz w:val="20"/>
            <w:szCs w:val="20"/>
            <w:u w:val="none"/>
          </w:rPr>
          <w:t>haemochromatosis</w:t>
        </w:r>
      </w:hyperlink>
      <w:r w:rsidRPr="002F00D3">
        <w:rPr>
          <w:rFonts w:ascii="Arial" w:hAnsi="Arial" w:cs="Arial"/>
          <w:sz w:val="20"/>
          <w:szCs w:val="20"/>
        </w:rPr>
        <w:t> and hyperparathyroidism) and can indicate a predisposition to inflammatory episodes precipitated by </w:t>
      </w:r>
      <w:hyperlink r:id="rId48" w:tooltip="Learn more about Calcium Pyrophosphate from ScienceDirect's AI-generated Topic Pages" w:history="1">
        <w:r w:rsidRPr="002F00D3">
          <w:rPr>
            <w:rStyle w:val="Hyperlink"/>
            <w:rFonts w:ascii="Arial" w:hAnsi="Arial" w:cs="Arial"/>
            <w:color w:val="auto"/>
            <w:sz w:val="20"/>
            <w:szCs w:val="20"/>
            <w:u w:val="none"/>
          </w:rPr>
          <w:t>calcium pyrophosphate</w:t>
        </w:r>
      </w:hyperlink>
      <w:r w:rsidRPr="002F00D3">
        <w:rPr>
          <w:rFonts w:ascii="Arial" w:hAnsi="Arial" w:cs="Arial"/>
          <w:sz w:val="20"/>
          <w:szCs w:val="20"/>
        </w:rPr>
        <w:t> crystal deposition.</w:t>
      </w:r>
      <w:r w:rsidR="00204634">
        <w:rPr>
          <w:rFonts w:ascii="Arial" w:hAnsi="Arial" w:cs="Arial"/>
          <w:sz w:val="20"/>
          <w:szCs w:val="20"/>
        </w:rPr>
        <w:t xml:space="preserve"> </w:t>
      </w:r>
      <w:r w:rsidR="00BB71EA">
        <w:rPr>
          <w:rFonts w:ascii="Arial" w:hAnsi="Arial" w:cs="Arial"/>
          <w:sz w:val="20"/>
          <w:szCs w:val="20"/>
        </w:rPr>
        <w:t xml:space="preserve">‘Metabolic syndrome’, characterised by obesity, hypertension, </w:t>
      </w:r>
      <w:r w:rsidR="00FD60E4">
        <w:rPr>
          <w:rFonts w:ascii="Arial" w:hAnsi="Arial" w:cs="Arial"/>
          <w:sz w:val="20"/>
          <w:szCs w:val="20"/>
        </w:rPr>
        <w:t>dys</w:t>
      </w:r>
      <w:r w:rsidR="00BB71EA">
        <w:rPr>
          <w:rFonts w:ascii="Arial" w:hAnsi="Arial" w:cs="Arial"/>
          <w:sz w:val="20"/>
          <w:szCs w:val="20"/>
        </w:rPr>
        <w:t>lipidaemia and diabetes</w:t>
      </w:r>
      <w:r w:rsidR="00071045">
        <w:rPr>
          <w:rFonts w:ascii="Arial" w:hAnsi="Arial" w:cs="Arial"/>
          <w:sz w:val="20"/>
          <w:szCs w:val="20"/>
        </w:rPr>
        <w:t xml:space="preserve"> or glucose intolerance</w:t>
      </w:r>
      <w:r w:rsidR="00BB71EA">
        <w:rPr>
          <w:rFonts w:ascii="Arial" w:hAnsi="Arial" w:cs="Arial"/>
          <w:sz w:val="20"/>
          <w:szCs w:val="20"/>
        </w:rPr>
        <w:t xml:space="preserve"> is associated with OA, but this is largely explained by obesity alone. </w:t>
      </w:r>
    </w:p>
    <w:p w14:paraId="0827370A" w14:textId="6A5E1470" w:rsidR="00D71D44" w:rsidRPr="002F00D3" w:rsidRDefault="00D71D44" w:rsidP="002F00D3">
      <w:pPr>
        <w:spacing w:after="0" w:line="240" w:lineRule="auto"/>
        <w:rPr>
          <w:rFonts w:ascii="Arial" w:hAnsi="Arial" w:cs="Arial"/>
          <w:b/>
          <w:bCs/>
          <w:color w:val="4472C4" w:themeColor="accent1"/>
          <w:sz w:val="20"/>
          <w:szCs w:val="20"/>
        </w:rPr>
      </w:pPr>
    </w:p>
    <w:p w14:paraId="1CD64DB1" w14:textId="77777777"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Theories of pathogenesis</w:t>
      </w:r>
    </w:p>
    <w:p w14:paraId="646F30C0" w14:textId="22067B45"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A number of theories of </w:t>
      </w:r>
      <w:hyperlink r:id="rId49" w:tooltip="Learn more about Pathogenesis from ScienceDirect's AI-generated Topic Pages" w:history="1">
        <w:r w:rsidRPr="002F00D3">
          <w:rPr>
            <w:rStyle w:val="Hyperlink"/>
            <w:rFonts w:ascii="Arial" w:hAnsi="Arial" w:cs="Arial"/>
            <w:color w:val="auto"/>
            <w:sz w:val="20"/>
            <w:szCs w:val="20"/>
            <w:u w:val="none"/>
          </w:rPr>
          <w:t>pathogenesis</w:t>
        </w:r>
      </w:hyperlink>
      <w:r w:rsidRPr="002F00D3">
        <w:rPr>
          <w:rFonts w:ascii="Arial" w:hAnsi="Arial" w:cs="Arial"/>
          <w:sz w:val="20"/>
          <w:szCs w:val="20"/>
        </w:rPr>
        <w:t> have been proposed over the decades, but the discovery in the 1980s of a family of matrix-degrading enzymes, known as </w:t>
      </w:r>
      <w:hyperlink r:id="rId50" w:tooltip="Learn more about Matrix Metalloproteinase from ScienceDirect's AI-generated Topic Pages" w:history="1">
        <w:r w:rsidRPr="002F00D3">
          <w:rPr>
            <w:rStyle w:val="Hyperlink"/>
            <w:rFonts w:ascii="Arial" w:hAnsi="Arial" w:cs="Arial"/>
            <w:color w:val="auto"/>
            <w:sz w:val="20"/>
            <w:szCs w:val="20"/>
            <w:u w:val="none"/>
          </w:rPr>
          <w:t>matrix metalloproteinases</w:t>
        </w:r>
      </w:hyperlink>
      <w:r w:rsidRPr="002F00D3">
        <w:rPr>
          <w:rFonts w:ascii="Arial" w:hAnsi="Arial" w:cs="Arial"/>
          <w:sz w:val="20"/>
          <w:szCs w:val="20"/>
        </w:rPr>
        <w:t> (MMPs), substantially changed the face of OA research. A new hypothesis was presented: that OA was caused by an imbalance of tissue </w:t>
      </w:r>
      <w:hyperlink r:id="rId51" w:tooltip="Learn more about Homeostasis from ScienceDirect's AI-generated Topic Pages" w:history="1">
        <w:r w:rsidRPr="002F00D3">
          <w:rPr>
            <w:rStyle w:val="Hyperlink"/>
            <w:rFonts w:ascii="Arial" w:hAnsi="Arial" w:cs="Arial"/>
            <w:color w:val="auto"/>
            <w:sz w:val="20"/>
            <w:szCs w:val="20"/>
            <w:u w:val="none"/>
          </w:rPr>
          <w:t>homeostasis</w:t>
        </w:r>
      </w:hyperlink>
      <w:r w:rsidRPr="002F00D3">
        <w:rPr>
          <w:rFonts w:ascii="Arial" w:hAnsi="Arial" w:cs="Arial"/>
          <w:sz w:val="20"/>
          <w:szCs w:val="20"/>
        </w:rPr>
        <w:t>, pushing the scales towards matrix degradation rather than synthesis. This theory was supported by the identification of fragments of </w:t>
      </w:r>
      <w:hyperlink r:id="rId52" w:tooltip="Learn more about Aggrecan from ScienceDirect's AI-generated Topic Pages" w:history="1">
        <w:r w:rsidRPr="002F00D3">
          <w:rPr>
            <w:rStyle w:val="Hyperlink"/>
            <w:rFonts w:ascii="Arial" w:hAnsi="Arial" w:cs="Arial"/>
            <w:color w:val="auto"/>
            <w:sz w:val="20"/>
            <w:szCs w:val="20"/>
            <w:u w:val="none"/>
          </w:rPr>
          <w:t>aggrecan</w:t>
        </w:r>
      </w:hyperlink>
      <w:r w:rsidRPr="002F00D3">
        <w:rPr>
          <w:rFonts w:ascii="Arial" w:hAnsi="Arial" w:cs="Arial"/>
          <w:sz w:val="20"/>
          <w:szCs w:val="20"/>
        </w:rPr>
        <w:t> in the </w:t>
      </w:r>
      <w:hyperlink r:id="rId53" w:tooltip="Learn more about Synovial Fluid from ScienceDirect's AI-generated Topic Pages" w:history="1">
        <w:r w:rsidRPr="002F00D3">
          <w:rPr>
            <w:rStyle w:val="Hyperlink"/>
            <w:rFonts w:ascii="Arial" w:hAnsi="Arial" w:cs="Arial"/>
            <w:color w:val="auto"/>
            <w:sz w:val="20"/>
            <w:szCs w:val="20"/>
            <w:u w:val="none"/>
          </w:rPr>
          <w:t>joint fluid</w:t>
        </w:r>
      </w:hyperlink>
      <w:r w:rsidRPr="002F00D3">
        <w:rPr>
          <w:rFonts w:ascii="Arial" w:hAnsi="Arial" w:cs="Arial"/>
          <w:sz w:val="20"/>
          <w:szCs w:val="20"/>
        </w:rPr>
        <w:t xml:space="preserve"> of patients with OA. </w:t>
      </w:r>
      <w:r w:rsidR="009959FD">
        <w:rPr>
          <w:rFonts w:ascii="Arial" w:hAnsi="Arial" w:cs="Arial"/>
          <w:sz w:val="20"/>
          <w:szCs w:val="20"/>
        </w:rPr>
        <w:t>The cleavage sites on these fragments suggested a unique class of enzymes in disease, which</w:t>
      </w:r>
      <w:r w:rsidRPr="002F00D3">
        <w:rPr>
          <w:rFonts w:ascii="Arial" w:hAnsi="Arial" w:cs="Arial"/>
          <w:sz w:val="20"/>
          <w:szCs w:val="20"/>
        </w:rPr>
        <w:t xml:space="preserve"> were termed ‘aggrecanases’.</w:t>
      </w:r>
    </w:p>
    <w:p w14:paraId="18AE3176" w14:textId="21B951DD"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 xml:space="preserve">The first aggrecanase was purified and cloned in 1999, and in 2000 a second related enzyme (aggrecanase 2) was discovered. Despite </w:t>
      </w:r>
      <w:r w:rsidR="009959FD">
        <w:rPr>
          <w:rFonts w:ascii="Arial" w:hAnsi="Arial" w:cs="Arial"/>
          <w:sz w:val="20"/>
          <w:szCs w:val="20"/>
        </w:rPr>
        <w:t>a number of attempts to inhibit aggrecanase activity in patients, this targeting approach has not yet shown clinical efficacy</w:t>
      </w:r>
      <w:r w:rsidR="00AF6F98">
        <w:rPr>
          <w:rFonts w:ascii="Arial" w:hAnsi="Arial" w:cs="Arial"/>
          <w:sz w:val="20"/>
          <w:szCs w:val="20"/>
        </w:rPr>
        <w:t xml:space="preserve"> with sufficient safety</w:t>
      </w:r>
      <w:r w:rsidRPr="002F00D3">
        <w:rPr>
          <w:rFonts w:ascii="Arial" w:hAnsi="Arial" w:cs="Arial"/>
          <w:sz w:val="20"/>
          <w:szCs w:val="20"/>
        </w:rPr>
        <w:t>.</w:t>
      </w:r>
    </w:p>
    <w:p w14:paraId="6DAC2B12" w14:textId="5D8662A6" w:rsidR="00D71D44"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Aggrecanase expression and activity can be driven </w:t>
      </w:r>
      <w:r w:rsidRPr="002F00D3">
        <w:rPr>
          <w:rStyle w:val="Emphasis"/>
          <w:rFonts w:ascii="Arial" w:hAnsi="Arial" w:cs="Arial"/>
          <w:sz w:val="20"/>
          <w:szCs w:val="20"/>
        </w:rPr>
        <w:t>in vitro</w:t>
      </w:r>
      <w:r w:rsidRPr="002F00D3">
        <w:rPr>
          <w:rFonts w:ascii="Arial" w:hAnsi="Arial" w:cs="Arial"/>
          <w:sz w:val="20"/>
          <w:szCs w:val="20"/>
        </w:rPr>
        <w:t> by inflammatory cytokines such as </w:t>
      </w:r>
      <w:hyperlink r:id="rId54" w:tooltip="Learn more about Interleukin 1 from ScienceDirect's AI-generated Topic Pages" w:history="1">
        <w:r w:rsidRPr="002F00D3">
          <w:rPr>
            <w:rStyle w:val="Hyperlink"/>
            <w:rFonts w:ascii="Arial" w:hAnsi="Arial" w:cs="Arial"/>
            <w:color w:val="auto"/>
            <w:sz w:val="20"/>
            <w:szCs w:val="20"/>
            <w:u w:val="none"/>
          </w:rPr>
          <w:t>interleukin 1</w:t>
        </w:r>
      </w:hyperlink>
      <w:r w:rsidRPr="002F00D3">
        <w:rPr>
          <w:rFonts w:ascii="Arial" w:hAnsi="Arial" w:cs="Arial"/>
          <w:sz w:val="20"/>
          <w:szCs w:val="20"/>
        </w:rPr>
        <w:t>, although there is little evidence that such cytokines drive disease </w:t>
      </w:r>
      <w:r w:rsidRPr="002F00D3">
        <w:rPr>
          <w:rStyle w:val="Emphasis"/>
          <w:rFonts w:ascii="Arial" w:hAnsi="Arial" w:cs="Arial"/>
          <w:sz w:val="20"/>
          <w:szCs w:val="20"/>
        </w:rPr>
        <w:t>in vivo</w:t>
      </w:r>
      <w:r w:rsidRPr="002F00D3">
        <w:rPr>
          <w:rFonts w:ascii="Arial" w:hAnsi="Arial" w:cs="Arial"/>
          <w:sz w:val="20"/>
          <w:szCs w:val="20"/>
        </w:rPr>
        <w:t xml:space="preserve">. The pathways that control these enzymes can also be induced </w:t>
      </w:r>
      <w:r w:rsidR="009959FD">
        <w:rPr>
          <w:rFonts w:ascii="Arial" w:hAnsi="Arial" w:cs="Arial"/>
          <w:sz w:val="20"/>
          <w:szCs w:val="20"/>
        </w:rPr>
        <w:t xml:space="preserve">directly </w:t>
      </w:r>
      <w:r w:rsidRPr="002F00D3">
        <w:rPr>
          <w:rFonts w:ascii="Arial" w:hAnsi="Arial" w:cs="Arial"/>
          <w:sz w:val="20"/>
          <w:szCs w:val="20"/>
        </w:rPr>
        <w:t>by mechanical injury</w:t>
      </w:r>
      <w:r w:rsidR="009959FD">
        <w:rPr>
          <w:rFonts w:ascii="Arial" w:hAnsi="Arial" w:cs="Arial"/>
          <w:sz w:val="20"/>
          <w:szCs w:val="20"/>
        </w:rPr>
        <w:t xml:space="preserve"> (specifically surface shear stress)</w:t>
      </w:r>
      <w:r w:rsidRPr="002F00D3">
        <w:rPr>
          <w:rFonts w:ascii="Arial" w:hAnsi="Arial" w:cs="Arial"/>
          <w:sz w:val="20"/>
          <w:szCs w:val="20"/>
        </w:rPr>
        <w:t> </w:t>
      </w:r>
      <w:r w:rsidRPr="002F00D3">
        <w:rPr>
          <w:rStyle w:val="Emphasis"/>
          <w:rFonts w:ascii="Arial" w:hAnsi="Arial" w:cs="Arial"/>
          <w:sz w:val="20"/>
          <w:szCs w:val="20"/>
        </w:rPr>
        <w:t>in vivo</w:t>
      </w:r>
      <w:r w:rsidRPr="002F00D3">
        <w:rPr>
          <w:rFonts w:ascii="Arial" w:hAnsi="Arial" w:cs="Arial"/>
          <w:sz w:val="20"/>
          <w:szCs w:val="20"/>
        </w:rPr>
        <w:t> and </w:t>
      </w:r>
      <w:r w:rsidRPr="002F00D3">
        <w:rPr>
          <w:rStyle w:val="Emphasis"/>
          <w:rFonts w:ascii="Arial" w:hAnsi="Arial" w:cs="Arial"/>
          <w:sz w:val="20"/>
          <w:szCs w:val="20"/>
        </w:rPr>
        <w:t>in vitro</w:t>
      </w:r>
      <w:r w:rsidRPr="002F00D3">
        <w:rPr>
          <w:rFonts w:ascii="Arial" w:hAnsi="Arial" w:cs="Arial"/>
          <w:sz w:val="20"/>
          <w:szCs w:val="20"/>
        </w:rPr>
        <w:t xml:space="preserve">, suggesting that </w:t>
      </w:r>
      <w:r w:rsidR="009959FD">
        <w:rPr>
          <w:rFonts w:ascii="Arial" w:hAnsi="Arial" w:cs="Arial"/>
          <w:sz w:val="20"/>
          <w:szCs w:val="20"/>
        </w:rPr>
        <w:t>targeting the</w:t>
      </w:r>
      <w:r w:rsidR="004D3091">
        <w:rPr>
          <w:rFonts w:ascii="Arial" w:hAnsi="Arial" w:cs="Arial"/>
          <w:sz w:val="20"/>
          <w:szCs w:val="20"/>
        </w:rPr>
        <w:t>se</w:t>
      </w:r>
      <w:r w:rsidR="009959FD">
        <w:rPr>
          <w:rFonts w:ascii="Arial" w:hAnsi="Arial" w:cs="Arial"/>
          <w:sz w:val="20"/>
          <w:szCs w:val="20"/>
        </w:rPr>
        <w:t xml:space="preserve"> mechanosensing </w:t>
      </w:r>
      <w:r w:rsidR="004D3091">
        <w:rPr>
          <w:rFonts w:ascii="Arial" w:hAnsi="Arial" w:cs="Arial"/>
          <w:sz w:val="20"/>
          <w:szCs w:val="20"/>
        </w:rPr>
        <w:t xml:space="preserve">mechanisms may be a good approach. </w:t>
      </w:r>
    </w:p>
    <w:p w14:paraId="783327E7" w14:textId="16B0408C" w:rsidR="004D3091" w:rsidRDefault="004D3091" w:rsidP="002F00D3">
      <w:pPr>
        <w:pStyle w:val="NormalWeb"/>
        <w:spacing w:before="0" w:beforeAutospacing="0" w:after="0" w:afterAutospacing="0"/>
        <w:ind w:firstLine="720"/>
        <w:rPr>
          <w:rFonts w:ascii="Arial" w:hAnsi="Arial" w:cs="Arial"/>
          <w:sz w:val="20"/>
          <w:szCs w:val="20"/>
        </w:rPr>
      </w:pPr>
      <w:r>
        <w:rPr>
          <w:rFonts w:ascii="Arial" w:hAnsi="Arial" w:cs="Arial"/>
          <w:sz w:val="20"/>
          <w:szCs w:val="20"/>
        </w:rPr>
        <w:t xml:space="preserve">Mechanical injury of cartilage also causes release of a number of matrix-bound growth factors such as TGFb and FGF2, a response that fails in late disease. OA may therefore be due to loss of reparative activity in the damaged tissues, a notion that is supported by genetic </w:t>
      </w:r>
      <w:r w:rsidR="00B46298">
        <w:rPr>
          <w:rFonts w:ascii="Arial" w:hAnsi="Arial" w:cs="Arial"/>
          <w:sz w:val="20"/>
          <w:szCs w:val="20"/>
        </w:rPr>
        <w:t>studies (see above)</w:t>
      </w:r>
      <w:r w:rsidR="00EB00F7">
        <w:rPr>
          <w:rFonts w:ascii="Arial" w:hAnsi="Arial" w:cs="Arial"/>
          <w:sz w:val="20"/>
          <w:szCs w:val="20"/>
        </w:rPr>
        <w:t>, success in recent Phase III clinical trials using cartilage anabolics (see below),</w:t>
      </w:r>
      <w:r w:rsidR="00B46298">
        <w:rPr>
          <w:rFonts w:ascii="Arial" w:hAnsi="Arial" w:cs="Arial"/>
          <w:sz w:val="20"/>
          <w:szCs w:val="20"/>
        </w:rPr>
        <w:t xml:space="preserve"> and by known reduced repair responses in other tissues with age</w:t>
      </w:r>
      <w:r w:rsidR="00FA73E9">
        <w:rPr>
          <w:rFonts w:ascii="Arial" w:hAnsi="Arial" w:cs="Arial"/>
          <w:sz w:val="20"/>
          <w:szCs w:val="20"/>
        </w:rPr>
        <w:t>.</w:t>
      </w:r>
      <w:r w:rsidR="00FA73E9" w:rsidRPr="00014C79">
        <w:rPr>
          <w:rFonts w:ascii="Arial" w:hAnsi="Arial" w:cs="Arial"/>
          <w:sz w:val="20"/>
          <w:szCs w:val="20"/>
          <w:vertAlign w:val="superscript"/>
        </w:rPr>
        <w:t>2</w:t>
      </w:r>
    </w:p>
    <w:p w14:paraId="7E4A9933" w14:textId="77777777" w:rsidR="002F00D3" w:rsidRPr="002F00D3" w:rsidRDefault="002F00D3" w:rsidP="002F00D3">
      <w:pPr>
        <w:pStyle w:val="NormalWeb"/>
        <w:spacing w:before="0" w:beforeAutospacing="0" w:after="0" w:afterAutospacing="0"/>
        <w:ind w:firstLine="720"/>
        <w:rPr>
          <w:rFonts w:ascii="Arial" w:hAnsi="Arial" w:cs="Arial"/>
          <w:sz w:val="20"/>
          <w:szCs w:val="20"/>
        </w:rPr>
      </w:pPr>
    </w:p>
    <w:p w14:paraId="00FD3C04" w14:textId="77777777"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Clinical features and diagnosis</w:t>
      </w:r>
    </w:p>
    <w:p w14:paraId="0DF41D47" w14:textId="1557DE89"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 xml:space="preserve">OA can be considered </w:t>
      </w:r>
      <w:r w:rsidR="00A8257B">
        <w:rPr>
          <w:rFonts w:ascii="Arial" w:hAnsi="Arial" w:cs="Arial"/>
          <w:sz w:val="20"/>
          <w:szCs w:val="20"/>
        </w:rPr>
        <w:t>as</w:t>
      </w:r>
      <w:r w:rsidRPr="002F00D3">
        <w:rPr>
          <w:rFonts w:ascii="Arial" w:hAnsi="Arial" w:cs="Arial"/>
          <w:sz w:val="20"/>
          <w:szCs w:val="20"/>
        </w:rPr>
        <w:t xml:space="preserve"> a common clinico-pathological syndrome that is a consequence of </w:t>
      </w:r>
      <w:r w:rsidR="00EB00F7">
        <w:rPr>
          <w:rFonts w:ascii="Arial" w:hAnsi="Arial" w:cs="Arial"/>
          <w:sz w:val="20"/>
          <w:szCs w:val="20"/>
        </w:rPr>
        <w:t>multiple</w:t>
      </w:r>
      <w:r w:rsidRPr="002F00D3">
        <w:rPr>
          <w:rFonts w:ascii="Arial" w:hAnsi="Arial" w:cs="Arial"/>
          <w:sz w:val="20"/>
          <w:szCs w:val="20"/>
        </w:rPr>
        <w:t xml:space="preserve"> aetiological factors. This syndrome includes </w:t>
      </w:r>
      <w:hyperlink r:id="rId55" w:tooltip="Learn more about Arthralgia from ScienceDirect's AI-generated Topic Pages" w:history="1">
        <w:r w:rsidRPr="002F00D3">
          <w:rPr>
            <w:rStyle w:val="Hyperlink"/>
            <w:rFonts w:ascii="Arial" w:hAnsi="Arial" w:cs="Arial"/>
            <w:color w:val="auto"/>
            <w:sz w:val="20"/>
            <w:szCs w:val="20"/>
            <w:u w:val="none"/>
          </w:rPr>
          <w:t>joint pain</w:t>
        </w:r>
      </w:hyperlink>
      <w:r w:rsidR="00EB00F7">
        <w:rPr>
          <w:rStyle w:val="Hyperlink"/>
          <w:rFonts w:ascii="Arial" w:hAnsi="Arial" w:cs="Arial"/>
          <w:color w:val="auto"/>
          <w:sz w:val="20"/>
          <w:szCs w:val="20"/>
          <w:u w:val="none"/>
        </w:rPr>
        <w:t>, stiffness</w:t>
      </w:r>
      <w:r w:rsidRPr="002F00D3">
        <w:rPr>
          <w:rFonts w:ascii="Arial" w:hAnsi="Arial" w:cs="Arial"/>
          <w:sz w:val="20"/>
          <w:szCs w:val="20"/>
        </w:rPr>
        <w:t> and functional limitation of the affected joint. Quality of life is often affected.</w:t>
      </w:r>
    </w:p>
    <w:p w14:paraId="6913ECA2" w14:textId="1D403517" w:rsidR="00D71D44" w:rsidRPr="002F00D3" w:rsidRDefault="00B739CC" w:rsidP="002F00D3">
      <w:pPr>
        <w:pStyle w:val="NormalWeb"/>
        <w:spacing w:before="0" w:beforeAutospacing="0" w:after="0" w:afterAutospacing="0"/>
        <w:ind w:firstLine="720"/>
        <w:rPr>
          <w:rFonts w:ascii="Arial" w:hAnsi="Arial" w:cs="Arial"/>
          <w:sz w:val="20"/>
          <w:szCs w:val="20"/>
        </w:rPr>
      </w:pPr>
      <w:r>
        <w:rPr>
          <w:rFonts w:ascii="Arial" w:hAnsi="Arial" w:cs="Arial"/>
          <w:sz w:val="20"/>
          <w:szCs w:val="20"/>
        </w:rPr>
        <w:t>T</w:t>
      </w:r>
      <w:r w:rsidR="00D71D44" w:rsidRPr="002F00D3">
        <w:rPr>
          <w:rFonts w:ascii="Arial" w:hAnsi="Arial" w:cs="Arial"/>
          <w:sz w:val="20"/>
          <w:szCs w:val="20"/>
        </w:rPr>
        <w:t xml:space="preserve">he diagnosis </w:t>
      </w:r>
      <w:r>
        <w:rPr>
          <w:rFonts w:ascii="Arial" w:hAnsi="Arial" w:cs="Arial"/>
          <w:sz w:val="20"/>
          <w:szCs w:val="20"/>
        </w:rPr>
        <w:t xml:space="preserve">of osteoarthritis </w:t>
      </w:r>
      <w:r w:rsidR="006D3579">
        <w:rPr>
          <w:rFonts w:ascii="Arial" w:hAnsi="Arial" w:cs="Arial"/>
          <w:sz w:val="20"/>
          <w:szCs w:val="20"/>
        </w:rPr>
        <w:t>is</w:t>
      </w:r>
      <w:r w:rsidRPr="002F00D3">
        <w:rPr>
          <w:rFonts w:ascii="Arial" w:hAnsi="Arial" w:cs="Arial"/>
          <w:sz w:val="20"/>
          <w:szCs w:val="20"/>
        </w:rPr>
        <w:t xml:space="preserve"> </w:t>
      </w:r>
      <w:r w:rsidR="00D71D44" w:rsidRPr="002F00D3">
        <w:rPr>
          <w:rFonts w:ascii="Arial" w:hAnsi="Arial" w:cs="Arial"/>
          <w:sz w:val="20"/>
          <w:szCs w:val="20"/>
        </w:rPr>
        <w:t>made on clinical grounds, using accepted criteria</w:t>
      </w:r>
      <w:r w:rsidR="006D3579">
        <w:rPr>
          <w:rFonts w:ascii="Arial" w:hAnsi="Arial" w:cs="Arial"/>
          <w:sz w:val="20"/>
          <w:szCs w:val="20"/>
        </w:rPr>
        <w:t xml:space="preserve"> which</w:t>
      </w:r>
      <w:r w:rsidR="00BC2E57">
        <w:rPr>
          <w:rFonts w:ascii="Arial" w:hAnsi="Arial" w:cs="Arial"/>
          <w:sz w:val="20"/>
          <w:szCs w:val="20"/>
        </w:rPr>
        <w:t xml:space="preserve"> typically</w:t>
      </w:r>
      <w:r w:rsidR="006D3579">
        <w:rPr>
          <w:rFonts w:ascii="Arial" w:hAnsi="Arial" w:cs="Arial"/>
          <w:sz w:val="20"/>
          <w:szCs w:val="20"/>
        </w:rPr>
        <w:t xml:space="preserve"> include </w:t>
      </w:r>
      <w:r w:rsidR="00667C4E">
        <w:rPr>
          <w:rFonts w:ascii="Arial" w:hAnsi="Arial" w:cs="Arial"/>
          <w:sz w:val="20"/>
          <w:szCs w:val="20"/>
        </w:rPr>
        <w:t xml:space="preserve">the presence of </w:t>
      </w:r>
      <w:r w:rsidR="006D3579">
        <w:rPr>
          <w:rFonts w:ascii="Arial" w:hAnsi="Arial" w:cs="Arial"/>
          <w:sz w:val="20"/>
          <w:szCs w:val="20"/>
        </w:rPr>
        <w:t xml:space="preserve">regular joint symptoms </w:t>
      </w:r>
      <w:r w:rsidR="00303D7B">
        <w:rPr>
          <w:rFonts w:ascii="Arial" w:hAnsi="Arial" w:cs="Arial"/>
          <w:sz w:val="20"/>
          <w:szCs w:val="20"/>
        </w:rPr>
        <w:t xml:space="preserve">for over three months </w:t>
      </w:r>
      <w:r w:rsidR="006D3579">
        <w:rPr>
          <w:rFonts w:ascii="Arial" w:hAnsi="Arial" w:cs="Arial"/>
          <w:sz w:val="20"/>
          <w:szCs w:val="20"/>
        </w:rPr>
        <w:t>such as pain</w:t>
      </w:r>
      <w:r w:rsidR="000B3E72">
        <w:rPr>
          <w:rFonts w:ascii="Arial" w:hAnsi="Arial" w:cs="Arial"/>
          <w:sz w:val="20"/>
          <w:szCs w:val="20"/>
        </w:rPr>
        <w:t xml:space="preserve"> and the absence of </w:t>
      </w:r>
      <w:r w:rsidR="00667C4E">
        <w:rPr>
          <w:rFonts w:ascii="Arial" w:hAnsi="Arial" w:cs="Arial"/>
          <w:sz w:val="20"/>
          <w:szCs w:val="20"/>
        </w:rPr>
        <w:t>clinical features</w:t>
      </w:r>
      <w:r w:rsidR="000B3E72">
        <w:rPr>
          <w:rFonts w:ascii="Arial" w:hAnsi="Arial" w:cs="Arial"/>
          <w:sz w:val="20"/>
          <w:szCs w:val="20"/>
        </w:rPr>
        <w:t xml:space="preserve"> suggesting alternative diagnoses</w:t>
      </w:r>
      <w:r w:rsidR="00D71D44" w:rsidRPr="002F00D3">
        <w:rPr>
          <w:rFonts w:ascii="Arial" w:hAnsi="Arial" w:cs="Arial"/>
          <w:sz w:val="20"/>
          <w:szCs w:val="20"/>
        </w:rPr>
        <w:t>.</w:t>
      </w:r>
      <w:hyperlink r:id="rId56" w:anchor="bib2" w:history="1">
        <w:r w:rsidR="00FA73E9">
          <w:rPr>
            <w:rStyle w:val="Hyperlink"/>
            <w:rFonts w:ascii="Arial" w:hAnsi="Arial" w:cs="Arial"/>
            <w:color w:val="auto"/>
            <w:sz w:val="20"/>
            <w:szCs w:val="20"/>
            <w:u w:val="none"/>
            <w:vertAlign w:val="superscript"/>
          </w:rPr>
          <w:t>3</w:t>
        </w:r>
      </w:hyperlink>
      <w:r w:rsidR="00FA73E9" w:rsidRPr="002F00D3">
        <w:rPr>
          <w:rFonts w:ascii="Arial" w:hAnsi="Arial" w:cs="Arial"/>
          <w:sz w:val="20"/>
          <w:szCs w:val="20"/>
        </w:rPr>
        <w:t> </w:t>
      </w:r>
      <w:r w:rsidRPr="002F00D3">
        <w:rPr>
          <w:rFonts w:ascii="Arial" w:hAnsi="Arial" w:cs="Arial"/>
          <w:sz w:val="20"/>
          <w:szCs w:val="20"/>
        </w:rPr>
        <w:t xml:space="preserve">X-ray </w:t>
      </w:r>
      <w:r w:rsidR="00BC2E57">
        <w:rPr>
          <w:rFonts w:ascii="Arial" w:hAnsi="Arial" w:cs="Arial"/>
          <w:sz w:val="20"/>
          <w:szCs w:val="20"/>
        </w:rPr>
        <w:t>criteria</w:t>
      </w:r>
      <w:r w:rsidRPr="002F00D3">
        <w:rPr>
          <w:rFonts w:ascii="Arial" w:hAnsi="Arial" w:cs="Arial"/>
          <w:sz w:val="20"/>
          <w:szCs w:val="20"/>
        </w:rPr>
        <w:t xml:space="preserve"> </w:t>
      </w:r>
      <w:r>
        <w:rPr>
          <w:rFonts w:ascii="Arial" w:hAnsi="Arial" w:cs="Arial"/>
          <w:sz w:val="20"/>
          <w:szCs w:val="20"/>
        </w:rPr>
        <w:t xml:space="preserve">may </w:t>
      </w:r>
      <w:r w:rsidR="000B3E72">
        <w:rPr>
          <w:rFonts w:ascii="Arial" w:hAnsi="Arial" w:cs="Arial"/>
          <w:sz w:val="20"/>
          <w:szCs w:val="20"/>
        </w:rPr>
        <w:t xml:space="preserve">sometimes </w:t>
      </w:r>
      <w:r>
        <w:rPr>
          <w:rFonts w:ascii="Arial" w:hAnsi="Arial" w:cs="Arial"/>
          <w:sz w:val="20"/>
          <w:szCs w:val="20"/>
        </w:rPr>
        <w:t>be</w:t>
      </w:r>
      <w:r w:rsidRPr="002F00D3">
        <w:rPr>
          <w:rFonts w:ascii="Arial" w:hAnsi="Arial" w:cs="Arial"/>
          <w:sz w:val="20"/>
          <w:szCs w:val="20"/>
        </w:rPr>
        <w:t xml:space="preserve"> </w:t>
      </w:r>
      <w:r w:rsidR="000B3E72">
        <w:rPr>
          <w:rFonts w:ascii="Arial" w:hAnsi="Arial" w:cs="Arial"/>
          <w:sz w:val="20"/>
          <w:szCs w:val="20"/>
        </w:rPr>
        <w:t>used to aid in</w:t>
      </w:r>
      <w:r w:rsidRPr="002F00D3">
        <w:rPr>
          <w:rFonts w:ascii="Arial" w:hAnsi="Arial" w:cs="Arial"/>
          <w:sz w:val="20"/>
          <w:szCs w:val="20"/>
        </w:rPr>
        <w:t xml:space="preserve"> the diagnosis of established disease</w:t>
      </w:r>
      <w:r w:rsidR="000B3E72">
        <w:rPr>
          <w:rFonts w:ascii="Arial" w:hAnsi="Arial" w:cs="Arial"/>
          <w:sz w:val="20"/>
          <w:szCs w:val="20"/>
        </w:rPr>
        <w:t>.</w:t>
      </w:r>
      <w:r w:rsidR="00BC2E57">
        <w:rPr>
          <w:rFonts w:ascii="Arial" w:hAnsi="Arial" w:cs="Arial"/>
          <w:sz w:val="20"/>
          <w:szCs w:val="20"/>
        </w:rPr>
        <w:t xml:space="preserve"> The extent of radiographic change </w:t>
      </w:r>
      <w:r w:rsidR="002E135C">
        <w:rPr>
          <w:rFonts w:ascii="Arial" w:hAnsi="Arial" w:cs="Arial"/>
          <w:sz w:val="20"/>
          <w:szCs w:val="20"/>
        </w:rPr>
        <w:t xml:space="preserve">(stage) </w:t>
      </w:r>
      <w:r w:rsidR="00BC2E57">
        <w:rPr>
          <w:rFonts w:ascii="Arial" w:hAnsi="Arial" w:cs="Arial"/>
          <w:sz w:val="20"/>
          <w:szCs w:val="20"/>
        </w:rPr>
        <w:t xml:space="preserve">will sometimes guide </w:t>
      </w:r>
      <w:r w:rsidR="002E135C">
        <w:rPr>
          <w:rFonts w:ascii="Arial" w:hAnsi="Arial" w:cs="Arial"/>
          <w:sz w:val="20"/>
          <w:szCs w:val="20"/>
        </w:rPr>
        <w:t>surgical management options.</w:t>
      </w:r>
      <w:r w:rsidR="000B3E72">
        <w:rPr>
          <w:rFonts w:ascii="Arial" w:hAnsi="Arial" w:cs="Arial"/>
          <w:sz w:val="20"/>
          <w:szCs w:val="20"/>
        </w:rPr>
        <w:t xml:space="preserve"> </w:t>
      </w:r>
      <w:r w:rsidR="002E135C">
        <w:rPr>
          <w:rFonts w:ascii="Arial" w:hAnsi="Arial" w:cs="Arial"/>
          <w:sz w:val="20"/>
          <w:szCs w:val="20"/>
        </w:rPr>
        <w:t>However, w</w:t>
      </w:r>
      <w:r w:rsidR="00D71D44" w:rsidRPr="002F00D3">
        <w:rPr>
          <w:rFonts w:ascii="Arial" w:hAnsi="Arial" w:cs="Arial"/>
          <w:sz w:val="20"/>
          <w:szCs w:val="20"/>
        </w:rPr>
        <w:t xml:space="preserve">here X-rays are normal, </w:t>
      </w:r>
      <w:r w:rsidR="000B3E72">
        <w:rPr>
          <w:rFonts w:ascii="Arial" w:hAnsi="Arial" w:cs="Arial"/>
          <w:sz w:val="20"/>
          <w:szCs w:val="20"/>
        </w:rPr>
        <w:t xml:space="preserve">this does not exclude the disease and </w:t>
      </w:r>
      <w:r w:rsidR="00D71D44" w:rsidRPr="002F00D3">
        <w:rPr>
          <w:rFonts w:ascii="Arial" w:hAnsi="Arial" w:cs="Arial"/>
          <w:sz w:val="20"/>
          <w:szCs w:val="20"/>
        </w:rPr>
        <w:t>the diagnosis of early disease relies on careful clinical assessment of the patient</w:t>
      </w:r>
      <w:r w:rsidR="007A5000">
        <w:rPr>
          <w:rFonts w:ascii="Arial" w:hAnsi="Arial" w:cs="Arial"/>
          <w:sz w:val="20"/>
          <w:szCs w:val="20"/>
        </w:rPr>
        <w:t xml:space="preserve">. This is </w:t>
      </w:r>
      <w:r w:rsidR="00D71D44" w:rsidRPr="002F00D3">
        <w:rPr>
          <w:rFonts w:ascii="Arial" w:hAnsi="Arial" w:cs="Arial"/>
          <w:sz w:val="20"/>
          <w:szCs w:val="20"/>
        </w:rPr>
        <w:t xml:space="preserve"> because it is not practical to sample cartilage histologically, and accepted sensitive, specific alternative forms of diagnostic imaging are lacking.</w:t>
      </w:r>
    </w:p>
    <w:p w14:paraId="64736D82" w14:textId="77777777" w:rsidR="002F00D3" w:rsidRDefault="002F00D3" w:rsidP="002F00D3">
      <w:pPr>
        <w:pStyle w:val="Heading3"/>
        <w:spacing w:before="0" w:line="240" w:lineRule="auto"/>
        <w:rPr>
          <w:rFonts w:ascii="Arial" w:hAnsi="Arial" w:cs="Arial"/>
          <w:color w:val="auto"/>
          <w:sz w:val="20"/>
          <w:szCs w:val="20"/>
        </w:rPr>
      </w:pPr>
    </w:p>
    <w:p w14:paraId="3C69DEE7" w14:textId="0EE43935"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Symptoms and signs of OA</w:t>
      </w:r>
    </w:p>
    <w:p w14:paraId="44991032" w14:textId="434178F7"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eastAsiaTheme="majorEastAsia" w:hAnsi="Arial" w:cs="Arial"/>
          <w:sz w:val="20"/>
          <w:szCs w:val="20"/>
        </w:rPr>
        <w:t>History:</w:t>
      </w:r>
      <w:r w:rsidRPr="002F00D3">
        <w:rPr>
          <w:rFonts w:ascii="Arial" w:hAnsi="Arial" w:cs="Arial"/>
          <w:sz w:val="20"/>
          <w:szCs w:val="20"/>
        </w:rPr>
        <w:t> </w:t>
      </w:r>
      <w:r w:rsidR="00EE51AF">
        <w:rPr>
          <w:rFonts w:ascii="Arial" w:hAnsi="Arial" w:cs="Arial"/>
          <w:sz w:val="20"/>
          <w:szCs w:val="20"/>
        </w:rPr>
        <w:t>t</w:t>
      </w:r>
      <w:r w:rsidR="003D7F80">
        <w:rPr>
          <w:rFonts w:ascii="Arial" w:hAnsi="Arial" w:cs="Arial"/>
          <w:sz w:val="20"/>
          <w:szCs w:val="20"/>
        </w:rPr>
        <w:t xml:space="preserve">ypically, a person will present with one joint </w:t>
      </w:r>
      <w:r w:rsidR="008429D9">
        <w:rPr>
          <w:rFonts w:ascii="Arial" w:hAnsi="Arial" w:cs="Arial"/>
          <w:sz w:val="20"/>
          <w:szCs w:val="20"/>
        </w:rPr>
        <w:t>‘</w:t>
      </w:r>
      <w:r w:rsidR="003D7F80">
        <w:rPr>
          <w:rFonts w:ascii="Arial" w:hAnsi="Arial" w:cs="Arial"/>
          <w:sz w:val="20"/>
          <w:szCs w:val="20"/>
        </w:rPr>
        <w:t>site</w:t>
      </w:r>
      <w:r w:rsidR="008429D9">
        <w:rPr>
          <w:rFonts w:ascii="Arial" w:hAnsi="Arial" w:cs="Arial"/>
          <w:sz w:val="20"/>
          <w:szCs w:val="20"/>
        </w:rPr>
        <w:t>’ or area of the body</w:t>
      </w:r>
      <w:r w:rsidR="003D7F80">
        <w:rPr>
          <w:rFonts w:ascii="Arial" w:hAnsi="Arial" w:cs="Arial"/>
          <w:sz w:val="20"/>
          <w:szCs w:val="20"/>
        </w:rPr>
        <w:t xml:space="preserve"> affected (knee</w:t>
      </w:r>
      <w:r w:rsidR="00EE51AF">
        <w:rPr>
          <w:rFonts w:ascii="Arial" w:hAnsi="Arial" w:cs="Arial"/>
          <w:sz w:val="20"/>
          <w:szCs w:val="20"/>
        </w:rPr>
        <w:t>(s)</w:t>
      </w:r>
      <w:r w:rsidR="003D7F80">
        <w:rPr>
          <w:rFonts w:ascii="Arial" w:hAnsi="Arial" w:cs="Arial"/>
          <w:sz w:val="20"/>
          <w:szCs w:val="20"/>
        </w:rPr>
        <w:t xml:space="preserve"> being the most common)</w:t>
      </w:r>
      <w:r w:rsidR="00355464">
        <w:rPr>
          <w:rFonts w:ascii="Arial" w:hAnsi="Arial" w:cs="Arial"/>
          <w:sz w:val="20"/>
          <w:szCs w:val="20"/>
        </w:rPr>
        <w:t xml:space="preserve">. </w:t>
      </w:r>
      <w:r w:rsidR="00EE51AF">
        <w:rPr>
          <w:rFonts w:ascii="Arial" w:hAnsi="Arial" w:cs="Arial"/>
          <w:sz w:val="20"/>
          <w:szCs w:val="20"/>
        </w:rPr>
        <w:t>Presenting with s</w:t>
      </w:r>
      <w:r w:rsidR="00355464">
        <w:rPr>
          <w:rFonts w:ascii="Arial" w:hAnsi="Arial" w:cs="Arial"/>
          <w:sz w:val="20"/>
          <w:szCs w:val="20"/>
        </w:rPr>
        <w:t>ymptomatic generali</w:t>
      </w:r>
      <w:r w:rsidR="00FA17D7">
        <w:rPr>
          <w:rFonts w:ascii="Arial" w:hAnsi="Arial" w:cs="Arial"/>
          <w:sz w:val="20"/>
          <w:szCs w:val="20"/>
        </w:rPr>
        <w:t>z</w:t>
      </w:r>
      <w:r w:rsidR="00355464">
        <w:rPr>
          <w:rFonts w:ascii="Arial" w:hAnsi="Arial" w:cs="Arial"/>
          <w:sz w:val="20"/>
          <w:szCs w:val="20"/>
        </w:rPr>
        <w:t xml:space="preserve">ed OA </w:t>
      </w:r>
      <w:r w:rsidR="00BD0253">
        <w:rPr>
          <w:rFonts w:ascii="Arial" w:hAnsi="Arial" w:cs="Arial"/>
          <w:sz w:val="20"/>
          <w:szCs w:val="20"/>
        </w:rPr>
        <w:t xml:space="preserve">(see below) </w:t>
      </w:r>
      <w:r w:rsidR="00355464">
        <w:rPr>
          <w:rFonts w:ascii="Arial" w:hAnsi="Arial" w:cs="Arial"/>
          <w:sz w:val="20"/>
          <w:szCs w:val="20"/>
        </w:rPr>
        <w:t xml:space="preserve">is relatively uncommon and people should be reassured that their disease may </w:t>
      </w:r>
      <w:r w:rsidR="008D1951">
        <w:rPr>
          <w:rFonts w:ascii="Arial" w:hAnsi="Arial" w:cs="Arial"/>
          <w:sz w:val="20"/>
          <w:szCs w:val="20"/>
        </w:rPr>
        <w:t>not ‘spread’</w:t>
      </w:r>
      <w:r w:rsidR="00402F16">
        <w:rPr>
          <w:rFonts w:ascii="Arial" w:hAnsi="Arial" w:cs="Arial"/>
          <w:sz w:val="20"/>
          <w:szCs w:val="20"/>
        </w:rPr>
        <w:t xml:space="preserve"> but a history of pain in relevant other joints should be taken</w:t>
      </w:r>
      <w:r w:rsidR="008D1951">
        <w:rPr>
          <w:rFonts w:ascii="Arial" w:hAnsi="Arial" w:cs="Arial"/>
          <w:sz w:val="20"/>
          <w:szCs w:val="20"/>
        </w:rPr>
        <w:t>. Similarly, n</w:t>
      </w:r>
      <w:r w:rsidRPr="002F00D3">
        <w:rPr>
          <w:rFonts w:ascii="Arial" w:hAnsi="Arial" w:cs="Arial"/>
          <w:sz w:val="20"/>
          <w:szCs w:val="20"/>
        </w:rPr>
        <w:t>ot all radiologically affected joints are necessarily symptomatic; the factors controlling when and how much pain is caused by the osteoarthritic process are complex. Development of symptoms can be insidious or quite sudden (some patients with established radiographic OA present after a mechanical insult to the joint, such as a twist or trip, which appears to precipitate a non-resolving painful process). One or more joints are affected, often but not always asymmetrically. Unlike </w:t>
      </w:r>
      <w:hyperlink r:id="rId57" w:tooltip="Learn more about Rheumatoid Arthritis from ScienceDirect's AI-generated Topic Pages" w:history="1">
        <w:r w:rsidRPr="002F00D3">
          <w:rPr>
            <w:rStyle w:val="Hyperlink"/>
            <w:rFonts w:ascii="Arial" w:hAnsi="Arial" w:cs="Arial"/>
            <w:color w:val="auto"/>
            <w:sz w:val="20"/>
            <w:szCs w:val="20"/>
            <w:u w:val="none"/>
          </w:rPr>
          <w:t>rheumatoid arthritis</w:t>
        </w:r>
      </w:hyperlink>
      <w:r w:rsidRPr="002F00D3">
        <w:rPr>
          <w:rFonts w:ascii="Arial" w:hAnsi="Arial" w:cs="Arial"/>
          <w:sz w:val="20"/>
          <w:szCs w:val="20"/>
        </w:rPr>
        <w:t> (RA), non-synovial joints such as the </w:t>
      </w:r>
      <w:hyperlink r:id="rId58" w:tooltip="Learn more about Acromioclavicular Joint from ScienceDirect's AI-generated Topic Pages" w:history="1">
        <w:r w:rsidRPr="002F00D3">
          <w:rPr>
            <w:rStyle w:val="Hyperlink"/>
            <w:rFonts w:ascii="Arial" w:hAnsi="Arial" w:cs="Arial"/>
            <w:color w:val="auto"/>
            <w:sz w:val="20"/>
            <w:szCs w:val="20"/>
            <w:u w:val="none"/>
          </w:rPr>
          <w:t>acromioclavicular joint</w:t>
        </w:r>
      </w:hyperlink>
      <w:r w:rsidRPr="002F00D3">
        <w:rPr>
          <w:rFonts w:ascii="Arial" w:hAnsi="Arial" w:cs="Arial"/>
          <w:sz w:val="20"/>
          <w:szCs w:val="20"/>
        </w:rPr>
        <w:t> can also be involved.</w:t>
      </w:r>
    </w:p>
    <w:p w14:paraId="3F0F248F" w14:textId="5A448CE3"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 xml:space="preserve">The nature of the pain varies between patients, in both its character and its persistence (for some only on weight-bearing or during periods of </w:t>
      </w:r>
      <w:r w:rsidR="00DC4ABA">
        <w:rPr>
          <w:rFonts w:ascii="Arial" w:hAnsi="Arial" w:cs="Arial"/>
          <w:sz w:val="20"/>
          <w:szCs w:val="20"/>
        </w:rPr>
        <w:t>‘</w:t>
      </w:r>
      <w:r w:rsidRPr="002F00D3">
        <w:rPr>
          <w:rFonts w:ascii="Arial" w:hAnsi="Arial" w:cs="Arial"/>
          <w:sz w:val="20"/>
          <w:szCs w:val="20"/>
        </w:rPr>
        <w:t>flare</w:t>
      </w:r>
      <w:r w:rsidR="00DC4ABA">
        <w:rPr>
          <w:rFonts w:ascii="Arial" w:hAnsi="Arial" w:cs="Arial"/>
          <w:sz w:val="20"/>
          <w:szCs w:val="20"/>
        </w:rPr>
        <w:t>’</w:t>
      </w:r>
      <w:r w:rsidR="00177013">
        <w:rPr>
          <w:rFonts w:ascii="Arial" w:hAnsi="Arial" w:cs="Arial"/>
          <w:sz w:val="20"/>
          <w:szCs w:val="20"/>
        </w:rPr>
        <w:t>, an il-defined exacerbation of symptoms</w:t>
      </w:r>
      <w:r w:rsidRPr="002F00D3">
        <w:rPr>
          <w:rFonts w:ascii="Arial" w:hAnsi="Arial" w:cs="Arial"/>
          <w:sz w:val="20"/>
          <w:szCs w:val="20"/>
        </w:rPr>
        <w:t>; for others, persistent pain, including night pain). There is typically a lack of the prolonged early </w:t>
      </w:r>
      <w:hyperlink r:id="rId59" w:tooltip="Learn more about Morning Stiffness from ScienceDirect's AI-generated Topic Pages" w:history="1">
        <w:r w:rsidRPr="002F00D3">
          <w:rPr>
            <w:rStyle w:val="Hyperlink"/>
            <w:rFonts w:ascii="Arial" w:hAnsi="Arial" w:cs="Arial"/>
            <w:color w:val="auto"/>
            <w:sz w:val="20"/>
            <w:szCs w:val="20"/>
            <w:u w:val="none"/>
          </w:rPr>
          <w:t>morning stiffness</w:t>
        </w:r>
      </w:hyperlink>
      <w:r w:rsidRPr="002F00D3">
        <w:rPr>
          <w:rFonts w:ascii="Arial" w:hAnsi="Arial" w:cs="Arial"/>
          <w:sz w:val="20"/>
          <w:szCs w:val="20"/>
        </w:rPr>
        <w:t> seen in the classical inflammatory </w:t>
      </w:r>
      <w:hyperlink r:id="rId60" w:tooltip="Learn more about Arthropathy from ScienceDirect's AI-generated Topic Pages" w:history="1">
        <w:r w:rsidRPr="002F00D3">
          <w:rPr>
            <w:rStyle w:val="Hyperlink"/>
            <w:rFonts w:ascii="Arial" w:hAnsi="Arial" w:cs="Arial"/>
            <w:color w:val="auto"/>
            <w:sz w:val="20"/>
            <w:szCs w:val="20"/>
            <w:u w:val="none"/>
          </w:rPr>
          <w:t>arthropathies</w:t>
        </w:r>
      </w:hyperlink>
      <w:r w:rsidRPr="002F00D3">
        <w:rPr>
          <w:rFonts w:ascii="Arial" w:hAnsi="Arial" w:cs="Arial"/>
          <w:sz w:val="20"/>
          <w:szCs w:val="20"/>
        </w:rPr>
        <w:t> such as RA, although many patients report short periods (</w:t>
      </w:r>
      <w:r w:rsidR="00177013">
        <w:rPr>
          <w:rFonts w:ascii="Arial" w:hAnsi="Arial" w:cs="Arial"/>
          <w:sz w:val="20"/>
          <w:szCs w:val="20"/>
        </w:rPr>
        <w:t xml:space="preserve">typically </w:t>
      </w:r>
      <w:r w:rsidRPr="002F00D3">
        <w:rPr>
          <w:rFonts w:ascii="Arial" w:hAnsi="Arial" w:cs="Arial"/>
          <w:sz w:val="20"/>
          <w:szCs w:val="20"/>
        </w:rPr>
        <w:t xml:space="preserve">&lt;30 minutes) of stiffness and other inflammatory symptoms such as </w:t>
      </w:r>
      <w:r w:rsidR="00893A65">
        <w:rPr>
          <w:rFonts w:ascii="Arial" w:hAnsi="Arial" w:cs="Arial"/>
          <w:sz w:val="20"/>
          <w:szCs w:val="20"/>
        </w:rPr>
        <w:t xml:space="preserve">joint </w:t>
      </w:r>
      <w:r w:rsidRPr="002F00D3">
        <w:rPr>
          <w:rFonts w:ascii="Arial" w:hAnsi="Arial" w:cs="Arial"/>
          <w:sz w:val="20"/>
          <w:szCs w:val="20"/>
        </w:rPr>
        <w:t xml:space="preserve">swelling </w:t>
      </w:r>
      <w:r w:rsidR="00893A65">
        <w:rPr>
          <w:rFonts w:ascii="Arial" w:hAnsi="Arial" w:cs="Arial"/>
          <w:sz w:val="20"/>
          <w:szCs w:val="20"/>
        </w:rPr>
        <w:t xml:space="preserve">and warmth are present </w:t>
      </w:r>
      <w:r w:rsidRPr="002F00D3">
        <w:rPr>
          <w:rFonts w:ascii="Arial" w:hAnsi="Arial" w:cs="Arial"/>
          <w:sz w:val="20"/>
          <w:szCs w:val="20"/>
        </w:rPr>
        <w:t xml:space="preserve">during flares. Typically, pain is worsened by, or follows, activity. A functional history is often revealing and needs to be specific to the particular joint and </w:t>
      </w:r>
      <w:r w:rsidR="00893A65">
        <w:rPr>
          <w:rFonts w:ascii="Arial" w:hAnsi="Arial" w:cs="Arial"/>
          <w:sz w:val="20"/>
          <w:szCs w:val="20"/>
        </w:rPr>
        <w:t>individual</w:t>
      </w:r>
      <w:r w:rsidRPr="002F00D3">
        <w:rPr>
          <w:rFonts w:ascii="Arial" w:hAnsi="Arial" w:cs="Arial"/>
          <w:sz w:val="20"/>
          <w:szCs w:val="20"/>
        </w:rPr>
        <w:t xml:space="preserve">. Joints, particularly hand joints, can be sensitive to knocking; alternatively, there can be a sensation of catching or of giving way in large joints. Over time, the course of OA symptoms can vary enormously between patients. Those with early disease do not inevitably progress, and some </w:t>
      </w:r>
      <w:r w:rsidR="002948B4">
        <w:rPr>
          <w:rFonts w:ascii="Arial" w:hAnsi="Arial" w:cs="Arial"/>
          <w:sz w:val="20"/>
          <w:szCs w:val="20"/>
        </w:rPr>
        <w:t>people</w:t>
      </w:r>
      <w:r w:rsidR="002948B4" w:rsidRPr="002F00D3">
        <w:rPr>
          <w:rFonts w:ascii="Arial" w:hAnsi="Arial" w:cs="Arial"/>
          <w:sz w:val="20"/>
          <w:szCs w:val="20"/>
        </w:rPr>
        <w:t xml:space="preserve"> </w:t>
      </w:r>
      <w:r w:rsidRPr="002F00D3">
        <w:rPr>
          <w:rFonts w:ascii="Arial" w:hAnsi="Arial" w:cs="Arial"/>
          <w:sz w:val="20"/>
          <w:szCs w:val="20"/>
        </w:rPr>
        <w:t>have pain</w:t>
      </w:r>
      <w:r w:rsidR="002948B4">
        <w:rPr>
          <w:rFonts w:ascii="Arial" w:hAnsi="Arial" w:cs="Arial"/>
          <w:sz w:val="20"/>
          <w:szCs w:val="20"/>
        </w:rPr>
        <w:t xml:space="preserve"> and other</w:t>
      </w:r>
      <w:r w:rsidRPr="002F00D3">
        <w:rPr>
          <w:rFonts w:ascii="Arial" w:hAnsi="Arial" w:cs="Arial"/>
          <w:sz w:val="20"/>
          <w:szCs w:val="20"/>
        </w:rPr>
        <w:t xml:space="preserve"> </w:t>
      </w:r>
      <w:r w:rsidR="002948B4">
        <w:rPr>
          <w:rFonts w:ascii="Arial" w:hAnsi="Arial" w:cs="Arial"/>
          <w:sz w:val="20"/>
          <w:szCs w:val="20"/>
        </w:rPr>
        <w:t xml:space="preserve">symptoms </w:t>
      </w:r>
      <w:r w:rsidRPr="002F00D3">
        <w:rPr>
          <w:rFonts w:ascii="Arial" w:hAnsi="Arial" w:cs="Arial"/>
          <w:sz w:val="20"/>
          <w:szCs w:val="20"/>
        </w:rPr>
        <w:t xml:space="preserve">that subsequently </w:t>
      </w:r>
      <w:r w:rsidR="002948B4">
        <w:rPr>
          <w:rFonts w:ascii="Arial" w:hAnsi="Arial" w:cs="Arial"/>
          <w:sz w:val="20"/>
          <w:szCs w:val="20"/>
        </w:rPr>
        <w:t>remit</w:t>
      </w:r>
      <w:r w:rsidR="002948B4" w:rsidRPr="002F00D3">
        <w:rPr>
          <w:rFonts w:ascii="Arial" w:hAnsi="Arial" w:cs="Arial"/>
          <w:sz w:val="20"/>
          <w:szCs w:val="20"/>
        </w:rPr>
        <w:t xml:space="preserve"> </w:t>
      </w:r>
      <w:r w:rsidRPr="002F00D3">
        <w:rPr>
          <w:rFonts w:ascii="Arial" w:hAnsi="Arial" w:cs="Arial"/>
          <w:sz w:val="20"/>
          <w:szCs w:val="20"/>
        </w:rPr>
        <w:t>(with or without non-operative treatment).</w:t>
      </w:r>
    </w:p>
    <w:p w14:paraId="42FA45FC" w14:textId="12DDD38F" w:rsidR="00D71D44" w:rsidRPr="002F00D3" w:rsidRDefault="00D71D44" w:rsidP="007C774C">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A family history of OA and relevant diseases, occupational history, a history of trauma or surgery to joints, and menstrual</w:t>
      </w:r>
      <w:r w:rsidR="002948B4">
        <w:rPr>
          <w:rFonts w:ascii="Arial" w:hAnsi="Arial" w:cs="Arial"/>
          <w:sz w:val="20"/>
          <w:szCs w:val="20"/>
        </w:rPr>
        <w:t>/menopause</w:t>
      </w:r>
      <w:r w:rsidRPr="002F00D3">
        <w:rPr>
          <w:rFonts w:ascii="Arial" w:hAnsi="Arial" w:cs="Arial"/>
          <w:sz w:val="20"/>
          <w:szCs w:val="20"/>
        </w:rPr>
        <w:t xml:space="preserve"> history in women should be documented (</w:t>
      </w:r>
      <w:hyperlink r:id="rId61" w:anchor="tbl1" w:history="1">
        <w:r w:rsidRPr="002F00D3">
          <w:rPr>
            <w:rStyle w:val="Hyperlink"/>
            <w:rFonts w:ascii="Arial" w:hAnsi="Arial" w:cs="Arial"/>
            <w:color w:val="auto"/>
            <w:sz w:val="20"/>
            <w:szCs w:val="20"/>
            <w:u w:val="none"/>
          </w:rPr>
          <w:t>Table 1</w:t>
        </w:r>
      </w:hyperlink>
      <w:r w:rsidRPr="002F00D3">
        <w:rPr>
          <w:rFonts w:ascii="Arial" w:hAnsi="Arial" w:cs="Arial"/>
          <w:sz w:val="20"/>
          <w:szCs w:val="20"/>
        </w:rPr>
        <w:t>, </w:t>
      </w:r>
      <w:hyperlink r:id="rId62" w:anchor="tbl2" w:history="1">
        <w:r w:rsidRPr="002F00D3">
          <w:rPr>
            <w:rStyle w:val="Hyperlink"/>
            <w:rFonts w:ascii="Arial" w:hAnsi="Arial" w:cs="Arial"/>
            <w:color w:val="auto"/>
            <w:sz w:val="20"/>
            <w:szCs w:val="20"/>
            <w:u w:val="none"/>
          </w:rPr>
          <w:t>Table 2</w:t>
        </w:r>
      </w:hyperlink>
      <w:r w:rsidRPr="002F00D3">
        <w:rPr>
          <w:rFonts w:ascii="Arial" w:hAnsi="Arial" w:cs="Arial"/>
          <w:sz w:val="20"/>
          <w:szCs w:val="20"/>
        </w:rPr>
        <w:t>). Secondary causes of OA such as </w:t>
      </w:r>
      <w:hyperlink r:id="rId63" w:tooltip="Learn more about Hemochromatosis from ScienceDirect's AI-generated Topic Pages" w:history="1">
        <w:r w:rsidRPr="002F00D3">
          <w:rPr>
            <w:rStyle w:val="Hyperlink"/>
            <w:rFonts w:ascii="Arial" w:hAnsi="Arial" w:cs="Arial"/>
            <w:color w:val="auto"/>
            <w:sz w:val="20"/>
            <w:szCs w:val="20"/>
            <w:u w:val="none"/>
          </w:rPr>
          <w:t>haemochromatosis</w:t>
        </w:r>
      </w:hyperlink>
      <w:r w:rsidRPr="002F00D3">
        <w:rPr>
          <w:rFonts w:ascii="Arial" w:hAnsi="Arial" w:cs="Arial"/>
          <w:sz w:val="20"/>
          <w:szCs w:val="20"/>
        </w:rPr>
        <w:t> and </w:t>
      </w:r>
      <w:hyperlink r:id="rId64" w:tooltip="Learn more about Hyperparathyroidism from ScienceDirect's AI-generated Topic Pages" w:history="1">
        <w:r w:rsidRPr="002F00D3">
          <w:rPr>
            <w:rStyle w:val="Hyperlink"/>
            <w:rFonts w:ascii="Arial" w:hAnsi="Arial" w:cs="Arial"/>
            <w:color w:val="auto"/>
            <w:sz w:val="20"/>
            <w:szCs w:val="20"/>
            <w:u w:val="none"/>
          </w:rPr>
          <w:t>hyperparathyroidism</w:t>
        </w:r>
      </w:hyperlink>
      <w:r w:rsidRPr="002F00D3">
        <w:rPr>
          <w:rFonts w:ascii="Arial" w:hAnsi="Arial" w:cs="Arial"/>
          <w:sz w:val="20"/>
          <w:szCs w:val="20"/>
        </w:rPr>
        <w:t xml:space="preserve"> should be considered, particularly in young </w:t>
      </w:r>
      <w:r w:rsidR="00E25D08">
        <w:rPr>
          <w:rFonts w:ascii="Arial" w:hAnsi="Arial" w:cs="Arial"/>
          <w:sz w:val="20"/>
          <w:szCs w:val="20"/>
        </w:rPr>
        <w:t>individuals</w:t>
      </w:r>
      <w:r w:rsidR="00CD42FB">
        <w:rPr>
          <w:rFonts w:ascii="Arial" w:hAnsi="Arial" w:cs="Arial"/>
          <w:sz w:val="20"/>
          <w:szCs w:val="20"/>
        </w:rPr>
        <w:t xml:space="preserve"> or those with unusual patterns of disease</w:t>
      </w:r>
      <w:r w:rsidRPr="002F00D3">
        <w:rPr>
          <w:rFonts w:ascii="Arial" w:hAnsi="Arial" w:cs="Arial"/>
          <w:sz w:val="20"/>
          <w:szCs w:val="20"/>
        </w:rPr>
        <w:t>. Alternative causes of arthritis such as a history of </w:t>
      </w:r>
      <w:hyperlink r:id="rId65" w:tooltip="Learn more about Psoriasis from ScienceDirect's AI-generated Topic Pages" w:history="1">
        <w:r w:rsidRPr="002F00D3">
          <w:rPr>
            <w:rStyle w:val="Hyperlink"/>
            <w:rFonts w:ascii="Arial" w:hAnsi="Arial" w:cs="Arial"/>
            <w:color w:val="auto"/>
            <w:sz w:val="20"/>
            <w:szCs w:val="20"/>
            <w:u w:val="none"/>
          </w:rPr>
          <w:t>psoriasis</w:t>
        </w:r>
      </w:hyperlink>
      <w:r w:rsidRPr="002F00D3">
        <w:rPr>
          <w:rFonts w:ascii="Arial" w:hAnsi="Arial" w:cs="Arial"/>
          <w:sz w:val="20"/>
          <w:szCs w:val="20"/>
        </w:rPr>
        <w:t> </w:t>
      </w:r>
      <w:r w:rsidR="00154593">
        <w:rPr>
          <w:rFonts w:ascii="Arial" w:hAnsi="Arial" w:cs="Arial"/>
          <w:sz w:val="20"/>
          <w:szCs w:val="20"/>
        </w:rPr>
        <w:t xml:space="preserve">(which can be associated with an OA-like arthropathy) </w:t>
      </w:r>
      <w:r w:rsidRPr="002F00D3">
        <w:rPr>
          <w:rFonts w:ascii="Arial" w:hAnsi="Arial" w:cs="Arial"/>
          <w:sz w:val="20"/>
          <w:szCs w:val="20"/>
        </w:rPr>
        <w:t>or </w:t>
      </w:r>
      <w:hyperlink r:id="rId66" w:tooltip="Learn more about Inflammatory Bowel Disease from ScienceDirect's AI-generated Topic Pages" w:history="1">
        <w:r w:rsidRPr="002F00D3">
          <w:rPr>
            <w:rStyle w:val="Hyperlink"/>
            <w:rFonts w:ascii="Arial" w:hAnsi="Arial" w:cs="Arial"/>
            <w:color w:val="auto"/>
            <w:sz w:val="20"/>
            <w:szCs w:val="20"/>
            <w:u w:val="none"/>
          </w:rPr>
          <w:t>inflammatory bowel disease</w:t>
        </w:r>
      </w:hyperlink>
      <w:r w:rsidRPr="002F00D3">
        <w:rPr>
          <w:rFonts w:ascii="Arial" w:hAnsi="Arial" w:cs="Arial"/>
          <w:sz w:val="20"/>
          <w:szCs w:val="20"/>
        </w:rPr>
        <w:t> should be sought.</w:t>
      </w:r>
    </w:p>
    <w:p w14:paraId="2FC742D6" w14:textId="77777777" w:rsidR="002F00D3" w:rsidRDefault="002F00D3" w:rsidP="002F00D3">
      <w:pPr>
        <w:pStyle w:val="NormalWeb"/>
        <w:spacing w:before="0" w:beforeAutospacing="0" w:after="0" w:afterAutospacing="0"/>
        <w:rPr>
          <w:rStyle w:val="Strong"/>
          <w:rFonts w:ascii="Arial" w:eastAsiaTheme="majorEastAsia" w:hAnsi="Arial" w:cs="Arial"/>
          <w:sz w:val="20"/>
          <w:szCs w:val="20"/>
        </w:rPr>
      </w:pPr>
    </w:p>
    <w:p w14:paraId="165BABB1" w14:textId="46EDD124"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eastAsiaTheme="majorEastAsia" w:hAnsi="Arial" w:cs="Arial"/>
          <w:sz w:val="20"/>
          <w:szCs w:val="20"/>
        </w:rPr>
        <w:t>Examination:</w:t>
      </w:r>
      <w:r w:rsidRPr="002F00D3">
        <w:rPr>
          <w:rFonts w:ascii="Arial" w:hAnsi="Arial" w:cs="Arial"/>
          <w:sz w:val="20"/>
          <w:szCs w:val="20"/>
        </w:rPr>
        <w:t> affected joints are often swollen and can be tender over the joint line or at sites away from the joint, such as the </w:t>
      </w:r>
      <w:hyperlink r:id="rId67" w:tooltip="Learn more about Enthesis from ScienceDirect's AI-generated Topic Pages" w:history="1">
        <w:r w:rsidRPr="002F00D3">
          <w:rPr>
            <w:rStyle w:val="Hyperlink"/>
            <w:rFonts w:ascii="Arial" w:hAnsi="Arial" w:cs="Arial"/>
            <w:color w:val="auto"/>
            <w:sz w:val="20"/>
            <w:szCs w:val="20"/>
            <w:u w:val="none"/>
          </w:rPr>
          <w:t>entheses</w:t>
        </w:r>
      </w:hyperlink>
      <w:r w:rsidRPr="002F00D3">
        <w:rPr>
          <w:rFonts w:ascii="Arial" w:hAnsi="Arial" w:cs="Arial"/>
          <w:sz w:val="20"/>
          <w:szCs w:val="20"/>
        </w:rPr>
        <w:t>. </w:t>
      </w:r>
      <w:hyperlink r:id="rId68" w:tooltip="Learn more about Muscle Atrophy from ScienceDirect's AI-generated Topic Pages" w:history="1">
        <w:r w:rsidRPr="002F00D3">
          <w:rPr>
            <w:rStyle w:val="Hyperlink"/>
            <w:rFonts w:ascii="Arial" w:hAnsi="Arial" w:cs="Arial"/>
            <w:color w:val="auto"/>
            <w:sz w:val="20"/>
            <w:szCs w:val="20"/>
            <w:u w:val="none"/>
          </w:rPr>
          <w:t>Muscle wasting</w:t>
        </w:r>
      </w:hyperlink>
      <w:r w:rsidRPr="002F00D3">
        <w:rPr>
          <w:rFonts w:ascii="Arial" w:hAnsi="Arial" w:cs="Arial"/>
          <w:sz w:val="20"/>
          <w:szCs w:val="20"/>
        </w:rPr>
        <w:t> and joint deformity (</w:t>
      </w:r>
      <w:r w:rsidR="00D43711">
        <w:rPr>
          <w:rFonts w:ascii="Arial" w:hAnsi="Arial" w:cs="Arial"/>
          <w:sz w:val="20"/>
          <w:szCs w:val="20"/>
        </w:rPr>
        <w:t xml:space="preserve">change in </w:t>
      </w:r>
      <w:r w:rsidRPr="002F00D3">
        <w:rPr>
          <w:rFonts w:ascii="Arial" w:hAnsi="Arial" w:cs="Arial"/>
          <w:sz w:val="20"/>
          <w:szCs w:val="20"/>
        </w:rPr>
        <w:t xml:space="preserve">shape, </w:t>
      </w:r>
      <w:r w:rsidR="00D43711">
        <w:rPr>
          <w:rFonts w:ascii="Arial" w:hAnsi="Arial" w:cs="Arial"/>
          <w:sz w:val="20"/>
          <w:szCs w:val="20"/>
        </w:rPr>
        <w:t>mal</w:t>
      </w:r>
      <w:r w:rsidRPr="002F00D3">
        <w:rPr>
          <w:rFonts w:ascii="Arial" w:hAnsi="Arial" w:cs="Arial"/>
          <w:sz w:val="20"/>
          <w:szCs w:val="20"/>
        </w:rPr>
        <w:t>alignment) are common. For example, a </w:t>
      </w:r>
      <w:hyperlink r:id="rId69" w:tooltip="Learn more about Varus Knee from ScienceDirect's AI-generated Topic Pages" w:history="1">
        <w:r w:rsidRPr="002F00D3">
          <w:rPr>
            <w:rStyle w:val="Hyperlink"/>
            <w:rFonts w:ascii="Arial" w:hAnsi="Arial" w:cs="Arial"/>
            <w:color w:val="auto"/>
            <w:sz w:val="20"/>
            <w:szCs w:val="20"/>
            <w:u w:val="none"/>
          </w:rPr>
          <w:t>varus knee</w:t>
        </w:r>
      </w:hyperlink>
      <w:r w:rsidRPr="002F00D3">
        <w:rPr>
          <w:rFonts w:ascii="Arial" w:hAnsi="Arial" w:cs="Arial"/>
          <w:sz w:val="20"/>
          <w:szCs w:val="20"/>
        </w:rPr>
        <w:t> deformity often occurs in knee OA</w:t>
      </w:r>
      <w:r w:rsidR="00986535">
        <w:rPr>
          <w:rFonts w:ascii="Arial" w:hAnsi="Arial" w:cs="Arial"/>
          <w:sz w:val="20"/>
          <w:szCs w:val="20"/>
        </w:rPr>
        <w:t xml:space="preserve"> or deviation of the joints from the midline in hand OA</w:t>
      </w:r>
      <w:r w:rsidRPr="002F00D3">
        <w:rPr>
          <w:rFonts w:ascii="Arial" w:hAnsi="Arial" w:cs="Arial"/>
          <w:sz w:val="20"/>
          <w:szCs w:val="20"/>
        </w:rPr>
        <w:t>. Swelling or deformity around joints can be caused by bony expansion (firm, often non-tender) or </w:t>
      </w:r>
      <w:hyperlink r:id="rId70" w:tooltip="Learn more about Soft Tissue Inflammation from ScienceDirect's AI-generated Topic Pages" w:history="1">
        <w:r w:rsidRPr="002F00D3">
          <w:rPr>
            <w:rStyle w:val="Hyperlink"/>
            <w:rFonts w:ascii="Arial" w:hAnsi="Arial" w:cs="Arial"/>
            <w:color w:val="auto"/>
            <w:sz w:val="20"/>
            <w:szCs w:val="20"/>
            <w:u w:val="none"/>
          </w:rPr>
          <w:t>soft tissue inflammation</w:t>
        </w:r>
      </w:hyperlink>
      <w:r w:rsidRPr="002F00D3">
        <w:rPr>
          <w:rFonts w:ascii="Arial" w:hAnsi="Arial" w:cs="Arial"/>
          <w:sz w:val="20"/>
          <w:szCs w:val="20"/>
        </w:rPr>
        <w:t> (often tender; e.g. </w:t>
      </w:r>
      <w:hyperlink r:id="rId71" w:tooltip="Learn more about Synovitis from ScienceDirect's AI-generated Topic Pages" w:history="1">
        <w:r w:rsidRPr="002F00D3">
          <w:rPr>
            <w:rStyle w:val="Hyperlink"/>
            <w:rFonts w:ascii="Arial" w:hAnsi="Arial" w:cs="Arial"/>
            <w:color w:val="auto"/>
            <w:sz w:val="20"/>
            <w:szCs w:val="20"/>
            <w:u w:val="none"/>
          </w:rPr>
          <w:t>synovitis</w:t>
        </w:r>
      </w:hyperlink>
      <w:r w:rsidRPr="002F00D3">
        <w:rPr>
          <w:rFonts w:ascii="Arial" w:hAnsi="Arial" w:cs="Arial"/>
          <w:sz w:val="20"/>
          <w:szCs w:val="20"/>
        </w:rPr>
        <w:t>, effusion, </w:t>
      </w:r>
      <w:hyperlink r:id="rId72" w:tooltip="Learn more about Enthesitis from ScienceDirect's AI-generated Topic Pages" w:history="1">
        <w:r w:rsidRPr="002F00D3">
          <w:rPr>
            <w:rStyle w:val="Hyperlink"/>
            <w:rFonts w:ascii="Arial" w:hAnsi="Arial" w:cs="Arial"/>
            <w:color w:val="auto"/>
            <w:sz w:val="20"/>
            <w:szCs w:val="20"/>
            <w:u w:val="none"/>
          </w:rPr>
          <w:t>enthesitis</w:t>
        </w:r>
      </w:hyperlink>
      <w:r w:rsidRPr="002F00D3">
        <w:rPr>
          <w:rFonts w:ascii="Arial" w:hAnsi="Arial" w:cs="Arial"/>
          <w:sz w:val="20"/>
          <w:szCs w:val="20"/>
        </w:rPr>
        <w:t> or bursitis). </w:t>
      </w:r>
      <w:bookmarkStart w:id="6" w:name="bfig2"/>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"fig2"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Figure 2</w:t>
      </w:r>
      <w:r w:rsidRPr="002F00D3">
        <w:rPr>
          <w:rFonts w:ascii="Arial" w:hAnsi="Arial" w:cs="Arial"/>
          <w:sz w:val="20"/>
          <w:szCs w:val="20"/>
        </w:rPr>
        <w:fldChar w:fldCharType="end"/>
      </w:r>
      <w:bookmarkEnd w:id="6"/>
      <w:r w:rsidRPr="002F00D3">
        <w:rPr>
          <w:rFonts w:ascii="Arial" w:hAnsi="Arial" w:cs="Arial"/>
          <w:sz w:val="20"/>
          <w:szCs w:val="20"/>
        </w:rPr>
        <w:t> (a, c) demonstrates expansion or ‘nodes’ of the small joints of the hand. A generalized restriction of range of movement and joint </w:t>
      </w:r>
      <w:hyperlink r:id="rId73" w:tooltip="Learn more about Crepitus from ScienceDirect's AI-generated Topic Pages" w:history="1">
        <w:r w:rsidRPr="002F00D3">
          <w:rPr>
            <w:rStyle w:val="Hyperlink"/>
            <w:rFonts w:ascii="Arial" w:hAnsi="Arial" w:cs="Arial"/>
            <w:color w:val="auto"/>
            <w:sz w:val="20"/>
            <w:szCs w:val="20"/>
            <w:u w:val="none"/>
          </w:rPr>
          <w:t>crepitus</w:t>
        </w:r>
      </w:hyperlink>
      <w:r w:rsidRPr="002F00D3">
        <w:rPr>
          <w:rFonts w:ascii="Arial" w:hAnsi="Arial" w:cs="Arial"/>
          <w:sz w:val="20"/>
          <w:szCs w:val="20"/>
        </w:rPr>
        <w:t xml:space="preserve"> or ‘clunking’ may be evident. Mild ligamentous laxity can be evident, often associated with effusions, and in the knee with </w:t>
      </w:r>
      <w:r w:rsidR="00E84E54">
        <w:rPr>
          <w:rFonts w:ascii="Arial" w:hAnsi="Arial" w:cs="Arial"/>
          <w:sz w:val="20"/>
          <w:szCs w:val="20"/>
        </w:rPr>
        <w:t xml:space="preserve">a constellation of </w:t>
      </w:r>
      <w:r w:rsidRPr="002F00D3">
        <w:rPr>
          <w:rFonts w:ascii="Arial" w:hAnsi="Arial" w:cs="Arial"/>
          <w:sz w:val="20"/>
          <w:szCs w:val="20"/>
        </w:rPr>
        <w:t>valgus alignment, low arches and entheseal tenderness. Bursitis can also be present and be a cause of focal pain. Patients should be examined for </w:t>
      </w:r>
      <w:hyperlink r:id="rId74" w:tooltip="Learn more about Leg Length Inequality from ScienceDirect's AI-generated Topic Pages" w:history="1">
        <w:r w:rsidRPr="002F00D3">
          <w:rPr>
            <w:rStyle w:val="Hyperlink"/>
            <w:rFonts w:ascii="Arial" w:hAnsi="Arial" w:cs="Arial"/>
            <w:color w:val="auto"/>
            <w:sz w:val="20"/>
            <w:szCs w:val="20"/>
            <w:u w:val="none"/>
          </w:rPr>
          <w:t>leg length discrepancy</w:t>
        </w:r>
      </w:hyperlink>
      <w:r w:rsidRPr="002F00D3">
        <w:rPr>
          <w:rFonts w:ascii="Arial" w:hAnsi="Arial" w:cs="Arial"/>
          <w:sz w:val="20"/>
          <w:szCs w:val="20"/>
        </w:rPr>
        <w:t> as well as foot biomechanics on walking.</w:t>
      </w:r>
      <w:r w:rsidR="00E25D08">
        <w:rPr>
          <w:rFonts w:ascii="Arial" w:hAnsi="Arial" w:cs="Arial"/>
          <w:sz w:val="20"/>
          <w:szCs w:val="20"/>
        </w:rPr>
        <w:t xml:space="preserve"> Wear patterns on shoes can be informative.</w:t>
      </w:r>
    </w:p>
    <w:p w14:paraId="36DC5295" w14:textId="55D6624B" w:rsidR="00D71D44" w:rsidRPr="002F00D3" w:rsidRDefault="00D71D44" w:rsidP="002F00D3">
      <w:pPr>
        <w:spacing w:after="0" w:line="240" w:lineRule="auto"/>
        <w:rPr>
          <w:rFonts w:ascii="Arial" w:hAnsi="Arial" w:cs="Arial"/>
          <w:sz w:val="20"/>
          <w:szCs w:val="20"/>
        </w:rPr>
      </w:pPr>
    </w:p>
    <w:p w14:paraId="43C1836C"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Joint involvement in osteoarthritis</w:t>
      </w:r>
    </w:p>
    <w:p w14:paraId="71DB9C66" w14:textId="77777777"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OA can affect any joint, but those frequently affected include the small joints of the hands and feet, and the hip, knee and spine (</w:t>
      </w:r>
      <w:bookmarkStart w:id="7" w:name="bfig3"/>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"fig3"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Figure 3</w:t>
      </w:r>
      <w:r w:rsidRPr="002F00D3">
        <w:rPr>
          <w:rFonts w:ascii="Arial" w:hAnsi="Arial" w:cs="Arial"/>
          <w:sz w:val="20"/>
          <w:szCs w:val="20"/>
        </w:rPr>
        <w:fldChar w:fldCharType="end"/>
      </w:r>
      <w:bookmarkEnd w:id="7"/>
      <w:r w:rsidRPr="002F00D3">
        <w:rPr>
          <w:rFonts w:ascii="Arial" w:hAnsi="Arial" w:cs="Arial"/>
          <w:sz w:val="20"/>
          <w:szCs w:val="20"/>
        </w:rPr>
        <w:t>). OA at these different joint sites is associated with discrete genetic and environmental risk factors (see above). However, OA at a single site increases an individual's risk of OA elsewhere (e.g. knee and hand OA are associated), and some patients have ‘generalized OA’ (i.e. affecting three or more sites).</w:t>
      </w:r>
    </w:p>
    <w:p w14:paraId="1B99393E" w14:textId="110BF0EA" w:rsidR="00D71D44" w:rsidRPr="002F00D3" w:rsidRDefault="00D71D44" w:rsidP="002F00D3">
      <w:pPr>
        <w:spacing w:after="0" w:line="240" w:lineRule="auto"/>
        <w:rPr>
          <w:rFonts w:ascii="Arial" w:hAnsi="Arial" w:cs="Arial"/>
          <w:sz w:val="20"/>
          <w:szCs w:val="20"/>
        </w:rPr>
      </w:pPr>
    </w:p>
    <w:p w14:paraId="5E884D3A" w14:textId="6309C86C"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hAnsi="Arial" w:cs="Arial"/>
          <w:sz w:val="20"/>
          <w:szCs w:val="20"/>
        </w:rPr>
        <w:t>Hand:</w:t>
      </w:r>
      <w:r w:rsidRPr="002F00D3">
        <w:rPr>
          <w:rFonts w:ascii="Arial" w:hAnsi="Arial" w:cs="Arial"/>
          <w:sz w:val="20"/>
          <w:szCs w:val="20"/>
        </w:rPr>
        <w:t xml:space="preserve"> OA commonly occurs in women and often presents around the </w:t>
      </w:r>
      <w:r w:rsidR="00BD0253">
        <w:rPr>
          <w:rFonts w:ascii="Arial" w:hAnsi="Arial" w:cs="Arial"/>
          <w:sz w:val="20"/>
          <w:szCs w:val="20"/>
        </w:rPr>
        <w:t>age</w:t>
      </w:r>
      <w:r w:rsidR="00BD0253" w:rsidRPr="002F00D3">
        <w:rPr>
          <w:rFonts w:ascii="Arial" w:hAnsi="Arial" w:cs="Arial"/>
          <w:sz w:val="20"/>
          <w:szCs w:val="20"/>
        </w:rPr>
        <w:t xml:space="preserve"> </w:t>
      </w:r>
      <w:r w:rsidRPr="002F00D3">
        <w:rPr>
          <w:rFonts w:ascii="Arial" w:hAnsi="Arial" w:cs="Arial"/>
          <w:sz w:val="20"/>
          <w:szCs w:val="20"/>
        </w:rPr>
        <w:t>of the menopause. Bony swellings of the distal interphalangeal (DIP) joints are referred to as Heberden's nodes (</w:t>
      </w:r>
      <w:hyperlink r:id="rId75" w:anchor="fig2" w:history="1">
        <w:r w:rsidRPr="002F00D3">
          <w:rPr>
            <w:rStyle w:val="Hyperlink"/>
            <w:rFonts w:ascii="Arial" w:hAnsi="Arial" w:cs="Arial"/>
            <w:color w:val="auto"/>
            <w:sz w:val="20"/>
            <w:szCs w:val="20"/>
            <w:u w:val="none"/>
          </w:rPr>
          <w:t>Figure 2</w:t>
        </w:r>
      </w:hyperlink>
      <w:r w:rsidRPr="002F00D3">
        <w:rPr>
          <w:rFonts w:ascii="Arial" w:hAnsi="Arial" w:cs="Arial"/>
          <w:sz w:val="20"/>
          <w:szCs w:val="20"/>
        </w:rPr>
        <w:t>a, c), whereas bony swellings of the proximal interphalangeal (PIP) joints are known as Bouchard's nodes. These terms are only ever used in the context of OA. Such nodal OA can represent a subset of patients with hand OA. Inflammatory OA affecting the DIP and PIP joints can resemble seronegative </w:t>
      </w:r>
      <w:hyperlink r:id="rId76" w:tooltip="Learn more about Spondyloarthropathy from ScienceDirect's AI-generated Topic Pages" w:history="1">
        <w:r w:rsidRPr="002F00D3">
          <w:rPr>
            <w:rStyle w:val="Hyperlink"/>
            <w:rFonts w:ascii="Arial" w:hAnsi="Arial" w:cs="Arial"/>
            <w:color w:val="auto"/>
            <w:sz w:val="20"/>
            <w:szCs w:val="20"/>
            <w:u w:val="none"/>
          </w:rPr>
          <w:t>spondyloarthropathies</w:t>
        </w:r>
      </w:hyperlink>
      <w:r w:rsidRPr="002F00D3">
        <w:rPr>
          <w:rFonts w:ascii="Arial" w:hAnsi="Arial" w:cs="Arial"/>
          <w:sz w:val="20"/>
          <w:szCs w:val="20"/>
        </w:rPr>
        <w:t> such as </w:t>
      </w:r>
      <w:hyperlink r:id="rId77" w:tooltip="Learn more about Psoriatic Arthritis from ScienceDirect's AI-generated Topic Pages" w:history="1">
        <w:r w:rsidRPr="002F00D3">
          <w:rPr>
            <w:rStyle w:val="Hyperlink"/>
            <w:rFonts w:ascii="Arial" w:hAnsi="Arial" w:cs="Arial"/>
            <w:color w:val="auto"/>
            <w:sz w:val="20"/>
            <w:szCs w:val="20"/>
            <w:u w:val="none"/>
          </w:rPr>
          <w:t>psoriatic arthritis</w:t>
        </w:r>
      </w:hyperlink>
      <w:r w:rsidRPr="002F00D3">
        <w:rPr>
          <w:rFonts w:ascii="Arial" w:hAnsi="Arial" w:cs="Arial"/>
          <w:sz w:val="20"/>
          <w:szCs w:val="20"/>
        </w:rPr>
        <w:t>, which can be difficult clinically to differentiate.</w:t>
      </w:r>
    </w:p>
    <w:p w14:paraId="2E07A448" w14:textId="7BCE6374"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 xml:space="preserve">The </w:t>
      </w:r>
      <w:r w:rsidR="002D7E24">
        <w:rPr>
          <w:rFonts w:ascii="Arial" w:hAnsi="Arial" w:cs="Arial"/>
          <w:sz w:val="20"/>
          <w:szCs w:val="20"/>
        </w:rPr>
        <w:t xml:space="preserve">base of </w:t>
      </w:r>
      <w:r w:rsidR="001D0515">
        <w:rPr>
          <w:rFonts w:ascii="Arial" w:hAnsi="Arial" w:cs="Arial"/>
          <w:sz w:val="20"/>
          <w:szCs w:val="20"/>
        </w:rPr>
        <w:t xml:space="preserve">the </w:t>
      </w:r>
      <w:r w:rsidR="002D7E24">
        <w:rPr>
          <w:rFonts w:ascii="Arial" w:hAnsi="Arial" w:cs="Arial"/>
          <w:sz w:val="20"/>
          <w:szCs w:val="20"/>
        </w:rPr>
        <w:t xml:space="preserve">thumb, the </w:t>
      </w:r>
      <w:r w:rsidRPr="002F00D3">
        <w:rPr>
          <w:rFonts w:ascii="Arial" w:hAnsi="Arial" w:cs="Arial"/>
          <w:sz w:val="20"/>
          <w:szCs w:val="20"/>
        </w:rPr>
        <w:t>first carpometacarpophalangeal (CMC) joint is also frequently affected by OA, signified by ‘squaring’ and often pain and restriction of the base of the thumb (</w:t>
      </w:r>
      <w:hyperlink r:id="rId78" w:anchor="fig2" w:history="1">
        <w:r w:rsidRPr="002F00D3">
          <w:rPr>
            <w:rStyle w:val="Hyperlink"/>
            <w:rFonts w:ascii="Arial" w:hAnsi="Arial" w:cs="Arial"/>
            <w:color w:val="auto"/>
            <w:sz w:val="20"/>
            <w:szCs w:val="20"/>
            <w:u w:val="none"/>
          </w:rPr>
          <w:t>Figure 2</w:t>
        </w:r>
      </w:hyperlink>
      <w:r w:rsidRPr="002F00D3">
        <w:rPr>
          <w:rFonts w:ascii="Arial" w:hAnsi="Arial" w:cs="Arial"/>
          <w:sz w:val="20"/>
          <w:szCs w:val="20"/>
        </w:rPr>
        <w:t>a). Some hypothesize that this joint is susceptible to OA because of its relatively recent evolution</w:t>
      </w:r>
      <w:r w:rsidR="001D0515">
        <w:rPr>
          <w:rFonts w:ascii="Arial" w:hAnsi="Arial" w:cs="Arial"/>
          <w:sz w:val="20"/>
          <w:szCs w:val="20"/>
        </w:rPr>
        <w:t xml:space="preserve"> or the increased mechanically load borne by the thumb</w:t>
      </w:r>
      <w:r w:rsidRPr="002F00D3">
        <w:rPr>
          <w:rFonts w:ascii="Arial" w:hAnsi="Arial" w:cs="Arial"/>
          <w:sz w:val="20"/>
          <w:szCs w:val="20"/>
        </w:rPr>
        <w:t xml:space="preserve">. </w:t>
      </w:r>
      <w:r w:rsidR="00E25D08">
        <w:rPr>
          <w:rFonts w:ascii="Arial" w:hAnsi="Arial" w:cs="Arial"/>
          <w:sz w:val="20"/>
          <w:szCs w:val="20"/>
        </w:rPr>
        <w:t xml:space="preserve">It is increased where there is associated hypermobility and in heavy manual workers. </w:t>
      </w:r>
      <w:r w:rsidRPr="002F00D3">
        <w:rPr>
          <w:rFonts w:ascii="Arial" w:hAnsi="Arial" w:cs="Arial"/>
          <w:sz w:val="20"/>
          <w:szCs w:val="20"/>
        </w:rPr>
        <w:t>OA does not typically affect the </w:t>
      </w:r>
      <w:hyperlink r:id="rId79" w:tooltip="Learn more about Metacarpophalangeal Joint from ScienceDirect's AI-generated Topic Pages" w:history="1">
        <w:r w:rsidRPr="002F00D3">
          <w:rPr>
            <w:rStyle w:val="Hyperlink"/>
            <w:rFonts w:ascii="Arial" w:hAnsi="Arial" w:cs="Arial"/>
            <w:color w:val="auto"/>
            <w:sz w:val="20"/>
            <w:szCs w:val="20"/>
            <w:u w:val="none"/>
          </w:rPr>
          <w:t>metacarpophalangeal joints</w:t>
        </w:r>
      </w:hyperlink>
      <w:r w:rsidRPr="002F00D3">
        <w:rPr>
          <w:rFonts w:ascii="Arial" w:hAnsi="Arial" w:cs="Arial"/>
          <w:sz w:val="20"/>
          <w:szCs w:val="20"/>
        </w:rPr>
        <w:t xml:space="preserve">, although they can be involved; this </w:t>
      </w:r>
      <w:r w:rsidR="000B4509">
        <w:rPr>
          <w:rFonts w:ascii="Arial" w:hAnsi="Arial" w:cs="Arial"/>
          <w:sz w:val="20"/>
          <w:szCs w:val="20"/>
        </w:rPr>
        <w:t xml:space="preserve">joint site is also affected </w:t>
      </w:r>
      <w:r w:rsidRPr="002F00D3">
        <w:rPr>
          <w:rFonts w:ascii="Arial" w:hAnsi="Arial" w:cs="Arial"/>
          <w:sz w:val="20"/>
          <w:szCs w:val="20"/>
        </w:rPr>
        <w:t xml:space="preserve"> in </w:t>
      </w:r>
      <w:r w:rsidR="00297EAA">
        <w:rPr>
          <w:rFonts w:ascii="Arial" w:hAnsi="Arial" w:cs="Arial"/>
          <w:sz w:val="20"/>
          <w:szCs w:val="20"/>
        </w:rPr>
        <w:t xml:space="preserve">the osteoarthritis associated with </w:t>
      </w:r>
      <w:r w:rsidRPr="002F00D3">
        <w:rPr>
          <w:rFonts w:ascii="Arial" w:hAnsi="Arial" w:cs="Arial"/>
          <w:sz w:val="20"/>
          <w:szCs w:val="20"/>
        </w:rPr>
        <w:t>haemochromatosis.</w:t>
      </w:r>
    </w:p>
    <w:p w14:paraId="7E58E6C7" w14:textId="77777777" w:rsidR="002F00D3" w:rsidRDefault="002F00D3" w:rsidP="002F00D3">
      <w:pPr>
        <w:pStyle w:val="NormalWeb"/>
        <w:spacing w:before="0" w:beforeAutospacing="0" w:after="0" w:afterAutospacing="0"/>
        <w:rPr>
          <w:rStyle w:val="Strong"/>
          <w:rFonts w:ascii="Arial" w:hAnsi="Arial" w:cs="Arial"/>
          <w:sz w:val="20"/>
          <w:szCs w:val="20"/>
        </w:rPr>
      </w:pPr>
    </w:p>
    <w:p w14:paraId="76361B72" w14:textId="0A5BC9C9"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hAnsi="Arial" w:cs="Arial"/>
          <w:sz w:val="20"/>
          <w:szCs w:val="20"/>
        </w:rPr>
        <w:t>Foot:</w:t>
      </w:r>
      <w:r w:rsidRPr="002F00D3">
        <w:rPr>
          <w:rFonts w:ascii="Arial" w:hAnsi="Arial" w:cs="Arial"/>
          <w:sz w:val="20"/>
          <w:szCs w:val="20"/>
        </w:rPr>
        <w:t> OA commonly affects the first </w:t>
      </w:r>
      <w:hyperlink r:id="rId80" w:tooltip="Learn more about Metatarsophalangeal Joint from ScienceDirect's AI-generated Topic Pages" w:history="1">
        <w:r w:rsidRPr="002F00D3">
          <w:rPr>
            <w:rStyle w:val="Hyperlink"/>
            <w:rFonts w:ascii="Arial" w:hAnsi="Arial" w:cs="Arial"/>
            <w:color w:val="auto"/>
            <w:sz w:val="20"/>
            <w:szCs w:val="20"/>
            <w:u w:val="none"/>
          </w:rPr>
          <w:t>metatarsophalangeal joint</w:t>
        </w:r>
      </w:hyperlink>
      <w:r w:rsidRPr="002F00D3">
        <w:rPr>
          <w:rFonts w:ascii="Arial" w:hAnsi="Arial" w:cs="Arial"/>
          <w:sz w:val="20"/>
          <w:szCs w:val="20"/>
        </w:rPr>
        <w:t>. Flares of arthritis here can be confused with </w:t>
      </w:r>
      <w:hyperlink r:id="rId81" w:tooltip="Learn more about Gout from ScienceDirect's AI-generated Topic Pages" w:history="1">
        <w:r w:rsidRPr="002F00D3">
          <w:rPr>
            <w:rStyle w:val="Hyperlink"/>
            <w:rFonts w:ascii="Arial" w:hAnsi="Arial" w:cs="Arial"/>
            <w:color w:val="auto"/>
            <w:sz w:val="20"/>
            <w:szCs w:val="20"/>
            <w:u w:val="none"/>
          </w:rPr>
          <w:t>gout</w:t>
        </w:r>
      </w:hyperlink>
      <w:r w:rsidRPr="002F00D3">
        <w:rPr>
          <w:rFonts w:ascii="Arial" w:hAnsi="Arial" w:cs="Arial"/>
          <w:sz w:val="20"/>
          <w:szCs w:val="20"/>
        </w:rPr>
        <w:t>. Involvement of the small joints of the foot can give rise to deformities such as </w:t>
      </w:r>
      <w:hyperlink r:id="rId82" w:tooltip="Learn more about Hallux Valgus from ScienceDirect's AI-generated Topic Pages" w:history="1">
        <w:r w:rsidRPr="002F00D3">
          <w:rPr>
            <w:rStyle w:val="Hyperlink"/>
            <w:rFonts w:ascii="Arial" w:hAnsi="Arial" w:cs="Arial"/>
            <w:color w:val="auto"/>
            <w:sz w:val="20"/>
            <w:szCs w:val="20"/>
            <w:u w:val="none"/>
          </w:rPr>
          <w:t>hallux valgus</w:t>
        </w:r>
      </w:hyperlink>
      <w:r w:rsidRPr="002F00D3">
        <w:rPr>
          <w:rFonts w:ascii="Arial" w:hAnsi="Arial" w:cs="Arial"/>
          <w:sz w:val="20"/>
          <w:szCs w:val="20"/>
        </w:rPr>
        <w:t>, </w:t>
      </w:r>
      <w:hyperlink r:id="rId83" w:tooltip="Learn more about Hallux Rigidus from ScienceDirect's AI-generated Topic Pages" w:history="1">
        <w:r w:rsidRPr="002F00D3">
          <w:rPr>
            <w:rStyle w:val="Hyperlink"/>
            <w:rFonts w:ascii="Arial" w:hAnsi="Arial" w:cs="Arial"/>
            <w:color w:val="auto"/>
            <w:sz w:val="20"/>
            <w:szCs w:val="20"/>
            <w:u w:val="none"/>
          </w:rPr>
          <w:t>hallux rigidus</w:t>
        </w:r>
      </w:hyperlink>
      <w:r w:rsidRPr="002F00D3">
        <w:rPr>
          <w:rFonts w:ascii="Arial" w:hAnsi="Arial" w:cs="Arial"/>
          <w:sz w:val="20"/>
          <w:szCs w:val="20"/>
        </w:rPr>
        <w:t> (which can affect ‘toeing-off’ and therefore gait) and hammer toe.</w:t>
      </w:r>
    </w:p>
    <w:p w14:paraId="438BE46F" w14:textId="77777777" w:rsidR="002F00D3" w:rsidRDefault="002F00D3" w:rsidP="002F00D3">
      <w:pPr>
        <w:pStyle w:val="NormalWeb"/>
        <w:spacing w:before="0" w:beforeAutospacing="0" w:after="0" w:afterAutospacing="0"/>
        <w:rPr>
          <w:rStyle w:val="Strong"/>
          <w:rFonts w:ascii="Arial" w:hAnsi="Arial" w:cs="Arial"/>
          <w:sz w:val="20"/>
          <w:szCs w:val="20"/>
        </w:rPr>
      </w:pPr>
    </w:p>
    <w:p w14:paraId="14C7D496" w14:textId="339A5A6D"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hAnsi="Arial" w:cs="Arial"/>
          <w:sz w:val="20"/>
          <w:szCs w:val="20"/>
        </w:rPr>
        <w:t>Knee:</w:t>
      </w:r>
      <w:r w:rsidRPr="002F00D3">
        <w:rPr>
          <w:rFonts w:ascii="Arial" w:hAnsi="Arial" w:cs="Arial"/>
          <w:sz w:val="20"/>
          <w:szCs w:val="20"/>
        </w:rPr>
        <w:t> typically, the medial compartment is affected first in OA of the knee (</w:t>
      </w:r>
      <w:hyperlink r:id="rId84" w:anchor="fig3" w:history="1">
        <w:r w:rsidRPr="002F00D3">
          <w:rPr>
            <w:rStyle w:val="Hyperlink"/>
            <w:rFonts w:ascii="Arial" w:hAnsi="Arial" w:cs="Arial"/>
            <w:color w:val="auto"/>
            <w:sz w:val="20"/>
            <w:szCs w:val="20"/>
            <w:u w:val="none"/>
          </w:rPr>
          <w:t>Figure 3</w:t>
        </w:r>
      </w:hyperlink>
      <w:r w:rsidRPr="002F00D3">
        <w:rPr>
          <w:rFonts w:ascii="Arial" w:hAnsi="Arial" w:cs="Arial"/>
          <w:sz w:val="20"/>
          <w:szCs w:val="20"/>
        </w:rPr>
        <w:t>c, d). If this is severe, and other compartments are spared, unicompartmental joint replacement can be considered. The lateral and patello-femoral compartments can also be affected, either alone or as part of ‘tri-compartmental’ knee OA.</w:t>
      </w:r>
    </w:p>
    <w:p w14:paraId="41A8C970" w14:textId="77777777" w:rsidR="002F00D3" w:rsidRDefault="002F00D3" w:rsidP="002F00D3">
      <w:pPr>
        <w:pStyle w:val="NormalWeb"/>
        <w:spacing w:before="0" w:beforeAutospacing="0" w:after="0" w:afterAutospacing="0"/>
        <w:rPr>
          <w:rStyle w:val="Strong"/>
          <w:rFonts w:ascii="Arial" w:hAnsi="Arial" w:cs="Arial"/>
          <w:sz w:val="20"/>
          <w:szCs w:val="20"/>
        </w:rPr>
      </w:pPr>
    </w:p>
    <w:p w14:paraId="51332ED2" w14:textId="37CA4DBB"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hAnsi="Arial" w:cs="Arial"/>
          <w:sz w:val="20"/>
          <w:szCs w:val="20"/>
        </w:rPr>
        <w:t>Hip:</w:t>
      </w:r>
      <w:r w:rsidRPr="002F00D3">
        <w:rPr>
          <w:rFonts w:ascii="Arial" w:hAnsi="Arial" w:cs="Arial"/>
          <w:sz w:val="20"/>
          <w:szCs w:val="20"/>
        </w:rPr>
        <w:t> obesity and congenital femoro-acetabular deformities (pincer or cam deformities) predispose to OA of the hip, which is a</w:t>
      </w:r>
      <w:r w:rsidR="00335CD9">
        <w:rPr>
          <w:rFonts w:ascii="Arial" w:hAnsi="Arial" w:cs="Arial"/>
          <w:sz w:val="20"/>
          <w:szCs w:val="20"/>
        </w:rPr>
        <w:t>nother</w:t>
      </w:r>
      <w:r w:rsidRPr="002F00D3">
        <w:rPr>
          <w:rFonts w:ascii="Arial" w:hAnsi="Arial" w:cs="Arial"/>
          <w:sz w:val="20"/>
          <w:szCs w:val="20"/>
        </w:rPr>
        <w:t xml:space="preserve"> frequently affected joint. Like knee OA, it is costly in terms of joint replacement </w:t>
      </w:r>
      <w:r w:rsidR="00E25D08">
        <w:rPr>
          <w:rFonts w:ascii="Arial" w:hAnsi="Arial" w:cs="Arial"/>
          <w:sz w:val="20"/>
          <w:szCs w:val="20"/>
        </w:rPr>
        <w:t>although surgical success is very high</w:t>
      </w:r>
      <w:r w:rsidRPr="002F00D3">
        <w:rPr>
          <w:rFonts w:ascii="Arial" w:hAnsi="Arial" w:cs="Arial"/>
          <w:sz w:val="20"/>
          <w:szCs w:val="20"/>
        </w:rPr>
        <w:t>. It typically presents with pain or aching in the groin, or more unusually in the back or buttock, or as pain referred to the knee on the affected side</w:t>
      </w:r>
      <w:r w:rsidR="00B37D07">
        <w:rPr>
          <w:rFonts w:ascii="Arial" w:hAnsi="Arial" w:cs="Arial"/>
          <w:sz w:val="20"/>
          <w:szCs w:val="20"/>
        </w:rPr>
        <w:t xml:space="preserve"> associated with limitation of range</w:t>
      </w:r>
      <w:r w:rsidRPr="002F00D3">
        <w:rPr>
          <w:rFonts w:ascii="Arial" w:hAnsi="Arial" w:cs="Arial"/>
          <w:sz w:val="20"/>
          <w:szCs w:val="20"/>
        </w:rPr>
        <w:t>.</w:t>
      </w:r>
    </w:p>
    <w:p w14:paraId="7C5D11E4" w14:textId="77777777" w:rsidR="002F00D3" w:rsidRDefault="002F00D3" w:rsidP="002F00D3">
      <w:pPr>
        <w:pStyle w:val="NormalWeb"/>
        <w:spacing w:before="0" w:beforeAutospacing="0" w:after="0" w:afterAutospacing="0"/>
        <w:rPr>
          <w:rStyle w:val="Strong"/>
          <w:rFonts w:ascii="Arial" w:hAnsi="Arial" w:cs="Arial"/>
          <w:sz w:val="20"/>
          <w:szCs w:val="20"/>
        </w:rPr>
      </w:pPr>
    </w:p>
    <w:p w14:paraId="33980E33" w14:textId="0344AAE7" w:rsidR="00D71D44" w:rsidRPr="002F00D3" w:rsidRDefault="00D71D44" w:rsidP="002F00D3">
      <w:pPr>
        <w:pStyle w:val="NormalWeb"/>
        <w:spacing w:before="0" w:beforeAutospacing="0" w:after="0" w:afterAutospacing="0"/>
        <w:rPr>
          <w:rFonts w:ascii="Arial" w:hAnsi="Arial" w:cs="Arial"/>
          <w:sz w:val="20"/>
          <w:szCs w:val="20"/>
        </w:rPr>
      </w:pPr>
      <w:r w:rsidRPr="002F00D3">
        <w:rPr>
          <w:rStyle w:val="Strong"/>
          <w:rFonts w:ascii="Arial" w:hAnsi="Arial" w:cs="Arial"/>
          <w:sz w:val="20"/>
          <w:szCs w:val="20"/>
        </w:rPr>
        <w:t>Spine:</w:t>
      </w:r>
      <w:r w:rsidRPr="002F00D3">
        <w:rPr>
          <w:rFonts w:ascii="Arial" w:hAnsi="Arial" w:cs="Arial"/>
          <w:sz w:val="20"/>
          <w:szCs w:val="20"/>
        </w:rPr>
        <w:t> in contrast to RA, where axial disease is unusual, the spine and </w:t>
      </w:r>
      <w:hyperlink r:id="rId85" w:tooltip="Learn more about Sacroiliac Joint from ScienceDirect's AI-generated Topic Pages" w:history="1">
        <w:r w:rsidRPr="002F00D3">
          <w:rPr>
            <w:rStyle w:val="Hyperlink"/>
            <w:rFonts w:ascii="Arial" w:hAnsi="Arial" w:cs="Arial"/>
            <w:color w:val="auto"/>
            <w:sz w:val="20"/>
            <w:szCs w:val="20"/>
            <w:u w:val="none"/>
          </w:rPr>
          <w:t>sacroiliac joints</w:t>
        </w:r>
      </w:hyperlink>
      <w:r w:rsidRPr="002F00D3">
        <w:rPr>
          <w:rFonts w:ascii="Arial" w:hAnsi="Arial" w:cs="Arial"/>
          <w:sz w:val="20"/>
          <w:szCs w:val="20"/>
        </w:rPr>
        <w:t> are frequently affected by OA. </w:t>
      </w:r>
      <w:hyperlink r:id="rId86" w:tooltip="Learn more about Facet Joint from ScienceDirect's AI-generated Topic Pages" w:history="1">
        <w:r w:rsidRPr="002F00D3">
          <w:rPr>
            <w:rStyle w:val="Hyperlink"/>
            <w:rFonts w:ascii="Arial" w:hAnsi="Arial" w:cs="Arial"/>
            <w:color w:val="auto"/>
            <w:sz w:val="20"/>
            <w:szCs w:val="20"/>
            <w:u w:val="none"/>
          </w:rPr>
          <w:t>Facet joints</w:t>
        </w:r>
      </w:hyperlink>
      <w:r w:rsidRPr="002F00D3">
        <w:rPr>
          <w:rFonts w:ascii="Arial" w:hAnsi="Arial" w:cs="Arial"/>
          <w:sz w:val="20"/>
          <w:szCs w:val="20"/>
        </w:rPr>
        <w:t>, vertebral endplates and ligamentous insertions can all be involved. Spinal OA is sometimes referred to as ‘spondylosis’. Spinal OA is often associated with degenerative disc disease.</w:t>
      </w:r>
    </w:p>
    <w:p w14:paraId="6B65812F" w14:textId="77777777" w:rsidR="00D71D44" w:rsidRPr="002F00D3" w:rsidRDefault="00014C79" w:rsidP="002F00D3">
      <w:pPr>
        <w:pStyle w:val="NormalWeb"/>
        <w:spacing w:before="0" w:beforeAutospacing="0" w:after="0" w:afterAutospacing="0"/>
        <w:rPr>
          <w:rFonts w:ascii="Arial" w:hAnsi="Arial" w:cs="Arial"/>
          <w:sz w:val="20"/>
          <w:szCs w:val="20"/>
        </w:rPr>
      </w:pPr>
      <w:hyperlink r:id="rId87" w:tooltip="Learn more about Ankylosing Hyperostosis from ScienceDirect's AI-generated Topic Pages" w:history="1">
        <w:r w:rsidR="00D71D44" w:rsidRPr="002F00D3">
          <w:rPr>
            <w:rStyle w:val="Hyperlink"/>
            <w:rFonts w:ascii="Arial" w:hAnsi="Arial" w:cs="Arial"/>
            <w:color w:val="auto"/>
            <w:sz w:val="20"/>
            <w:szCs w:val="20"/>
            <w:u w:val="none"/>
          </w:rPr>
          <w:t>Diffuse idiopathic skeletal hyperostosis</w:t>
        </w:r>
      </w:hyperlink>
      <w:r w:rsidR="00D71D44" w:rsidRPr="002F00D3">
        <w:rPr>
          <w:rFonts w:ascii="Arial" w:hAnsi="Arial" w:cs="Arial"/>
          <w:sz w:val="20"/>
          <w:szCs w:val="20"/>
        </w:rPr>
        <w:t> (DISH; also known as Forestier's disease) causes </w:t>
      </w:r>
      <w:hyperlink r:id="rId88" w:tooltip="Learn more about Miconazole from ScienceDirect's AI-generated Topic Pages" w:history="1">
        <w:r w:rsidR="00D71D44" w:rsidRPr="002F00D3">
          <w:rPr>
            <w:rStyle w:val="Hyperlink"/>
            <w:rFonts w:ascii="Arial" w:hAnsi="Arial" w:cs="Arial"/>
            <w:color w:val="auto"/>
            <w:sz w:val="20"/>
            <w:szCs w:val="20"/>
            <w:u w:val="none"/>
          </w:rPr>
          <w:t>florid</w:t>
        </w:r>
      </w:hyperlink>
      <w:r w:rsidR="00D71D44" w:rsidRPr="002F00D3">
        <w:rPr>
          <w:rFonts w:ascii="Arial" w:hAnsi="Arial" w:cs="Arial"/>
          <w:sz w:val="20"/>
          <w:szCs w:val="20"/>
        </w:rPr>
        <w:t> ligamentous calcification and bony hypertrophy, which leads to spinal stiffness (usually non-inflammatory) and fusion of </w:t>
      </w:r>
      <w:hyperlink r:id="rId89" w:tooltip="Learn more about Vertebra from ScienceDirect's AI-generated Topic Pages" w:history="1">
        <w:r w:rsidR="00D71D44" w:rsidRPr="002F00D3">
          <w:rPr>
            <w:rStyle w:val="Hyperlink"/>
            <w:rFonts w:ascii="Arial" w:hAnsi="Arial" w:cs="Arial"/>
            <w:color w:val="auto"/>
            <w:sz w:val="20"/>
            <w:szCs w:val="20"/>
            <w:u w:val="none"/>
          </w:rPr>
          <w:t>vertebrae</w:t>
        </w:r>
      </w:hyperlink>
      <w:r w:rsidR="00D71D44" w:rsidRPr="002F00D3">
        <w:rPr>
          <w:rFonts w:ascii="Arial" w:hAnsi="Arial" w:cs="Arial"/>
          <w:sz w:val="20"/>
          <w:szCs w:val="20"/>
        </w:rPr>
        <w:t>; it can mimic </w:t>
      </w:r>
      <w:hyperlink r:id="rId90" w:tooltip="Learn more about Ankylosing Spondylitis from ScienceDirect's AI-generated Topic Pages" w:history="1">
        <w:r w:rsidR="00D71D44" w:rsidRPr="002F00D3">
          <w:rPr>
            <w:rStyle w:val="Hyperlink"/>
            <w:rFonts w:ascii="Arial" w:hAnsi="Arial" w:cs="Arial"/>
            <w:color w:val="auto"/>
            <w:sz w:val="20"/>
            <w:szCs w:val="20"/>
            <w:u w:val="none"/>
          </w:rPr>
          <w:t>ankylosing spondylitis</w:t>
        </w:r>
      </w:hyperlink>
      <w:r w:rsidR="00D71D44" w:rsidRPr="002F00D3">
        <w:rPr>
          <w:rFonts w:ascii="Arial" w:hAnsi="Arial" w:cs="Arial"/>
          <w:sz w:val="20"/>
          <w:szCs w:val="20"/>
        </w:rPr>
        <w:t> clinically, but can usually be distinguished radiologically (</w:t>
      </w:r>
      <w:hyperlink r:id="rId91" w:anchor="fig3" w:history="1">
        <w:r w:rsidR="00D71D44" w:rsidRPr="002F00D3">
          <w:rPr>
            <w:rStyle w:val="Hyperlink"/>
            <w:rFonts w:ascii="Arial" w:hAnsi="Arial" w:cs="Arial"/>
            <w:color w:val="auto"/>
            <w:sz w:val="20"/>
            <w:szCs w:val="20"/>
            <w:u w:val="none"/>
          </w:rPr>
          <w:t>Figure 3</w:t>
        </w:r>
      </w:hyperlink>
      <w:r w:rsidR="00D71D44" w:rsidRPr="002F00D3">
        <w:rPr>
          <w:rFonts w:ascii="Arial" w:hAnsi="Arial" w:cs="Arial"/>
          <w:sz w:val="20"/>
          <w:szCs w:val="20"/>
        </w:rPr>
        <w:t>b). Thoracic DISH may be evident on a patient's chest X-ray.</w:t>
      </w:r>
    </w:p>
    <w:p w14:paraId="06152971" w14:textId="77777777" w:rsidR="002F00D3" w:rsidRPr="002F00D3" w:rsidRDefault="002F00D3" w:rsidP="002F00D3">
      <w:pPr>
        <w:pStyle w:val="Heading2"/>
        <w:spacing w:before="0" w:line="240" w:lineRule="auto"/>
        <w:rPr>
          <w:rFonts w:ascii="Arial" w:hAnsi="Arial" w:cs="Arial"/>
          <w:b/>
          <w:bCs/>
          <w:color w:val="4472C4" w:themeColor="accent1"/>
          <w:sz w:val="20"/>
          <w:szCs w:val="20"/>
        </w:rPr>
      </w:pPr>
    </w:p>
    <w:p w14:paraId="3019CCEE" w14:textId="19845DF4"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Investigations</w:t>
      </w:r>
    </w:p>
    <w:p w14:paraId="68D78CD1"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Blood tests</w:t>
      </w:r>
    </w:p>
    <w:p w14:paraId="30421D45" w14:textId="77777777"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Blood tests such as </w:t>
      </w:r>
      <w:hyperlink r:id="rId92" w:tooltip="Learn more about Erythrocyte Sedimentation Rate from ScienceDirect's AI-generated Topic Pages" w:history="1">
        <w:r w:rsidRPr="002F00D3">
          <w:rPr>
            <w:rStyle w:val="Hyperlink"/>
            <w:rFonts w:ascii="Arial" w:hAnsi="Arial" w:cs="Arial"/>
            <w:color w:val="auto"/>
            <w:sz w:val="20"/>
            <w:szCs w:val="20"/>
            <w:u w:val="none"/>
          </w:rPr>
          <w:t>erythrocyte sedimentation rate</w:t>
        </w:r>
      </w:hyperlink>
      <w:r w:rsidRPr="002F00D3">
        <w:rPr>
          <w:rFonts w:ascii="Arial" w:hAnsi="Arial" w:cs="Arial"/>
          <w:sz w:val="20"/>
          <w:szCs w:val="20"/>
        </w:rPr>
        <w:t> tend to be normal in OA. A modestly elevated serum </w:t>
      </w:r>
      <w:hyperlink r:id="rId93" w:tooltip="Learn more about C Reactive Protein from ScienceDirect's AI-generated Topic Pages" w:history="1">
        <w:r w:rsidRPr="002F00D3">
          <w:rPr>
            <w:rStyle w:val="Hyperlink"/>
            <w:rFonts w:ascii="Arial" w:hAnsi="Arial" w:cs="Arial"/>
            <w:color w:val="auto"/>
            <w:sz w:val="20"/>
            <w:szCs w:val="20"/>
            <w:u w:val="none"/>
          </w:rPr>
          <w:t>C-reactive protein</w:t>
        </w:r>
      </w:hyperlink>
      <w:r w:rsidRPr="002F00D3">
        <w:rPr>
          <w:rFonts w:ascii="Arial" w:hAnsi="Arial" w:cs="Arial"/>
          <w:sz w:val="20"/>
          <w:szCs w:val="20"/>
        </w:rPr>
        <w:t> concentration can be associated with OA in some patients, particularly where there is effusion </w:t>
      </w:r>
      <w:hyperlink r:id="rId94" w:tooltip="Learn more about Synovitis from ScienceDirect's AI-generated Topic Pages" w:history="1">
        <w:r w:rsidRPr="002F00D3">
          <w:rPr>
            <w:rStyle w:val="Hyperlink"/>
            <w:rFonts w:ascii="Arial" w:hAnsi="Arial" w:cs="Arial"/>
            <w:color w:val="auto"/>
            <w:sz w:val="20"/>
            <w:szCs w:val="20"/>
            <w:u w:val="none"/>
          </w:rPr>
          <w:t>synovitis</w:t>
        </w:r>
      </w:hyperlink>
      <w:r w:rsidRPr="002F00D3">
        <w:rPr>
          <w:rFonts w:ascii="Arial" w:hAnsi="Arial" w:cs="Arial"/>
          <w:sz w:val="20"/>
          <w:szCs w:val="20"/>
        </w:rPr>
        <w:t>. A number of matrix degradation products such as </w:t>
      </w:r>
      <w:hyperlink r:id="rId95" w:tooltip="Learn more about Restylane from ScienceDirect's AI-generated Topic Pages" w:history="1">
        <w:r w:rsidRPr="002F00D3">
          <w:rPr>
            <w:rStyle w:val="Hyperlink"/>
            <w:rFonts w:ascii="Arial" w:hAnsi="Arial" w:cs="Arial"/>
            <w:color w:val="auto"/>
            <w:sz w:val="20"/>
            <w:szCs w:val="20"/>
            <w:u w:val="none"/>
          </w:rPr>
          <w:t>hyaluronan</w:t>
        </w:r>
      </w:hyperlink>
      <w:r w:rsidRPr="002F00D3">
        <w:rPr>
          <w:rFonts w:ascii="Arial" w:hAnsi="Arial" w:cs="Arial"/>
          <w:sz w:val="20"/>
          <w:szCs w:val="20"/>
        </w:rPr>
        <w:t>, </w:t>
      </w:r>
      <w:hyperlink r:id="rId96" w:tooltip="Learn more about Collagen Type 2 from ScienceDirect's AI-generated Topic Pages" w:history="1">
        <w:r w:rsidRPr="002F00D3">
          <w:rPr>
            <w:rStyle w:val="Hyperlink"/>
            <w:rFonts w:ascii="Arial" w:hAnsi="Arial" w:cs="Arial"/>
            <w:color w:val="auto"/>
            <w:sz w:val="20"/>
            <w:szCs w:val="20"/>
            <w:u w:val="none"/>
          </w:rPr>
          <w:t>type II collagen</w:t>
        </w:r>
      </w:hyperlink>
      <w:r w:rsidRPr="002F00D3">
        <w:rPr>
          <w:rFonts w:ascii="Arial" w:hAnsi="Arial" w:cs="Arial"/>
          <w:sz w:val="20"/>
          <w:szCs w:val="20"/>
        </w:rPr>
        <w:t> peptides and </w:t>
      </w:r>
      <w:hyperlink r:id="rId97" w:tooltip="Learn more about Cartilage Oligomeric Matrix Protein from ScienceDirect's AI-generated Topic Pages" w:history="1">
        <w:r w:rsidRPr="002F00D3">
          <w:rPr>
            <w:rStyle w:val="Hyperlink"/>
            <w:rFonts w:ascii="Arial" w:hAnsi="Arial" w:cs="Arial"/>
            <w:color w:val="auto"/>
            <w:sz w:val="20"/>
            <w:szCs w:val="20"/>
            <w:u w:val="none"/>
          </w:rPr>
          <w:t>cartilage oligomeric matrix protein</w:t>
        </w:r>
      </w:hyperlink>
      <w:r w:rsidRPr="002F00D3">
        <w:rPr>
          <w:rFonts w:ascii="Arial" w:hAnsi="Arial" w:cs="Arial"/>
          <w:sz w:val="20"/>
          <w:szCs w:val="20"/>
        </w:rPr>
        <w:t> have been investigated as experimental biomarkers for OA. However, none has yet proved useful in a clinical setting to aid diagnosis, assess prognosis or monitor disease or response to treatment at the level of the individual. The search continues for novel prognostic and diagnostic biomarkers for the disease that will enable the development of new medical treatments.</w:t>
      </w:r>
    </w:p>
    <w:p w14:paraId="5A655A19" w14:textId="77777777" w:rsidR="002F00D3" w:rsidRPr="002F00D3" w:rsidRDefault="002F00D3" w:rsidP="002F00D3">
      <w:pPr>
        <w:pStyle w:val="Heading3"/>
        <w:spacing w:before="0" w:line="240" w:lineRule="auto"/>
        <w:rPr>
          <w:rFonts w:ascii="Arial" w:hAnsi="Arial" w:cs="Arial"/>
          <w:b/>
          <w:bCs/>
          <w:color w:val="auto"/>
          <w:sz w:val="20"/>
          <w:szCs w:val="20"/>
        </w:rPr>
      </w:pPr>
    </w:p>
    <w:p w14:paraId="7369B6C1" w14:textId="74E398AF"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Radiography</w:t>
      </w:r>
    </w:p>
    <w:p w14:paraId="39951063" w14:textId="14877B38"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The classical features of radiographic OA are shown in </w:t>
      </w:r>
      <w:hyperlink r:id="rId98" w:anchor="fig2" w:history="1">
        <w:r w:rsidRPr="002F00D3">
          <w:rPr>
            <w:rStyle w:val="Hyperlink"/>
            <w:rFonts w:ascii="Arial" w:hAnsi="Arial" w:cs="Arial"/>
            <w:color w:val="auto"/>
            <w:sz w:val="20"/>
            <w:szCs w:val="20"/>
            <w:u w:val="none"/>
          </w:rPr>
          <w:t>Figure 2</w:t>
        </w:r>
      </w:hyperlink>
      <w:r w:rsidRPr="002F00D3">
        <w:rPr>
          <w:rFonts w:ascii="Arial" w:hAnsi="Arial" w:cs="Arial"/>
          <w:sz w:val="20"/>
          <w:szCs w:val="20"/>
        </w:rPr>
        <w:t>, </w:t>
      </w:r>
      <w:hyperlink r:id="rId99" w:anchor="fig3" w:history="1">
        <w:r w:rsidRPr="002F00D3">
          <w:rPr>
            <w:rStyle w:val="Hyperlink"/>
            <w:rFonts w:ascii="Arial" w:hAnsi="Arial" w:cs="Arial"/>
            <w:color w:val="auto"/>
            <w:sz w:val="20"/>
            <w:szCs w:val="20"/>
            <w:u w:val="none"/>
          </w:rPr>
          <w:t>Figure 3</w:t>
        </w:r>
      </w:hyperlink>
      <w:r w:rsidRPr="002F00D3">
        <w:rPr>
          <w:rFonts w:ascii="Arial" w:hAnsi="Arial" w:cs="Arial"/>
          <w:sz w:val="20"/>
          <w:szCs w:val="20"/>
        </w:rPr>
        <w:t>c. Joint space narrowing on an X-ray reflects the progressive loss of volume of </w:t>
      </w:r>
      <w:hyperlink r:id="rId100" w:tooltip="Learn more about Articular Cartilage from ScienceDirect's AI-generated Topic Pages" w:history="1">
        <w:r w:rsidRPr="002F00D3">
          <w:rPr>
            <w:rStyle w:val="Hyperlink"/>
            <w:rFonts w:ascii="Arial" w:hAnsi="Arial" w:cs="Arial"/>
            <w:color w:val="auto"/>
            <w:sz w:val="20"/>
            <w:szCs w:val="20"/>
            <w:u w:val="none"/>
          </w:rPr>
          <w:t>articular cartilage</w:t>
        </w:r>
      </w:hyperlink>
      <w:r w:rsidRPr="002F00D3">
        <w:rPr>
          <w:rFonts w:ascii="Arial" w:hAnsi="Arial" w:cs="Arial"/>
          <w:sz w:val="20"/>
          <w:szCs w:val="20"/>
        </w:rPr>
        <w:t> seen in the disease. Bone density is maintained and often increases subchondrally (‘subchondral sclerosis’). In contrast, the presence of </w:t>
      </w:r>
      <w:hyperlink r:id="rId101" w:tooltip="Learn more about Osteophyte from ScienceDirect's AI-generated Topic Pages" w:history="1">
        <w:r w:rsidRPr="002F00D3">
          <w:rPr>
            <w:rStyle w:val="Hyperlink"/>
            <w:rFonts w:ascii="Arial" w:hAnsi="Arial" w:cs="Arial"/>
            <w:color w:val="auto"/>
            <w:sz w:val="20"/>
            <w:szCs w:val="20"/>
            <w:u w:val="none"/>
          </w:rPr>
          <w:t>osteophytes</w:t>
        </w:r>
      </w:hyperlink>
      <w:r w:rsidRPr="002F00D3">
        <w:rPr>
          <w:rFonts w:ascii="Arial" w:hAnsi="Arial" w:cs="Arial"/>
          <w:sz w:val="20"/>
          <w:szCs w:val="20"/>
        </w:rPr>
        <w:t> (bony spurs around the joint) is quite specific to OA. Not all radiographic features need be present for diagnosis, but joint space narrowing alone can be seen in other </w:t>
      </w:r>
      <w:hyperlink r:id="rId102" w:tooltip="Learn more about Arthropathy from ScienceDirect's AI-generated Topic Pages" w:history="1">
        <w:r w:rsidRPr="002F00D3">
          <w:rPr>
            <w:rStyle w:val="Hyperlink"/>
            <w:rFonts w:ascii="Arial" w:hAnsi="Arial" w:cs="Arial"/>
            <w:color w:val="auto"/>
            <w:sz w:val="20"/>
            <w:szCs w:val="20"/>
            <w:u w:val="none"/>
          </w:rPr>
          <w:t>arthropathies</w:t>
        </w:r>
      </w:hyperlink>
      <w:r w:rsidRPr="002F00D3">
        <w:rPr>
          <w:rFonts w:ascii="Arial" w:hAnsi="Arial" w:cs="Arial"/>
          <w:sz w:val="20"/>
          <w:szCs w:val="20"/>
        </w:rPr>
        <w:t>. It is recommended that weight-bearing X-rays are taken of load-bearing joints such as the knee, as this increases sensitivity for the detection of joint space narrowing. Lateral or skyline views of the knee enable a review of the </w:t>
      </w:r>
      <w:hyperlink r:id="rId103" w:tooltip="Learn more about Patellofemoral Joint from ScienceDirect's AI-generated Topic Pages" w:history="1">
        <w:r w:rsidRPr="002F00D3">
          <w:rPr>
            <w:rStyle w:val="Hyperlink"/>
            <w:rFonts w:ascii="Arial" w:hAnsi="Arial" w:cs="Arial"/>
            <w:color w:val="auto"/>
            <w:sz w:val="20"/>
            <w:szCs w:val="20"/>
            <w:u w:val="none"/>
          </w:rPr>
          <w:t>patello-femoral joint</w:t>
        </w:r>
      </w:hyperlink>
      <w:r w:rsidRPr="002F00D3">
        <w:rPr>
          <w:rFonts w:ascii="Arial" w:hAnsi="Arial" w:cs="Arial"/>
          <w:sz w:val="20"/>
          <w:szCs w:val="20"/>
        </w:rPr>
        <w:t> (</w:t>
      </w:r>
      <w:hyperlink r:id="rId104" w:anchor="fig3" w:history="1">
        <w:r w:rsidRPr="002F00D3">
          <w:rPr>
            <w:rStyle w:val="Hyperlink"/>
            <w:rFonts w:ascii="Arial" w:hAnsi="Arial" w:cs="Arial"/>
            <w:color w:val="auto"/>
            <w:sz w:val="20"/>
            <w:szCs w:val="20"/>
            <w:u w:val="none"/>
          </w:rPr>
          <w:t>Figure 3</w:t>
        </w:r>
      </w:hyperlink>
      <w:r w:rsidRPr="002F00D3">
        <w:rPr>
          <w:rFonts w:ascii="Arial" w:hAnsi="Arial" w:cs="Arial"/>
          <w:sz w:val="20"/>
          <w:szCs w:val="20"/>
        </w:rPr>
        <w:t>d). Radiographic severity of OA can be graded using the Kellgren–Lawrence scale (where 0 is a normal joint, and 4 is severe joint space narrowing</w:t>
      </w:r>
      <w:r w:rsidR="00E25D08">
        <w:rPr>
          <w:rFonts w:ascii="Arial" w:hAnsi="Arial" w:cs="Arial"/>
          <w:sz w:val="20"/>
          <w:szCs w:val="20"/>
        </w:rPr>
        <w:t xml:space="preserve"> and osteophytosis</w:t>
      </w:r>
      <w:r w:rsidRPr="002F00D3">
        <w:rPr>
          <w:rFonts w:ascii="Arial" w:hAnsi="Arial" w:cs="Arial"/>
          <w:sz w:val="20"/>
          <w:szCs w:val="20"/>
        </w:rPr>
        <w:t xml:space="preserve">, </w:t>
      </w:r>
      <w:r w:rsidR="000C2ED6">
        <w:rPr>
          <w:rFonts w:ascii="Arial" w:hAnsi="Arial" w:cs="Arial"/>
          <w:sz w:val="20"/>
          <w:szCs w:val="20"/>
        </w:rPr>
        <w:t xml:space="preserve">associated with sclerotic, attritional </w:t>
      </w:r>
      <w:r w:rsidRPr="002F00D3">
        <w:rPr>
          <w:rFonts w:ascii="Arial" w:hAnsi="Arial" w:cs="Arial"/>
          <w:sz w:val="20"/>
          <w:szCs w:val="20"/>
        </w:rPr>
        <w:t>end-stage disease).</w:t>
      </w:r>
    </w:p>
    <w:p w14:paraId="26A26CA0" w14:textId="6714CAAF" w:rsidR="00D71D44" w:rsidRPr="002F00D3" w:rsidRDefault="00014C79" w:rsidP="002F00D3">
      <w:pPr>
        <w:pStyle w:val="NormalWeb"/>
        <w:spacing w:before="0" w:beforeAutospacing="0" w:after="0" w:afterAutospacing="0"/>
        <w:ind w:firstLine="720"/>
        <w:rPr>
          <w:rFonts w:ascii="Arial" w:hAnsi="Arial" w:cs="Arial"/>
          <w:sz w:val="20"/>
          <w:szCs w:val="20"/>
        </w:rPr>
      </w:pPr>
      <w:hyperlink r:id="rId105" w:tooltip="Learn more about Chondrocalcinosis from ScienceDirect's AI-generated Topic Pages" w:history="1">
        <w:r w:rsidR="00D71D44" w:rsidRPr="002F00D3">
          <w:rPr>
            <w:rStyle w:val="Hyperlink"/>
            <w:rFonts w:ascii="Arial" w:hAnsi="Arial" w:cs="Arial"/>
            <w:color w:val="auto"/>
            <w:sz w:val="20"/>
            <w:szCs w:val="20"/>
            <w:u w:val="none"/>
          </w:rPr>
          <w:t>Chondrocalcinosis</w:t>
        </w:r>
      </w:hyperlink>
      <w:r w:rsidR="00D71D44" w:rsidRPr="002F00D3">
        <w:rPr>
          <w:rFonts w:ascii="Arial" w:hAnsi="Arial" w:cs="Arial"/>
          <w:sz w:val="20"/>
          <w:szCs w:val="20"/>
        </w:rPr>
        <w:t> resulting from secondary </w:t>
      </w:r>
      <w:hyperlink r:id="rId106" w:tooltip="Learn more about Calcium Pyrophosphate from ScienceDirect's AI-generated Topic Pages" w:history="1">
        <w:r w:rsidR="00D71D44" w:rsidRPr="002F00D3">
          <w:rPr>
            <w:rStyle w:val="Hyperlink"/>
            <w:rFonts w:ascii="Arial" w:hAnsi="Arial" w:cs="Arial"/>
            <w:color w:val="auto"/>
            <w:sz w:val="20"/>
            <w:szCs w:val="20"/>
            <w:u w:val="none"/>
          </w:rPr>
          <w:t>calcium pyrophosphate</w:t>
        </w:r>
      </w:hyperlink>
      <w:r w:rsidR="00D71D44" w:rsidRPr="002F00D3">
        <w:rPr>
          <w:rFonts w:ascii="Arial" w:hAnsi="Arial" w:cs="Arial"/>
          <w:sz w:val="20"/>
          <w:szCs w:val="20"/>
        </w:rPr>
        <w:t> deposition in cartilage may be visible on X-rays (the knee and wrist being frequently affected). Calcium crystals are seen in 12–60% of </w:t>
      </w:r>
      <w:hyperlink r:id="rId107" w:tooltip="Learn more about Synovial Fluid from ScienceDirect's AI-generated Topic Pages" w:history="1">
        <w:r w:rsidR="00D71D44" w:rsidRPr="002F00D3">
          <w:rPr>
            <w:rStyle w:val="Hyperlink"/>
            <w:rFonts w:ascii="Arial" w:hAnsi="Arial" w:cs="Arial"/>
            <w:color w:val="auto"/>
            <w:sz w:val="20"/>
            <w:szCs w:val="20"/>
            <w:u w:val="none"/>
          </w:rPr>
          <w:t>synovial fluids</w:t>
        </w:r>
      </w:hyperlink>
      <w:r w:rsidR="00D71D44" w:rsidRPr="002F00D3">
        <w:rPr>
          <w:rFonts w:ascii="Arial" w:hAnsi="Arial" w:cs="Arial"/>
          <w:sz w:val="20"/>
          <w:szCs w:val="20"/>
        </w:rPr>
        <w:t xml:space="preserve"> in patients with OA who have effusions, and are responsible for episodic inflammatory symptoms in some </w:t>
      </w:r>
      <w:r w:rsidR="0024491B">
        <w:rPr>
          <w:rFonts w:ascii="Arial" w:hAnsi="Arial" w:cs="Arial"/>
          <w:sz w:val="20"/>
          <w:szCs w:val="20"/>
        </w:rPr>
        <w:t xml:space="preserve">people with </w:t>
      </w:r>
      <w:r w:rsidR="00D71D44" w:rsidRPr="002F00D3">
        <w:rPr>
          <w:rFonts w:ascii="Arial" w:hAnsi="Arial" w:cs="Arial"/>
          <w:sz w:val="20"/>
          <w:szCs w:val="20"/>
        </w:rPr>
        <w:t>OA.</w:t>
      </w:r>
    </w:p>
    <w:p w14:paraId="402DF49E" w14:textId="77777777"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Plain X-rays can be normal in early disease. </w:t>
      </w:r>
      <w:hyperlink r:id="rId108" w:tooltip="Learn more about Radioisotope from ScienceDirect's AI-generated Topic Pages" w:history="1">
        <w:r w:rsidRPr="002F00D3">
          <w:rPr>
            <w:rStyle w:val="Hyperlink"/>
            <w:rFonts w:ascii="Arial" w:hAnsi="Arial" w:cs="Arial"/>
            <w:color w:val="auto"/>
            <w:sz w:val="20"/>
            <w:szCs w:val="20"/>
            <w:u w:val="none"/>
          </w:rPr>
          <w:t>Radioisotope</w:t>
        </w:r>
      </w:hyperlink>
      <w:r w:rsidRPr="002F00D3">
        <w:rPr>
          <w:rFonts w:ascii="Arial" w:hAnsi="Arial" w:cs="Arial"/>
          <w:sz w:val="20"/>
          <w:szCs w:val="20"/>
        </w:rPr>
        <w:t> </w:t>
      </w:r>
      <w:hyperlink r:id="rId109" w:tooltip="Learn more about Bone Scintigraphy from ScienceDirect's AI-generated Topic Pages" w:history="1">
        <w:r w:rsidRPr="002F00D3">
          <w:rPr>
            <w:rStyle w:val="Hyperlink"/>
            <w:rFonts w:ascii="Arial" w:hAnsi="Arial" w:cs="Arial"/>
            <w:color w:val="auto"/>
            <w:sz w:val="20"/>
            <w:szCs w:val="20"/>
            <w:u w:val="none"/>
          </w:rPr>
          <w:t>bone scans</w:t>
        </w:r>
      </w:hyperlink>
      <w:r w:rsidRPr="002F00D3">
        <w:rPr>
          <w:rFonts w:ascii="Arial" w:hAnsi="Arial" w:cs="Arial"/>
          <w:sz w:val="20"/>
          <w:szCs w:val="20"/>
        </w:rPr>
        <w:t> frequently show modestly increased uptake in affected joints (</w:t>
      </w:r>
      <w:hyperlink r:id="rId110" w:anchor="fig2" w:history="1">
        <w:r w:rsidRPr="002F00D3">
          <w:rPr>
            <w:rStyle w:val="Hyperlink"/>
            <w:rFonts w:ascii="Arial" w:hAnsi="Arial" w:cs="Arial"/>
            <w:color w:val="auto"/>
            <w:sz w:val="20"/>
            <w:szCs w:val="20"/>
            <w:u w:val="none"/>
          </w:rPr>
          <w:t>Figure 2</w:t>
        </w:r>
      </w:hyperlink>
      <w:r w:rsidRPr="002F00D3">
        <w:rPr>
          <w:rFonts w:ascii="Arial" w:hAnsi="Arial" w:cs="Arial"/>
          <w:sz w:val="20"/>
          <w:szCs w:val="20"/>
        </w:rPr>
        <w:t>b), although they are rarely justifiable clinically. Increasingly sophisticated </w:t>
      </w:r>
      <w:hyperlink r:id="rId111" w:tooltip="Learn more about Imaging Technique from ScienceDirect's AI-generated Topic Pages" w:history="1">
        <w:r w:rsidRPr="002F00D3">
          <w:rPr>
            <w:rStyle w:val="Hyperlink"/>
            <w:rFonts w:ascii="Arial" w:hAnsi="Arial" w:cs="Arial"/>
            <w:color w:val="auto"/>
            <w:sz w:val="20"/>
            <w:szCs w:val="20"/>
            <w:u w:val="none"/>
          </w:rPr>
          <w:t>imaging techniques</w:t>
        </w:r>
      </w:hyperlink>
      <w:r w:rsidRPr="002F00D3">
        <w:rPr>
          <w:rFonts w:ascii="Arial" w:hAnsi="Arial" w:cs="Arial"/>
          <w:sz w:val="20"/>
          <w:szCs w:val="20"/>
        </w:rPr>
        <w:t> allow us to visualize joint tissues with increasing resolution.</w:t>
      </w:r>
    </w:p>
    <w:p w14:paraId="3E0E179B" w14:textId="2A174159" w:rsidR="00D71D44" w:rsidRPr="002F00D3" w:rsidRDefault="00014C79" w:rsidP="002F00D3">
      <w:pPr>
        <w:pStyle w:val="NormalWeb"/>
        <w:spacing w:before="0" w:beforeAutospacing="0" w:after="0" w:afterAutospacing="0"/>
        <w:ind w:firstLine="720"/>
        <w:rPr>
          <w:rFonts w:ascii="Arial" w:hAnsi="Arial" w:cs="Arial"/>
          <w:sz w:val="20"/>
          <w:szCs w:val="20"/>
        </w:rPr>
      </w:pPr>
      <w:hyperlink r:id="rId112" w:tooltip="Learn more about Magnetic Resonance Imaging from ScienceDirect's AI-generated Topic Pages" w:history="1">
        <w:r w:rsidR="00D71D44" w:rsidRPr="002F00D3">
          <w:rPr>
            <w:rStyle w:val="Hyperlink"/>
            <w:rFonts w:ascii="Arial" w:hAnsi="Arial" w:cs="Arial"/>
            <w:color w:val="auto"/>
            <w:sz w:val="20"/>
            <w:szCs w:val="20"/>
            <w:u w:val="none"/>
          </w:rPr>
          <w:t>Magnetic resonance imaging</w:t>
        </w:r>
      </w:hyperlink>
      <w:r w:rsidR="00D71D44" w:rsidRPr="002F00D3">
        <w:rPr>
          <w:rFonts w:ascii="Arial" w:hAnsi="Arial" w:cs="Arial"/>
          <w:sz w:val="20"/>
          <w:szCs w:val="20"/>
        </w:rPr>
        <w:t> (MRI) has been increasingly used as a research tool</w:t>
      </w:r>
      <w:r w:rsidR="00D34E35">
        <w:rPr>
          <w:rFonts w:ascii="Arial" w:hAnsi="Arial" w:cs="Arial"/>
          <w:sz w:val="20"/>
          <w:szCs w:val="20"/>
        </w:rPr>
        <w:t xml:space="preserve"> and clinical trials outcome</w:t>
      </w:r>
      <w:r w:rsidR="00D71D44" w:rsidRPr="002F00D3">
        <w:rPr>
          <w:rFonts w:ascii="Arial" w:hAnsi="Arial" w:cs="Arial"/>
          <w:sz w:val="20"/>
          <w:szCs w:val="20"/>
        </w:rPr>
        <w:t xml:space="preserve"> in OA to demonstrate change over time in the cartilage, bone and soft tissues. However, although musculoskeletal ultrasound and </w:t>
      </w:r>
      <w:hyperlink r:id="rId113" w:tooltip="Learn more about Magnetic Resonance Imaging from ScienceDirect's AI-generated Topic Pages" w:history="1">
        <w:r w:rsidR="00D71D44" w:rsidRPr="002F00D3">
          <w:rPr>
            <w:rStyle w:val="Hyperlink"/>
            <w:rFonts w:ascii="Arial" w:hAnsi="Arial" w:cs="Arial"/>
            <w:color w:val="auto"/>
            <w:sz w:val="20"/>
            <w:szCs w:val="20"/>
            <w:u w:val="none"/>
          </w:rPr>
          <w:t>MRI</w:t>
        </w:r>
      </w:hyperlink>
      <w:r w:rsidR="00D71D44" w:rsidRPr="002F00D3">
        <w:rPr>
          <w:rFonts w:ascii="Arial" w:hAnsi="Arial" w:cs="Arial"/>
          <w:sz w:val="20"/>
          <w:szCs w:val="20"/>
        </w:rPr>
        <w:t> can sometimes detect OA processes in advance of established radiographic change (e.g. early osteophytes on ultrasound, or change in the morphology or volume of articular cartilage on MRI), there are no widely agreed, validated diagnostic criteria for these modalities. </w:t>
      </w:r>
      <w:hyperlink r:id="rId114" w:tooltip="Learn more about Single-Photon Emission Computed Tomography from ScienceDirect's AI-generated Topic Pages" w:history="1">
        <w:r w:rsidR="00D71D44" w:rsidRPr="002F00D3">
          <w:rPr>
            <w:rStyle w:val="Hyperlink"/>
            <w:rFonts w:ascii="Arial" w:hAnsi="Arial" w:cs="Arial"/>
            <w:color w:val="auto"/>
            <w:sz w:val="20"/>
            <w:szCs w:val="20"/>
            <w:u w:val="none"/>
          </w:rPr>
          <w:t>Single photon emission computed tomography</w:t>
        </w:r>
      </w:hyperlink>
      <w:r w:rsidR="00D71D44" w:rsidRPr="002F00D3">
        <w:rPr>
          <w:rFonts w:ascii="Arial" w:hAnsi="Arial" w:cs="Arial"/>
          <w:sz w:val="20"/>
          <w:szCs w:val="20"/>
        </w:rPr>
        <w:t xml:space="preserve">, operating with a conventional CT scanner, and MRI are useful in the assessment of </w:t>
      </w:r>
      <w:r w:rsidR="001A65EE">
        <w:rPr>
          <w:rFonts w:ascii="Arial" w:hAnsi="Arial" w:cs="Arial"/>
          <w:sz w:val="20"/>
          <w:szCs w:val="20"/>
        </w:rPr>
        <w:t xml:space="preserve">those </w:t>
      </w:r>
      <w:r w:rsidR="00D71D44" w:rsidRPr="002F00D3">
        <w:rPr>
          <w:rFonts w:ascii="Arial" w:hAnsi="Arial" w:cs="Arial"/>
          <w:sz w:val="20"/>
          <w:szCs w:val="20"/>
        </w:rPr>
        <w:t>considering surgical intervention earlier in the disease (e.g. for isolated cartilage defects in younger individuals with a history of sports injuries</w:t>
      </w:r>
      <w:r w:rsidR="001A65EE">
        <w:rPr>
          <w:rFonts w:ascii="Arial" w:hAnsi="Arial" w:cs="Arial"/>
          <w:sz w:val="20"/>
          <w:szCs w:val="20"/>
        </w:rPr>
        <w:t>, or those considering unicompartmental joint replacement</w:t>
      </w:r>
      <w:r w:rsidR="00D71D44" w:rsidRPr="002F00D3">
        <w:rPr>
          <w:rFonts w:ascii="Arial" w:hAnsi="Arial" w:cs="Arial"/>
          <w:sz w:val="20"/>
          <w:szCs w:val="20"/>
        </w:rPr>
        <w:t xml:space="preserve">). However, </w:t>
      </w:r>
      <w:r w:rsidR="00B070FE">
        <w:rPr>
          <w:rFonts w:ascii="Arial" w:hAnsi="Arial" w:cs="Arial"/>
          <w:sz w:val="20"/>
          <w:szCs w:val="20"/>
        </w:rPr>
        <w:t>they do not have a</w:t>
      </w:r>
      <w:r w:rsidR="00B070FE" w:rsidRPr="002F00D3">
        <w:rPr>
          <w:rFonts w:ascii="Arial" w:hAnsi="Arial" w:cs="Arial"/>
          <w:sz w:val="20"/>
          <w:szCs w:val="20"/>
        </w:rPr>
        <w:t xml:space="preserve"> </w:t>
      </w:r>
      <w:r w:rsidR="00D71D44" w:rsidRPr="002F00D3">
        <w:rPr>
          <w:rFonts w:ascii="Arial" w:hAnsi="Arial" w:cs="Arial"/>
          <w:sz w:val="20"/>
          <w:szCs w:val="20"/>
        </w:rPr>
        <w:t>place in other routine clinical assessment</w:t>
      </w:r>
      <w:r w:rsidR="00B070FE">
        <w:rPr>
          <w:rFonts w:ascii="Arial" w:hAnsi="Arial" w:cs="Arial"/>
          <w:sz w:val="20"/>
          <w:szCs w:val="20"/>
        </w:rPr>
        <w:t xml:space="preserve"> unless other diagnoses are suspected</w:t>
      </w:r>
      <w:r w:rsidR="00D71D44" w:rsidRPr="002F00D3">
        <w:rPr>
          <w:rFonts w:ascii="Arial" w:hAnsi="Arial" w:cs="Arial"/>
          <w:sz w:val="20"/>
          <w:szCs w:val="20"/>
        </w:rPr>
        <w:t>.</w:t>
      </w:r>
    </w:p>
    <w:p w14:paraId="5C0BF78A" w14:textId="77777777" w:rsidR="002F00D3" w:rsidRPr="002F00D3" w:rsidRDefault="002F00D3" w:rsidP="002F00D3">
      <w:pPr>
        <w:pStyle w:val="Heading2"/>
        <w:spacing w:before="0" w:line="240" w:lineRule="auto"/>
        <w:rPr>
          <w:rFonts w:ascii="Arial" w:hAnsi="Arial" w:cs="Arial"/>
          <w:b/>
          <w:bCs/>
          <w:color w:val="4472C4" w:themeColor="accent1"/>
          <w:sz w:val="20"/>
          <w:szCs w:val="20"/>
        </w:rPr>
      </w:pPr>
    </w:p>
    <w:p w14:paraId="3DAC76B7" w14:textId="7D3E59E7" w:rsidR="00D71D44" w:rsidRPr="002F00D3" w:rsidRDefault="00D71D44" w:rsidP="002F00D3">
      <w:pPr>
        <w:pStyle w:val="Heading2"/>
        <w:spacing w:before="0" w:line="240" w:lineRule="auto"/>
        <w:rPr>
          <w:rFonts w:ascii="Arial" w:hAnsi="Arial" w:cs="Arial"/>
          <w:b/>
          <w:bCs/>
          <w:color w:val="4472C4" w:themeColor="accent1"/>
          <w:sz w:val="20"/>
          <w:szCs w:val="20"/>
        </w:rPr>
      </w:pPr>
      <w:r w:rsidRPr="002F00D3">
        <w:rPr>
          <w:rFonts w:ascii="Arial" w:hAnsi="Arial" w:cs="Arial"/>
          <w:b/>
          <w:bCs/>
          <w:color w:val="4472C4" w:themeColor="accent1"/>
          <w:sz w:val="20"/>
          <w:szCs w:val="20"/>
        </w:rPr>
        <w:t>Management</w:t>
      </w:r>
    </w:p>
    <w:p w14:paraId="1C53296B" w14:textId="63CEC8E4"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Current management falls into four broad areas: education and supportive/lifestyle measures and non-pharmacological, pharmacological and surgical interventions. A summary of the clinical guidelines for the care and management of OA in adults by the National Institute for Health and Care Excellence (NICE) is shown in </w:t>
      </w:r>
      <w:bookmarkStart w:id="8" w:name="bfig4"/>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"fig4"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Figure 4</w:t>
      </w:r>
      <w:r w:rsidRPr="002F00D3">
        <w:rPr>
          <w:rFonts w:ascii="Arial" w:hAnsi="Arial" w:cs="Arial"/>
          <w:sz w:val="20"/>
          <w:szCs w:val="20"/>
        </w:rPr>
        <w:fldChar w:fldCharType="end"/>
      </w:r>
      <w:bookmarkEnd w:id="8"/>
      <w:r w:rsidRPr="002F00D3">
        <w:rPr>
          <w:rFonts w:ascii="Arial" w:hAnsi="Arial" w:cs="Arial"/>
          <w:sz w:val="20"/>
          <w:szCs w:val="20"/>
        </w:rPr>
        <w:t>.</w:t>
      </w:r>
      <w:r w:rsidR="00FA73E9" w:rsidRPr="00014C79">
        <w:t>4</w:t>
      </w:r>
      <w:r w:rsidR="00FA73E9" w:rsidRPr="002F00D3">
        <w:rPr>
          <w:rFonts w:ascii="Arial" w:hAnsi="Arial" w:cs="Arial"/>
          <w:sz w:val="20"/>
          <w:szCs w:val="20"/>
        </w:rPr>
        <w:t> </w:t>
      </w:r>
      <w:r w:rsidRPr="002F00D3">
        <w:rPr>
          <w:rFonts w:ascii="Arial" w:hAnsi="Arial" w:cs="Arial"/>
          <w:sz w:val="20"/>
          <w:szCs w:val="20"/>
        </w:rPr>
        <w:t>Other guidelines have been produced by the European League against </w:t>
      </w:r>
      <w:hyperlink r:id="rId115" w:tooltip="Learn more about Rheumatic Disease from ScienceDirect's AI-generated Topic Pages" w:history="1">
        <w:r w:rsidRPr="002F00D3">
          <w:rPr>
            <w:rStyle w:val="Hyperlink"/>
            <w:rFonts w:ascii="Arial" w:hAnsi="Arial" w:cs="Arial"/>
            <w:color w:val="auto"/>
            <w:sz w:val="20"/>
            <w:szCs w:val="20"/>
            <w:u w:val="none"/>
          </w:rPr>
          <w:t>Rheumatism</w:t>
        </w:r>
      </w:hyperlink>
      <w:r w:rsidRPr="002F00D3">
        <w:rPr>
          <w:rFonts w:ascii="Arial" w:hAnsi="Arial" w:cs="Arial"/>
          <w:sz w:val="20"/>
          <w:szCs w:val="20"/>
        </w:rPr>
        <w:t> </w:t>
      </w:r>
      <w:r w:rsidR="005A4811">
        <w:rPr>
          <w:rFonts w:ascii="Arial" w:hAnsi="Arial" w:cs="Arial"/>
          <w:sz w:val="20"/>
          <w:szCs w:val="20"/>
        </w:rPr>
        <w:t xml:space="preserve">(EULAR) </w:t>
      </w:r>
      <w:r w:rsidRPr="002F00D3">
        <w:rPr>
          <w:rFonts w:ascii="Arial" w:hAnsi="Arial" w:cs="Arial"/>
          <w:sz w:val="20"/>
          <w:szCs w:val="20"/>
        </w:rPr>
        <w:t>and the </w:t>
      </w:r>
      <w:hyperlink r:id="rId116" w:tooltip="Learn more about Osteoarthritis from ScienceDirect's AI-generated Topic Pages" w:history="1">
        <w:r w:rsidRPr="002F00D3">
          <w:rPr>
            <w:rStyle w:val="Hyperlink"/>
            <w:rFonts w:ascii="Arial" w:hAnsi="Arial" w:cs="Arial"/>
            <w:color w:val="auto"/>
            <w:sz w:val="20"/>
            <w:szCs w:val="20"/>
            <w:u w:val="none"/>
          </w:rPr>
          <w:t>Osteoarthritis</w:t>
        </w:r>
      </w:hyperlink>
      <w:r w:rsidRPr="002F00D3">
        <w:rPr>
          <w:rFonts w:ascii="Arial" w:hAnsi="Arial" w:cs="Arial"/>
          <w:sz w:val="20"/>
          <w:szCs w:val="20"/>
        </w:rPr>
        <w:t> Research Society International</w:t>
      </w:r>
      <w:r w:rsidR="005A4811">
        <w:rPr>
          <w:rFonts w:ascii="Arial" w:hAnsi="Arial" w:cs="Arial"/>
          <w:sz w:val="20"/>
          <w:szCs w:val="20"/>
        </w:rPr>
        <w:t xml:space="preserve"> (OARSI)</w:t>
      </w:r>
      <w:r w:rsidRPr="002F00D3">
        <w:rPr>
          <w:rFonts w:ascii="Arial" w:hAnsi="Arial" w:cs="Arial"/>
          <w:sz w:val="20"/>
          <w:szCs w:val="20"/>
        </w:rPr>
        <w:t xml:space="preserve">, with broadly similar guidance. Despite its much greater prevalence, the medical treatment of OA lags </w:t>
      </w:r>
      <w:r w:rsidR="005A4811">
        <w:rPr>
          <w:rFonts w:ascii="Arial" w:hAnsi="Arial" w:cs="Arial"/>
          <w:sz w:val="20"/>
          <w:szCs w:val="20"/>
        </w:rPr>
        <w:t xml:space="preserve">well </w:t>
      </w:r>
      <w:r w:rsidRPr="002F00D3">
        <w:rPr>
          <w:rFonts w:ascii="Arial" w:hAnsi="Arial" w:cs="Arial"/>
          <w:sz w:val="20"/>
          <w:szCs w:val="20"/>
        </w:rPr>
        <w:t>behind that of diseases such as RA. No disease-modifying OA drugs are currently in routine clinical use.</w:t>
      </w:r>
    </w:p>
    <w:p w14:paraId="1225FE3A" w14:textId="3D68A6AB" w:rsidR="00D71D44" w:rsidRPr="002F00D3" w:rsidRDefault="00D71D44" w:rsidP="002F00D3">
      <w:pPr>
        <w:spacing w:after="0" w:line="240" w:lineRule="auto"/>
        <w:rPr>
          <w:rFonts w:ascii="Arial" w:hAnsi="Arial" w:cs="Arial"/>
          <w:b/>
          <w:bCs/>
          <w:sz w:val="20"/>
          <w:szCs w:val="20"/>
        </w:rPr>
      </w:pPr>
    </w:p>
    <w:p w14:paraId="4B6F4CAB" w14:textId="7777777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Supportive/lifestyle interventions</w:t>
      </w:r>
    </w:p>
    <w:p w14:paraId="07DD11C5" w14:textId="3814A86B"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 xml:space="preserve">Management should focus on the individual and include an assessment of the effect of OA on their work, leisure activities, function and quality of life. Patients should be educated </w:t>
      </w:r>
      <w:r w:rsidR="0088167C">
        <w:rPr>
          <w:rFonts w:ascii="Arial" w:hAnsi="Arial" w:cs="Arial"/>
          <w:sz w:val="20"/>
          <w:szCs w:val="20"/>
        </w:rPr>
        <w:t xml:space="preserve">about the condition </w:t>
      </w:r>
      <w:r w:rsidRPr="002F00D3">
        <w:rPr>
          <w:rFonts w:ascii="Arial" w:hAnsi="Arial" w:cs="Arial"/>
          <w:sz w:val="20"/>
          <w:szCs w:val="20"/>
        </w:rPr>
        <w:t>and given constructive messages about their disease, including its natural history and possibility of improvement with or without intervention early in the disease. All patients with OA should be encouraged to remain in work and to exercise. Delivery of care for OA is typically in primary care</w:t>
      </w:r>
      <w:r w:rsidR="00875993">
        <w:rPr>
          <w:rFonts w:ascii="Arial" w:hAnsi="Arial" w:cs="Arial"/>
          <w:sz w:val="20"/>
          <w:szCs w:val="20"/>
        </w:rPr>
        <w:t xml:space="preserve"> in the UK</w:t>
      </w:r>
      <w:r w:rsidRPr="002F00D3">
        <w:rPr>
          <w:rFonts w:ascii="Arial" w:hAnsi="Arial" w:cs="Arial"/>
          <w:sz w:val="20"/>
          <w:szCs w:val="20"/>
        </w:rPr>
        <w:t>. If there is persistent pain or poor response to multiple oral agents, doubt over the diagnosis or cause of the pain or progressive loss of function, referral to a specialist should be considered.</w:t>
      </w:r>
    </w:p>
    <w:p w14:paraId="57157A81" w14:textId="77777777" w:rsidR="002F00D3" w:rsidRDefault="002F00D3" w:rsidP="002F00D3">
      <w:pPr>
        <w:pStyle w:val="Heading3"/>
        <w:spacing w:before="0" w:line="240" w:lineRule="auto"/>
        <w:rPr>
          <w:rFonts w:ascii="Arial" w:hAnsi="Arial" w:cs="Arial"/>
          <w:color w:val="auto"/>
          <w:sz w:val="20"/>
          <w:szCs w:val="20"/>
        </w:rPr>
      </w:pPr>
    </w:p>
    <w:p w14:paraId="46FF5748" w14:textId="52245674"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Non-pharmacological interventions</w:t>
      </w:r>
    </w:p>
    <w:p w14:paraId="4CC43F25" w14:textId="2A27C196"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Advice on the importance of weight control in OA should be given to all patients (those in pain tend to exercise less and gain weight over time). General aerobic fitness, in addition to joint-specific exercises, is important for all types of OA. A </w:t>
      </w:r>
      <w:hyperlink r:id="rId117" w:tooltip="Learn more about Physiotherapist from ScienceDirect's AI-generated Topic Pages" w:history="1">
        <w:r w:rsidRPr="002F00D3">
          <w:rPr>
            <w:rStyle w:val="Hyperlink"/>
            <w:rFonts w:ascii="Arial" w:hAnsi="Arial" w:cs="Arial"/>
            <w:color w:val="auto"/>
            <w:sz w:val="20"/>
            <w:szCs w:val="20"/>
            <w:u w:val="none"/>
          </w:rPr>
          <w:t>physiotherapist</w:t>
        </w:r>
      </w:hyperlink>
      <w:r w:rsidRPr="002F00D3">
        <w:rPr>
          <w:rFonts w:ascii="Arial" w:hAnsi="Arial" w:cs="Arial"/>
          <w:sz w:val="20"/>
          <w:szCs w:val="20"/>
        </w:rPr>
        <w:t> or hand therapist's involvement may be appropriate but is not always necessary for the delivery of basic advice</w:t>
      </w:r>
      <w:r w:rsidR="00650449">
        <w:rPr>
          <w:rFonts w:ascii="Arial" w:hAnsi="Arial" w:cs="Arial"/>
          <w:sz w:val="20"/>
          <w:szCs w:val="20"/>
        </w:rPr>
        <w:t xml:space="preserve"> which may include online resources including videos of exercises</w:t>
      </w:r>
      <w:r w:rsidRPr="002F00D3">
        <w:rPr>
          <w:rFonts w:ascii="Arial" w:hAnsi="Arial" w:cs="Arial"/>
          <w:sz w:val="20"/>
          <w:szCs w:val="20"/>
        </w:rPr>
        <w:t xml:space="preserve">. Isometric quadriceps strengthening improves pain and prognosis in knee OA. With hand OA, both </w:t>
      </w:r>
      <w:r w:rsidR="00083822">
        <w:rPr>
          <w:rFonts w:ascii="Arial" w:hAnsi="Arial" w:cs="Arial"/>
          <w:sz w:val="20"/>
          <w:szCs w:val="20"/>
        </w:rPr>
        <w:t xml:space="preserve">range of movement and strengthening </w:t>
      </w:r>
      <w:r w:rsidRPr="002F00D3">
        <w:rPr>
          <w:rFonts w:ascii="Arial" w:hAnsi="Arial" w:cs="Arial"/>
          <w:sz w:val="20"/>
          <w:szCs w:val="20"/>
        </w:rPr>
        <w:t xml:space="preserve">hand exercises </w:t>
      </w:r>
      <w:r w:rsidR="00E25D08">
        <w:rPr>
          <w:rFonts w:ascii="Arial" w:hAnsi="Arial" w:cs="Arial"/>
          <w:sz w:val="20"/>
          <w:szCs w:val="20"/>
        </w:rPr>
        <w:t xml:space="preserve">(to prevent joint stiffening) </w:t>
      </w:r>
      <w:r w:rsidRPr="002F00D3">
        <w:rPr>
          <w:rFonts w:ascii="Arial" w:hAnsi="Arial" w:cs="Arial"/>
          <w:sz w:val="20"/>
          <w:szCs w:val="20"/>
        </w:rPr>
        <w:t xml:space="preserve">and splinting are helpful: splinting of the first CMC joint </w:t>
      </w:r>
      <w:r w:rsidR="00083822">
        <w:rPr>
          <w:rFonts w:ascii="Arial" w:hAnsi="Arial" w:cs="Arial"/>
          <w:sz w:val="20"/>
          <w:szCs w:val="20"/>
        </w:rPr>
        <w:t>appears to improve symptoms, though</w:t>
      </w:r>
      <w:r w:rsidR="00626B50">
        <w:rPr>
          <w:rFonts w:ascii="Arial" w:hAnsi="Arial" w:cs="Arial"/>
          <w:sz w:val="20"/>
          <w:szCs w:val="20"/>
        </w:rPr>
        <w:t xml:space="preserve"> some recent</w:t>
      </w:r>
      <w:r w:rsidR="00083822">
        <w:rPr>
          <w:rFonts w:ascii="Arial" w:hAnsi="Arial" w:cs="Arial"/>
          <w:sz w:val="20"/>
          <w:szCs w:val="20"/>
        </w:rPr>
        <w:t xml:space="preserve"> randomised controlled trials </w:t>
      </w:r>
      <w:r w:rsidR="00626B50">
        <w:rPr>
          <w:rFonts w:ascii="Arial" w:hAnsi="Arial" w:cs="Arial"/>
          <w:sz w:val="20"/>
          <w:szCs w:val="20"/>
        </w:rPr>
        <w:t>have been controversial</w:t>
      </w:r>
      <w:r w:rsidR="00285408">
        <w:rPr>
          <w:rFonts w:ascii="Arial" w:hAnsi="Arial" w:cs="Arial"/>
          <w:sz w:val="20"/>
          <w:szCs w:val="20"/>
        </w:rPr>
        <w:t xml:space="preserve"> in this regard</w:t>
      </w:r>
      <w:r w:rsidRPr="002F00D3">
        <w:rPr>
          <w:rFonts w:ascii="Arial" w:hAnsi="Arial" w:cs="Arial"/>
          <w:sz w:val="20"/>
          <w:szCs w:val="20"/>
        </w:rPr>
        <w:t xml:space="preserve">. If the </w:t>
      </w:r>
      <w:r w:rsidR="00626B50">
        <w:rPr>
          <w:rFonts w:ascii="Arial" w:hAnsi="Arial" w:cs="Arial"/>
          <w:sz w:val="20"/>
          <w:szCs w:val="20"/>
        </w:rPr>
        <w:t>person</w:t>
      </w:r>
      <w:r w:rsidRPr="002F00D3">
        <w:rPr>
          <w:rFonts w:ascii="Arial" w:hAnsi="Arial" w:cs="Arial"/>
          <w:sz w:val="20"/>
          <w:szCs w:val="20"/>
        </w:rPr>
        <w:t>is overweight or obese, weight loss should be a priority, as there is good evidence that this improves pain and slows </w:t>
      </w:r>
      <w:hyperlink r:id="rId118" w:tooltip="Learn more about Disease Exacerbation from ScienceDirect's AI-generated Topic Pages" w:history="1">
        <w:r w:rsidRPr="002F00D3">
          <w:rPr>
            <w:rStyle w:val="Hyperlink"/>
            <w:rFonts w:ascii="Arial" w:hAnsi="Arial" w:cs="Arial"/>
            <w:color w:val="auto"/>
            <w:sz w:val="20"/>
            <w:szCs w:val="20"/>
            <w:u w:val="none"/>
          </w:rPr>
          <w:t>disease progression</w:t>
        </w:r>
      </w:hyperlink>
      <w:r w:rsidRPr="002F00D3">
        <w:rPr>
          <w:rFonts w:ascii="Arial" w:hAnsi="Arial" w:cs="Arial"/>
          <w:sz w:val="20"/>
          <w:szCs w:val="20"/>
        </w:rPr>
        <w:t> in all types of OA</w:t>
      </w:r>
      <w:r w:rsidR="00E25D08">
        <w:rPr>
          <w:rFonts w:ascii="Arial" w:hAnsi="Arial" w:cs="Arial"/>
          <w:sz w:val="20"/>
          <w:szCs w:val="20"/>
        </w:rPr>
        <w:t xml:space="preserve"> (including non-weight bearing joints)</w:t>
      </w:r>
      <w:r w:rsidRPr="002F00D3">
        <w:rPr>
          <w:rFonts w:ascii="Arial" w:hAnsi="Arial" w:cs="Arial"/>
          <w:sz w:val="20"/>
          <w:szCs w:val="20"/>
        </w:rPr>
        <w:t>. Some patients benefit, in addition, from supports and braces (particularly in the presence of deformity), specialist shoew</w:t>
      </w:r>
      <w:r w:rsidR="00E446D3">
        <w:rPr>
          <w:rFonts w:ascii="Arial" w:hAnsi="Arial" w:cs="Arial"/>
          <w:sz w:val="20"/>
          <w:szCs w:val="20"/>
        </w:rPr>
        <w:t>ear</w:t>
      </w:r>
      <w:r w:rsidRPr="002F00D3">
        <w:rPr>
          <w:rFonts w:ascii="Arial" w:hAnsi="Arial" w:cs="Arial"/>
          <w:sz w:val="20"/>
          <w:szCs w:val="20"/>
        </w:rPr>
        <w:t>, such as arch supports or wedges, and walking aids. </w:t>
      </w:r>
      <w:r w:rsidR="00385D1E">
        <w:rPr>
          <w:rFonts w:ascii="Arial" w:hAnsi="Arial" w:cs="Arial"/>
          <w:sz w:val="20"/>
          <w:szCs w:val="20"/>
        </w:rPr>
        <w:t xml:space="preserve">Simple cushioning insoles may be just as effect as more expensive alternatives. </w:t>
      </w:r>
      <w:hyperlink r:id="rId119" w:tooltip="Learn more about Transcutaneous Electrical Nerve Stimulation from ScienceDirect's AI-generated Topic Pages" w:history="1">
        <w:r w:rsidRPr="002F00D3">
          <w:rPr>
            <w:rStyle w:val="Hyperlink"/>
            <w:rFonts w:ascii="Arial" w:hAnsi="Arial" w:cs="Arial"/>
            <w:color w:val="auto"/>
            <w:sz w:val="20"/>
            <w:szCs w:val="20"/>
            <w:u w:val="none"/>
          </w:rPr>
          <w:t>Transcutaneous nerve stimulation</w:t>
        </w:r>
      </w:hyperlink>
      <w:r w:rsidRPr="002F00D3">
        <w:rPr>
          <w:rFonts w:ascii="Arial" w:hAnsi="Arial" w:cs="Arial"/>
          <w:sz w:val="20"/>
          <w:szCs w:val="20"/>
        </w:rPr>
        <w:t> and </w:t>
      </w:r>
      <w:hyperlink r:id="rId120" w:tooltip="Learn more about Auriculotherapy from ScienceDirect's AI-generated Topic Pages" w:history="1">
        <w:r w:rsidRPr="002F00D3">
          <w:rPr>
            <w:rStyle w:val="Hyperlink"/>
            <w:rFonts w:ascii="Arial" w:hAnsi="Arial" w:cs="Arial"/>
            <w:color w:val="auto"/>
            <w:sz w:val="20"/>
            <w:szCs w:val="20"/>
            <w:u w:val="none"/>
          </w:rPr>
          <w:t>acupuncture</w:t>
        </w:r>
      </w:hyperlink>
      <w:r w:rsidRPr="002F00D3">
        <w:rPr>
          <w:rFonts w:ascii="Arial" w:hAnsi="Arial" w:cs="Arial"/>
          <w:sz w:val="20"/>
          <w:szCs w:val="20"/>
        </w:rPr>
        <w:t> can be helpful for the management of chronic pain in certain patients.</w:t>
      </w:r>
    </w:p>
    <w:p w14:paraId="7DF1872E" w14:textId="77777777" w:rsidR="002F00D3" w:rsidRDefault="002F00D3" w:rsidP="002F00D3">
      <w:pPr>
        <w:pStyle w:val="Heading3"/>
        <w:spacing w:before="0" w:line="240" w:lineRule="auto"/>
        <w:rPr>
          <w:rFonts w:ascii="Arial" w:hAnsi="Arial" w:cs="Arial"/>
          <w:color w:val="auto"/>
          <w:sz w:val="20"/>
          <w:szCs w:val="20"/>
        </w:rPr>
      </w:pPr>
    </w:p>
    <w:p w14:paraId="1FB74E0D" w14:textId="6E0982F3"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Pharmacological interventions</w:t>
      </w:r>
    </w:p>
    <w:p w14:paraId="563A19DE" w14:textId="523A5336"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Not all individuals with OA need regular analgesia. For those who do, </w:t>
      </w:r>
      <w:hyperlink r:id="rId121" w:tooltip="Learn more about Paracetamol from ScienceDirect's AI-generated Topic Pages" w:history="1">
        <w:r w:rsidRPr="002F00D3">
          <w:rPr>
            <w:rStyle w:val="Hyperlink"/>
            <w:rFonts w:ascii="Arial" w:hAnsi="Arial" w:cs="Arial"/>
            <w:color w:val="auto"/>
            <w:sz w:val="20"/>
            <w:szCs w:val="20"/>
            <w:u w:val="none"/>
          </w:rPr>
          <w:t>paracetamol</w:t>
        </w:r>
      </w:hyperlink>
      <w:r w:rsidRPr="002F00D3">
        <w:rPr>
          <w:rFonts w:ascii="Arial" w:hAnsi="Arial" w:cs="Arial"/>
          <w:sz w:val="20"/>
          <w:szCs w:val="20"/>
        </w:rPr>
        <w:t> and topical </w:t>
      </w:r>
      <w:hyperlink r:id="rId122" w:tooltip="Learn more about Nonsteroid Antiinflammatory Agent from ScienceDirect's AI-generated Topic Pages" w:history="1">
        <w:r w:rsidRPr="002F00D3">
          <w:rPr>
            <w:rStyle w:val="Hyperlink"/>
            <w:rFonts w:ascii="Arial" w:hAnsi="Arial" w:cs="Arial"/>
            <w:color w:val="auto"/>
            <w:sz w:val="20"/>
            <w:szCs w:val="20"/>
            <w:u w:val="none"/>
          </w:rPr>
          <w:t>non-steroidal anti-inflammatory drugs</w:t>
        </w:r>
      </w:hyperlink>
      <w:r w:rsidRPr="002F00D3">
        <w:rPr>
          <w:rFonts w:ascii="Arial" w:hAnsi="Arial" w:cs="Arial"/>
          <w:sz w:val="20"/>
          <w:szCs w:val="20"/>
        </w:rPr>
        <w:t xml:space="preserve"> (NSAIDs; applied as gel) are the first-line treatments. Both have been shown to be effective for the treatment of the pain of OA and, importantly, have a preferable </w:t>
      </w:r>
      <w:r w:rsidR="00504DDE">
        <w:rPr>
          <w:rFonts w:ascii="Arial" w:hAnsi="Arial" w:cs="Arial"/>
          <w:sz w:val="20"/>
          <w:szCs w:val="20"/>
        </w:rPr>
        <w:t>safety</w:t>
      </w:r>
      <w:r w:rsidRPr="002F00D3">
        <w:rPr>
          <w:rFonts w:ascii="Arial" w:hAnsi="Arial" w:cs="Arial"/>
          <w:sz w:val="20"/>
          <w:szCs w:val="20"/>
        </w:rPr>
        <w:t xml:space="preserve"> profile compared with oral </w:t>
      </w:r>
      <w:hyperlink r:id="rId123" w:tooltip="Learn more about Nonsteroid Antiinflammatory Agent from ScienceDirect's AI-generated Topic Pages" w:history="1">
        <w:r w:rsidRPr="002F00D3">
          <w:rPr>
            <w:rStyle w:val="Hyperlink"/>
            <w:rFonts w:ascii="Arial" w:hAnsi="Arial" w:cs="Arial"/>
            <w:color w:val="auto"/>
            <w:sz w:val="20"/>
            <w:szCs w:val="20"/>
            <w:u w:val="none"/>
          </w:rPr>
          <w:t>NSAIDs</w:t>
        </w:r>
      </w:hyperlink>
      <w:r w:rsidRPr="002F00D3">
        <w:rPr>
          <w:rFonts w:ascii="Arial" w:hAnsi="Arial" w:cs="Arial"/>
          <w:sz w:val="20"/>
          <w:szCs w:val="20"/>
        </w:rPr>
        <w:t>. Some caution should be exercised when prescribing paracetamol as recent evidence has suggested an increase in gastrointestinal events and a probable overestimation of the magnitude of pain relief.</w:t>
      </w:r>
    </w:p>
    <w:p w14:paraId="0DFF4EFD" w14:textId="183C0191"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For those whose pain fails to respond to regular dosing with paracetamol and NSAID gel in combination, second-line agents include oral NSAIDs, </w:t>
      </w:r>
      <w:hyperlink r:id="rId124" w:tooltip="Learn more about Prostaglandin Synthase from ScienceDirect's AI-generated Topic Pages" w:history="1">
        <w:r w:rsidRPr="002F00D3">
          <w:rPr>
            <w:rStyle w:val="Hyperlink"/>
            <w:rFonts w:ascii="Arial" w:hAnsi="Arial" w:cs="Arial"/>
            <w:color w:val="auto"/>
            <w:sz w:val="20"/>
            <w:szCs w:val="20"/>
            <w:u w:val="none"/>
          </w:rPr>
          <w:t>cyclooxygenase</w:t>
        </w:r>
      </w:hyperlink>
      <w:r w:rsidRPr="002F00D3">
        <w:rPr>
          <w:rFonts w:ascii="Arial" w:hAnsi="Arial" w:cs="Arial"/>
          <w:sz w:val="20"/>
          <w:szCs w:val="20"/>
        </w:rPr>
        <w:t xml:space="preserve"> (COX)-2 inhibitors and opioid drugs. When considering the choice of agent, individual risk factors including age and other co-morbidities should be taken into account. For example, if </w:t>
      </w:r>
      <w:r w:rsidR="00F463FD">
        <w:rPr>
          <w:rFonts w:ascii="Arial" w:hAnsi="Arial" w:cs="Arial"/>
          <w:sz w:val="20"/>
          <w:szCs w:val="20"/>
        </w:rPr>
        <w:t>someone</w:t>
      </w:r>
      <w:r w:rsidRPr="002F00D3">
        <w:rPr>
          <w:rFonts w:ascii="Arial" w:hAnsi="Arial" w:cs="Arial"/>
          <w:sz w:val="20"/>
          <w:szCs w:val="20"/>
        </w:rPr>
        <w:t xml:space="preserve"> take</w:t>
      </w:r>
      <w:r w:rsidR="00F463FD">
        <w:rPr>
          <w:rFonts w:ascii="Arial" w:hAnsi="Arial" w:cs="Arial"/>
          <w:sz w:val="20"/>
          <w:szCs w:val="20"/>
        </w:rPr>
        <w:t>s</w:t>
      </w:r>
      <w:r w:rsidRPr="002F00D3">
        <w:rPr>
          <w:rFonts w:ascii="Arial" w:hAnsi="Arial" w:cs="Arial"/>
          <w:sz w:val="20"/>
          <w:szCs w:val="20"/>
        </w:rPr>
        <w:t xml:space="preserve"> low-dose aspirin, or has </w:t>
      </w:r>
      <w:hyperlink r:id="rId125" w:tooltip="Learn more about Ischemic Heart Disease from ScienceDirect's AI-generated Topic Pages" w:history="1">
        <w:r w:rsidRPr="002F00D3">
          <w:rPr>
            <w:rStyle w:val="Hyperlink"/>
            <w:rFonts w:ascii="Arial" w:hAnsi="Arial" w:cs="Arial"/>
            <w:color w:val="auto"/>
            <w:sz w:val="20"/>
            <w:szCs w:val="20"/>
            <w:u w:val="none"/>
          </w:rPr>
          <w:t>ischaemic heart disease</w:t>
        </w:r>
      </w:hyperlink>
      <w:r w:rsidRPr="002F00D3">
        <w:rPr>
          <w:rFonts w:ascii="Arial" w:hAnsi="Arial" w:cs="Arial"/>
          <w:sz w:val="20"/>
          <w:szCs w:val="20"/>
        </w:rPr>
        <w:t> (or significant risk of this) or </w:t>
      </w:r>
      <w:hyperlink r:id="rId126" w:tooltip="Learn more about Jejunum Ulcer from ScienceDirect's AI-generated Topic Pages" w:history="1">
        <w:r w:rsidRPr="002F00D3">
          <w:rPr>
            <w:rStyle w:val="Hyperlink"/>
            <w:rFonts w:ascii="Arial" w:hAnsi="Arial" w:cs="Arial"/>
            <w:color w:val="auto"/>
            <w:sz w:val="20"/>
            <w:szCs w:val="20"/>
            <w:u w:val="none"/>
          </w:rPr>
          <w:t>peptic ulcer disease</w:t>
        </w:r>
      </w:hyperlink>
      <w:r w:rsidRPr="002F00D3">
        <w:rPr>
          <w:rFonts w:ascii="Arial" w:hAnsi="Arial" w:cs="Arial"/>
          <w:sz w:val="20"/>
          <w:szCs w:val="20"/>
        </w:rPr>
        <w:t>, alternative </w:t>
      </w:r>
      <w:hyperlink r:id="rId127" w:tooltip="Learn more about Anodyne from ScienceDirect's AI-generated Topic Pages" w:history="1">
        <w:r w:rsidRPr="002F00D3">
          <w:rPr>
            <w:rStyle w:val="Hyperlink"/>
            <w:rFonts w:ascii="Arial" w:hAnsi="Arial" w:cs="Arial"/>
            <w:color w:val="auto"/>
            <w:sz w:val="20"/>
            <w:szCs w:val="20"/>
            <w:u w:val="none"/>
          </w:rPr>
          <w:t>analgesics</w:t>
        </w:r>
      </w:hyperlink>
      <w:r w:rsidRPr="002F00D3">
        <w:rPr>
          <w:rFonts w:ascii="Arial" w:hAnsi="Arial" w:cs="Arial"/>
          <w:sz w:val="20"/>
          <w:szCs w:val="20"/>
        </w:rPr>
        <w:t> to NSAIDs or selective COX-2 inhibitors should be sought. All NSAIDs and COX-2 inhibitors are effective, although an individual's response can vary, so switching between agents should be considered.</w:t>
      </w:r>
    </w:p>
    <w:p w14:paraId="1686049F" w14:textId="509D41B1"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All these agents can cause gastrointestinal, hepatic, cardiac and renal adverse effects, although toxicity profiles vary between agents. Adverse effects are more likely in older patients and with longer durations of use. If prescribed, these drugs should be used at the lowest effective dose for the shortest time possible, and co-prescribed with a </w:t>
      </w:r>
      <w:hyperlink r:id="rId128" w:tooltip="Learn more about Proton-Pump Inhibitor from ScienceDirect's AI-generated Topic Pages" w:history="1">
        <w:r w:rsidRPr="002F00D3">
          <w:rPr>
            <w:rStyle w:val="Hyperlink"/>
            <w:rFonts w:ascii="Arial" w:hAnsi="Arial" w:cs="Arial"/>
            <w:color w:val="auto"/>
            <w:sz w:val="20"/>
            <w:szCs w:val="20"/>
            <w:u w:val="none"/>
          </w:rPr>
          <w:t>proton pump inhibitor</w:t>
        </w:r>
      </w:hyperlink>
      <w:r w:rsidRPr="002F00D3">
        <w:rPr>
          <w:rFonts w:ascii="Arial" w:hAnsi="Arial" w:cs="Arial"/>
          <w:sz w:val="20"/>
          <w:szCs w:val="20"/>
        </w:rPr>
        <w:t> (for gastroprotection)</w:t>
      </w:r>
      <w:r w:rsidR="0042566A">
        <w:rPr>
          <w:rFonts w:ascii="Arial" w:hAnsi="Arial" w:cs="Arial"/>
          <w:sz w:val="20"/>
          <w:szCs w:val="20"/>
        </w:rPr>
        <w:t xml:space="preserve"> as per current NICE guidance</w:t>
      </w:r>
      <w:r w:rsidRPr="002F00D3">
        <w:rPr>
          <w:rFonts w:ascii="Arial" w:hAnsi="Arial" w:cs="Arial"/>
          <w:sz w:val="20"/>
          <w:szCs w:val="20"/>
        </w:rPr>
        <w:t>. Continuing assessment of response and, in the event of longer term use, monitoring (e.g. blood pressure, renal function, gastrointestinal adverse effects) should be arranged.</w:t>
      </w:r>
    </w:p>
    <w:p w14:paraId="2E6C10E5" w14:textId="5114E8BF"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Topical </w:t>
      </w:r>
      <w:hyperlink r:id="rId129" w:tooltip="Learn more about Capsaicin from ScienceDirect's AI-generated Topic Pages" w:history="1">
        <w:r w:rsidRPr="002F00D3">
          <w:rPr>
            <w:rStyle w:val="Hyperlink"/>
            <w:rFonts w:ascii="Arial" w:hAnsi="Arial" w:cs="Arial"/>
            <w:color w:val="auto"/>
            <w:sz w:val="20"/>
            <w:szCs w:val="20"/>
            <w:u w:val="none"/>
          </w:rPr>
          <w:t>capsaicin</w:t>
        </w:r>
      </w:hyperlink>
      <w:r w:rsidRPr="002F00D3">
        <w:rPr>
          <w:rFonts w:ascii="Arial" w:hAnsi="Arial" w:cs="Arial"/>
          <w:sz w:val="20"/>
          <w:szCs w:val="20"/>
        </w:rPr>
        <w:t> (an extract of chilli pepper) can aid in pain relief when rubbed onto an affected joint, although some patients do not tolerate its </w:t>
      </w:r>
      <w:hyperlink r:id="rId130" w:tooltip="Learn more about Irritant Agent from ScienceDirect's AI-generated Topic Pages" w:history="1">
        <w:r w:rsidRPr="002F00D3">
          <w:rPr>
            <w:rStyle w:val="Hyperlink"/>
            <w:rFonts w:ascii="Arial" w:hAnsi="Arial" w:cs="Arial"/>
            <w:color w:val="auto"/>
            <w:sz w:val="20"/>
            <w:szCs w:val="20"/>
            <w:u w:val="none"/>
          </w:rPr>
          <w:t>irritant</w:t>
        </w:r>
      </w:hyperlink>
      <w:r w:rsidRPr="002F00D3">
        <w:rPr>
          <w:rFonts w:ascii="Arial" w:hAnsi="Arial" w:cs="Arial"/>
          <w:sz w:val="20"/>
          <w:szCs w:val="20"/>
        </w:rPr>
        <w:t> qualities. Intra-articular </w:t>
      </w:r>
      <w:hyperlink r:id="rId131" w:tooltip="Learn more about Corticosteroid from ScienceDirect's AI-generated Topic Pages" w:history="1">
        <w:r w:rsidRPr="002F00D3">
          <w:rPr>
            <w:rStyle w:val="Hyperlink"/>
            <w:rFonts w:ascii="Arial" w:hAnsi="Arial" w:cs="Arial"/>
            <w:color w:val="auto"/>
            <w:sz w:val="20"/>
            <w:szCs w:val="20"/>
            <w:u w:val="none"/>
          </w:rPr>
          <w:t>corticosteroid</w:t>
        </w:r>
      </w:hyperlink>
      <w:r w:rsidRPr="002F00D3">
        <w:rPr>
          <w:rFonts w:ascii="Arial" w:hAnsi="Arial" w:cs="Arial"/>
          <w:sz w:val="20"/>
          <w:szCs w:val="20"/>
        </w:rPr>
        <w:t xml:space="preserve"> injections do not appear to have long-term </w:t>
      </w:r>
      <w:r w:rsidR="00E25D08">
        <w:rPr>
          <w:rFonts w:ascii="Arial" w:hAnsi="Arial" w:cs="Arial"/>
          <w:sz w:val="20"/>
          <w:szCs w:val="20"/>
        </w:rPr>
        <w:t xml:space="preserve">beneficial </w:t>
      </w:r>
      <w:r w:rsidRPr="002F00D3">
        <w:rPr>
          <w:rFonts w:ascii="Arial" w:hAnsi="Arial" w:cs="Arial"/>
          <w:sz w:val="20"/>
          <w:szCs w:val="20"/>
        </w:rPr>
        <w:t>effects on disease progression in OA</w:t>
      </w:r>
      <w:r w:rsidR="00E25D08">
        <w:rPr>
          <w:rFonts w:ascii="Arial" w:hAnsi="Arial" w:cs="Arial"/>
          <w:sz w:val="20"/>
          <w:szCs w:val="20"/>
        </w:rPr>
        <w:t xml:space="preserve"> and multiple repeated injections </w:t>
      </w:r>
      <w:r w:rsidR="00173305">
        <w:rPr>
          <w:rFonts w:ascii="Arial" w:hAnsi="Arial" w:cs="Arial"/>
          <w:sz w:val="20"/>
          <w:szCs w:val="20"/>
        </w:rPr>
        <w:t>has been recently found to</w:t>
      </w:r>
      <w:r w:rsidR="00E25D08">
        <w:rPr>
          <w:rFonts w:ascii="Arial" w:hAnsi="Arial" w:cs="Arial"/>
          <w:sz w:val="20"/>
          <w:szCs w:val="20"/>
        </w:rPr>
        <w:t xml:space="preserve"> potentially worsen cartilage loss over time</w:t>
      </w:r>
      <w:r w:rsidRPr="002F00D3">
        <w:rPr>
          <w:rFonts w:ascii="Arial" w:hAnsi="Arial" w:cs="Arial"/>
          <w:sz w:val="20"/>
          <w:szCs w:val="20"/>
        </w:rPr>
        <w:t>. However, such injections can improve symptoms for an average of 6 weeks in single joint flares and have a place in management for some patients with moderate to severe pain that is unresponsive to other therapies.</w:t>
      </w:r>
    </w:p>
    <w:p w14:paraId="02D0DF76" w14:textId="2200AF84" w:rsidR="00D71D44" w:rsidRDefault="00014C79" w:rsidP="002F00D3">
      <w:pPr>
        <w:pStyle w:val="NormalWeb"/>
        <w:spacing w:before="0" w:beforeAutospacing="0" w:after="0" w:afterAutospacing="0"/>
        <w:ind w:firstLine="720"/>
        <w:rPr>
          <w:rFonts w:ascii="Arial" w:hAnsi="Arial" w:cs="Arial"/>
          <w:sz w:val="20"/>
          <w:szCs w:val="20"/>
        </w:rPr>
      </w:pPr>
      <w:hyperlink r:id="rId132" w:tooltip="Learn more about Nutraceutical from ScienceDirect's AI-generated Topic Pages" w:history="1">
        <w:r w:rsidR="00D71D44" w:rsidRPr="002F00D3">
          <w:rPr>
            <w:rStyle w:val="Hyperlink"/>
            <w:rFonts w:ascii="Arial" w:hAnsi="Arial" w:cs="Arial"/>
            <w:color w:val="auto"/>
            <w:sz w:val="20"/>
            <w:szCs w:val="20"/>
            <w:u w:val="none"/>
          </w:rPr>
          <w:t>Nutraceuticals</w:t>
        </w:r>
      </w:hyperlink>
      <w:r w:rsidR="00D71D44" w:rsidRPr="002F00D3">
        <w:rPr>
          <w:rFonts w:ascii="Arial" w:hAnsi="Arial" w:cs="Arial"/>
          <w:sz w:val="20"/>
          <w:szCs w:val="20"/>
        </w:rPr>
        <w:t>, such as </w:t>
      </w:r>
      <w:hyperlink r:id="rId133" w:tooltip="Learn more about Glucosamine Sulfate from ScienceDirect's AI-generated Topic Pages" w:history="1">
        <w:r w:rsidR="00D71D44" w:rsidRPr="002F00D3">
          <w:rPr>
            <w:rStyle w:val="Hyperlink"/>
            <w:rFonts w:ascii="Arial" w:hAnsi="Arial" w:cs="Arial"/>
            <w:color w:val="auto"/>
            <w:sz w:val="20"/>
            <w:szCs w:val="20"/>
            <w:u w:val="none"/>
          </w:rPr>
          <w:t>glucosamine sulphate</w:t>
        </w:r>
      </w:hyperlink>
      <w:r w:rsidR="00D71D44" w:rsidRPr="002F00D3">
        <w:rPr>
          <w:rFonts w:ascii="Arial" w:hAnsi="Arial" w:cs="Arial"/>
          <w:sz w:val="20"/>
          <w:szCs w:val="20"/>
        </w:rPr>
        <w:t> and </w:t>
      </w:r>
      <w:hyperlink r:id="rId134" w:tooltip="Learn more about Chondroitin Sulfate from ScienceDirect's AI-generated Topic Pages" w:history="1">
        <w:r w:rsidR="00D71D44" w:rsidRPr="002F00D3">
          <w:rPr>
            <w:rStyle w:val="Hyperlink"/>
            <w:rFonts w:ascii="Arial" w:hAnsi="Arial" w:cs="Arial"/>
            <w:color w:val="auto"/>
            <w:sz w:val="20"/>
            <w:szCs w:val="20"/>
            <w:u w:val="none"/>
          </w:rPr>
          <w:t>chondroitin sulphate</w:t>
        </w:r>
      </w:hyperlink>
      <w:r w:rsidR="00D71D44" w:rsidRPr="002F00D3">
        <w:rPr>
          <w:rFonts w:ascii="Arial" w:hAnsi="Arial" w:cs="Arial"/>
          <w:sz w:val="20"/>
          <w:szCs w:val="20"/>
        </w:rPr>
        <w:t>, rosehip extract and avocado bean unsaponifiables have not to date been included in guidelines, as their cost–benefit ratio has not been regarded as favourable. This is also true of intra-articular synthetic </w:t>
      </w:r>
      <w:hyperlink r:id="rId135" w:tooltip="Learn more about Restylane from ScienceDirect's AI-generated Topic Pages" w:history="1">
        <w:r w:rsidR="00D71D44" w:rsidRPr="002F00D3">
          <w:rPr>
            <w:rStyle w:val="Hyperlink"/>
            <w:rFonts w:ascii="Arial" w:hAnsi="Arial" w:cs="Arial"/>
            <w:color w:val="auto"/>
            <w:sz w:val="20"/>
            <w:szCs w:val="20"/>
            <w:u w:val="none"/>
          </w:rPr>
          <w:t>hyaluronans</w:t>
        </w:r>
      </w:hyperlink>
      <w:r w:rsidR="00D71D44" w:rsidRPr="002F00D3">
        <w:rPr>
          <w:rFonts w:ascii="Arial" w:hAnsi="Arial" w:cs="Arial"/>
          <w:sz w:val="20"/>
          <w:szCs w:val="20"/>
        </w:rPr>
        <w:t>. Identifying individuals with features of </w:t>
      </w:r>
      <w:hyperlink r:id="rId136" w:tooltip="Learn more about Neuropathic Pain from ScienceDirect's AI-generated Topic Pages" w:history="1">
        <w:r w:rsidR="00D71D44" w:rsidRPr="002F00D3">
          <w:rPr>
            <w:rStyle w:val="Hyperlink"/>
            <w:rFonts w:ascii="Arial" w:hAnsi="Arial" w:cs="Arial"/>
            <w:color w:val="auto"/>
            <w:sz w:val="20"/>
            <w:szCs w:val="20"/>
            <w:u w:val="none"/>
          </w:rPr>
          <w:t>neuropathic pain</w:t>
        </w:r>
      </w:hyperlink>
      <w:r w:rsidR="00D71D44" w:rsidRPr="002F00D3">
        <w:rPr>
          <w:rFonts w:ascii="Arial" w:hAnsi="Arial" w:cs="Arial"/>
          <w:sz w:val="20"/>
          <w:szCs w:val="20"/>
        </w:rPr>
        <w:t> is helpful as they may respond to agents such as </w:t>
      </w:r>
      <w:hyperlink r:id="rId137" w:tooltip="Learn more about Gabapentin from ScienceDirect's AI-generated Topic Pages" w:history="1">
        <w:r w:rsidR="00D71D44" w:rsidRPr="002F00D3">
          <w:rPr>
            <w:rStyle w:val="Hyperlink"/>
            <w:rFonts w:ascii="Arial" w:hAnsi="Arial" w:cs="Arial"/>
            <w:color w:val="auto"/>
            <w:sz w:val="20"/>
            <w:szCs w:val="20"/>
            <w:u w:val="none"/>
          </w:rPr>
          <w:t>gabapentin</w:t>
        </w:r>
      </w:hyperlink>
      <w:r w:rsidR="00D71D44" w:rsidRPr="002F00D3">
        <w:rPr>
          <w:rFonts w:ascii="Arial" w:hAnsi="Arial" w:cs="Arial"/>
          <w:sz w:val="20"/>
          <w:szCs w:val="20"/>
        </w:rPr>
        <w:t>, </w:t>
      </w:r>
      <w:hyperlink r:id="rId138" w:tooltip="Learn more about Pregabalin from ScienceDirect's AI-generated Topic Pages" w:history="1">
        <w:r w:rsidR="00D71D44" w:rsidRPr="002F00D3">
          <w:rPr>
            <w:rStyle w:val="Hyperlink"/>
            <w:rFonts w:ascii="Arial" w:hAnsi="Arial" w:cs="Arial"/>
            <w:color w:val="auto"/>
            <w:sz w:val="20"/>
            <w:szCs w:val="20"/>
            <w:u w:val="none"/>
          </w:rPr>
          <w:t>pregabalin</w:t>
        </w:r>
      </w:hyperlink>
      <w:r w:rsidR="00D71D44" w:rsidRPr="002F00D3">
        <w:rPr>
          <w:rFonts w:ascii="Arial" w:hAnsi="Arial" w:cs="Arial"/>
          <w:sz w:val="20"/>
          <w:szCs w:val="20"/>
        </w:rPr>
        <w:t> and </w:t>
      </w:r>
      <w:hyperlink r:id="rId139" w:tooltip="Learn more about Amitriptyline from ScienceDirect's AI-generated Topic Pages" w:history="1">
        <w:r w:rsidR="00D71D44" w:rsidRPr="002F00D3">
          <w:rPr>
            <w:rStyle w:val="Hyperlink"/>
            <w:rFonts w:ascii="Arial" w:hAnsi="Arial" w:cs="Arial"/>
            <w:color w:val="auto"/>
            <w:sz w:val="20"/>
            <w:szCs w:val="20"/>
            <w:u w:val="none"/>
          </w:rPr>
          <w:t>amitriptyline</w:t>
        </w:r>
      </w:hyperlink>
      <w:r w:rsidR="00D71D44" w:rsidRPr="002F00D3">
        <w:rPr>
          <w:rFonts w:ascii="Arial" w:hAnsi="Arial" w:cs="Arial"/>
          <w:sz w:val="20"/>
          <w:szCs w:val="20"/>
        </w:rPr>
        <w:t>.</w:t>
      </w:r>
    </w:p>
    <w:p w14:paraId="0F5A1CAB" w14:textId="29C87A6F" w:rsidR="008148F8" w:rsidRPr="002F00D3" w:rsidRDefault="008148F8" w:rsidP="002F00D3">
      <w:pPr>
        <w:pStyle w:val="NormalWeb"/>
        <w:spacing w:before="0" w:beforeAutospacing="0" w:after="0" w:afterAutospacing="0"/>
        <w:ind w:firstLine="720"/>
        <w:rPr>
          <w:rFonts w:ascii="Arial" w:hAnsi="Arial" w:cs="Arial"/>
          <w:sz w:val="20"/>
          <w:szCs w:val="20"/>
        </w:rPr>
      </w:pPr>
      <w:r>
        <w:rPr>
          <w:rFonts w:ascii="Arial" w:hAnsi="Arial" w:cs="Arial"/>
          <w:sz w:val="20"/>
          <w:szCs w:val="20"/>
        </w:rPr>
        <w:t xml:space="preserve">Recently, a randomised controlled trial </w:t>
      </w:r>
      <w:r w:rsidR="00C14AF6">
        <w:rPr>
          <w:rFonts w:ascii="Arial" w:hAnsi="Arial" w:cs="Arial"/>
          <w:sz w:val="20"/>
          <w:szCs w:val="20"/>
        </w:rPr>
        <w:t>demonstrated</w:t>
      </w:r>
      <w:r>
        <w:rPr>
          <w:rFonts w:ascii="Arial" w:hAnsi="Arial" w:cs="Arial"/>
          <w:sz w:val="20"/>
          <w:szCs w:val="20"/>
        </w:rPr>
        <w:t xml:space="preserve"> that moderate doses of oral prednisolone used </w:t>
      </w:r>
      <w:r w:rsidR="00B16159">
        <w:rPr>
          <w:rFonts w:ascii="Arial" w:hAnsi="Arial" w:cs="Arial"/>
          <w:sz w:val="20"/>
          <w:szCs w:val="20"/>
        </w:rPr>
        <w:t xml:space="preserve">for short periods </w:t>
      </w:r>
      <w:r>
        <w:rPr>
          <w:rFonts w:ascii="Arial" w:hAnsi="Arial" w:cs="Arial"/>
          <w:sz w:val="20"/>
          <w:szCs w:val="20"/>
        </w:rPr>
        <w:t xml:space="preserve">during flares </w:t>
      </w:r>
      <w:r w:rsidR="00B16159">
        <w:rPr>
          <w:rFonts w:ascii="Arial" w:hAnsi="Arial" w:cs="Arial"/>
          <w:sz w:val="20"/>
          <w:szCs w:val="20"/>
        </w:rPr>
        <w:t xml:space="preserve">of disease in </w:t>
      </w:r>
      <w:r>
        <w:rPr>
          <w:rFonts w:ascii="Arial" w:hAnsi="Arial" w:cs="Arial"/>
          <w:sz w:val="20"/>
          <w:szCs w:val="20"/>
        </w:rPr>
        <w:t xml:space="preserve">those with erosive, inflammatory osteoarthritis of the hand improved </w:t>
      </w:r>
      <w:r w:rsidR="00B16159">
        <w:rPr>
          <w:rFonts w:ascii="Arial" w:hAnsi="Arial" w:cs="Arial"/>
          <w:sz w:val="20"/>
          <w:szCs w:val="20"/>
        </w:rPr>
        <w:t xml:space="preserve">hand </w:t>
      </w:r>
      <w:r>
        <w:rPr>
          <w:rFonts w:ascii="Arial" w:hAnsi="Arial" w:cs="Arial"/>
          <w:sz w:val="20"/>
          <w:szCs w:val="20"/>
        </w:rPr>
        <w:t xml:space="preserve">pain and other symptoms. This </w:t>
      </w:r>
      <w:r w:rsidR="00B16159">
        <w:rPr>
          <w:rFonts w:ascii="Arial" w:hAnsi="Arial" w:cs="Arial"/>
          <w:sz w:val="20"/>
          <w:szCs w:val="20"/>
        </w:rPr>
        <w:t xml:space="preserve">response in some patients with osteoarthritis </w:t>
      </w:r>
      <w:r>
        <w:rPr>
          <w:rFonts w:ascii="Arial" w:hAnsi="Arial" w:cs="Arial"/>
          <w:sz w:val="20"/>
          <w:szCs w:val="20"/>
        </w:rPr>
        <w:t xml:space="preserve">has long been </w:t>
      </w:r>
      <w:r w:rsidR="00B16159">
        <w:rPr>
          <w:rFonts w:ascii="Arial" w:hAnsi="Arial" w:cs="Arial"/>
          <w:sz w:val="20"/>
          <w:szCs w:val="20"/>
        </w:rPr>
        <w:t>noted</w:t>
      </w:r>
      <w:r>
        <w:rPr>
          <w:rFonts w:ascii="Arial" w:hAnsi="Arial" w:cs="Arial"/>
          <w:sz w:val="20"/>
          <w:szCs w:val="20"/>
        </w:rPr>
        <w:t xml:space="preserve"> by rheumatologists, who may also consider intr</w:t>
      </w:r>
      <w:r w:rsidR="005324E5">
        <w:rPr>
          <w:rFonts w:ascii="Arial" w:hAnsi="Arial" w:cs="Arial"/>
          <w:sz w:val="20"/>
          <w:szCs w:val="20"/>
        </w:rPr>
        <w:t>a</w:t>
      </w:r>
      <w:r>
        <w:rPr>
          <w:rFonts w:ascii="Arial" w:hAnsi="Arial" w:cs="Arial"/>
          <w:sz w:val="20"/>
          <w:szCs w:val="20"/>
        </w:rPr>
        <w:t>muscular depot steroid preparations in this situation. However,</w:t>
      </w:r>
      <w:r w:rsidR="00C14AF6">
        <w:rPr>
          <w:rFonts w:ascii="Arial" w:hAnsi="Arial" w:cs="Arial"/>
          <w:sz w:val="20"/>
          <w:szCs w:val="20"/>
        </w:rPr>
        <w:t xml:space="preserve"> the use of steroids in this way should be </w:t>
      </w:r>
      <w:r w:rsidR="005324E5">
        <w:rPr>
          <w:rFonts w:ascii="Arial" w:hAnsi="Arial" w:cs="Arial"/>
          <w:sz w:val="20"/>
          <w:szCs w:val="20"/>
        </w:rPr>
        <w:t xml:space="preserve">as a last resort and </w:t>
      </w:r>
      <w:r w:rsidR="00C14AF6">
        <w:rPr>
          <w:rFonts w:ascii="Arial" w:hAnsi="Arial" w:cs="Arial"/>
          <w:sz w:val="20"/>
          <w:szCs w:val="20"/>
        </w:rPr>
        <w:t>with caution, given the potential for significant associated comorbidities.</w:t>
      </w:r>
      <w:r w:rsidR="005324E5">
        <w:rPr>
          <w:rFonts w:ascii="Arial" w:hAnsi="Arial" w:cs="Arial"/>
          <w:sz w:val="20"/>
          <w:szCs w:val="20"/>
        </w:rPr>
        <w:t xml:space="preserve"> </w:t>
      </w:r>
      <w:r w:rsidR="00155FCC">
        <w:rPr>
          <w:rFonts w:ascii="Arial" w:hAnsi="Arial" w:cs="Arial"/>
          <w:sz w:val="20"/>
          <w:szCs w:val="20"/>
        </w:rPr>
        <w:t xml:space="preserve">Also, no guidelines have as yet included this strategy. </w:t>
      </w:r>
      <w:r w:rsidR="005324E5">
        <w:rPr>
          <w:rFonts w:ascii="Arial" w:hAnsi="Arial" w:cs="Arial"/>
          <w:sz w:val="20"/>
          <w:szCs w:val="20"/>
        </w:rPr>
        <w:t xml:space="preserve">The trial was performed more as a ‘proof of concept’ to </w:t>
      </w:r>
      <w:r w:rsidR="00155FCC">
        <w:rPr>
          <w:rFonts w:ascii="Arial" w:hAnsi="Arial" w:cs="Arial"/>
          <w:sz w:val="20"/>
          <w:szCs w:val="20"/>
        </w:rPr>
        <w:t>demonstrate</w:t>
      </w:r>
      <w:r w:rsidR="005324E5">
        <w:rPr>
          <w:rFonts w:ascii="Arial" w:hAnsi="Arial" w:cs="Arial"/>
          <w:sz w:val="20"/>
          <w:szCs w:val="20"/>
        </w:rPr>
        <w:t xml:space="preserve"> that a potent anti-inflammatory was able to reduce </w:t>
      </w:r>
      <w:r w:rsidR="00155FCC">
        <w:rPr>
          <w:rFonts w:ascii="Arial" w:hAnsi="Arial" w:cs="Arial"/>
          <w:sz w:val="20"/>
          <w:szCs w:val="20"/>
        </w:rPr>
        <w:t xml:space="preserve">OA </w:t>
      </w:r>
      <w:r w:rsidR="005324E5">
        <w:rPr>
          <w:rFonts w:ascii="Arial" w:hAnsi="Arial" w:cs="Arial"/>
          <w:sz w:val="20"/>
          <w:szCs w:val="20"/>
        </w:rPr>
        <w:t xml:space="preserve">symptoms, given the number of </w:t>
      </w:r>
      <w:r w:rsidR="00030303">
        <w:rPr>
          <w:rFonts w:ascii="Arial" w:hAnsi="Arial" w:cs="Arial"/>
          <w:sz w:val="20"/>
          <w:szCs w:val="20"/>
        </w:rPr>
        <w:t xml:space="preserve">clinical trials failing to show an effect of </w:t>
      </w:r>
      <w:r w:rsidR="005324E5">
        <w:rPr>
          <w:rFonts w:ascii="Arial" w:hAnsi="Arial" w:cs="Arial"/>
          <w:sz w:val="20"/>
          <w:szCs w:val="20"/>
        </w:rPr>
        <w:t>t</w:t>
      </w:r>
      <w:r w:rsidR="00030303">
        <w:rPr>
          <w:rFonts w:ascii="Arial" w:hAnsi="Arial" w:cs="Arial"/>
          <w:sz w:val="20"/>
          <w:szCs w:val="20"/>
        </w:rPr>
        <w:t xml:space="preserve">argeted </w:t>
      </w:r>
      <w:r w:rsidR="00444E84">
        <w:rPr>
          <w:rFonts w:ascii="Arial" w:hAnsi="Arial" w:cs="Arial"/>
          <w:sz w:val="20"/>
          <w:szCs w:val="20"/>
        </w:rPr>
        <w:t xml:space="preserve">anti-inflammation </w:t>
      </w:r>
      <w:r w:rsidR="00030303">
        <w:rPr>
          <w:rFonts w:ascii="Arial" w:hAnsi="Arial" w:cs="Arial"/>
          <w:sz w:val="20"/>
          <w:szCs w:val="20"/>
        </w:rPr>
        <w:t>agents in this area.</w:t>
      </w:r>
    </w:p>
    <w:p w14:paraId="5036C546" w14:textId="77777777" w:rsidR="002F00D3" w:rsidRDefault="002F00D3" w:rsidP="002F00D3">
      <w:pPr>
        <w:pStyle w:val="Heading3"/>
        <w:spacing w:before="0" w:line="240" w:lineRule="auto"/>
        <w:rPr>
          <w:rFonts w:ascii="Arial" w:hAnsi="Arial" w:cs="Arial"/>
          <w:color w:val="auto"/>
          <w:sz w:val="20"/>
          <w:szCs w:val="20"/>
        </w:rPr>
      </w:pPr>
    </w:p>
    <w:p w14:paraId="2219632C" w14:textId="35DBE6EC"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Surgical interventions</w:t>
      </w:r>
    </w:p>
    <w:p w14:paraId="42FE5665" w14:textId="77777777" w:rsidR="00D71D44" w:rsidRPr="002F00D3" w:rsidRDefault="00D71D44" w:rsidP="007C774C">
      <w:pPr>
        <w:pStyle w:val="NormalWeb"/>
        <w:spacing w:before="0" w:beforeAutospacing="0" w:after="0" w:afterAutospacing="0"/>
        <w:rPr>
          <w:rFonts w:ascii="Arial" w:hAnsi="Arial" w:cs="Arial"/>
          <w:sz w:val="20"/>
          <w:szCs w:val="20"/>
        </w:rPr>
      </w:pPr>
      <w:r w:rsidRPr="002F00D3">
        <w:rPr>
          <w:rFonts w:ascii="Arial" w:hAnsi="Arial" w:cs="Arial"/>
          <w:sz w:val="20"/>
          <w:szCs w:val="20"/>
        </w:rPr>
        <w:t>For those patients who fail to respond to escalating supportive and medical therapy, surgical options should be considered (</w:t>
      </w:r>
      <w:bookmarkStart w:id="9" w:name="btbl3"/>
      <w:r w:rsidRPr="002F00D3">
        <w:rPr>
          <w:rFonts w:ascii="Arial" w:hAnsi="Arial" w:cs="Arial"/>
          <w:sz w:val="20"/>
          <w:szCs w:val="20"/>
        </w:rPr>
        <w:fldChar w:fldCharType="begin"/>
      </w:r>
      <w:r w:rsidRPr="002F00D3">
        <w:rPr>
          <w:rFonts w:ascii="Arial" w:hAnsi="Arial" w:cs="Arial"/>
          <w:sz w:val="20"/>
          <w:szCs w:val="20"/>
        </w:rPr>
        <w:instrText xml:space="preserve"> HYPERLINK "https://www.sciencedirect.com/science/article/pii/S1357303917303304" \l "tbl3" </w:instrText>
      </w:r>
      <w:r w:rsidRPr="002F00D3">
        <w:rPr>
          <w:rFonts w:ascii="Arial" w:hAnsi="Arial" w:cs="Arial"/>
          <w:sz w:val="20"/>
          <w:szCs w:val="20"/>
        </w:rPr>
        <w:fldChar w:fldCharType="separate"/>
      </w:r>
      <w:r w:rsidRPr="002F00D3">
        <w:rPr>
          <w:rStyle w:val="Hyperlink"/>
          <w:rFonts w:ascii="Arial" w:hAnsi="Arial" w:cs="Arial"/>
          <w:color w:val="auto"/>
          <w:sz w:val="20"/>
          <w:szCs w:val="20"/>
          <w:u w:val="none"/>
        </w:rPr>
        <w:t>Table 3</w:t>
      </w:r>
      <w:r w:rsidRPr="002F00D3">
        <w:rPr>
          <w:rFonts w:ascii="Arial" w:hAnsi="Arial" w:cs="Arial"/>
          <w:sz w:val="20"/>
          <w:szCs w:val="20"/>
        </w:rPr>
        <w:fldChar w:fldCharType="end"/>
      </w:r>
      <w:bookmarkEnd w:id="9"/>
      <w:r w:rsidRPr="002F00D3">
        <w:rPr>
          <w:rFonts w:ascii="Arial" w:hAnsi="Arial" w:cs="Arial"/>
          <w:sz w:val="20"/>
          <w:szCs w:val="20"/>
        </w:rPr>
        <w:t>). Evidence does not support the routine use of joint </w:t>
      </w:r>
      <w:hyperlink r:id="rId140" w:tooltip="Learn more about Arthroscopy from ScienceDirect's AI-generated Topic Pages" w:history="1">
        <w:r w:rsidRPr="002F00D3">
          <w:rPr>
            <w:rStyle w:val="Hyperlink"/>
            <w:rFonts w:ascii="Arial" w:hAnsi="Arial" w:cs="Arial"/>
            <w:color w:val="auto"/>
            <w:sz w:val="20"/>
            <w:szCs w:val="20"/>
            <w:u w:val="none"/>
          </w:rPr>
          <w:t>arthroscopy</w:t>
        </w:r>
      </w:hyperlink>
      <w:r w:rsidRPr="002F00D3">
        <w:rPr>
          <w:rFonts w:ascii="Arial" w:hAnsi="Arial" w:cs="Arial"/>
          <w:sz w:val="20"/>
          <w:szCs w:val="20"/>
        </w:rPr>
        <w:t> in OA, even in individuals with meniscal symptoms such as locking or catching. Arthroscopic </w:t>
      </w:r>
      <w:hyperlink r:id="rId141" w:tooltip="Learn more about Meniscectomy from ScienceDirect's AI-generated Topic Pages" w:history="1">
        <w:r w:rsidRPr="002F00D3">
          <w:rPr>
            <w:rStyle w:val="Hyperlink"/>
            <w:rFonts w:ascii="Arial" w:hAnsi="Arial" w:cs="Arial"/>
            <w:color w:val="auto"/>
            <w:sz w:val="20"/>
            <w:szCs w:val="20"/>
            <w:u w:val="none"/>
          </w:rPr>
          <w:t>meniscectomy</w:t>
        </w:r>
      </w:hyperlink>
      <w:r w:rsidRPr="002F00D3">
        <w:rPr>
          <w:rFonts w:ascii="Arial" w:hAnsi="Arial" w:cs="Arial"/>
          <w:sz w:val="20"/>
          <w:szCs w:val="20"/>
        </w:rPr>
        <w:t> in the presence of early knee OA can even accelerate the disease in some individuals by increasing the amount of instability and trauma. Meniscal failure is common in knee OA, but </w:t>
      </w:r>
      <w:hyperlink r:id="rId142" w:tooltip="Learn more about Meniscal Transplantation from ScienceDirect's AI-generated Topic Pages" w:history="1">
        <w:r w:rsidRPr="002F00D3">
          <w:rPr>
            <w:rStyle w:val="Hyperlink"/>
            <w:rFonts w:ascii="Arial" w:hAnsi="Arial" w:cs="Arial"/>
            <w:color w:val="auto"/>
            <w:sz w:val="20"/>
            <w:szCs w:val="20"/>
            <w:u w:val="none"/>
          </w:rPr>
          <w:t>meniscal transplantation</w:t>
        </w:r>
      </w:hyperlink>
      <w:r w:rsidRPr="002F00D3">
        <w:rPr>
          <w:rFonts w:ascii="Arial" w:hAnsi="Arial" w:cs="Arial"/>
          <w:sz w:val="20"/>
          <w:szCs w:val="20"/>
        </w:rPr>
        <w:t> is not yet a widely practised procedure.</w:t>
      </w:r>
    </w:p>
    <w:p w14:paraId="016938F7" w14:textId="54E23C4E"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Other arthroscopic surgical options range from </w:t>
      </w:r>
      <w:hyperlink r:id="rId143" w:tooltip="Learn more about Microfracture from ScienceDirect's AI-generated Topic Pages" w:history="1">
        <w:r w:rsidRPr="002F00D3">
          <w:rPr>
            <w:rStyle w:val="Hyperlink"/>
            <w:rFonts w:ascii="Arial" w:hAnsi="Arial" w:cs="Arial"/>
            <w:color w:val="auto"/>
            <w:sz w:val="20"/>
            <w:szCs w:val="20"/>
            <w:u w:val="none"/>
          </w:rPr>
          <w:t>microfracture</w:t>
        </w:r>
      </w:hyperlink>
      <w:r w:rsidRPr="002F00D3">
        <w:rPr>
          <w:rFonts w:ascii="Arial" w:hAnsi="Arial" w:cs="Arial"/>
          <w:sz w:val="20"/>
          <w:szCs w:val="20"/>
        </w:rPr>
        <w:t> (full-thickness localized drilling into the subchondral bone, which allows secondary repair of the defect) or transplantation of </w:t>
      </w:r>
      <w:hyperlink r:id="rId144" w:tooltip="Learn more about Articular Cartilage from ScienceDirect's AI-generated Topic Pages" w:history="1">
        <w:r w:rsidRPr="002F00D3">
          <w:rPr>
            <w:rStyle w:val="Hyperlink"/>
            <w:rFonts w:ascii="Arial" w:hAnsi="Arial" w:cs="Arial"/>
            <w:color w:val="auto"/>
            <w:sz w:val="20"/>
            <w:szCs w:val="20"/>
            <w:u w:val="none"/>
          </w:rPr>
          <w:t>articular cartilage</w:t>
        </w:r>
      </w:hyperlink>
      <w:r w:rsidRPr="002F00D3">
        <w:rPr>
          <w:rFonts w:ascii="Arial" w:hAnsi="Arial" w:cs="Arial"/>
          <w:sz w:val="20"/>
          <w:szCs w:val="20"/>
        </w:rPr>
        <w:t> or </w:t>
      </w:r>
      <w:hyperlink r:id="rId145" w:tooltip="Learn more about Chondrocyte from ScienceDirect's AI-generated Topic Pages" w:history="1">
        <w:r w:rsidRPr="002F00D3">
          <w:rPr>
            <w:rStyle w:val="Hyperlink"/>
            <w:rFonts w:ascii="Arial" w:hAnsi="Arial" w:cs="Arial"/>
            <w:color w:val="auto"/>
            <w:sz w:val="20"/>
            <w:szCs w:val="20"/>
            <w:u w:val="none"/>
          </w:rPr>
          <w:t>chondrocyte</w:t>
        </w:r>
      </w:hyperlink>
      <w:r w:rsidRPr="002F00D3">
        <w:rPr>
          <w:rFonts w:ascii="Arial" w:hAnsi="Arial" w:cs="Arial"/>
          <w:sz w:val="20"/>
          <w:szCs w:val="20"/>
        </w:rPr>
        <w:t> suspensions in younger patients with small cartilage defects (autologous chondrocyte implantation). Repair strategies can result in an area of </w:t>
      </w:r>
      <w:hyperlink r:id="rId146" w:tooltip="Learn more about Fibrocartilage from ScienceDirect's AI-generated Topic Pages" w:history="1">
        <w:r w:rsidRPr="002F00D3">
          <w:rPr>
            <w:rStyle w:val="Hyperlink"/>
            <w:rFonts w:ascii="Arial" w:hAnsi="Arial" w:cs="Arial"/>
            <w:color w:val="auto"/>
            <w:sz w:val="20"/>
            <w:szCs w:val="20"/>
            <w:u w:val="none"/>
          </w:rPr>
          <w:t>fibrocartilage</w:t>
        </w:r>
      </w:hyperlink>
      <w:r w:rsidRPr="002F00D3">
        <w:rPr>
          <w:rFonts w:ascii="Arial" w:hAnsi="Arial" w:cs="Arial"/>
          <w:sz w:val="20"/>
          <w:szCs w:val="20"/>
        </w:rPr>
        <w:t xml:space="preserve">, which might improve the </w:t>
      </w:r>
      <w:r w:rsidR="007A04AB">
        <w:rPr>
          <w:rFonts w:ascii="Arial" w:hAnsi="Arial" w:cs="Arial"/>
          <w:sz w:val="20"/>
          <w:szCs w:val="20"/>
        </w:rPr>
        <w:t>individual</w:t>
      </w:r>
      <w:r w:rsidR="007A04AB" w:rsidRPr="002F00D3">
        <w:rPr>
          <w:rFonts w:ascii="Arial" w:hAnsi="Arial" w:cs="Arial"/>
          <w:sz w:val="20"/>
          <w:szCs w:val="20"/>
        </w:rPr>
        <w:t xml:space="preserve">'s </w:t>
      </w:r>
      <w:r w:rsidRPr="002F00D3">
        <w:rPr>
          <w:rFonts w:ascii="Arial" w:hAnsi="Arial" w:cs="Arial"/>
          <w:sz w:val="20"/>
          <w:szCs w:val="20"/>
        </w:rPr>
        <w:t>symptoms but is prone to further degeneration over time. Attempts to improve tissue engineering matrices, to maximize the growth of </w:t>
      </w:r>
      <w:hyperlink r:id="rId147" w:tooltip="Learn more about Hyaline Cartilage from ScienceDirect's AI-generated Topic Pages" w:history="1">
        <w:r w:rsidRPr="002F00D3">
          <w:rPr>
            <w:rStyle w:val="Hyperlink"/>
            <w:rFonts w:ascii="Arial" w:hAnsi="Arial" w:cs="Arial"/>
            <w:color w:val="auto"/>
            <w:sz w:val="20"/>
            <w:szCs w:val="20"/>
            <w:u w:val="none"/>
          </w:rPr>
          <w:t>hyaline cartilage</w:t>
        </w:r>
      </w:hyperlink>
      <w:r w:rsidRPr="002F00D3">
        <w:rPr>
          <w:rFonts w:ascii="Arial" w:hAnsi="Arial" w:cs="Arial"/>
          <w:sz w:val="20"/>
          <w:szCs w:val="20"/>
        </w:rPr>
        <w:t> and durability of the implant is an active area of research.</w:t>
      </w:r>
    </w:p>
    <w:p w14:paraId="3CBB07F0" w14:textId="06306B75"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Evidence-based surgical options for patients with advanced radiographic, severe OA who have significant pain and loss of function impairing their quality of life and who are poorly responsive to other measures include </w:t>
      </w:r>
      <w:hyperlink r:id="rId148" w:tooltip="Learn more about Arthroplasty from ScienceDirect's AI-generated Topic Pages" w:history="1">
        <w:r w:rsidRPr="002F00D3">
          <w:rPr>
            <w:rStyle w:val="Hyperlink"/>
            <w:rFonts w:ascii="Arial" w:hAnsi="Arial" w:cs="Arial"/>
            <w:color w:val="auto"/>
            <w:sz w:val="20"/>
            <w:szCs w:val="20"/>
            <w:u w:val="none"/>
          </w:rPr>
          <w:t>arthroplasty</w:t>
        </w:r>
      </w:hyperlink>
      <w:r w:rsidRPr="002F00D3">
        <w:rPr>
          <w:rFonts w:ascii="Arial" w:hAnsi="Arial" w:cs="Arial"/>
          <w:sz w:val="20"/>
          <w:szCs w:val="20"/>
        </w:rPr>
        <w:t> – </w:t>
      </w:r>
      <w:hyperlink r:id="rId149" w:tooltip="Learn more about Unicompartmental Knee Arthroplasty from ScienceDirect's AI-generated Topic Pages" w:history="1">
        <w:r w:rsidRPr="002F00D3">
          <w:rPr>
            <w:rStyle w:val="Hyperlink"/>
            <w:rFonts w:ascii="Arial" w:hAnsi="Arial" w:cs="Arial"/>
            <w:color w:val="auto"/>
            <w:sz w:val="20"/>
            <w:szCs w:val="20"/>
            <w:u w:val="none"/>
          </w:rPr>
          <w:t>unicompartmental knee arthroplasty</w:t>
        </w:r>
      </w:hyperlink>
      <w:r w:rsidRPr="002F00D3">
        <w:rPr>
          <w:rFonts w:ascii="Arial" w:hAnsi="Arial" w:cs="Arial"/>
          <w:sz w:val="20"/>
          <w:szCs w:val="20"/>
        </w:rPr>
        <w:t> (a smaller procedure for advanced single-compartment disease) or total joint arthroplasty (total joint replacement). Substantial improvement of quality of life is typical for those eligible for these operations, but arthroplasty is not usually appropriate for those with early or moderate disease, or younger patients (who are likely to need revisions, and in whom decision to operate is therefore complex).</w:t>
      </w:r>
      <w:bookmarkStart w:id="10" w:name="bbib4"/>
      <w:r w:rsidR="00FA73E9" w:rsidRPr="002F00D3" w:rsidDel="00FA73E9">
        <w:rPr>
          <w:rFonts w:ascii="Arial" w:hAnsi="Arial" w:cs="Arial"/>
          <w:sz w:val="20"/>
          <w:szCs w:val="20"/>
        </w:rPr>
        <w:t xml:space="preserve"> </w:t>
      </w:r>
      <w:bookmarkEnd w:id="10"/>
    </w:p>
    <w:p w14:paraId="6E2C6278" w14:textId="4707F51E" w:rsidR="00D71D44" w:rsidRPr="002F00D3" w:rsidRDefault="00D71D44" w:rsidP="002F00D3">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If the individual has significant </w:t>
      </w:r>
      <w:hyperlink r:id="rId150" w:tooltip="Learn more about Arthropathy from ScienceDirect's AI-generated Topic Pages" w:history="1">
        <w:r w:rsidRPr="002F00D3">
          <w:rPr>
            <w:rStyle w:val="Hyperlink"/>
            <w:rFonts w:ascii="Arial" w:hAnsi="Arial" w:cs="Arial"/>
            <w:color w:val="auto"/>
            <w:sz w:val="20"/>
            <w:szCs w:val="20"/>
            <w:u w:val="none"/>
          </w:rPr>
          <w:t>joint deformity</w:t>
        </w:r>
      </w:hyperlink>
      <w:r w:rsidRPr="002F00D3">
        <w:rPr>
          <w:rFonts w:ascii="Arial" w:hAnsi="Arial" w:cs="Arial"/>
          <w:sz w:val="20"/>
          <w:szCs w:val="20"/>
        </w:rPr>
        <w:t xml:space="preserve"> or abnormalities of joint shape, surgical correction of the abnormal joint mechanics is pain-relieving and might be disease-modifying, although </w:t>
      </w:r>
      <w:r w:rsidR="00C52407">
        <w:rPr>
          <w:rFonts w:ascii="Arial" w:hAnsi="Arial" w:cs="Arial"/>
          <w:sz w:val="20"/>
          <w:szCs w:val="20"/>
        </w:rPr>
        <w:t xml:space="preserve">large numbers of </w:t>
      </w:r>
      <w:r w:rsidRPr="002F00D3">
        <w:rPr>
          <w:rFonts w:ascii="Arial" w:hAnsi="Arial" w:cs="Arial"/>
          <w:sz w:val="20"/>
          <w:szCs w:val="20"/>
        </w:rPr>
        <w:t xml:space="preserve">high-quality trials </w:t>
      </w:r>
      <w:r w:rsidR="00965A26">
        <w:rPr>
          <w:rFonts w:ascii="Arial" w:hAnsi="Arial" w:cs="Arial"/>
          <w:sz w:val="20"/>
          <w:szCs w:val="20"/>
        </w:rPr>
        <w:t xml:space="preserve">providing evidence </w:t>
      </w:r>
      <w:r w:rsidRPr="002F00D3">
        <w:rPr>
          <w:rFonts w:ascii="Arial" w:hAnsi="Arial" w:cs="Arial"/>
          <w:sz w:val="20"/>
          <w:szCs w:val="20"/>
        </w:rPr>
        <w:t>are still lacking, for example in </w:t>
      </w:r>
      <w:hyperlink r:id="rId151" w:tooltip="Learn more about High Tibial Osteotomy from ScienceDirect's AI-generated Topic Pages" w:history="1">
        <w:r w:rsidRPr="002F00D3">
          <w:rPr>
            <w:rStyle w:val="Hyperlink"/>
            <w:rFonts w:ascii="Arial" w:hAnsi="Arial" w:cs="Arial"/>
            <w:color w:val="auto"/>
            <w:sz w:val="20"/>
            <w:szCs w:val="20"/>
            <w:u w:val="none"/>
          </w:rPr>
          <w:t>high tibial osteotomy</w:t>
        </w:r>
      </w:hyperlink>
      <w:r w:rsidRPr="002F00D3">
        <w:rPr>
          <w:rFonts w:ascii="Arial" w:hAnsi="Arial" w:cs="Arial"/>
          <w:sz w:val="20"/>
          <w:szCs w:val="20"/>
        </w:rPr>
        <w:t> to correct alignment of </w:t>
      </w:r>
      <w:hyperlink r:id="rId152" w:tooltip="Learn more about Valgus Knee from ScienceDirect's AI-generated Topic Pages" w:history="1">
        <w:r w:rsidRPr="002F00D3">
          <w:rPr>
            <w:rStyle w:val="Hyperlink"/>
            <w:rFonts w:ascii="Arial" w:hAnsi="Arial" w:cs="Arial"/>
            <w:color w:val="auto"/>
            <w:sz w:val="20"/>
            <w:szCs w:val="20"/>
            <w:u w:val="none"/>
          </w:rPr>
          <w:t>valgus knees</w:t>
        </w:r>
      </w:hyperlink>
      <w:r w:rsidRPr="002F00D3">
        <w:rPr>
          <w:rFonts w:ascii="Arial" w:hAnsi="Arial" w:cs="Arial"/>
          <w:sz w:val="20"/>
          <w:szCs w:val="20"/>
        </w:rPr>
        <w:t> in knee OA. Although temporary mechanical offloading by joint distraction via an external fixator is not routinely available, clinical trials show sustained clinical benefit as well as evidence of cartilage repair.</w:t>
      </w:r>
    </w:p>
    <w:p w14:paraId="4F468CBB" w14:textId="77777777" w:rsidR="002F00D3" w:rsidRDefault="002F00D3" w:rsidP="002F00D3">
      <w:pPr>
        <w:pStyle w:val="Heading3"/>
        <w:spacing w:before="0" w:line="240" w:lineRule="auto"/>
        <w:rPr>
          <w:rFonts w:ascii="Arial" w:hAnsi="Arial" w:cs="Arial"/>
          <w:color w:val="auto"/>
          <w:sz w:val="20"/>
          <w:szCs w:val="20"/>
        </w:rPr>
      </w:pPr>
    </w:p>
    <w:p w14:paraId="37CA8A8F" w14:textId="603AEA97" w:rsidR="00D71D44" w:rsidRPr="002F00D3" w:rsidRDefault="00D71D44" w:rsidP="002F00D3">
      <w:pPr>
        <w:pStyle w:val="Heading3"/>
        <w:spacing w:before="0" w:line="240" w:lineRule="auto"/>
        <w:rPr>
          <w:rFonts w:ascii="Arial" w:hAnsi="Arial" w:cs="Arial"/>
          <w:b/>
          <w:bCs/>
          <w:color w:val="auto"/>
          <w:sz w:val="20"/>
          <w:szCs w:val="20"/>
        </w:rPr>
      </w:pPr>
      <w:r w:rsidRPr="002F00D3">
        <w:rPr>
          <w:rFonts w:ascii="Arial" w:hAnsi="Arial" w:cs="Arial"/>
          <w:b/>
          <w:bCs/>
          <w:color w:val="auto"/>
          <w:sz w:val="20"/>
          <w:szCs w:val="20"/>
        </w:rPr>
        <w:t>New therapies</w:t>
      </w:r>
    </w:p>
    <w:p w14:paraId="70325841" w14:textId="3B30E3E6" w:rsidR="00D71D44" w:rsidRPr="002F00D3" w:rsidRDefault="00D71D44" w:rsidP="002F00D3">
      <w:pPr>
        <w:pStyle w:val="NormalWeb"/>
        <w:spacing w:before="0" w:beforeAutospacing="0" w:after="0" w:afterAutospacing="0"/>
        <w:rPr>
          <w:rFonts w:ascii="Arial" w:hAnsi="Arial" w:cs="Arial"/>
          <w:sz w:val="20"/>
          <w:szCs w:val="20"/>
        </w:rPr>
      </w:pPr>
      <w:r w:rsidRPr="002F00D3">
        <w:rPr>
          <w:rFonts w:ascii="Arial" w:hAnsi="Arial" w:cs="Arial"/>
          <w:sz w:val="20"/>
          <w:szCs w:val="20"/>
        </w:rPr>
        <w:t>Many OA trials show a strong placebo response. This, and a lack of sensitive, responsive short-term outcome measures, complicates our assessment of repurposed and novel therapies, which are much needed for OA. There have been various high-profile negative clinical trials in OA. </w:t>
      </w:r>
      <w:hyperlink r:id="rId153" w:tooltip="Learn more about Vitamin D from ScienceDirect's AI-generated Topic Pages" w:history="1">
        <w:r w:rsidRPr="002F00D3">
          <w:rPr>
            <w:rStyle w:val="Hyperlink"/>
            <w:rFonts w:ascii="Arial" w:hAnsi="Arial" w:cs="Arial"/>
            <w:color w:val="auto"/>
            <w:sz w:val="20"/>
            <w:szCs w:val="20"/>
            <w:u w:val="none"/>
          </w:rPr>
          <w:t>Vitamin D</w:t>
        </w:r>
      </w:hyperlink>
      <w:r w:rsidRPr="002F00D3">
        <w:rPr>
          <w:rFonts w:ascii="Arial" w:hAnsi="Arial" w:cs="Arial"/>
          <w:sz w:val="20"/>
          <w:szCs w:val="20"/>
        </w:rPr>
        <w:t> does not slow progression of OA (although ensuring that a patient is vitamin D-replete remains good practice for both muscle and joint health). </w:t>
      </w:r>
      <w:hyperlink r:id="rId154" w:tooltip="Learn more about Hydroxychloroquine from ScienceDirect's AI-generated Topic Pages" w:history="1">
        <w:r w:rsidRPr="002F00D3">
          <w:rPr>
            <w:rStyle w:val="Hyperlink"/>
            <w:rFonts w:ascii="Arial" w:hAnsi="Arial" w:cs="Arial"/>
            <w:color w:val="auto"/>
            <w:sz w:val="20"/>
            <w:szCs w:val="20"/>
            <w:u w:val="none"/>
          </w:rPr>
          <w:t>Hydroxychloroquine</w:t>
        </w:r>
      </w:hyperlink>
      <w:r w:rsidRPr="002F00D3">
        <w:rPr>
          <w:rFonts w:ascii="Arial" w:hAnsi="Arial" w:cs="Arial"/>
          <w:sz w:val="20"/>
          <w:szCs w:val="20"/>
        </w:rPr>
        <w:t>, anti-interleukin-1 and anti-tumour </w:t>
      </w:r>
      <w:hyperlink r:id="rId155" w:tooltip="Learn more about Necrosis from ScienceDirect's AI-generated Topic Pages" w:history="1">
        <w:r w:rsidRPr="002F00D3">
          <w:rPr>
            <w:rStyle w:val="Hyperlink"/>
            <w:rFonts w:ascii="Arial" w:hAnsi="Arial" w:cs="Arial"/>
            <w:color w:val="auto"/>
            <w:sz w:val="20"/>
            <w:szCs w:val="20"/>
            <w:u w:val="none"/>
          </w:rPr>
          <w:t>necrosis</w:t>
        </w:r>
      </w:hyperlink>
      <w:r w:rsidRPr="002F00D3">
        <w:rPr>
          <w:rFonts w:ascii="Arial" w:hAnsi="Arial" w:cs="Arial"/>
          <w:sz w:val="20"/>
          <w:szCs w:val="20"/>
        </w:rPr>
        <w:t xml:space="preserve"> factor are no better than placebo for treating symptomatic hand OA. Other injectables such as </w:t>
      </w:r>
      <w:r w:rsidR="00E25D08">
        <w:rPr>
          <w:rFonts w:ascii="Arial" w:hAnsi="Arial" w:cs="Arial"/>
          <w:sz w:val="20"/>
          <w:szCs w:val="20"/>
        </w:rPr>
        <w:t xml:space="preserve">platelet rich </w:t>
      </w:r>
      <w:r w:rsidRPr="002F00D3">
        <w:rPr>
          <w:rFonts w:ascii="Arial" w:hAnsi="Arial" w:cs="Arial"/>
          <w:sz w:val="20"/>
          <w:szCs w:val="20"/>
        </w:rPr>
        <w:t>plasma</w:t>
      </w:r>
      <w:r w:rsidR="00E25D08">
        <w:rPr>
          <w:rFonts w:ascii="Arial" w:hAnsi="Arial" w:cs="Arial"/>
          <w:sz w:val="20"/>
          <w:szCs w:val="20"/>
        </w:rPr>
        <w:t xml:space="preserve"> (PRP),</w:t>
      </w:r>
      <w:r w:rsidRPr="002F00D3">
        <w:rPr>
          <w:rFonts w:ascii="Arial" w:hAnsi="Arial" w:cs="Arial"/>
          <w:sz w:val="20"/>
          <w:szCs w:val="20"/>
        </w:rPr>
        <w:t xml:space="preserve"> rich in growth factors or stem cells have some evidence for their use, but better evidence from randomized controlled trials is needed before widespread use.</w:t>
      </w:r>
    </w:p>
    <w:p w14:paraId="56709A51" w14:textId="797EC2DC" w:rsidR="00D71D44" w:rsidRPr="002F00D3" w:rsidRDefault="00E25D08" w:rsidP="00795EBF">
      <w:pPr>
        <w:pStyle w:val="NormalWeb"/>
        <w:spacing w:before="0" w:beforeAutospacing="0" w:after="0" w:afterAutospacing="0"/>
        <w:ind w:firstLine="720"/>
        <w:rPr>
          <w:rFonts w:ascii="Arial" w:hAnsi="Arial" w:cs="Arial"/>
          <w:sz w:val="20"/>
          <w:szCs w:val="20"/>
        </w:rPr>
      </w:pPr>
      <w:r>
        <w:rPr>
          <w:rFonts w:ascii="Arial" w:hAnsi="Arial" w:cs="Arial"/>
          <w:sz w:val="20"/>
          <w:szCs w:val="20"/>
        </w:rPr>
        <w:t>Phase III t</w:t>
      </w:r>
      <w:r w:rsidR="00D71D44" w:rsidRPr="002F00D3">
        <w:rPr>
          <w:rFonts w:ascii="Arial" w:hAnsi="Arial" w:cs="Arial"/>
          <w:sz w:val="20"/>
          <w:szCs w:val="20"/>
        </w:rPr>
        <w:t xml:space="preserve">rials </w:t>
      </w:r>
      <w:r>
        <w:rPr>
          <w:rFonts w:ascii="Arial" w:hAnsi="Arial" w:cs="Arial"/>
          <w:sz w:val="20"/>
          <w:szCs w:val="20"/>
        </w:rPr>
        <w:t>indicate</w:t>
      </w:r>
      <w:r w:rsidRPr="002F00D3">
        <w:rPr>
          <w:rFonts w:ascii="Arial" w:hAnsi="Arial" w:cs="Arial"/>
          <w:sz w:val="20"/>
          <w:szCs w:val="20"/>
        </w:rPr>
        <w:t xml:space="preserve"> </w:t>
      </w:r>
      <w:r w:rsidR="00D71D44" w:rsidRPr="002F00D3">
        <w:rPr>
          <w:rFonts w:ascii="Arial" w:hAnsi="Arial" w:cs="Arial"/>
          <w:sz w:val="20"/>
          <w:szCs w:val="20"/>
        </w:rPr>
        <w:t>that drugs that block the </w:t>
      </w:r>
      <w:hyperlink r:id="rId156" w:tooltip="Learn more about Nerve Growth Factor from ScienceDirect's AI-generated Topic Pages" w:history="1">
        <w:r w:rsidR="00D71D44" w:rsidRPr="002F00D3">
          <w:rPr>
            <w:rStyle w:val="Hyperlink"/>
            <w:rFonts w:ascii="Arial" w:hAnsi="Arial" w:cs="Arial"/>
            <w:color w:val="auto"/>
            <w:sz w:val="20"/>
            <w:szCs w:val="20"/>
            <w:u w:val="none"/>
          </w:rPr>
          <w:t>nerve growth factor</w:t>
        </w:r>
      </w:hyperlink>
      <w:r w:rsidR="00D71D44" w:rsidRPr="002F00D3">
        <w:rPr>
          <w:rFonts w:ascii="Arial" w:hAnsi="Arial" w:cs="Arial"/>
          <w:sz w:val="20"/>
          <w:szCs w:val="20"/>
        </w:rPr>
        <w:t xml:space="preserve"> pathway significantly improve pain in OA, but </w:t>
      </w:r>
      <w:r>
        <w:rPr>
          <w:rFonts w:ascii="Arial" w:hAnsi="Arial" w:cs="Arial"/>
          <w:sz w:val="20"/>
          <w:szCs w:val="20"/>
        </w:rPr>
        <w:t>rapidly progressi</w:t>
      </w:r>
      <w:r w:rsidR="00DE7EF0">
        <w:rPr>
          <w:rFonts w:ascii="Arial" w:hAnsi="Arial" w:cs="Arial"/>
          <w:sz w:val="20"/>
          <w:szCs w:val="20"/>
        </w:rPr>
        <w:t>ve</w:t>
      </w:r>
      <w:r>
        <w:rPr>
          <w:rFonts w:ascii="Arial" w:hAnsi="Arial" w:cs="Arial"/>
          <w:sz w:val="20"/>
          <w:szCs w:val="20"/>
        </w:rPr>
        <w:t xml:space="preserve"> OA (RPOA) </w:t>
      </w:r>
      <w:r w:rsidR="00D71D44" w:rsidRPr="002F00D3">
        <w:rPr>
          <w:rFonts w:ascii="Arial" w:hAnsi="Arial" w:cs="Arial"/>
          <w:sz w:val="20"/>
          <w:szCs w:val="20"/>
        </w:rPr>
        <w:t>in some individuals</w:t>
      </w:r>
      <w:r w:rsidR="00FA73E9">
        <w:rPr>
          <w:rFonts w:ascii="Arial" w:hAnsi="Arial" w:cs="Arial"/>
          <w:sz w:val="20"/>
          <w:szCs w:val="20"/>
        </w:rPr>
        <w:t>,</w:t>
      </w:r>
      <w:r w:rsidR="00D71D44" w:rsidRPr="002F00D3">
        <w:rPr>
          <w:rFonts w:ascii="Arial" w:hAnsi="Arial" w:cs="Arial"/>
          <w:sz w:val="20"/>
          <w:szCs w:val="20"/>
        </w:rPr>
        <w:t xml:space="preserve"> </w:t>
      </w:r>
      <w:r>
        <w:rPr>
          <w:rFonts w:ascii="Arial" w:hAnsi="Arial" w:cs="Arial"/>
          <w:sz w:val="20"/>
          <w:szCs w:val="20"/>
        </w:rPr>
        <w:t>leading to</w:t>
      </w:r>
      <w:r w:rsidR="00D71D44" w:rsidRPr="002F00D3">
        <w:rPr>
          <w:rFonts w:ascii="Arial" w:hAnsi="Arial" w:cs="Arial"/>
          <w:sz w:val="20"/>
          <w:szCs w:val="20"/>
        </w:rPr>
        <w:t xml:space="preserve"> </w:t>
      </w:r>
      <w:r w:rsidR="00FA73E9">
        <w:rPr>
          <w:rFonts w:ascii="Arial" w:hAnsi="Arial" w:cs="Arial"/>
          <w:sz w:val="20"/>
          <w:szCs w:val="20"/>
        </w:rPr>
        <w:t>increased</w:t>
      </w:r>
      <w:r w:rsidR="00D71D44" w:rsidRPr="002F00D3">
        <w:rPr>
          <w:rFonts w:ascii="Arial" w:hAnsi="Arial" w:cs="Arial"/>
          <w:sz w:val="20"/>
          <w:szCs w:val="20"/>
        </w:rPr>
        <w:t xml:space="preserve"> joint replacement</w:t>
      </w:r>
      <w:r>
        <w:rPr>
          <w:rFonts w:ascii="Arial" w:hAnsi="Arial" w:cs="Arial"/>
          <w:sz w:val="20"/>
          <w:szCs w:val="20"/>
        </w:rPr>
        <w:t xml:space="preserve"> </w:t>
      </w:r>
      <w:r w:rsidR="005F635A">
        <w:rPr>
          <w:rFonts w:ascii="Arial" w:hAnsi="Arial" w:cs="Arial"/>
          <w:sz w:val="20"/>
          <w:szCs w:val="20"/>
        </w:rPr>
        <w:t>may</w:t>
      </w:r>
      <w:r w:rsidR="00FA73E9">
        <w:rPr>
          <w:rFonts w:ascii="Arial" w:hAnsi="Arial" w:cs="Arial"/>
          <w:sz w:val="20"/>
          <w:szCs w:val="20"/>
        </w:rPr>
        <w:t xml:space="preserve"> limit</w:t>
      </w:r>
      <w:r>
        <w:rPr>
          <w:rFonts w:ascii="Arial" w:hAnsi="Arial" w:cs="Arial"/>
          <w:sz w:val="20"/>
          <w:szCs w:val="20"/>
        </w:rPr>
        <w:t xml:space="preserve"> regulatory acceptance</w:t>
      </w:r>
      <w:r w:rsidR="00D71D44" w:rsidRPr="002F00D3">
        <w:rPr>
          <w:rFonts w:ascii="Arial" w:hAnsi="Arial" w:cs="Arial"/>
          <w:sz w:val="20"/>
          <w:szCs w:val="20"/>
        </w:rPr>
        <w:t>. Safety remains a major consideration in what is a ‘benign’ disease: </w:t>
      </w:r>
      <w:hyperlink r:id="rId157" w:tooltip="Learn more about Strontium Ranelate from ScienceDirect's AI-generated Topic Pages" w:history="1">
        <w:r w:rsidR="00D71D44" w:rsidRPr="002F00D3">
          <w:rPr>
            <w:rStyle w:val="Hyperlink"/>
            <w:rFonts w:ascii="Arial" w:hAnsi="Arial" w:cs="Arial"/>
            <w:color w:val="auto"/>
            <w:sz w:val="20"/>
            <w:szCs w:val="20"/>
            <w:u w:val="none"/>
          </w:rPr>
          <w:t>strontium ranelate</w:t>
        </w:r>
      </w:hyperlink>
      <w:r w:rsidR="00D71D44" w:rsidRPr="002F00D3">
        <w:rPr>
          <w:rFonts w:ascii="Arial" w:hAnsi="Arial" w:cs="Arial"/>
          <w:sz w:val="20"/>
          <w:szCs w:val="20"/>
        </w:rPr>
        <w:t> appeared to have effect on pain and structure in OA, but its associated risk of </w:t>
      </w:r>
      <w:hyperlink r:id="rId158" w:tooltip="Learn more about Venous Thromboembolism from ScienceDirect's AI-generated Topic Pages" w:history="1">
        <w:r w:rsidR="00D71D44" w:rsidRPr="002F00D3">
          <w:rPr>
            <w:rStyle w:val="Hyperlink"/>
            <w:rFonts w:ascii="Arial" w:hAnsi="Arial" w:cs="Arial"/>
            <w:color w:val="auto"/>
            <w:sz w:val="20"/>
            <w:szCs w:val="20"/>
            <w:u w:val="none"/>
          </w:rPr>
          <w:t>venous thromboembolism</w:t>
        </w:r>
      </w:hyperlink>
      <w:r w:rsidR="00D71D44" w:rsidRPr="002F00D3">
        <w:rPr>
          <w:rFonts w:ascii="Arial" w:hAnsi="Arial" w:cs="Arial"/>
          <w:sz w:val="20"/>
          <w:szCs w:val="20"/>
        </w:rPr>
        <w:t> has meant that its development as an OA drug has been halted. Other bone-active agents including intravenous </w:t>
      </w:r>
      <w:hyperlink r:id="rId159" w:tooltip="Learn more about Bisphosphonate from ScienceDirect's AI-generated Topic Pages" w:history="1">
        <w:r w:rsidR="00D71D44" w:rsidRPr="002F00D3">
          <w:rPr>
            <w:rStyle w:val="Hyperlink"/>
            <w:rFonts w:ascii="Arial" w:hAnsi="Arial" w:cs="Arial"/>
            <w:color w:val="auto"/>
            <w:sz w:val="20"/>
            <w:szCs w:val="20"/>
            <w:u w:val="none"/>
          </w:rPr>
          <w:t>bisphosphonates</w:t>
        </w:r>
      </w:hyperlink>
      <w:r w:rsidR="00D71D44" w:rsidRPr="002F00D3">
        <w:rPr>
          <w:rFonts w:ascii="Arial" w:hAnsi="Arial" w:cs="Arial"/>
          <w:sz w:val="20"/>
          <w:szCs w:val="20"/>
        </w:rPr>
        <w:t> and </w:t>
      </w:r>
      <w:hyperlink r:id="rId160" w:tooltip="Learn more about Denosumab from ScienceDirect's AI-generated Topic Pages" w:history="1">
        <w:r w:rsidR="00D71D44" w:rsidRPr="002F00D3">
          <w:rPr>
            <w:rStyle w:val="Hyperlink"/>
            <w:rFonts w:ascii="Arial" w:hAnsi="Arial" w:cs="Arial"/>
            <w:color w:val="auto"/>
            <w:sz w:val="20"/>
            <w:szCs w:val="20"/>
            <w:u w:val="none"/>
          </w:rPr>
          <w:t>denosumab</w:t>
        </w:r>
      </w:hyperlink>
      <w:r w:rsidR="00D71D44" w:rsidRPr="002F00D3">
        <w:rPr>
          <w:rFonts w:ascii="Arial" w:hAnsi="Arial" w:cs="Arial"/>
          <w:sz w:val="20"/>
          <w:szCs w:val="20"/>
        </w:rPr>
        <w:t xml:space="preserve"> are in clinical trials for their effects in OA. An alternative strategy is to identify and augment intrinsic repair pathways. Anabolic or anticatabolic approaches (such as a Wnt pathway inhibitor, and an intra-articular growth factor FGF-18) are among novel agents </w:t>
      </w:r>
      <w:r w:rsidR="00FA73E9">
        <w:rPr>
          <w:rFonts w:ascii="Arial" w:hAnsi="Arial" w:cs="Arial"/>
          <w:sz w:val="20"/>
          <w:szCs w:val="20"/>
        </w:rPr>
        <w:t xml:space="preserve">showing success in phase II and III </w:t>
      </w:r>
      <w:r w:rsidR="00D71D44" w:rsidRPr="002F00D3">
        <w:rPr>
          <w:rFonts w:ascii="Arial" w:hAnsi="Arial" w:cs="Arial"/>
          <w:sz w:val="20"/>
          <w:szCs w:val="20"/>
        </w:rPr>
        <w:t>clinical trials.</w:t>
      </w:r>
      <w:bookmarkStart w:id="11" w:name="bbib5"/>
      <w:r w:rsidR="00D71D44" w:rsidRPr="002F00D3">
        <w:rPr>
          <w:rFonts w:ascii="Arial" w:hAnsi="Arial" w:cs="Arial"/>
          <w:sz w:val="20"/>
          <w:szCs w:val="20"/>
        </w:rPr>
        <w:fldChar w:fldCharType="begin"/>
      </w:r>
      <w:r w:rsidR="00D71D44" w:rsidRPr="002F00D3">
        <w:rPr>
          <w:rFonts w:ascii="Arial" w:hAnsi="Arial" w:cs="Arial"/>
          <w:sz w:val="20"/>
          <w:szCs w:val="20"/>
        </w:rPr>
        <w:instrText xml:space="preserve"> HYPERLINK "https://www.sciencedirect.com/science/article/pii/S1357303917303304" \l "bib5" </w:instrText>
      </w:r>
      <w:r w:rsidR="00D71D44" w:rsidRPr="002F00D3">
        <w:rPr>
          <w:rFonts w:ascii="Arial" w:hAnsi="Arial" w:cs="Arial"/>
          <w:sz w:val="20"/>
          <w:szCs w:val="20"/>
        </w:rPr>
        <w:fldChar w:fldCharType="separate"/>
      </w:r>
      <w:r w:rsidR="00D71D44" w:rsidRPr="002F00D3">
        <w:rPr>
          <w:rStyle w:val="Hyperlink"/>
          <w:rFonts w:ascii="Arial" w:hAnsi="Arial" w:cs="Arial"/>
          <w:color w:val="auto"/>
          <w:sz w:val="20"/>
          <w:szCs w:val="20"/>
          <w:u w:val="none"/>
          <w:vertAlign w:val="superscript"/>
        </w:rPr>
        <w:t>5</w:t>
      </w:r>
      <w:r w:rsidR="00D71D44" w:rsidRPr="002F00D3">
        <w:rPr>
          <w:rFonts w:ascii="Arial" w:hAnsi="Arial" w:cs="Arial"/>
          <w:sz w:val="20"/>
          <w:szCs w:val="20"/>
        </w:rPr>
        <w:fldChar w:fldCharType="end"/>
      </w:r>
      <w:bookmarkEnd w:id="11"/>
    </w:p>
    <w:p w14:paraId="38DCF410" w14:textId="12933E86" w:rsidR="00D71D44" w:rsidRPr="002F00D3" w:rsidRDefault="00D71D44" w:rsidP="00795EBF">
      <w:pPr>
        <w:pStyle w:val="NormalWeb"/>
        <w:spacing w:before="0" w:beforeAutospacing="0" w:after="0" w:afterAutospacing="0"/>
        <w:ind w:firstLine="720"/>
        <w:rPr>
          <w:rFonts w:ascii="Arial" w:hAnsi="Arial" w:cs="Arial"/>
          <w:sz w:val="20"/>
          <w:szCs w:val="20"/>
        </w:rPr>
      </w:pPr>
      <w:r w:rsidRPr="002F00D3">
        <w:rPr>
          <w:rFonts w:ascii="Arial" w:hAnsi="Arial" w:cs="Arial"/>
          <w:sz w:val="20"/>
          <w:szCs w:val="20"/>
        </w:rPr>
        <w:t xml:space="preserve">Improving our understanding of mechanisms that initiate or drive progression in the disease </w:t>
      </w:r>
      <w:r w:rsidR="003D0BFB">
        <w:rPr>
          <w:rFonts w:ascii="Arial" w:hAnsi="Arial" w:cs="Arial"/>
          <w:sz w:val="20"/>
          <w:szCs w:val="20"/>
        </w:rPr>
        <w:t xml:space="preserve">and how best to measure this </w:t>
      </w:r>
      <w:r w:rsidRPr="002F00D3">
        <w:rPr>
          <w:rFonts w:ascii="Arial" w:hAnsi="Arial" w:cs="Arial"/>
          <w:sz w:val="20"/>
          <w:szCs w:val="20"/>
        </w:rPr>
        <w:t>will improve our ability to identify novel targets for intervention in OA.</w:t>
      </w:r>
    </w:p>
    <w:p w14:paraId="100A0170" w14:textId="0F8BCD1A"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br w:type="page"/>
      </w:r>
    </w:p>
    <w:p w14:paraId="01481645" w14:textId="201D80EE" w:rsidR="00D71D44" w:rsidRPr="002F00D3" w:rsidRDefault="00D71D44" w:rsidP="002F00D3">
      <w:pPr>
        <w:spacing w:after="0" w:line="240" w:lineRule="auto"/>
        <w:rPr>
          <w:rFonts w:ascii="Arial" w:hAnsi="Arial" w:cs="Arial"/>
          <w:sz w:val="20"/>
          <w:szCs w:val="20"/>
        </w:rPr>
      </w:pPr>
      <w:r w:rsidRPr="002F00D3">
        <w:rPr>
          <w:rFonts w:ascii="Arial" w:hAnsi="Arial" w:cs="Arial"/>
          <w:noProof/>
          <w:sz w:val="20"/>
          <w:szCs w:val="20"/>
        </w:rPr>
        <w:drawing>
          <wp:inline distT="0" distB="0" distL="0" distR="0" wp14:anchorId="6C0F6A39" wp14:editId="11EE9B29">
            <wp:extent cx="5505450" cy="318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505450" cy="3187700"/>
                    </a:xfrm>
                    <a:prstGeom prst="rect">
                      <a:avLst/>
                    </a:prstGeom>
                    <a:noFill/>
                    <a:ln>
                      <a:noFill/>
                    </a:ln>
                  </pic:spPr>
                </pic:pic>
              </a:graphicData>
            </a:graphic>
          </wp:inline>
        </w:drawing>
      </w:r>
    </w:p>
    <w:p w14:paraId="26E7E0DC" w14:textId="7DA80BC5" w:rsidR="00D71D44" w:rsidRPr="002F00D3" w:rsidRDefault="00D71D44" w:rsidP="002F00D3">
      <w:pPr>
        <w:spacing w:after="0" w:line="240" w:lineRule="auto"/>
        <w:rPr>
          <w:rFonts w:ascii="Arial" w:hAnsi="Arial" w:cs="Arial"/>
          <w:sz w:val="20"/>
          <w:szCs w:val="20"/>
        </w:rPr>
      </w:pPr>
      <w:r w:rsidRPr="00795EBF">
        <w:rPr>
          <w:rStyle w:val="label"/>
          <w:rFonts w:ascii="Arial" w:hAnsi="Arial" w:cs="Arial"/>
          <w:b/>
          <w:bCs/>
          <w:sz w:val="20"/>
          <w:szCs w:val="20"/>
        </w:rPr>
        <w:t>Figure 1</w:t>
      </w:r>
      <w:r w:rsidRPr="002F00D3">
        <w:rPr>
          <w:rFonts w:ascii="Arial" w:hAnsi="Arial" w:cs="Arial"/>
          <w:sz w:val="20"/>
          <w:szCs w:val="20"/>
        </w:rPr>
        <w:t> (</w:t>
      </w:r>
      <w:r w:rsidRPr="002F00D3">
        <w:rPr>
          <w:rStyle w:val="Strong"/>
          <w:rFonts w:ascii="Arial" w:hAnsi="Arial" w:cs="Arial"/>
          <w:sz w:val="20"/>
          <w:szCs w:val="20"/>
        </w:rPr>
        <w:t>a</w:t>
      </w:r>
      <w:r w:rsidRPr="002F00D3">
        <w:rPr>
          <w:rFonts w:ascii="Arial" w:hAnsi="Arial" w:cs="Arial"/>
          <w:sz w:val="20"/>
          <w:szCs w:val="20"/>
        </w:rPr>
        <w:t>) Normal and (</w:t>
      </w:r>
      <w:r w:rsidRPr="002F00D3">
        <w:rPr>
          <w:rStyle w:val="Strong"/>
          <w:rFonts w:ascii="Arial" w:hAnsi="Arial" w:cs="Arial"/>
          <w:sz w:val="20"/>
          <w:szCs w:val="20"/>
        </w:rPr>
        <w:t>b</w:t>
      </w:r>
      <w:r w:rsidRPr="002F00D3">
        <w:rPr>
          <w:rFonts w:ascii="Arial" w:hAnsi="Arial" w:cs="Arial"/>
          <w:sz w:val="20"/>
          <w:szCs w:val="20"/>
        </w:rPr>
        <w:t>) osteoarthritic human cartilage stained for </w:t>
      </w:r>
      <w:hyperlink r:id="rId162" w:tooltip="Learn more about Proteoglycan from ScienceDirect's AI-generated Topic Pages" w:history="1">
        <w:r w:rsidRPr="002F00D3">
          <w:rPr>
            <w:rStyle w:val="Hyperlink"/>
            <w:rFonts w:ascii="Arial" w:hAnsi="Arial" w:cs="Arial"/>
            <w:color w:val="auto"/>
            <w:sz w:val="20"/>
            <w:szCs w:val="20"/>
            <w:u w:val="none"/>
          </w:rPr>
          <w:t>proteoglycan</w:t>
        </w:r>
      </w:hyperlink>
      <w:r w:rsidRPr="002F00D3">
        <w:rPr>
          <w:rFonts w:ascii="Arial" w:hAnsi="Arial" w:cs="Arial"/>
          <w:sz w:val="20"/>
          <w:szCs w:val="20"/>
        </w:rPr>
        <w:t> (red). Note patchy loss of proteoglycan, tissue </w:t>
      </w:r>
      <w:hyperlink r:id="rId163" w:tooltip="Learn more about Fibrillation from ScienceDirect's AI-generated Topic Pages" w:history="1">
        <w:r w:rsidRPr="002F00D3">
          <w:rPr>
            <w:rStyle w:val="Hyperlink"/>
            <w:rFonts w:ascii="Arial" w:hAnsi="Arial" w:cs="Arial"/>
            <w:color w:val="auto"/>
            <w:sz w:val="20"/>
            <w:szCs w:val="20"/>
            <w:u w:val="none"/>
          </w:rPr>
          <w:t>fibrillation</w:t>
        </w:r>
      </w:hyperlink>
      <w:r w:rsidRPr="002F00D3">
        <w:rPr>
          <w:rFonts w:ascii="Arial" w:hAnsi="Arial" w:cs="Arial"/>
          <w:sz w:val="20"/>
          <w:szCs w:val="20"/>
        </w:rPr>
        <w:t> and clustering of </w:t>
      </w:r>
      <w:hyperlink r:id="rId164" w:tooltip="Learn more about Chondrocyte from ScienceDirect's AI-generated Topic Pages" w:history="1">
        <w:r w:rsidRPr="002F00D3">
          <w:rPr>
            <w:rStyle w:val="Hyperlink"/>
            <w:rFonts w:ascii="Arial" w:hAnsi="Arial" w:cs="Arial"/>
            <w:color w:val="auto"/>
            <w:sz w:val="20"/>
            <w:szCs w:val="20"/>
            <w:u w:val="none"/>
          </w:rPr>
          <w:t>chondrocytes</w:t>
        </w:r>
      </w:hyperlink>
      <w:r w:rsidRPr="002F00D3">
        <w:rPr>
          <w:rFonts w:ascii="Arial" w:hAnsi="Arial" w:cs="Arial"/>
          <w:sz w:val="20"/>
          <w:szCs w:val="20"/>
        </w:rPr>
        <w:t>.</w:t>
      </w:r>
    </w:p>
    <w:p w14:paraId="2E36D25B"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br w:type="page"/>
      </w:r>
    </w:p>
    <w:p w14:paraId="18CE9623"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noProof/>
          <w:sz w:val="20"/>
          <w:szCs w:val="20"/>
        </w:rPr>
        <w:drawing>
          <wp:inline distT="0" distB="0" distL="0" distR="0" wp14:anchorId="40FC4052" wp14:editId="635C3BE4">
            <wp:extent cx="5731510" cy="39719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31510" cy="3971925"/>
                    </a:xfrm>
                    <a:prstGeom prst="rect">
                      <a:avLst/>
                    </a:prstGeom>
                    <a:noFill/>
                    <a:ln>
                      <a:noFill/>
                    </a:ln>
                  </pic:spPr>
                </pic:pic>
              </a:graphicData>
            </a:graphic>
          </wp:inline>
        </w:drawing>
      </w:r>
    </w:p>
    <w:p w14:paraId="34EAE95C" w14:textId="32D876AF" w:rsidR="00D71D44" w:rsidRPr="002F00D3" w:rsidRDefault="00D71D44" w:rsidP="002F00D3">
      <w:pPr>
        <w:spacing w:after="0" w:line="240" w:lineRule="auto"/>
        <w:rPr>
          <w:rFonts w:ascii="Arial" w:hAnsi="Arial" w:cs="Arial"/>
          <w:sz w:val="20"/>
          <w:szCs w:val="20"/>
        </w:rPr>
      </w:pPr>
      <w:r w:rsidRPr="00795EBF">
        <w:rPr>
          <w:rStyle w:val="label"/>
          <w:rFonts w:ascii="Arial" w:hAnsi="Arial" w:cs="Arial"/>
          <w:b/>
          <w:bCs/>
          <w:sz w:val="20"/>
          <w:szCs w:val="20"/>
        </w:rPr>
        <w:t>Figure 2</w:t>
      </w:r>
      <w:r w:rsidRPr="002F00D3">
        <w:rPr>
          <w:rFonts w:ascii="Arial" w:hAnsi="Arial" w:cs="Arial"/>
          <w:sz w:val="20"/>
          <w:szCs w:val="20"/>
        </w:rPr>
        <w:t> (</w:t>
      </w:r>
      <w:r w:rsidRPr="002F00D3">
        <w:rPr>
          <w:rStyle w:val="Strong"/>
          <w:rFonts w:ascii="Arial" w:hAnsi="Arial" w:cs="Arial"/>
          <w:sz w:val="20"/>
          <w:szCs w:val="20"/>
        </w:rPr>
        <w:t>a</w:t>
      </w:r>
      <w:r w:rsidRPr="002F00D3">
        <w:rPr>
          <w:rFonts w:ascii="Arial" w:hAnsi="Arial" w:cs="Arial"/>
          <w:sz w:val="20"/>
          <w:szCs w:val="20"/>
        </w:rPr>
        <w:t>) </w:t>
      </w:r>
      <w:hyperlink r:id="rId166" w:tooltip="Learn more about Osteoarthritis from ScienceDirect's AI-generated Topic Pages" w:history="1">
        <w:r w:rsidRPr="002F00D3">
          <w:rPr>
            <w:rStyle w:val="Hyperlink"/>
            <w:rFonts w:ascii="Arial" w:hAnsi="Arial" w:cs="Arial"/>
            <w:color w:val="auto"/>
            <w:sz w:val="20"/>
            <w:szCs w:val="20"/>
            <w:u w:val="none"/>
          </w:rPr>
          <w:t>Osteoarthritis</w:t>
        </w:r>
      </w:hyperlink>
      <w:r w:rsidRPr="002F00D3">
        <w:rPr>
          <w:rFonts w:ascii="Arial" w:hAnsi="Arial" w:cs="Arial"/>
          <w:sz w:val="20"/>
          <w:szCs w:val="20"/>
        </w:rPr>
        <w:t> of the hand affecting DIP joints and first carpometacarpophalangeal (CMC) joint. Note Heberden's nodes at DIP joints and squaring at the base of thumb. (</w:t>
      </w:r>
      <w:r w:rsidRPr="002F00D3">
        <w:rPr>
          <w:rStyle w:val="Strong"/>
          <w:rFonts w:ascii="Arial" w:hAnsi="Arial" w:cs="Arial"/>
          <w:sz w:val="20"/>
          <w:szCs w:val="20"/>
        </w:rPr>
        <w:t>b</w:t>
      </w:r>
      <w:r w:rsidRPr="002F00D3">
        <w:rPr>
          <w:rFonts w:ascii="Arial" w:hAnsi="Arial" w:cs="Arial"/>
          <w:sz w:val="20"/>
          <w:szCs w:val="20"/>
        </w:rPr>
        <w:t>) </w:t>
      </w:r>
      <w:hyperlink r:id="rId167" w:tooltip="Learn more about Bone Scintigraphy from ScienceDirect's AI-generated Topic Pages" w:history="1">
        <w:r w:rsidRPr="002F00D3">
          <w:rPr>
            <w:rStyle w:val="Hyperlink"/>
            <w:rFonts w:ascii="Arial" w:hAnsi="Arial" w:cs="Arial"/>
            <w:color w:val="auto"/>
            <w:sz w:val="20"/>
            <w:szCs w:val="20"/>
            <w:u w:val="none"/>
          </w:rPr>
          <w:t>Bone scan</w:t>
        </w:r>
      </w:hyperlink>
      <w:r w:rsidRPr="002F00D3">
        <w:rPr>
          <w:rFonts w:ascii="Arial" w:hAnsi="Arial" w:cs="Arial"/>
          <w:sz w:val="20"/>
          <w:szCs w:val="20"/>
        </w:rPr>
        <w:t> showing increased uptake at DIP joints and first CMC joint. (</w:t>
      </w:r>
      <w:r w:rsidRPr="002F00D3">
        <w:rPr>
          <w:rStyle w:val="Strong"/>
          <w:rFonts w:ascii="Arial" w:hAnsi="Arial" w:cs="Arial"/>
          <w:sz w:val="20"/>
          <w:szCs w:val="20"/>
        </w:rPr>
        <w:t>c</w:t>
      </w:r>
      <w:r w:rsidRPr="002F00D3">
        <w:rPr>
          <w:rFonts w:ascii="Arial" w:hAnsi="Arial" w:cs="Arial"/>
          <w:sz w:val="20"/>
          <w:szCs w:val="20"/>
        </w:rPr>
        <w:t>) Erosive nodal osteoarthritis with marked </w:t>
      </w:r>
      <w:hyperlink r:id="rId168" w:tooltip="Learn more about Arthropathy from ScienceDirect's AI-generated Topic Pages" w:history="1">
        <w:r w:rsidRPr="002F00D3">
          <w:rPr>
            <w:rStyle w:val="Hyperlink"/>
            <w:rFonts w:ascii="Arial" w:hAnsi="Arial" w:cs="Arial"/>
            <w:color w:val="auto"/>
            <w:sz w:val="20"/>
            <w:szCs w:val="20"/>
            <w:u w:val="none"/>
          </w:rPr>
          <w:t>joint swelling and deformity</w:t>
        </w:r>
      </w:hyperlink>
      <w:r w:rsidRPr="002F00D3">
        <w:rPr>
          <w:rFonts w:ascii="Arial" w:hAnsi="Arial" w:cs="Arial"/>
          <w:sz w:val="20"/>
          <w:szCs w:val="20"/>
        </w:rPr>
        <w:t>. (</w:t>
      </w:r>
      <w:r w:rsidRPr="002F00D3">
        <w:rPr>
          <w:rStyle w:val="Strong"/>
          <w:rFonts w:ascii="Arial" w:hAnsi="Arial" w:cs="Arial"/>
          <w:sz w:val="20"/>
          <w:szCs w:val="20"/>
        </w:rPr>
        <w:t>d</w:t>
      </w:r>
      <w:r w:rsidRPr="002F00D3">
        <w:rPr>
          <w:rFonts w:ascii="Arial" w:hAnsi="Arial" w:cs="Arial"/>
          <w:sz w:val="20"/>
          <w:szCs w:val="20"/>
        </w:rPr>
        <w:t>) Note classical features of joint space narrowing, </w:t>
      </w:r>
      <w:hyperlink r:id="rId169" w:tooltip="Learn more about Sclerosis from ScienceDirect's AI-generated Topic Pages" w:history="1">
        <w:r w:rsidRPr="002F00D3">
          <w:rPr>
            <w:rStyle w:val="Hyperlink"/>
            <w:rFonts w:ascii="Arial" w:hAnsi="Arial" w:cs="Arial"/>
            <w:color w:val="auto"/>
            <w:sz w:val="20"/>
            <w:szCs w:val="20"/>
            <w:u w:val="none"/>
          </w:rPr>
          <w:t>sclerosis</w:t>
        </w:r>
      </w:hyperlink>
      <w:r w:rsidRPr="002F00D3">
        <w:rPr>
          <w:rFonts w:ascii="Arial" w:hAnsi="Arial" w:cs="Arial"/>
          <w:sz w:val="20"/>
          <w:szCs w:val="20"/>
        </w:rPr>
        <w:t> and </w:t>
      </w:r>
      <w:hyperlink r:id="rId170" w:tooltip="Learn more about Bone Cyst from ScienceDirect's AI-generated Topic Pages" w:history="1">
        <w:r w:rsidRPr="002F00D3">
          <w:rPr>
            <w:rStyle w:val="Hyperlink"/>
            <w:rFonts w:ascii="Arial" w:hAnsi="Arial" w:cs="Arial"/>
            <w:color w:val="auto"/>
            <w:sz w:val="20"/>
            <w:szCs w:val="20"/>
            <w:u w:val="none"/>
          </w:rPr>
          <w:t>bone cysts</w:t>
        </w:r>
      </w:hyperlink>
      <w:r w:rsidRPr="002F00D3">
        <w:rPr>
          <w:rFonts w:ascii="Arial" w:hAnsi="Arial" w:cs="Arial"/>
          <w:sz w:val="20"/>
          <w:szCs w:val="20"/>
        </w:rPr>
        <w:t> on X-ray. Erosions are also present.</w:t>
      </w:r>
    </w:p>
    <w:p w14:paraId="3638C8DF"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br w:type="page"/>
      </w:r>
    </w:p>
    <w:p w14:paraId="58A5C9EF"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noProof/>
          <w:sz w:val="20"/>
          <w:szCs w:val="20"/>
        </w:rPr>
        <w:drawing>
          <wp:inline distT="0" distB="0" distL="0" distR="0" wp14:anchorId="3805A1C5" wp14:editId="7C6B3802">
            <wp:extent cx="5486400" cy="6178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86400" cy="6178550"/>
                    </a:xfrm>
                    <a:prstGeom prst="rect">
                      <a:avLst/>
                    </a:prstGeom>
                    <a:noFill/>
                    <a:ln>
                      <a:noFill/>
                    </a:ln>
                  </pic:spPr>
                </pic:pic>
              </a:graphicData>
            </a:graphic>
          </wp:inline>
        </w:drawing>
      </w:r>
    </w:p>
    <w:p w14:paraId="646DF26F" w14:textId="354DE3A1" w:rsidR="00D71D44" w:rsidRPr="002F00D3" w:rsidRDefault="00D71D44" w:rsidP="002F00D3">
      <w:pPr>
        <w:spacing w:after="0" w:line="240" w:lineRule="auto"/>
        <w:rPr>
          <w:rFonts w:ascii="Arial" w:hAnsi="Arial" w:cs="Arial"/>
          <w:sz w:val="20"/>
          <w:szCs w:val="20"/>
        </w:rPr>
      </w:pPr>
      <w:r w:rsidRPr="00795EBF">
        <w:rPr>
          <w:rStyle w:val="label"/>
          <w:rFonts w:ascii="Arial" w:hAnsi="Arial" w:cs="Arial"/>
          <w:b/>
          <w:bCs/>
          <w:sz w:val="20"/>
          <w:szCs w:val="20"/>
        </w:rPr>
        <w:t>Figure 3</w:t>
      </w:r>
      <w:r w:rsidRPr="002F00D3">
        <w:rPr>
          <w:rFonts w:ascii="Arial" w:hAnsi="Arial" w:cs="Arial"/>
          <w:sz w:val="20"/>
          <w:szCs w:val="20"/>
        </w:rPr>
        <w:t> Radiographic </w:t>
      </w:r>
      <w:hyperlink r:id="rId172" w:tooltip="Learn more about Osteoarthritis from ScienceDirect's AI-generated Topic Pages" w:history="1">
        <w:r w:rsidRPr="002F00D3">
          <w:rPr>
            <w:rStyle w:val="Hyperlink"/>
            <w:rFonts w:ascii="Arial" w:hAnsi="Arial" w:cs="Arial"/>
            <w:color w:val="auto"/>
            <w:sz w:val="20"/>
            <w:szCs w:val="20"/>
            <w:u w:val="none"/>
          </w:rPr>
          <w:t>osteoarthritis</w:t>
        </w:r>
      </w:hyperlink>
      <w:r w:rsidRPr="002F00D3">
        <w:rPr>
          <w:rFonts w:ascii="Arial" w:hAnsi="Arial" w:cs="Arial"/>
          <w:sz w:val="20"/>
          <w:szCs w:val="20"/>
        </w:rPr>
        <w:t>. (</w:t>
      </w:r>
      <w:r w:rsidRPr="002F00D3">
        <w:rPr>
          <w:rStyle w:val="Strong"/>
          <w:rFonts w:ascii="Arial" w:hAnsi="Arial" w:cs="Arial"/>
          <w:sz w:val="20"/>
          <w:szCs w:val="20"/>
        </w:rPr>
        <w:t>a</w:t>
      </w:r>
      <w:r w:rsidRPr="002F00D3">
        <w:rPr>
          <w:rFonts w:ascii="Arial" w:hAnsi="Arial" w:cs="Arial"/>
          <w:sz w:val="20"/>
          <w:szCs w:val="20"/>
        </w:rPr>
        <w:t>) Osteoarthritis causing </w:t>
      </w:r>
      <w:hyperlink r:id="rId173" w:tooltip="Learn more about Arthrodesis from ScienceDirect's AI-generated Topic Pages" w:history="1">
        <w:r w:rsidRPr="002F00D3">
          <w:rPr>
            <w:rStyle w:val="Hyperlink"/>
            <w:rFonts w:ascii="Arial" w:hAnsi="Arial" w:cs="Arial"/>
            <w:color w:val="auto"/>
            <w:sz w:val="20"/>
            <w:szCs w:val="20"/>
            <w:u w:val="none"/>
          </w:rPr>
          <w:t>arthrodesis</w:t>
        </w:r>
      </w:hyperlink>
      <w:r w:rsidRPr="002F00D3">
        <w:rPr>
          <w:rFonts w:ascii="Arial" w:hAnsi="Arial" w:cs="Arial"/>
          <w:sz w:val="20"/>
          <w:szCs w:val="20"/>
        </w:rPr>
        <w:t> at third PIP joint. (</w:t>
      </w:r>
      <w:r w:rsidRPr="002F00D3">
        <w:rPr>
          <w:rStyle w:val="Strong"/>
          <w:rFonts w:ascii="Arial" w:hAnsi="Arial" w:cs="Arial"/>
          <w:sz w:val="20"/>
          <w:szCs w:val="20"/>
        </w:rPr>
        <w:t>b</w:t>
      </w:r>
      <w:r w:rsidRPr="002F00D3">
        <w:rPr>
          <w:rFonts w:ascii="Arial" w:hAnsi="Arial" w:cs="Arial"/>
          <w:sz w:val="20"/>
          <w:szCs w:val="20"/>
        </w:rPr>
        <w:t>) Asymmetrical </w:t>
      </w:r>
      <w:hyperlink r:id="rId174" w:tooltip="Learn more about Ankylosing Hyperostosis from ScienceDirect's AI-generated Topic Pages" w:history="1">
        <w:r w:rsidRPr="002F00D3">
          <w:rPr>
            <w:rStyle w:val="Hyperlink"/>
            <w:rFonts w:ascii="Arial" w:hAnsi="Arial" w:cs="Arial"/>
            <w:color w:val="auto"/>
            <w:sz w:val="20"/>
            <w:szCs w:val="20"/>
            <w:u w:val="none"/>
          </w:rPr>
          <w:t>diffuse idiopathic skeletal hyperostosis</w:t>
        </w:r>
      </w:hyperlink>
      <w:r w:rsidRPr="002F00D3">
        <w:rPr>
          <w:rFonts w:ascii="Arial" w:hAnsi="Arial" w:cs="Arial"/>
          <w:sz w:val="20"/>
          <w:szCs w:val="20"/>
        </w:rPr>
        <w:t> with associated sacroiliac disease. Note bridging </w:t>
      </w:r>
      <w:hyperlink r:id="rId175" w:tooltip="Learn more about Osteophyte from ScienceDirect's AI-generated Topic Pages" w:history="1">
        <w:r w:rsidRPr="002F00D3">
          <w:rPr>
            <w:rStyle w:val="Hyperlink"/>
            <w:rFonts w:ascii="Arial" w:hAnsi="Arial" w:cs="Arial"/>
            <w:color w:val="auto"/>
            <w:sz w:val="20"/>
            <w:szCs w:val="20"/>
            <w:u w:val="none"/>
          </w:rPr>
          <w:t>osteophytes</w:t>
        </w:r>
      </w:hyperlink>
      <w:r w:rsidRPr="002F00D3">
        <w:rPr>
          <w:rFonts w:ascii="Arial" w:hAnsi="Arial" w:cs="Arial"/>
          <w:sz w:val="20"/>
          <w:szCs w:val="20"/>
        </w:rPr>
        <w:t>. (</w:t>
      </w:r>
      <w:r w:rsidRPr="002F00D3">
        <w:rPr>
          <w:rStyle w:val="Strong"/>
          <w:rFonts w:ascii="Arial" w:hAnsi="Arial" w:cs="Arial"/>
          <w:sz w:val="20"/>
          <w:szCs w:val="20"/>
        </w:rPr>
        <w:t>c</w:t>
      </w:r>
      <w:r w:rsidRPr="002F00D3">
        <w:rPr>
          <w:rFonts w:ascii="Arial" w:hAnsi="Arial" w:cs="Arial"/>
          <w:sz w:val="20"/>
          <w:szCs w:val="20"/>
        </w:rPr>
        <w:t>) Anteroposterior standing knee X-ray with joint space loss especially in the medial compartment and osteophytes bilaterally. (</w:t>
      </w:r>
      <w:r w:rsidRPr="002F00D3">
        <w:rPr>
          <w:rStyle w:val="Strong"/>
          <w:rFonts w:ascii="Arial" w:hAnsi="Arial" w:cs="Arial"/>
          <w:sz w:val="20"/>
          <w:szCs w:val="20"/>
        </w:rPr>
        <w:t>d</w:t>
      </w:r>
      <w:r w:rsidRPr="002F00D3">
        <w:rPr>
          <w:rFonts w:ascii="Arial" w:hAnsi="Arial" w:cs="Arial"/>
          <w:sz w:val="20"/>
          <w:szCs w:val="20"/>
        </w:rPr>
        <w:t>) ‘Skyline’ view of </w:t>
      </w:r>
      <w:hyperlink r:id="rId176" w:tooltip="Learn more about Patellofemoral Joint from ScienceDirect's AI-generated Topic Pages" w:history="1">
        <w:r w:rsidRPr="002F00D3">
          <w:rPr>
            <w:rStyle w:val="Hyperlink"/>
            <w:rFonts w:ascii="Arial" w:hAnsi="Arial" w:cs="Arial"/>
            <w:color w:val="auto"/>
            <w:sz w:val="20"/>
            <w:szCs w:val="20"/>
            <w:u w:val="none"/>
          </w:rPr>
          <w:t>patello-femoral joint</w:t>
        </w:r>
      </w:hyperlink>
      <w:r w:rsidRPr="002F00D3">
        <w:rPr>
          <w:rFonts w:ascii="Arial" w:hAnsi="Arial" w:cs="Arial"/>
          <w:sz w:val="20"/>
          <w:szCs w:val="20"/>
        </w:rPr>
        <w:t> demonstrating good preservation of the joint space except in the most medial aspect.</w:t>
      </w:r>
    </w:p>
    <w:p w14:paraId="6E4A1015"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br w:type="page"/>
      </w:r>
    </w:p>
    <w:p w14:paraId="759E32CB"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noProof/>
          <w:sz w:val="20"/>
          <w:szCs w:val="20"/>
        </w:rPr>
        <w:drawing>
          <wp:inline distT="0" distB="0" distL="0" distR="0" wp14:anchorId="360193A5" wp14:editId="60537C72">
            <wp:extent cx="3676650" cy="464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676650" cy="4648200"/>
                    </a:xfrm>
                    <a:prstGeom prst="rect">
                      <a:avLst/>
                    </a:prstGeom>
                    <a:noFill/>
                    <a:ln>
                      <a:noFill/>
                    </a:ln>
                  </pic:spPr>
                </pic:pic>
              </a:graphicData>
            </a:graphic>
          </wp:inline>
        </w:drawing>
      </w:r>
    </w:p>
    <w:p w14:paraId="2B8EF073" w14:textId="220596ED"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t>Figure 4</w:t>
      </w:r>
      <w:r w:rsidRPr="002F00D3">
        <w:rPr>
          <w:rFonts w:ascii="Arial" w:hAnsi="Arial" w:cs="Arial"/>
          <w:sz w:val="20"/>
          <w:szCs w:val="20"/>
        </w:rPr>
        <w:br w:type="page"/>
      </w:r>
    </w:p>
    <w:p w14:paraId="375A9D7C" w14:textId="58D21D5C" w:rsidR="00D71D44" w:rsidRPr="00795EBF" w:rsidRDefault="00D71D44" w:rsidP="00795EBF">
      <w:pPr>
        <w:spacing w:after="0" w:line="240" w:lineRule="auto"/>
        <w:ind w:right="360"/>
        <w:rPr>
          <w:rFonts w:ascii="Arial" w:eastAsia="Times New Roman" w:hAnsi="Arial" w:cs="Arial"/>
          <w:b/>
          <w:bCs/>
          <w:color w:val="4472C4" w:themeColor="accent1"/>
          <w:sz w:val="20"/>
          <w:szCs w:val="20"/>
          <w:lang w:eastAsia="en-GB"/>
        </w:rPr>
      </w:pPr>
      <w:r w:rsidRPr="00795EBF">
        <w:rPr>
          <w:rFonts w:ascii="Arial" w:eastAsia="Times New Roman" w:hAnsi="Arial" w:cs="Arial"/>
          <w:b/>
          <w:bCs/>
          <w:color w:val="4472C4" w:themeColor="accent1"/>
          <w:sz w:val="20"/>
          <w:szCs w:val="20"/>
          <w:lang w:eastAsia="en-GB"/>
        </w:rPr>
        <w:t>Evidence for mechanical factors in OA aetiology</w:t>
      </w:r>
    </w:p>
    <w:tbl>
      <w:tblPr>
        <w:tblW w:w="8510" w:type="dxa"/>
        <w:tblCellMar>
          <w:left w:w="0" w:type="dxa"/>
          <w:right w:w="0" w:type="dxa"/>
        </w:tblCellMar>
        <w:tblLook w:val="04A0" w:firstRow="1" w:lastRow="0" w:firstColumn="1" w:lastColumn="0" w:noHBand="0" w:noVBand="1"/>
      </w:tblPr>
      <w:tblGrid>
        <w:gridCol w:w="2932"/>
        <w:gridCol w:w="2696"/>
        <w:gridCol w:w="2882"/>
      </w:tblGrid>
      <w:tr w:rsidR="005754A7" w:rsidRPr="002F00D3" w14:paraId="0F896896" w14:textId="77777777" w:rsidTr="00D71D44">
        <w:trPr>
          <w:tblHeader/>
        </w:trPr>
        <w:tc>
          <w:tcPr>
            <w:tcW w:w="0" w:type="auto"/>
            <w:tcBorders>
              <w:bottom w:val="single" w:sz="6" w:space="0" w:color="EBEBEB"/>
              <w:right w:val="nil"/>
            </w:tcBorders>
            <w:tcMar>
              <w:top w:w="75" w:type="dxa"/>
              <w:left w:w="75" w:type="dxa"/>
              <w:bottom w:w="75" w:type="dxa"/>
              <w:right w:w="75" w:type="dxa"/>
            </w:tcMar>
            <w:hideMark/>
          </w:tcPr>
          <w:p w14:paraId="2A587112" w14:textId="77777777" w:rsidR="00D71D44" w:rsidRPr="00D71D44" w:rsidRDefault="00D71D44" w:rsidP="00795EBF">
            <w:pPr>
              <w:spacing w:after="0" w:line="240" w:lineRule="auto"/>
              <w:rPr>
                <w:rFonts w:ascii="Arial" w:eastAsia="Times New Roman" w:hAnsi="Arial" w:cs="Arial"/>
                <w:b/>
                <w:bCs/>
                <w:sz w:val="20"/>
                <w:szCs w:val="20"/>
                <w:lang w:eastAsia="en-GB"/>
              </w:rPr>
            </w:pPr>
            <w:r w:rsidRPr="00D71D44">
              <w:rPr>
                <w:rFonts w:ascii="Arial" w:eastAsia="Times New Roman" w:hAnsi="Arial" w:cs="Arial"/>
                <w:b/>
                <w:bCs/>
                <w:sz w:val="20"/>
                <w:szCs w:val="20"/>
                <w:lang w:eastAsia="en-GB"/>
              </w:rPr>
              <w:t>Increased disease by increased load</w:t>
            </w:r>
          </w:p>
        </w:tc>
        <w:tc>
          <w:tcPr>
            <w:tcW w:w="0" w:type="auto"/>
            <w:tcBorders>
              <w:bottom w:val="single" w:sz="6" w:space="0" w:color="EBEBEB"/>
              <w:right w:val="nil"/>
            </w:tcBorders>
            <w:tcMar>
              <w:top w:w="75" w:type="dxa"/>
              <w:left w:w="75" w:type="dxa"/>
              <w:bottom w:w="75" w:type="dxa"/>
              <w:right w:w="75" w:type="dxa"/>
            </w:tcMar>
            <w:hideMark/>
          </w:tcPr>
          <w:p w14:paraId="1DF67CE8" w14:textId="77777777" w:rsidR="00D71D44" w:rsidRPr="00D71D44" w:rsidRDefault="00D71D44" w:rsidP="00795EBF">
            <w:pPr>
              <w:spacing w:after="0" w:line="240" w:lineRule="auto"/>
              <w:rPr>
                <w:rFonts w:ascii="Arial" w:eastAsia="Times New Roman" w:hAnsi="Arial" w:cs="Arial"/>
                <w:b/>
                <w:bCs/>
                <w:sz w:val="20"/>
                <w:szCs w:val="20"/>
                <w:lang w:eastAsia="en-GB"/>
              </w:rPr>
            </w:pPr>
            <w:r w:rsidRPr="00D71D44">
              <w:rPr>
                <w:rFonts w:ascii="Arial" w:eastAsia="Times New Roman" w:hAnsi="Arial" w:cs="Arial"/>
                <w:b/>
                <w:bCs/>
                <w:sz w:val="20"/>
                <w:szCs w:val="20"/>
                <w:lang w:eastAsia="en-GB"/>
              </w:rPr>
              <w:t>Increased disease by loss of joint mechanoprotection</w:t>
            </w:r>
          </w:p>
        </w:tc>
        <w:tc>
          <w:tcPr>
            <w:tcW w:w="0" w:type="auto"/>
            <w:tcBorders>
              <w:bottom w:val="single" w:sz="6" w:space="0" w:color="EBEBEB"/>
              <w:right w:val="nil"/>
            </w:tcBorders>
            <w:tcMar>
              <w:top w:w="75" w:type="dxa"/>
              <w:left w:w="75" w:type="dxa"/>
              <w:bottom w:w="75" w:type="dxa"/>
              <w:right w:w="75" w:type="dxa"/>
            </w:tcMar>
            <w:hideMark/>
          </w:tcPr>
          <w:p w14:paraId="1422A10F" w14:textId="77777777" w:rsidR="00D71D44" w:rsidRPr="00D71D44" w:rsidRDefault="00D71D44" w:rsidP="00795EBF">
            <w:pPr>
              <w:spacing w:after="0" w:line="240" w:lineRule="auto"/>
              <w:rPr>
                <w:rFonts w:ascii="Arial" w:eastAsia="Times New Roman" w:hAnsi="Arial" w:cs="Arial"/>
                <w:b/>
                <w:bCs/>
                <w:sz w:val="20"/>
                <w:szCs w:val="20"/>
                <w:lang w:eastAsia="en-GB"/>
              </w:rPr>
            </w:pPr>
            <w:r w:rsidRPr="00D71D44">
              <w:rPr>
                <w:rFonts w:ascii="Arial" w:eastAsia="Times New Roman" w:hAnsi="Arial" w:cs="Arial"/>
                <w:b/>
                <w:bCs/>
                <w:sz w:val="20"/>
                <w:szCs w:val="20"/>
                <w:lang w:eastAsia="en-GB"/>
              </w:rPr>
              <w:t>Reduced disease by mechanical joint offloading</w:t>
            </w:r>
          </w:p>
        </w:tc>
      </w:tr>
      <w:tr w:rsidR="005754A7" w:rsidRPr="002F00D3" w14:paraId="3E1E982D" w14:textId="77777777" w:rsidTr="00D71D44">
        <w:tc>
          <w:tcPr>
            <w:tcW w:w="0" w:type="auto"/>
            <w:tcBorders>
              <w:bottom w:val="nil"/>
              <w:right w:val="nil"/>
            </w:tcBorders>
            <w:tcMar>
              <w:top w:w="75" w:type="dxa"/>
              <w:left w:w="75" w:type="dxa"/>
              <w:bottom w:w="75" w:type="dxa"/>
              <w:right w:w="75" w:type="dxa"/>
            </w:tcMar>
            <w:hideMark/>
          </w:tcPr>
          <w:p w14:paraId="257DF572" w14:textId="1A421AE9"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 xml:space="preserve">Overuse (e.g. cotton pickers' (hand), coal miners' (back), </w:t>
            </w:r>
            <w:r w:rsidR="005754A7">
              <w:rPr>
                <w:rFonts w:ascii="Arial" w:eastAsia="Times New Roman" w:hAnsi="Arial" w:cs="Arial"/>
                <w:sz w:val="20"/>
                <w:szCs w:val="20"/>
                <w:lang w:eastAsia="en-GB"/>
              </w:rPr>
              <w:t xml:space="preserve">kneeling in plumbers (knee), </w:t>
            </w:r>
            <w:r w:rsidRPr="00D71D44">
              <w:rPr>
                <w:rFonts w:ascii="Arial" w:eastAsia="Times New Roman" w:hAnsi="Arial" w:cs="Arial"/>
                <w:sz w:val="20"/>
                <w:szCs w:val="20"/>
                <w:lang w:eastAsia="en-GB"/>
              </w:rPr>
              <w:t>farmers' (hip) OA)</w:t>
            </w:r>
            <w:r w:rsidR="009E2431">
              <w:rPr>
                <w:rFonts w:ascii="Arial" w:eastAsia="Times New Roman" w:hAnsi="Arial" w:cs="Arial"/>
                <w:sz w:val="20"/>
                <w:szCs w:val="20"/>
                <w:lang w:eastAsia="en-GB"/>
              </w:rPr>
              <w:t xml:space="preserve"> </w:t>
            </w:r>
          </w:p>
        </w:tc>
        <w:tc>
          <w:tcPr>
            <w:tcW w:w="0" w:type="auto"/>
            <w:tcBorders>
              <w:bottom w:val="nil"/>
              <w:right w:val="nil"/>
            </w:tcBorders>
            <w:tcMar>
              <w:top w:w="75" w:type="dxa"/>
              <w:left w:w="75" w:type="dxa"/>
              <w:bottom w:w="75" w:type="dxa"/>
              <w:right w:w="75" w:type="dxa"/>
            </w:tcMar>
            <w:hideMark/>
          </w:tcPr>
          <w:p w14:paraId="6C3DDDAB"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Acute destabilizing injuries (e.g. cruciate/meniscal tears)</w:t>
            </w:r>
          </w:p>
        </w:tc>
        <w:tc>
          <w:tcPr>
            <w:tcW w:w="0" w:type="auto"/>
            <w:tcBorders>
              <w:bottom w:val="nil"/>
              <w:right w:val="nil"/>
            </w:tcBorders>
            <w:tcMar>
              <w:top w:w="75" w:type="dxa"/>
              <w:left w:w="75" w:type="dxa"/>
              <w:bottom w:w="75" w:type="dxa"/>
              <w:right w:w="75" w:type="dxa"/>
            </w:tcMar>
            <w:hideMark/>
          </w:tcPr>
          <w:p w14:paraId="1C6DDF5C"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Polio and cerebrovascular accident patients have reduced disease on the immobilized side</w:t>
            </w:r>
          </w:p>
        </w:tc>
      </w:tr>
      <w:tr w:rsidR="005754A7" w:rsidRPr="002F00D3" w14:paraId="0000D708" w14:textId="77777777" w:rsidTr="00D71D44">
        <w:tc>
          <w:tcPr>
            <w:tcW w:w="0" w:type="auto"/>
            <w:tcBorders>
              <w:bottom w:val="nil"/>
              <w:right w:val="nil"/>
            </w:tcBorders>
            <w:tcMar>
              <w:top w:w="75" w:type="dxa"/>
              <w:left w:w="75" w:type="dxa"/>
              <w:bottom w:w="75" w:type="dxa"/>
              <w:right w:w="75" w:type="dxa"/>
            </w:tcMar>
            <w:hideMark/>
          </w:tcPr>
          <w:p w14:paraId="36C0C253"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Obesity</w:t>
            </w:r>
          </w:p>
        </w:tc>
        <w:tc>
          <w:tcPr>
            <w:tcW w:w="0" w:type="auto"/>
            <w:tcBorders>
              <w:bottom w:val="nil"/>
              <w:right w:val="nil"/>
            </w:tcBorders>
            <w:tcMar>
              <w:top w:w="75" w:type="dxa"/>
              <w:left w:w="75" w:type="dxa"/>
              <w:bottom w:w="75" w:type="dxa"/>
              <w:right w:w="75" w:type="dxa"/>
            </w:tcMar>
            <w:hideMark/>
          </w:tcPr>
          <w:p w14:paraId="1BEBCB0A"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Loss of gait reflexes with age</w:t>
            </w:r>
          </w:p>
        </w:tc>
        <w:tc>
          <w:tcPr>
            <w:tcW w:w="0" w:type="auto"/>
            <w:tcBorders>
              <w:bottom w:val="nil"/>
              <w:right w:val="nil"/>
            </w:tcBorders>
            <w:tcMar>
              <w:top w:w="75" w:type="dxa"/>
              <w:left w:w="75" w:type="dxa"/>
              <w:bottom w:w="75" w:type="dxa"/>
              <w:right w:w="75" w:type="dxa"/>
            </w:tcMar>
            <w:hideMark/>
          </w:tcPr>
          <w:p w14:paraId="3FD8ECCA"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Disease arrest following high tibial osteotomy</w:t>
            </w:r>
          </w:p>
        </w:tc>
      </w:tr>
      <w:tr w:rsidR="005754A7" w:rsidRPr="002F00D3" w14:paraId="63BD02C5" w14:textId="77777777" w:rsidTr="00D71D44">
        <w:tc>
          <w:tcPr>
            <w:tcW w:w="0" w:type="auto"/>
            <w:tcBorders>
              <w:bottom w:val="nil"/>
              <w:right w:val="nil"/>
            </w:tcBorders>
            <w:tcMar>
              <w:top w:w="75" w:type="dxa"/>
              <w:left w:w="75" w:type="dxa"/>
              <w:bottom w:w="75" w:type="dxa"/>
              <w:right w:w="75" w:type="dxa"/>
            </w:tcMar>
            <w:hideMark/>
          </w:tcPr>
          <w:p w14:paraId="3B45F29F"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Acute articular cartilage trauma (e.g. intra-articular fracture)</w:t>
            </w:r>
          </w:p>
        </w:tc>
        <w:tc>
          <w:tcPr>
            <w:tcW w:w="0" w:type="auto"/>
            <w:tcBorders>
              <w:bottom w:val="nil"/>
              <w:right w:val="nil"/>
            </w:tcBorders>
            <w:tcMar>
              <w:top w:w="75" w:type="dxa"/>
              <w:left w:w="75" w:type="dxa"/>
              <w:bottom w:w="75" w:type="dxa"/>
              <w:right w:w="75" w:type="dxa"/>
            </w:tcMar>
            <w:hideMark/>
          </w:tcPr>
          <w:p w14:paraId="057997C2"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Chondrodysplasias (weak cartilage matrix)</w:t>
            </w:r>
          </w:p>
        </w:tc>
        <w:tc>
          <w:tcPr>
            <w:tcW w:w="0" w:type="auto"/>
            <w:tcBorders>
              <w:bottom w:val="nil"/>
              <w:right w:val="nil"/>
            </w:tcBorders>
            <w:tcMar>
              <w:top w:w="75" w:type="dxa"/>
              <w:left w:w="75" w:type="dxa"/>
              <w:bottom w:w="75" w:type="dxa"/>
              <w:right w:w="75" w:type="dxa"/>
            </w:tcMar>
            <w:hideMark/>
          </w:tcPr>
          <w:p w14:paraId="24BF8E26"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Disease modification following surgical joint distraction</w:t>
            </w:r>
          </w:p>
        </w:tc>
      </w:tr>
      <w:tr w:rsidR="005754A7" w:rsidRPr="002F00D3" w14:paraId="7A8B8D60" w14:textId="77777777" w:rsidTr="00D71D44">
        <w:tc>
          <w:tcPr>
            <w:tcW w:w="0" w:type="auto"/>
            <w:vMerge w:val="restart"/>
            <w:tcBorders>
              <w:bottom w:val="nil"/>
              <w:right w:val="nil"/>
            </w:tcBorders>
            <w:tcMar>
              <w:top w:w="75" w:type="dxa"/>
              <w:left w:w="75" w:type="dxa"/>
              <w:bottom w:w="75" w:type="dxa"/>
              <w:right w:w="75" w:type="dxa"/>
            </w:tcMar>
            <w:hideMark/>
          </w:tcPr>
          <w:p w14:paraId="65203DE5"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Joint malalignment</w:t>
            </w:r>
          </w:p>
        </w:tc>
        <w:tc>
          <w:tcPr>
            <w:tcW w:w="0" w:type="auto"/>
            <w:tcBorders>
              <w:bottom w:val="nil"/>
              <w:right w:val="nil"/>
            </w:tcBorders>
            <w:tcMar>
              <w:top w:w="75" w:type="dxa"/>
              <w:left w:w="75" w:type="dxa"/>
              <w:bottom w:w="75" w:type="dxa"/>
              <w:right w:w="75" w:type="dxa"/>
            </w:tcMar>
            <w:hideMark/>
          </w:tcPr>
          <w:p w14:paraId="20F35D79"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Joint damage resulting from previous inflammatory arthritis</w:t>
            </w:r>
          </w:p>
        </w:tc>
        <w:tc>
          <w:tcPr>
            <w:tcW w:w="0" w:type="auto"/>
            <w:vMerge w:val="restart"/>
            <w:tcBorders>
              <w:bottom w:val="nil"/>
              <w:right w:val="nil"/>
            </w:tcBorders>
            <w:tcMar>
              <w:top w:w="75" w:type="dxa"/>
              <w:left w:w="75" w:type="dxa"/>
              <w:bottom w:w="75" w:type="dxa"/>
              <w:right w:w="75" w:type="dxa"/>
            </w:tcMar>
            <w:hideMark/>
          </w:tcPr>
          <w:p w14:paraId="3355B849"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Animal are protected from experimental OA with joint immobilization</w:t>
            </w:r>
          </w:p>
        </w:tc>
      </w:tr>
      <w:tr w:rsidR="005754A7" w:rsidRPr="002F00D3" w14:paraId="10C8246C" w14:textId="77777777" w:rsidTr="00D71D44">
        <w:tc>
          <w:tcPr>
            <w:tcW w:w="0" w:type="auto"/>
            <w:vMerge/>
            <w:tcBorders>
              <w:bottom w:val="nil"/>
              <w:right w:val="nil"/>
            </w:tcBorders>
            <w:hideMark/>
          </w:tcPr>
          <w:p w14:paraId="56BB994E" w14:textId="77777777" w:rsidR="00D71D44" w:rsidRPr="00D71D44" w:rsidRDefault="00D71D44" w:rsidP="002F00D3">
            <w:pPr>
              <w:spacing w:after="0" w:line="240" w:lineRule="auto"/>
              <w:rPr>
                <w:rFonts w:ascii="Arial" w:eastAsia="Times New Roman" w:hAnsi="Arial" w:cs="Arial"/>
                <w:sz w:val="20"/>
                <w:szCs w:val="20"/>
                <w:lang w:eastAsia="en-GB"/>
              </w:rPr>
            </w:pPr>
          </w:p>
        </w:tc>
        <w:tc>
          <w:tcPr>
            <w:tcW w:w="0" w:type="auto"/>
            <w:tcBorders>
              <w:bottom w:val="nil"/>
              <w:right w:val="nil"/>
            </w:tcBorders>
            <w:tcMar>
              <w:top w:w="75" w:type="dxa"/>
              <w:left w:w="75" w:type="dxa"/>
              <w:bottom w:w="75" w:type="dxa"/>
              <w:right w:w="75" w:type="dxa"/>
            </w:tcMar>
            <w:hideMark/>
          </w:tcPr>
          <w:p w14:paraId="75F521DF" w14:textId="638DA44B"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sz w:val="20"/>
                <w:szCs w:val="20"/>
                <w:lang w:eastAsia="en-GB"/>
              </w:rPr>
              <w:t>Loss of joint support through muscle weakness (e.g. age</w:t>
            </w:r>
            <w:r w:rsidR="00D51DE7">
              <w:rPr>
                <w:rFonts w:ascii="Arial" w:eastAsia="Times New Roman" w:hAnsi="Arial" w:cs="Arial"/>
                <w:sz w:val="20"/>
                <w:szCs w:val="20"/>
                <w:lang w:eastAsia="en-GB"/>
              </w:rPr>
              <w:t>ing</w:t>
            </w:r>
            <w:r w:rsidRPr="00D71D44">
              <w:rPr>
                <w:rFonts w:ascii="Arial" w:eastAsia="Times New Roman" w:hAnsi="Arial" w:cs="Arial"/>
                <w:sz w:val="20"/>
                <w:szCs w:val="20"/>
                <w:lang w:eastAsia="en-GB"/>
              </w:rPr>
              <w:t>)</w:t>
            </w:r>
          </w:p>
        </w:tc>
        <w:tc>
          <w:tcPr>
            <w:tcW w:w="0" w:type="auto"/>
            <w:vMerge/>
            <w:tcBorders>
              <w:bottom w:val="nil"/>
              <w:right w:val="nil"/>
            </w:tcBorders>
            <w:vAlign w:val="center"/>
            <w:hideMark/>
          </w:tcPr>
          <w:p w14:paraId="58214E5D" w14:textId="77777777" w:rsidR="00D71D44" w:rsidRPr="00D71D44" w:rsidRDefault="00D71D44" w:rsidP="002F00D3">
            <w:pPr>
              <w:spacing w:after="0" w:line="240" w:lineRule="auto"/>
              <w:rPr>
                <w:rFonts w:ascii="Arial" w:eastAsia="Times New Roman" w:hAnsi="Arial" w:cs="Arial"/>
                <w:sz w:val="20"/>
                <w:szCs w:val="20"/>
                <w:lang w:eastAsia="en-GB"/>
              </w:rPr>
            </w:pPr>
          </w:p>
        </w:tc>
      </w:tr>
    </w:tbl>
    <w:p w14:paraId="4E522025" w14:textId="66BEE6B3" w:rsidR="00D71D44" w:rsidRPr="002F00D3" w:rsidRDefault="00D71D44" w:rsidP="002F00D3">
      <w:pPr>
        <w:spacing w:after="0" w:line="240" w:lineRule="auto"/>
        <w:rPr>
          <w:rFonts w:ascii="Arial" w:hAnsi="Arial" w:cs="Arial"/>
          <w:sz w:val="20"/>
          <w:szCs w:val="20"/>
        </w:rPr>
      </w:pPr>
    </w:p>
    <w:p w14:paraId="6A5A355A" w14:textId="77777777" w:rsidR="00795EBF" w:rsidRDefault="00795EBF" w:rsidP="002F00D3">
      <w:pPr>
        <w:spacing w:after="0" w:line="240" w:lineRule="auto"/>
        <w:rPr>
          <w:rFonts w:ascii="Arial" w:hAnsi="Arial" w:cs="Arial"/>
          <w:sz w:val="20"/>
          <w:szCs w:val="20"/>
        </w:rPr>
      </w:pPr>
    </w:p>
    <w:p w14:paraId="44A557F0" w14:textId="21BD9F2E" w:rsidR="00D71D44" w:rsidRPr="002F00D3" w:rsidRDefault="00795EBF" w:rsidP="002F00D3">
      <w:pPr>
        <w:spacing w:after="0" w:line="240" w:lineRule="auto"/>
        <w:rPr>
          <w:rFonts w:ascii="Arial" w:hAnsi="Arial" w:cs="Arial"/>
          <w:sz w:val="20"/>
          <w:szCs w:val="20"/>
        </w:rPr>
      </w:pPr>
      <w:r w:rsidRPr="00D71D44">
        <w:rPr>
          <w:rFonts w:ascii="Arial" w:eastAsia="Times New Roman" w:hAnsi="Arial" w:cs="Arial"/>
          <w:sz w:val="20"/>
          <w:szCs w:val="20"/>
          <w:lang w:eastAsia="en-GB"/>
        </w:rPr>
        <w:t>Table 1. </w:t>
      </w:r>
      <w:r w:rsidR="00D71D44" w:rsidRPr="002F00D3">
        <w:rPr>
          <w:rFonts w:ascii="Arial" w:hAnsi="Arial" w:cs="Arial"/>
          <w:sz w:val="20"/>
          <w:szCs w:val="20"/>
        </w:rPr>
        <w:br w:type="page"/>
      </w:r>
    </w:p>
    <w:p w14:paraId="74517FD7" w14:textId="3F972DF6" w:rsidR="00D71D44" w:rsidRPr="00795EBF" w:rsidRDefault="00D71D44" w:rsidP="00795EBF">
      <w:pPr>
        <w:spacing w:after="0" w:line="240" w:lineRule="auto"/>
        <w:ind w:right="360"/>
        <w:rPr>
          <w:rFonts w:ascii="Arial" w:eastAsia="Times New Roman" w:hAnsi="Arial" w:cs="Arial"/>
          <w:b/>
          <w:bCs/>
          <w:color w:val="4472C4" w:themeColor="accent1"/>
          <w:sz w:val="20"/>
          <w:szCs w:val="20"/>
          <w:lang w:eastAsia="en-GB"/>
        </w:rPr>
      </w:pPr>
      <w:r w:rsidRPr="00795EBF">
        <w:rPr>
          <w:rFonts w:ascii="Arial" w:eastAsia="Times New Roman" w:hAnsi="Arial" w:cs="Arial"/>
          <w:b/>
          <w:bCs/>
          <w:color w:val="4472C4" w:themeColor="accent1"/>
          <w:sz w:val="20"/>
          <w:szCs w:val="20"/>
          <w:lang w:eastAsia="en-GB"/>
        </w:rPr>
        <w:t>Metabolic causes of OA</w:t>
      </w:r>
    </w:p>
    <w:tbl>
      <w:tblPr>
        <w:tblW w:w="8510" w:type="dxa"/>
        <w:tblCellMar>
          <w:left w:w="0" w:type="dxa"/>
          <w:right w:w="0" w:type="dxa"/>
        </w:tblCellMar>
        <w:tblLook w:val="04A0" w:firstRow="1" w:lastRow="0" w:firstColumn="1" w:lastColumn="0" w:noHBand="0" w:noVBand="1"/>
      </w:tblPr>
      <w:tblGrid>
        <w:gridCol w:w="8510"/>
      </w:tblGrid>
      <w:tr w:rsidR="002F00D3" w:rsidRPr="002F00D3" w14:paraId="228C634D" w14:textId="77777777" w:rsidTr="00D71D44">
        <w:tc>
          <w:tcPr>
            <w:tcW w:w="0" w:type="auto"/>
            <w:tcBorders>
              <w:bottom w:val="nil"/>
              <w:right w:val="nil"/>
            </w:tcBorders>
            <w:tcMar>
              <w:top w:w="75" w:type="dxa"/>
              <w:left w:w="75" w:type="dxa"/>
              <w:bottom w:w="75" w:type="dxa"/>
              <w:right w:w="75" w:type="dxa"/>
            </w:tcMar>
            <w:hideMark/>
          </w:tcPr>
          <w:p w14:paraId="719B4BC0" w14:textId="25CB0B43"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•Acromegaly</w:t>
            </w:r>
          </w:p>
          <w:p w14:paraId="787BF252" w14:textId="797BDB75"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•Hyperparathyroidism</w:t>
            </w:r>
          </w:p>
          <w:p w14:paraId="599B9267" w14:textId="1F9F1AB5"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•Hypothyroidism</w:t>
            </w:r>
          </w:p>
          <w:p w14:paraId="4E44D891" w14:textId="35D04754"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•Metabolic syndrome (diabetes mellitus, obesity, hypertension)</w:t>
            </w:r>
          </w:p>
          <w:p w14:paraId="0847D477" w14:textId="124D367D"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•Haemochromatosis</w:t>
            </w:r>
          </w:p>
          <w:p w14:paraId="31786C01" w14:textId="37300C23"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•Wilson's disease</w:t>
            </w:r>
          </w:p>
          <w:p w14:paraId="2EF9D55E" w14:textId="494E736E"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•Gaucher's disease</w:t>
            </w:r>
          </w:p>
          <w:p w14:paraId="30B6E46A" w14:textId="61AF1F32"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•Ochronosis (alkaptonuria)</w:t>
            </w:r>
          </w:p>
          <w:p w14:paraId="1826519D" w14:textId="164CB202"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•Kashin–Beck disease</w:t>
            </w:r>
          </w:p>
          <w:p w14:paraId="08438D32" w14:textId="1755BF56"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•Haemoglobinopathies/avascular necrosis</w:t>
            </w:r>
          </w:p>
        </w:tc>
      </w:tr>
    </w:tbl>
    <w:p w14:paraId="0C48FA81" w14:textId="4F99FA18" w:rsidR="00D71D44" w:rsidRDefault="00D71D44" w:rsidP="002F00D3">
      <w:pPr>
        <w:spacing w:after="0" w:line="240" w:lineRule="auto"/>
        <w:rPr>
          <w:rFonts w:ascii="Arial" w:hAnsi="Arial" w:cs="Arial"/>
          <w:sz w:val="20"/>
          <w:szCs w:val="20"/>
        </w:rPr>
      </w:pPr>
    </w:p>
    <w:p w14:paraId="611C38DE" w14:textId="12BE87CD" w:rsidR="00795EBF" w:rsidRPr="002F00D3" w:rsidRDefault="00795EBF" w:rsidP="002F00D3">
      <w:pPr>
        <w:spacing w:after="0" w:line="240" w:lineRule="auto"/>
        <w:rPr>
          <w:rFonts w:ascii="Arial" w:hAnsi="Arial" w:cs="Arial"/>
          <w:sz w:val="20"/>
          <w:szCs w:val="20"/>
        </w:rPr>
      </w:pPr>
      <w:r w:rsidRPr="00D71D44">
        <w:rPr>
          <w:rFonts w:ascii="Arial" w:eastAsia="Times New Roman" w:hAnsi="Arial" w:cs="Arial"/>
          <w:sz w:val="20"/>
          <w:szCs w:val="20"/>
          <w:lang w:eastAsia="en-GB"/>
        </w:rPr>
        <w:t>Table 2. </w:t>
      </w:r>
    </w:p>
    <w:p w14:paraId="4CAB6390" w14:textId="77777777" w:rsidR="00D71D44" w:rsidRPr="002F00D3" w:rsidRDefault="00D71D44" w:rsidP="002F00D3">
      <w:pPr>
        <w:spacing w:after="0" w:line="240" w:lineRule="auto"/>
        <w:rPr>
          <w:rFonts w:ascii="Arial" w:hAnsi="Arial" w:cs="Arial"/>
          <w:sz w:val="20"/>
          <w:szCs w:val="20"/>
        </w:rPr>
      </w:pPr>
      <w:r w:rsidRPr="002F00D3">
        <w:rPr>
          <w:rFonts w:ascii="Arial" w:hAnsi="Arial" w:cs="Arial"/>
          <w:sz w:val="20"/>
          <w:szCs w:val="20"/>
        </w:rPr>
        <w:br w:type="page"/>
      </w:r>
    </w:p>
    <w:p w14:paraId="52E186E2" w14:textId="7F5A92E1" w:rsidR="00D71D44" w:rsidRPr="00795EBF" w:rsidRDefault="00D71D44" w:rsidP="00795EBF">
      <w:pPr>
        <w:spacing w:after="0" w:line="240" w:lineRule="auto"/>
        <w:ind w:right="360"/>
        <w:rPr>
          <w:rFonts w:ascii="Arial" w:eastAsia="Times New Roman" w:hAnsi="Arial" w:cs="Arial"/>
          <w:color w:val="4472C4" w:themeColor="accent1"/>
          <w:sz w:val="20"/>
          <w:szCs w:val="20"/>
          <w:lang w:eastAsia="en-GB"/>
        </w:rPr>
      </w:pPr>
      <w:r w:rsidRPr="00795EBF">
        <w:rPr>
          <w:rFonts w:ascii="Arial" w:eastAsia="Times New Roman" w:hAnsi="Arial" w:cs="Arial"/>
          <w:color w:val="4472C4" w:themeColor="accent1"/>
          <w:sz w:val="20"/>
          <w:szCs w:val="20"/>
          <w:lang w:eastAsia="en-GB"/>
        </w:rPr>
        <w:t>Surgical interventions for OA</w:t>
      </w:r>
    </w:p>
    <w:tbl>
      <w:tblPr>
        <w:tblW w:w="8510" w:type="dxa"/>
        <w:tblCellMar>
          <w:left w:w="0" w:type="dxa"/>
          <w:right w:w="0" w:type="dxa"/>
        </w:tblCellMar>
        <w:tblLook w:val="04A0" w:firstRow="1" w:lastRow="0" w:firstColumn="1" w:lastColumn="0" w:noHBand="0" w:noVBand="1"/>
      </w:tblPr>
      <w:tblGrid>
        <w:gridCol w:w="8510"/>
      </w:tblGrid>
      <w:tr w:rsidR="002F00D3" w:rsidRPr="002F00D3" w14:paraId="70F37D70" w14:textId="77777777" w:rsidTr="00D71D44">
        <w:tc>
          <w:tcPr>
            <w:tcW w:w="0" w:type="auto"/>
            <w:tcBorders>
              <w:bottom w:val="nil"/>
              <w:right w:val="nil"/>
            </w:tcBorders>
            <w:tcMar>
              <w:top w:w="75" w:type="dxa"/>
              <w:left w:w="75" w:type="dxa"/>
              <w:bottom w:w="75" w:type="dxa"/>
              <w:right w:w="75" w:type="dxa"/>
            </w:tcMar>
            <w:hideMark/>
          </w:tcPr>
          <w:p w14:paraId="31005FA6"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b/>
                <w:bCs/>
                <w:sz w:val="20"/>
                <w:szCs w:val="20"/>
                <w:lang w:eastAsia="en-GB"/>
              </w:rPr>
              <w:t>Established procedures</w:t>
            </w:r>
          </w:p>
          <w:p w14:paraId="2F1BC548" w14:textId="50C1ABFC"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•Penetration of subchondral bone (‘microfracture’)</w:t>
            </w:r>
          </w:p>
          <w:p w14:paraId="6C87B453" w14:textId="30EFD244"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•Chondrocyte implantation (e.g. autologous chondrocyte implantation/cartilage graft (for isolated defects))</w:t>
            </w:r>
          </w:p>
          <w:p w14:paraId="6A631015" w14:textId="7B624DDF"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•Arthroscopy and debridement (remains controversial)</w:t>
            </w:r>
          </w:p>
          <w:p w14:paraId="6D487EC5" w14:textId="055255AF"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•Joint replacement (total joint arthroplasty/unicompartmental arthroplasty)</w:t>
            </w:r>
          </w:p>
          <w:p w14:paraId="19830D69" w14:textId="42ADBCD1"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•Joint fusion</w:t>
            </w:r>
          </w:p>
          <w:p w14:paraId="280C91F6" w14:textId="1E317824"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•Osteotomy</w:t>
            </w:r>
          </w:p>
          <w:p w14:paraId="43C6479C" w14:textId="6ADACB3A"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•Soft tissue grafts (e.g. in CMC joint disease)</w:t>
            </w:r>
          </w:p>
          <w:p w14:paraId="691B2E7A" w14:textId="66B35B37"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•Trapeziectomy (CMC joint disease)</w:t>
            </w:r>
          </w:p>
          <w:p w14:paraId="52D2EA5E" w14:textId="77777777" w:rsidR="00D71D44" w:rsidRPr="00D71D44" w:rsidRDefault="00D71D44" w:rsidP="002F00D3">
            <w:pPr>
              <w:spacing w:after="0" w:line="240" w:lineRule="auto"/>
              <w:rPr>
                <w:rFonts w:ascii="Arial" w:eastAsia="Times New Roman" w:hAnsi="Arial" w:cs="Arial"/>
                <w:sz w:val="20"/>
                <w:szCs w:val="20"/>
                <w:lang w:eastAsia="en-GB"/>
              </w:rPr>
            </w:pPr>
            <w:r w:rsidRPr="00D71D44">
              <w:rPr>
                <w:rFonts w:ascii="Arial" w:eastAsia="Times New Roman" w:hAnsi="Arial" w:cs="Arial"/>
                <w:b/>
                <w:bCs/>
                <w:sz w:val="20"/>
                <w:szCs w:val="20"/>
                <w:lang w:eastAsia="en-GB"/>
              </w:rPr>
              <w:t>Experimental procedures</w:t>
            </w:r>
          </w:p>
          <w:p w14:paraId="47640D7F" w14:textId="09BF4398"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•Mesenchymal stem cell transplantation</w:t>
            </w:r>
          </w:p>
          <w:p w14:paraId="4FBBC14D" w14:textId="0990E64E" w:rsidR="00D71D44" w:rsidRPr="00D71D44" w:rsidRDefault="00D71D44" w:rsidP="00795EBF">
            <w:pPr>
              <w:spacing w:after="0" w:line="240" w:lineRule="auto"/>
              <w:ind w:right="30"/>
              <w:rPr>
                <w:rFonts w:ascii="Arial" w:eastAsia="Times New Roman" w:hAnsi="Arial" w:cs="Arial"/>
                <w:sz w:val="20"/>
                <w:szCs w:val="20"/>
                <w:lang w:eastAsia="en-GB"/>
              </w:rPr>
            </w:pPr>
            <w:r w:rsidRPr="00D71D44">
              <w:rPr>
                <w:rFonts w:ascii="Arial" w:eastAsia="Times New Roman" w:hAnsi="Arial" w:cs="Arial"/>
                <w:sz w:val="20"/>
                <w:szCs w:val="20"/>
                <w:lang w:eastAsia="en-GB"/>
              </w:rPr>
              <w:t>•Surgical joint distraction</w:t>
            </w:r>
          </w:p>
        </w:tc>
      </w:tr>
    </w:tbl>
    <w:p w14:paraId="26CB5B91" w14:textId="77777777" w:rsidR="00795EBF" w:rsidRPr="00795EBF" w:rsidRDefault="00795EBF" w:rsidP="002F00D3">
      <w:pPr>
        <w:spacing w:after="0" w:line="240" w:lineRule="auto"/>
        <w:rPr>
          <w:rFonts w:ascii="Arial" w:eastAsia="Times New Roman" w:hAnsi="Arial" w:cs="Arial"/>
          <w:sz w:val="16"/>
          <w:szCs w:val="16"/>
          <w:lang w:eastAsia="en-GB"/>
        </w:rPr>
      </w:pPr>
    </w:p>
    <w:p w14:paraId="4820230E" w14:textId="16DFE7C6" w:rsidR="00D71D44" w:rsidRPr="00795EBF" w:rsidRDefault="00D71D44" w:rsidP="002F00D3">
      <w:pPr>
        <w:spacing w:after="0" w:line="240" w:lineRule="auto"/>
        <w:rPr>
          <w:rFonts w:ascii="Arial" w:eastAsia="Times New Roman" w:hAnsi="Arial" w:cs="Arial"/>
          <w:sz w:val="16"/>
          <w:szCs w:val="16"/>
          <w:lang w:eastAsia="en-GB"/>
        </w:rPr>
      </w:pPr>
      <w:r w:rsidRPr="00795EBF">
        <w:rPr>
          <w:rFonts w:ascii="Arial" w:eastAsia="Times New Roman" w:hAnsi="Arial" w:cs="Arial"/>
          <w:sz w:val="16"/>
          <w:szCs w:val="16"/>
          <w:lang w:eastAsia="en-GB"/>
        </w:rPr>
        <w:t>CMC, carpometacarpophalangeal.</w:t>
      </w:r>
    </w:p>
    <w:p w14:paraId="461C8D1B" w14:textId="77777777" w:rsidR="00795EBF" w:rsidRDefault="00795EBF" w:rsidP="002F00D3">
      <w:pPr>
        <w:spacing w:after="0" w:line="240" w:lineRule="auto"/>
        <w:rPr>
          <w:rFonts w:ascii="Arial" w:hAnsi="Arial" w:cs="Arial"/>
          <w:sz w:val="20"/>
          <w:szCs w:val="20"/>
        </w:rPr>
      </w:pPr>
    </w:p>
    <w:p w14:paraId="65F1430D" w14:textId="505E10DC" w:rsidR="00D71D44" w:rsidRPr="002F00D3" w:rsidRDefault="00795EBF" w:rsidP="002F00D3">
      <w:pPr>
        <w:spacing w:after="0" w:line="240" w:lineRule="auto"/>
        <w:rPr>
          <w:rFonts w:ascii="Arial" w:hAnsi="Arial" w:cs="Arial"/>
          <w:sz w:val="20"/>
          <w:szCs w:val="20"/>
        </w:rPr>
      </w:pPr>
      <w:r w:rsidRPr="00D71D44">
        <w:rPr>
          <w:rFonts w:ascii="Arial" w:eastAsia="Times New Roman" w:hAnsi="Arial" w:cs="Arial"/>
          <w:sz w:val="20"/>
          <w:szCs w:val="20"/>
          <w:lang w:eastAsia="en-GB"/>
        </w:rPr>
        <w:t>Table 3. </w:t>
      </w:r>
      <w:r w:rsidR="00D71D44" w:rsidRPr="002F00D3">
        <w:rPr>
          <w:rFonts w:ascii="Arial" w:hAnsi="Arial" w:cs="Arial"/>
          <w:sz w:val="20"/>
          <w:szCs w:val="20"/>
        </w:rPr>
        <w:br w:type="page"/>
      </w:r>
    </w:p>
    <w:p w14:paraId="45990F54" w14:textId="77777777" w:rsidR="00795EBF" w:rsidRPr="00F028CE" w:rsidRDefault="00D71D44" w:rsidP="002F00D3">
      <w:pPr>
        <w:spacing w:after="0" w:line="240" w:lineRule="auto"/>
        <w:rPr>
          <w:rFonts w:ascii="Arial" w:hAnsi="Arial" w:cs="Arial"/>
          <w:b/>
          <w:bCs/>
          <w:color w:val="4472C4" w:themeColor="accent1"/>
          <w:sz w:val="20"/>
          <w:szCs w:val="20"/>
        </w:rPr>
      </w:pPr>
      <w:r w:rsidRPr="00F028CE">
        <w:rPr>
          <w:rFonts w:ascii="Arial" w:hAnsi="Arial" w:cs="Arial"/>
          <w:b/>
          <w:bCs/>
          <w:color w:val="4472C4" w:themeColor="accent1"/>
          <w:sz w:val="20"/>
          <w:szCs w:val="20"/>
        </w:rPr>
        <w:t xml:space="preserve">KEY REFERENCES </w:t>
      </w:r>
    </w:p>
    <w:p w14:paraId="72D9A12B" w14:textId="77777777" w:rsidR="00795EBF" w:rsidRDefault="00D71D44" w:rsidP="00014C79">
      <w:pPr>
        <w:spacing w:after="0" w:line="240" w:lineRule="auto"/>
        <w:contextualSpacing/>
        <w:rPr>
          <w:rFonts w:ascii="Arial" w:hAnsi="Arial" w:cs="Arial"/>
          <w:sz w:val="20"/>
          <w:szCs w:val="20"/>
        </w:rPr>
      </w:pPr>
      <w:r w:rsidRPr="002F00D3">
        <w:rPr>
          <w:rFonts w:ascii="Arial" w:hAnsi="Arial" w:cs="Arial"/>
          <w:sz w:val="20"/>
          <w:szCs w:val="20"/>
        </w:rPr>
        <w:t xml:space="preserve">1 Glyn-Jones S, Palmer AJ, Agricola R, et al. Osteoarthritis. Lancet 2015; 386: 376e87. </w:t>
      </w:r>
    </w:p>
    <w:p w14:paraId="1F8BE0DD" w14:textId="3DAE81BD" w:rsidR="00FA73E9" w:rsidRPr="00014C79" w:rsidRDefault="00D71D44" w:rsidP="00014C79">
      <w:pPr>
        <w:spacing w:line="240" w:lineRule="auto"/>
        <w:contextualSpacing/>
        <w:rPr>
          <w:rFonts w:ascii="Arial" w:hAnsi="Arial" w:cs="Arial"/>
          <w:color w:val="000000"/>
          <w:sz w:val="20"/>
          <w:szCs w:val="20"/>
        </w:rPr>
      </w:pPr>
      <w:r w:rsidRPr="002F00D3">
        <w:rPr>
          <w:rFonts w:ascii="Arial" w:hAnsi="Arial" w:cs="Arial"/>
          <w:sz w:val="20"/>
          <w:szCs w:val="20"/>
        </w:rPr>
        <w:t xml:space="preserve">2 </w:t>
      </w:r>
      <w:r w:rsidR="00FA73E9">
        <w:rPr>
          <w:rFonts w:ascii="Arial" w:hAnsi="Arial" w:cs="Arial"/>
          <w:sz w:val="20"/>
          <w:szCs w:val="20"/>
        </w:rPr>
        <w:t>Vincent TL Of mice and men; converging on a common molecular understanding of osteoarthrititis. Lancet Rheum 2020</w:t>
      </w:r>
      <w:r w:rsidR="00FA73E9" w:rsidRPr="00FA73E9">
        <w:rPr>
          <w:rFonts w:ascii="Arial" w:hAnsi="Arial" w:cs="Arial"/>
          <w:color w:val="000000"/>
          <w:sz w:val="20"/>
          <w:szCs w:val="20"/>
        </w:rPr>
        <w:t xml:space="preserve"> </w:t>
      </w:r>
      <w:r w:rsidR="00FA73E9">
        <w:rPr>
          <w:rFonts w:ascii="Arial" w:hAnsi="Arial" w:cs="Arial"/>
          <w:color w:val="000000"/>
          <w:sz w:val="20"/>
          <w:szCs w:val="20"/>
        </w:rPr>
        <w:t>Oct; 2(10): e633–e645.</w:t>
      </w:r>
      <w:r w:rsidR="00FA73E9">
        <w:rPr>
          <w:rStyle w:val="apple-converted-space"/>
          <w:rFonts w:ascii="Arial" w:hAnsi="Arial" w:cs="Arial"/>
          <w:color w:val="000000"/>
          <w:sz w:val="20"/>
          <w:szCs w:val="20"/>
        </w:rPr>
        <w:t> </w:t>
      </w:r>
      <w:r w:rsidR="00FA73E9">
        <w:rPr>
          <w:rStyle w:val="doi"/>
          <w:rFonts w:ascii="Arial" w:hAnsi="Arial" w:cs="Arial"/>
          <w:color w:val="000000"/>
          <w:sz w:val="20"/>
          <w:szCs w:val="20"/>
        </w:rPr>
        <w:t>doi: </w:t>
      </w:r>
      <w:hyperlink r:id="rId178" w:tgtFrame="_blank" w:history="1">
        <w:r w:rsidR="00FA73E9">
          <w:rPr>
            <w:rStyle w:val="Hyperlink"/>
            <w:rFonts w:ascii="Arial" w:hAnsi="Arial" w:cs="Arial"/>
            <w:color w:val="642A8F"/>
            <w:sz w:val="20"/>
            <w:szCs w:val="20"/>
          </w:rPr>
          <w:t>10.1016/S2665-9913(20)30279-4</w:t>
        </w:r>
      </w:hyperlink>
    </w:p>
    <w:p w14:paraId="4BECE454" w14:textId="756EA4D0" w:rsidR="00795EBF" w:rsidRDefault="00FA73E9" w:rsidP="00014C79">
      <w:pPr>
        <w:spacing w:after="0" w:line="240" w:lineRule="auto"/>
        <w:contextualSpacing/>
        <w:rPr>
          <w:rFonts w:ascii="Arial" w:hAnsi="Arial" w:cs="Arial"/>
          <w:sz w:val="20"/>
          <w:szCs w:val="20"/>
        </w:rPr>
      </w:pPr>
      <w:r>
        <w:rPr>
          <w:rFonts w:ascii="Arial" w:hAnsi="Arial" w:cs="Arial"/>
          <w:sz w:val="20"/>
          <w:szCs w:val="20"/>
        </w:rPr>
        <w:t xml:space="preserve">3 </w:t>
      </w:r>
      <w:r w:rsidR="00D71D44" w:rsidRPr="002F00D3">
        <w:rPr>
          <w:rFonts w:ascii="Arial" w:hAnsi="Arial" w:cs="Arial"/>
          <w:sz w:val="20"/>
          <w:szCs w:val="20"/>
        </w:rPr>
        <w:t xml:space="preserve">Altman R, Asch E, Bloch D, et al. Development of criteria for the classification and reporting of osteoarthritis. Classification of osteoarthritis of the knee. Diagnostic and therapeutic criteria committee of the american rheumatism association. Arthritis Rheum 1986; 29: 1039e49. </w:t>
      </w:r>
    </w:p>
    <w:p w14:paraId="59E32ADB" w14:textId="0F0658A7" w:rsidR="00795EBF" w:rsidRDefault="00FA73E9" w:rsidP="00014C79">
      <w:pPr>
        <w:spacing w:after="0" w:line="240" w:lineRule="auto"/>
        <w:contextualSpacing/>
        <w:rPr>
          <w:rFonts w:ascii="Arial" w:hAnsi="Arial" w:cs="Arial"/>
          <w:sz w:val="20"/>
          <w:szCs w:val="20"/>
        </w:rPr>
      </w:pPr>
      <w:r>
        <w:rPr>
          <w:rFonts w:ascii="Arial" w:hAnsi="Arial" w:cs="Arial"/>
          <w:sz w:val="20"/>
          <w:szCs w:val="20"/>
        </w:rPr>
        <w:t>4</w:t>
      </w:r>
      <w:r w:rsidRPr="002F00D3">
        <w:rPr>
          <w:rFonts w:ascii="Arial" w:hAnsi="Arial" w:cs="Arial"/>
          <w:sz w:val="20"/>
          <w:szCs w:val="20"/>
        </w:rPr>
        <w:t xml:space="preserve"> </w:t>
      </w:r>
      <w:r w:rsidR="00D71D44" w:rsidRPr="002F00D3">
        <w:rPr>
          <w:rFonts w:ascii="Arial" w:hAnsi="Arial" w:cs="Arial"/>
          <w:sz w:val="20"/>
          <w:szCs w:val="20"/>
        </w:rPr>
        <w:t xml:space="preserve">Conaghan PG, Dickson J, Grant RL, Guideline Development Group. Care and management of osteoarthritis in adults: summary of NICE guidance. Br Med J 2008; 336: 502e3. </w:t>
      </w:r>
    </w:p>
    <w:p w14:paraId="5AA76731" w14:textId="24481BDC" w:rsidR="00D71D44" w:rsidRDefault="00D71D44" w:rsidP="002F00D3">
      <w:pPr>
        <w:spacing w:after="0" w:line="240" w:lineRule="auto"/>
        <w:rPr>
          <w:rFonts w:ascii="Arial" w:hAnsi="Arial" w:cs="Arial"/>
          <w:sz w:val="20"/>
          <w:szCs w:val="20"/>
        </w:rPr>
      </w:pPr>
      <w:r w:rsidRPr="002F00D3">
        <w:rPr>
          <w:rFonts w:ascii="Arial" w:hAnsi="Arial" w:cs="Arial"/>
          <w:sz w:val="20"/>
          <w:szCs w:val="20"/>
        </w:rPr>
        <w:t>5 Watt FE, Gulati M. Novel drug treatments for osteoarthritis: what is on the horizon? Eur Med J 2017; 2: 50e8.</w:t>
      </w:r>
    </w:p>
    <w:p w14:paraId="7D619286" w14:textId="233F1A17" w:rsidR="00795EBF" w:rsidRDefault="00795EBF" w:rsidP="002F00D3">
      <w:pPr>
        <w:spacing w:after="0" w:line="240" w:lineRule="auto"/>
        <w:rPr>
          <w:rFonts w:ascii="Arial" w:hAnsi="Arial" w:cs="Arial"/>
          <w:sz w:val="20"/>
          <w:szCs w:val="20"/>
        </w:rPr>
      </w:pPr>
    </w:p>
    <w:p w14:paraId="46D89E20" w14:textId="7F370D2F" w:rsidR="00795EBF" w:rsidRDefault="00795EBF" w:rsidP="002F00D3">
      <w:pPr>
        <w:spacing w:after="0" w:line="240" w:lineRule="auto"/>
        <w:rPr>
          <w:rFonts w:ascii="Arial" w:hAnsi="Arial" w:cs="Arial"/>
          <w:sz w:val="20"/>
          <w:szCs w:val="20"/>
        </w:rPr>
      </w:pPr>
    </w:p>
    <w:p w14:paraId="249FEBDF" w14:textId="77777777" w:rsidR="00795EBF" w:rsidRPr="00133613" w:rsidRDefault="00795EBF" w:rsidP="00795EBF">
      <w:pPr>
        <w:spacing w:after="0" w:line="240" w:lineRule="auto"/>
        <w:rPr>
          <w:rFonts w:ascii="Arial" w:hAnsi="Arial" w:cs="Arial"/>
          <w:b/>
          <w:bCs/>
          <w:color w:val="FF0000"/>
          <w:sz w:val="20"/>
          <w:szCs w:val="20"/>
        </w:rPr>
      </w:pPr>
      <w:r w:rsidRPr="00133613">
        <w:rPr>
          <w:rFonts w:ascii="Arial" w:hAnsi="Arial" w:cs="Arial"/>
          <w:b/>
          <w:bCs/>
          <w:color w:val="FF0000"/>
          <w:sz w:val="20"/>
          <w:szCs w:val="20"/>
        </w:rPr>
        <w:t>Author: please can we ask you to submit 3 new self-assessment questions based on your article</w:t>
      </w:r>
    </w:p>
    <w:p w14:paraId="7E01C2ED" w14:textId="2E35A675" w:rsidR="00795EBF" w:rsidRDefault="00795EBF" w:rsidP="002F00D3">
      <w:pPr>
        <w:spacing w:after="0" w:line="240" w:lineRule="auto"/>
        <w:rPr>
          <w:rFonts w:ascii="Arial" w:hAnsi="Arial" w:cs="Arial"/>
          <w:sz w:val="20"/>
          <w:szCs w:val="20"/>
        </w:rPr>
      </w:pPr>
    </w:p>
    <w:p w14:paraId="5B3F90F2" w14:textId="30A887D4" w:rsidR="00E949AC" w:rsidRDefault="00E949AC" w:rsidP="002F00D3">
      <w:pPr>
        <w:spacing w:after="0" w:line="240" w:lineRule="auto"/>
        <w:rPr>
          <w:rFonts w:ascii="Arial" w:hAnsi="Arial" w:cs="Arial"/>
          <w:sz w:val="20"/>
          <w:szCs w:val="20"/>
        </w:rPr>
      </w:pPr>
    </w:p>
    <w:p w14:paraId="4C6FA9C7" w14:textId="65AE85D4" w:rsidR="00E949AC" w:rsidRDefault="00E949AC" w:rsidP="002F00D3">
      <w:pPr>
        <w:spacing w:after="0" w:line="240" w:lineRule="auto"/>
        <w:rPr>
          <w:rFonts w:ascii="Arial" w:hAnsi="Arial" w:cs="Arial"/>
          <w:sz w:val="20"/>
          <w:szCs w:val="20"/>
        </w:rPr>
      </w:pPr>
      <w:r>
        <w:rPr>
          <w:rFonts w:ascii="Arial" w:hAnsi="Arial" w:cs="Arial"/>
          <w:sz w:val="20"/>
          <w:szCs w:val="20"/>
        </w:rPr>
        <w:t xml:space="preserve">A 52 year old man presents with increasing pain on running in his left knee. In his 20s he played football competitively and recalls multiple injuries although without specific details. Plain radiographs reveal isolated cartilage damage in the medial compartments of both knees and significant varus deformity on the left hand side. In addition to lifestyle advice and simple analgesia, what </w:t>
      </w:r>
      <w:r w:rsidR="00693BDE">
        <w:rPr>
          <w:rFonts w:ascii="Arial" w:hAnsi="Arial" w:cs="Arial"/>
          <w:sz w:val="20"/>
          <w:szCs w:val="20"/>
        </w:rPr>
        <w:t>would be the best next management?</w:t>
      </w:r>
    </w:p>
    <w:p w14:paraId="5E9AF296" w14:textId="7D5046EE" w:rsidR="00E949AC" w:rsidRDefault="00E949AC" w:rsidP="00E949AC">
      <w:pPr>
        <w:pStyle w:val="ListParagraph"/>
        <w:numPr>
          <w:ilvl w:val="0"/>
          <w:numId w:val="1"/>
        </w:numPr>
        <w:spacing w:after="0" w:line="240" w:lineRule="auto"/>
        <w:rPr>
          <w:rFonts w:ascii="Arial" w:hAnsi="Arial" w:cs="Arial"/>
          <w:sz w:val="20"/>
          <w:szCs w:val="20"/>
        </w:rPr>
      </w:pPr>
      <w:r>
        <w:rPr>
          <w:rFonts w:ascii="Arial" w:hAnsi="Arial" w:cs="Arial"/>
          <w:sz w:val="20"/>
          <w:szCs w:val="20"/>
        </w:rPr>
        <w:t>Unicompartmental joint replacement</w:t>
      </w:r>
    </w:p>
    <w:p w14:paraId="3ACF1EB6" w14:textId="7A7C681F" w:rsidR="00E949AC" w:rsidRDefault="00E949AC" w:rsidP="00E949AC">
      <w:pPr>
        <w:pStyle w:val="ListParagraph"/>
        <w:numPr>
          <w:ilvl w:val="0"/>
          <w:numId w:val="1"/>
        </w:numPr>
        <w:spacing w:after="0" w:line="240" w:lineRule="auto"/>
        <w:rPr>
          <w:rFonts w:ascii="Arial" w:hAnsi="Arial" w:cs="Arial"/>
          <w:sz w:val="20"/>
          <w:szCs w:val="20"/>
        </w:rPr>
      </w:pPr>
      <w:r>
        <w:rPr>
          <w:rFonts w:ascii="Arial" w:hAnsi="Arial" w:cs="Arial"/>
          <w:sz w:val="20"/>
          <w:szCs w:val="20"/>
        </w:rPr>
        <w:t>Total joint replacement</w:t>
      </w:r>
    </w:p>
    <w:p w14:paraId="11B371F6" w14:textId="1C53D1EC" w:rsidR="00E949AC" w:rsidRDefault="00E949AC" w:rsidP="00E949AC">
      <w:pPr>
        <w:pStyle w:val="ListParagraph"/>
        <w:numPr>
          <w:ilvl w:val="0"/>
          <w:numId w:val="1"/>
        </w:numPr>
        <w:spacing w:after="0" w:line="240" w:lineRule="auto"/>
        <w:rPr>
          <w:rFonts w:ascii="Arial" w:hAnsi="Arial" w:cs="Arial"/>
          <w:sz w:val="20"/>
          <w:szCs w:val="20"/>
        </w:rPr>
      </w:pPr>
      <w:r>
        <w:rPr>
          <w:rFonts w:ascii="Arial" w:hAnsi="Arial" w:cs="Arial"/>
          <w:sz w:val="20"/>
          <w:szCs w:val="20"/>
        </w:rPr>
        <w:t>Joint distraction</w:t>
      </w:r>
    </w:p>
    <w:p w14:paraId="56A8FC56" w14:textId="1B85BCA4" w:rsidR="00E949AC" w:rsidRDefault="00E949AC" w:rsidP="00E949AC">
      <w:pPr>
        <w:pStyle w:val="ListParagraph"/>
        <w:numPr>
          <w:ilvl w:val="0"/>
          <w:numId w:val="1"/>
        </w:numPr>
        <w:spacing w:after="0" w:line="240" w:lineRule="auto"/>
        <w:rPr>
          <w:rFonts w:ascii="Arial" w:hAnsi="Arial" w:cs="Arial"/>
          <w:sz w:val="20"/>
          <w:szCs w:val="20"/>
        </w:rPr>
      </w:pPr>
      <w:r>
        <w:rPr>
          <w:rFonts w:ascii="Arial" w:hAnsi="Arial" w:cs="Arial"/>
          <w:sz w:val="20"/>
          <w:szCs w:val="20"/>
        </w:rPr>
        <w:t>Intensive physiotherapy</w:t>
      </w:r>
    </w:p>
    <w:p w14:paraId="74A28E68" w14:textId="735109DA" w:rsidR="00E949AC" w:rsidRDefault="00E949AC" w:rsidP="00E949AC">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High tibial osteotomy. </w:t>
      </w:r>
    </w:p>
    <w:p w14:paraId="2775A128" w14:textId="410D901A" w:rsidR="00525293" w:rsidRDefault="00525293" w:rsidP="00525293">
      <w:pPr>
        <w:spacing w:after="0" w:line="240" w:lineRule="auto"/>
        <w:rPr>
          <w:rFonts w:ascii="Arial" w:hAnsi="Arial" w:cs="Arial"/>
          <w:sz w:val="20"/>
          <w:szCs w:val="20"/>
        </w:rPr>
      </w:pPr>
      <w:r>
        <w:rPr>
          <w:rFonts w:ascii="Arial" w:hAnsi="Arial" w:cs="Arial"/>
          <w:sz w:val="20"/>
          <w:szCs w:val="20"/>
        </w:rPr>
        <w:t xml:space="preserve"> </w:t>
      </w:r>
    </w:p>
    <w:p w14:paraId="405E1F2B" w14:textId="52BBBF02" w:rsidR="00525293" w:rsidRDefault="00525293" w:rsidP="00525293">
      <w:pPr>
        <w:spacing w:after="0" w:line="240" w:lineRule="auto"/>
        <w:rPr>
          <w:rFonts w:ascii="Arial" w:hAnsi="Arial" w:cs="Arial"/>
          <w:sz w:val="20"/>
          <w:szCs w:val="20"/>
        </w:rPr>
      </w:pPr>
      <w:r>
        <w:rPr>
          <w:rFonts w:ascii="Arial" w:hAnsi="Arial" w:cs="Arial"/>
          <w:sz w:val="20"/>
          <w:szCs w:val="20"/>
        </w:rPr>
        <w:t>Ans. E.</w:t>
      </w:r>
    </w:p>
    <w:p w14:paraId="079B9602" w14:textId="6B8CE1C1" w:rsidR="00525293" w:rsidRPr="00014C79" w:rsidRDefault="00525293" w:rsidP="00014C79">
      <w:pPr>
        <w:spacing w:after="0" w:line="240" w:lineRule="auto"/>
        <w:rPr>
          <w:rFonts w:ascii="Arial" w:hAnsi="Arial" w:cs="Arial"/>
          <w:sz w:val="20"/>
          <w:szCs w:val="20"/>
        </w:rPr>
      </w:pPr>
      <w:r>
        <w:rPr>
          <w:rFonts w:ascii="Arial" w:hAnsi="Arial" w:cs="Arial"/>
          <w:sz w:val="20"/>
          <w:szCs w:val="20"/>
        </w:rPr>
        <w:t>Patient is young and joint sparing strategies should be considered prior to partial or full knee arthroplasty. Joint distraction is not considered routine health care in most countries (Netherlands is an exception). High tibial osteotomy will correct the varus deformity, off-load the medial compartment and likely improve symptoms. Some data suggests spontaneous repair of the cartilage may also occur in such cases.</w:t>
      </w:r>
    </w:p>
    <w:p w14:paraId="266DE36E" w14:textId="64C4401E" w:rsidR="00E949AC" w:rsidRDefault="00E949AC" w:rsidP="00E949AC">
      <w:pPr>
        <w:spacing w:after="0" w:line="240" w:lineRule="auto"/>
        <w:rPr>
          <w:rFonts w:ascii="Arial" w:hAnsi="Arial" w:cs="Arial"/>
          <w:sz w:val="20"/>
          <w:szCs w:val="20"/>
        </w:rPr>
      </w:pPr>
    </w:p>
    <w:p w14:paraId="57DC9A4F" w14:textId="43BA0079" w:rsidR="00E949AC" w:rsidRDefault="001B3C27" w:rsidP="00E949AC">
      <w:pPr>
        <w:spacing w:after="0" w:line="240" w:lineRule="auto"/>
        <w:rPr>
          <w:rFonts w:ascii="Arial" w:hAnsi="Arial" w:cs="Arial"/>
          <w:sz w:val="20"/>
          <w:szCs w:val="20"/>
        </w:rPr>
      </w:pPr>
      <w:r>
        <w:rPr>
          <w:rFonts w:ascii="Arial" w:hAnsi="Arial" w:cs="Arial"/>
          <w:sz w:val="20"/>
          <w:szCs w:val="20"/>
        </w:rPr>
        <w:t>A 7</w:t>
      </w:r>
      <w:r w:rsidR="00525293">
        <w:rPr>
          <w:rFonts w:ascii="Arial" w:hAnsi="Arial" w:cs="Arial"/>
          <w:sz w:val="20"/>
          <w:szCs w:val="20"/>
        </w:rPr>
        <w:t>7</w:t>
      </w:r>
      <w:r>
        <w:rPr>
          <w:rFonts w:ascii="Arial" w:hAnsi="Arial" w:cs="Arial"/>
          <w:sz w:val="20"/>
          <w:szCs w:val="20"/>
        </w:rPr>
        <w:t xml:space="preserve"> year old woman attends casualty with a hot swollen painful knee. </w:t>
      </w:r>
      <w:r w:rsidR="00525293">
        <w:rPr>
          <w:rFonts w:ascii="Arial" w:hAnsi="Arial" w:cs="Arial"/>
          <w:sz w:val="20"/>
          <w:szCs w:val="20"/>
        </w:rPr>
        <w:t xml:space="preserve">There is no history of recent trauma. </w:t>
      </w:r>
      <w:r>
        <w:rPr>
          <w:rFonts w:ascii="Arial" w:hAnsi="Arial" w:cs="Arial"/>
          <w:sz w:val="20"/>
          <w:szCs w:val="20"/>
        </w:rPr>
        <w:t>She has had grumbling pains in her knees for several years and has a history of left hip replacement 5 years ago. The patient has a low grade fever, 37.6</w:t>
      </w:r>
      <w:r w:rsidRPr="00014C79">
        <w:rPr>
          <w:rFonts w:ascii="Arial" w:hAnsi="Arial" w:cs="Arial"/>
          <w:sz w:val="20"/>
          <w:szCs w:val="20"/>
          <w:vertAlign w:val="superscript"/>
        </w:rPr>
        <w:t>o</w:t>
      </w:r>
      <w:r>
        <w:rPr>
          <w:rFonts w:ascii="Arial" w:hAnsi="Arial" w:cs="Arial"/>
          <w:sz w:val="20"/>
          <w:szCs w:val="20"/>
        </w:rPr>
        <w:t>C but is otherwise well. On examination the joint is tender, red and she is reluctant to move it. Plain non-weight bearing radiographs reveal evidence of moderately severe osteoarthritis in both knees. Routine bloods show a modestly elevated WCC (11.3) and elevated CRP (22mg/l). Renal and liver function are normal. What is the next best management?</w:t>
      </w:r>
    </w:p>
    <w:p w14:paraId="73D83102" w14:textId="5378ECE5" w:rsidR="001B3C27" w:rsidRDefault="001B3C27" w:rsidP="001B3C27">
      <w:pPr>
        <w:pStyle w:val="ListParagraph"/>
        <w:numPr>
          <w:ilvl w:val="0"/>
          <w:numId w:val="2"/>
        </w:numPr>
        <w:spacing w:after="0" w:line="240" w:lineRule="auto"/>
        <w:rPr>
          <w:rFonts w:ascii="Arial" w:hAnsi="Arial" w:cs="Arial"/>
          <w:sz w:val="20"/>
          <w:szCs w:val="20"/>
        </w:rPr>
      </w:pPr>
      <w:r>
        <w:rPr>
          <w:rFonts w:ascii="Arial" w:hAnsi="Arial" w:cs="Arial"/>
          <w:sz w:val="20"/>
          <w:szCs w:val="20"/>
        </w:rPr>
        <w:t>Inject the knee with corticosteroid and reassure patient that this is likely due to</w:t>
      </w:r>
      <w:r w:rsidR="00525293">
        <w:rPr>
          <w:rFonts w:ascii="Arial" w:hAnsi="Arial" w:cs="Arial"/>
          <w:sz w:val="20"/>
          <w:szCs w:val="20"/>
        </w:rPr>
        <w:t xml:space="preserve"> an inflammatory flare of</w:t>
      </w:r>
      <w:r>
        <w:rPr>
          <w:rFonts w:ascii="Arial" w:hAnsi="Arial" w:cs="Arial"/>
          <w:sz w:val="20"/>
          <w:szCs w:val="20"/>
        </w:rPr>
        <w:t xml:space="preserve"> osteoarthritis</w:t>
      </w:r>
      <w:r w:rsidR="001151E6">
        <w:rPr>
          <w:rFonts w:ascii="Arial" w:hAnsi="Arial" w:cs="Arial"/>
          <w:sz w:val="20"/>
          <w:szCs w:val="20"/>
        </w:rPr>
        <w:t>.</w:t>
      </w:r>
    </w:p>
    <w:p w14:paraId="74DFD51A" w14:textId="2E7B83F9" w:rsidR="001B3C27" w:rsidRDefault="001B3C27" w:rsidP="001B3C27">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 synovial fluid tap and send the fluid urgently to the lab for crystal analysis</w:t>
      </w:r>
      <w:r w:rsidR="00525293">
        <w:rPr>
          <w:rFonts w:ascii="Arial" w:hAnsi="Arial" w:cs="Arial"/>
          <w:sz w:val="20"/>
          <w:szCs w:val="20"/>
        </w:rPr>
        <w:t>. Start the patient empirically on oral NSAIDs.</w:t>
      </w:r>
    </w:p>
    <w:p w14:paraId="352D2F23" w14:textId="5382BCCD" w:rsidR="001B3C27" w:rsidRDefault="001B3C27" w:rsidP="001B3C2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Perform a synovial fluid tap </w:t>
      </w:r>
      <w:r w:rsidR="001151E6">
        <w:rPr>
          <w:rFonts w:ascii="Arial" w:hAnsi="Arial" w:cs="Arial"/>
          <w:sz w:val="20"/>
          <w:szCs w:val="20"/>
        </w:rPr>
        <w:t xml:space="preserve">for microscopy and culture. Admit patient and assume infection until proven otherwise. </w:t>
      </w:r>
    </w:p>
    <w:p w14:paraId="5991DA0A" w14:textId="2362D2F0" w:rsidR="00525293" w:rsidRDefault="00525293" w:rsidP="001B3C27">
      <w:pPr>
        <w:pStyle w:val="ListParagraph"/>
        <w:numPr>
          <w:ilvl w:val="0"/>
          <w:numId w:val="2"/>
        </w:numPr>
        <w:spacing w:after="0" w:line="240" w:lineRule="auto"/>
        <w:rPr>
          <w:rFonts w:ascii="Arial" w:hAnsi="Arial" w:cs="Arial"/>
          <w:sz w:val="20"/>
          <w:szCs w:val="20"/>
        </w:rPr>
      </w:pPr>
      <w:r>
        <w:rPr>
          <w:rFonts w:ascii="Arial" w:hAnsi="Arial" w:cs="Arial"/>
          <w:sz w:val="20"/>
          <w:szCs w:val="20"/>
        </w:rPr>
        <w:t>Give the patient an immediate dose of broad spectrum IV antibiotics then arrange synovial fluid tap and blood cultures.</w:t>
      </w:r>
    </w:p>
    <w:p w14:paraId="0200798C" w14:textId="70E915B8" w:rsidR="00525293" w:rsidRDefault="00525293" w:rsidP="001B3C27">
      <w:pPr>
        <w:pStyle w:val="ListParagraph"/>
        <w:numPr>
          <w:ilvl w:val="0"/>
          <w:numId w:val="2"/>
        </w:numPr>
        <w:spacing w:after="0" w:line="240" w:lineRule="auto"/>
        <w:rPr>
          <w:rFonts w:ascii="Arial" w:hAnsi="Arial" w:cs="Arial"/>
          <w:sz w:val="20"/>
          <w:szCs w:val="20"/>
        </w:rPr>
      </w:pPr>
      <w:r>
        <w:rPr>
          <w:rFonts w:ascii="Arial" w:hAnsi="Arial" w:cs="Arial"/>
          <w:sz w:val="20"/>
          <w:szCs w:val="20"/>
        </w:rPr>
        <w:t>Admit the patient overnight and refer for a rheumatology consultation next morning.</w:t>
      </w:r>
    </w:p>
    <w:p w14:paraId="0EA620CE" w14:textId="311538AC" w:rsidR="00525293" w:rsidRDefault="00525293" w:rsidP="00525293">
      <w:pPr>
        <w:spacing w:after="0" w:line="240" w:lineRule="auto"/>
        <w:rPr>
          <w:rFonts w:ascii="Arial" w:hAnsi="Arial" w:cs="Arial"/>
          <w:sz w:val="20"/>
          <w:szCs w:val="20"/>
        </w:rPr>
      </w:pPr>
    </w:p>
    <w:p w14:paraId="162BDE8D" w14:textId="168356C8" w:rsidR="00525293" w:rsidRPr="00014C79" w:rsidRDefault="00525293" w:rsidP="00525293">
      <w:pPr>
        <w:spacing w:after="0" w:line="240" w:lineRule="auto"/>
        <w:rPr>
          <w:rFonts w:ascii="Arial" w:hAnsi="Arial" w:cs="Arial"/>
          <w:sz w:val="20"/>
          <w:szCs w:val="20"/>
        </w:rPr>
      </w:pPr>
      <w:r>
        <w:rPr>
          <w:rFonts w:ascii="Arial" w:hAnsi="Arial" w:cs="Arial"/>
          <w:sz w:val="20"/>
          <w:szCs w:val="20"/>
        </w:rPr>
        <w:t xml:space="preserve">Ans. C. OA can cause inflammatory flares which are largely benign, but an osteoarthritic joint is at increased risk of both gout and infection so these need to be excluded urgently as both can cause rapid joint damage. Infection is not ruled out by the relatively modest inflammatory markers, especially in the elderly. Although synovial fluid microscopy may </w:t>
      </w:r>
      <w:r w:rsidR="00182633">
        <w:rPr>
          <w:rFonts w:ascii="Arial" w:hAnsi="Arial" w:cs="Arial"/>
          <w:sz w:val="20"/>
          <w:szCs w:val="20"/>
        </w:rPr>
        <w:t>identify</w:t>
      </w:r>
      <w:r>
        <w:rPr>
          <w:rFonts w:ascii="Arial" w:hAnsi="Arial" w:cs="Arial"/>
          <w:sz w:val="20"/>
          <w:szCs w:val="20"/>
        </w:rPr>
        <w:t xml:space="preserve"> crystals or microbes</w:t>
      </w:r>
      <w:r w:rsidR="00182633">
        <w:rPr>
          <w:rFonts w:ascii="Arial" w:hAnsi="Arial" w:cs="Arial"/>
          <w:sz w:val="20"/>
          <w:szCs w:val="20"/>
        </w:rPr>
        <w:t xml:space="preserve"> directly</w:t>
      </w:r>
      <w:r>
        <w:rPr>
          <w:rFonts w:ascii="Arial" w:hAnsi="Arial" w:cs="Arial"/>
          <w:sz w:val="20"/>
          <w:szCs w:val="20"/>
        </w:rPr>
        <w:t xml:space="preserve">, it is important to set up </w:t>
      </w:r>
      <w:r w:rsidR="00182633">
        <w:rPr>
          <w:rFonts w:ascii="Arial" w:hAnsi="Arial" w:cs="Arial"/>
          <w:sz w:val="20"/>
          <w:szCs w:val="20"/>
        </w:rPr>
        <w:t xml:space="preserve">5 day </w:t>
      </w:r>
      <w:r>
        <w:rPr>
          <w:rFonts w:ascii="Arial" w:hAnsi="Arial" w:cs="Arial"/>
          <w:sz w:val="20"/>
          <w:szCs w:val="20"/>
        </w:rPr>
        <w:t>cultures</w:t>
      </w:r>
      <w:r w:rsidR="00182633">
        <w:rPr>
          <w:rFonts w:ascii="Arial" w:hAnsi="Arial" w:cs="Arial"/>
          <w:sz w:val="20"/>
          <w:szCs w:val="20"/>
        </w:rPr>
        <w:t xml:space="preserve"> of synovial fluid</w:t>
      </w:r>
      <w:r>
        <w:rPr>
          <w:rFonts w:ascii="Arial" w:hAnsi="Arial" w:cs="Arial"/>
          <w:sz w:val="20"/>
          <w:szCs w:val="20"/>
        </w:rPr>
        <w:t xml:space="preserve"> before giving the patient antibiotics. The turbidity of the fluid and the relative numbers of neutrophils in the fluid may provide clues as to the presence of crystals or infection, but is not reliable at differentiating the two.</w:t>
      </w:r>
      <w:r w:rsidR="00182633">
        <w:rPr>
          <w:rFonts w:ascii="Arial" w:hAnsi="Arial" w:cs="Arial"/>
          <w:sz w:val="20"/>
          <w:szCs w:val="20"/>
        </w:rPr>
        <w:t xml:space="preserve"> Oral NSAIDs may be helpful but care should be taken when prescribing these in the elderly and contraindications should be excluded.</w:t>
      </w:r>
    </w:p>
    <w:sectPr w:rsidR="00525293" w:rsidRPr="00014C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D46C4" w14:textId="77777777" w:rsidR="0028448A" w:rsidRDefault="0028448A" w:rsidP="00D71D44">
      <w:pPr>
        <w:spacing w:after="0" w:line="240" w:lineRule="auto"/>
      </w:pPr>
      <w:r>
        <w:separator/>
      </w:r>
    </w:p>
  </w:endnote>
  <w:endnote w:type="continuationSeparator" w:id="0">
    <w:p w14:paraId="10B34C1D" w14:textId="77777777" w:rsidR="0028448A" w:rsidRDefault="0028448A" w:rsidP="00D71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9604" w14:textId="77777777" w:rsidR="0028448A" w:rsidRDefault="0028448A" w:rsidP="00D71D44">
      <w:pPr>
        <w:spacing w:after="0" w:line="240" w:lineRule="auto"/>
      </w:pPr>
      <w:r>
        <w:separator/>
      </w:r>
    </w:p>
  </w:footnote>
  <w:footnote w:type="continuationSeparator" w:id="0">
    <w:p w14:paraId="7AC95CA2" w14:textId="77777777" w:rsidR="0028448A" w:rsidRDefault="0028448A" w:rsidP="00D71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FF4"/>
    <w:multiLevelType w:val="hybridMultilevel"/>
    <w:tmpl w:val="5A7A62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70249B"/>
    <w:multiLevelType w:val="hybridMultilevel"/>
    <w:tmpl w:val="59D84A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5E6EE5"/>
    <w:multiLevelType w:val="hybridMultilevel"/>
    <w:tmpl w:val="28C2F16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3675162">
    <w:abstractNumId w:val="0"/>
  </w:num>
  <w:num w:numId="2" w16cid:durableId="1056514748">
    <w:abstractNumId w:val="2"/>
  </w:num>
  <w:num w:numId="3" w16cid:durableId="167013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44"/>
    <w:rsid w:val="00005C17"/>
    <w:rsid w:val="00014C79"/>
    <w:rsid w:val="000175EB"/>
    <w:rsid w:val="00030303"/>
    <w:rsid w:val="0006610D"/>
    <w:rsid w:val="00071045"/>
    <w:rsid w:val="000752F1"/>
    <w:rsid w:val="00083822"/>
    <w:rsid w:val="000B3E72"/>
    <w:rsid w:val="000B4509"/>
    <w:rsid w:val="000C2ED6"/>
    <w:rsid w:val="000D13C7"/>
    <w:rsid w:val="001151E6"/>
    <w:rsid w:val="00154593"/>
    <w:rsid w:val="00155418"/>
    <w:rsid w:val="00155FCC"/>
    <w:rsid w:val="00173305"/>
    <w:rsid w:val="00177013"/>
    <w:rsid w:val="00182633"/>
    <w:rsid w:val="001A65EE"/>
    <w:rsid w:val="001B3C27"/>
    <w:rsid w:val="001D0515"/>
    <w:rsid w:val="00204634"/>
    <w:rsid w:val="0024491B"/>
    <w:rsid w:val="002646A9"/>
    <w:rsid w:val="00282214"/>
    <w:rsid w:val="0028448A"/>
    <w:rsid w:val="00285408"/>
    <w:rsid w:val="002948B4"/>
    <w:rsid w:val="00297EAA"/>
    <w:rsid w:val="002A10E2"/>
    <w:rsid w:val="002D7E24"/>
    <w:rsid w:val="002E135C"/>
    <w:rsid w:val="002F00D3"/>
    <w:rsid w:val="0030169F"/>
    <w:rsid w:val="00303D7B"/>
    <w:rsid w:val="003042F7"/>
    <w:rsid w:val="00325E6B"/>
    <w:rsid w:val="00335CD9"/>
    <w:rsid w:val="00347375"/>
    <w:rsid w:val="00355464"/>
    <w:rsid w:val="00385D1E"/>
    <w:rsid w:val="003B1CFA"/>
    <w:rsid w:val="003D0BFB"/>
    <w:rsid w:val="003D7F80"/>
    <w:rsid w:val="003F1631"/>
    <w:rsid w:val="00402F16"/>
    <w:rsid w:val="004202A2"/>
    <w:rsid w:val="004213A0"/>
    <w:rsid w:val="0042566A"/>
    <w:rsid w:val="00432C0B"/>
    <w:rsid w:val="00444E84"/>
    <w:rsid w:val="004559A6"/>
    <w:rsid w:val="004979A1"/>
    <w:rsid w:val="004A076B"/>
    <w:rsid w:val="004D3091"/>
    <w:rsid w:val="00504DDE"/>
    <w:rsid w:val="00525293"/>
    <w:rsid w:val="005324E5"/>
    <w:rsid w:val="00557FA8"/>
    <w:rsid w:val="005754A7"/>
    <w:rsid w:val="005A4811"/>
    <w:rsid w:val="005F635A"/>
    <w:rsid w:val="00605266"/>
    <w:rsid w:val="0062566D"/>
    <w:rsid w:val="00626B50"/>
    <w:rsid w:val="006428D9"/>
    <w:rsid w:val="00650449"/>
    <w:rsid w:val="00667C4E"/>
    <w:rsid w:val="00670A23"/>
    <w:rsid w:val="00693BDE"/>
    <w:rsid w:val="006C1032"/>
    <w:rsid w:val="006D3579"/>
    <w:rsid w:val="00714B45"/>
    <w:rsid w:val="007459B7"/>
    <w:rsid w:val="00795EBF"/>
    <w:rsid w:val="007A04AB"/>
    <w:rsid w:val="007A5000"/>
    <w:rsid w:val="007C366E"/>
    <w:rsid w:val="007C774C"/>
    <w:rsid w:val="007E79E1"/>
    <w:rsid w:val="007F5829"/>
    <w:rsid w:val="008148F8"/>
    <w:rsid w:val="00824919"/>
    <w:rsid w:val="008429D9"/>
    <w:rsid w:val="00875993"/>
    <w:rsid w:val="00877686"/>
    <w:rsid w:val="0088167C"/>
    <w:rsid w:val="00893A65"/>
    <w:rsid w:val="008C3743"/>
    <w:rsid w:val="008D09CD"/>
    <w:rsid w:val="008D1951"/>
    <w:rsid w:val="008F2BA1"/>
    <w:rsid w:val="008F2D41"/>
    <w:rsid w:val="0091034B"/>
    <w:rsid w:val="00950ECE"/>
    <w:rsid w:val="009531EB"/>
    <w:rsid w:val="00963975"/>
    <w:rsid w:val="00965A26"/>
    <w:rsid w:val="00986535"/>
    <w:rsid w:val="009943EE"/>
    <w:rsid w:val="009959FD"/>
    <w:rsid w:val="009E2431"/>
    <w:rsid w:val="009F594F"/>
    <w:rsid w:val="00A2766C"/>
    <w:rsid w:val="00A369C1"/>
    <w:rsid w:val="00A41F38"/>
    <w:rsid w:val="00A8257B"/>
    <w:rsid w:val="00AB6FB1"/>
    <w:rsid w:val="00AE4CCE"/>
    <w:rsid w:val="00AF286A"/>
    <w:rsid w:val="00AF6F98"/>
    <w:rsid w:val="00B070FE"/>
    <w:rsid w:val="00B16159"/>
    <w:rsid w:val="00B30685"/>
    <w:rsid w:val="00B37D07"/>
    <w:rsid w:val="00B46298"/>
    <w:rsid w:val="00B739CC"/>
    <w:rsid w:val="00BB030C"/>
    <w:rsid w:val="00BB71EA"/>
    <w:rsid w:val="00BC2E57"/>
    <w:rsid w:val="00BD0253"/>
    <w:rsid w:val="00C013F6"/>
    <w:rsid w:val="00C14AF6"/>
    <w:rsid w:val="00C52407"/>
    <w:rsid w:val="00C54EC5"/>
    <w:rsid w:val="00C646F9"/>
    <w:rsid w:val="00CD42FB"/>
    <w:rsid w:val="00D34E35"/>
    <w:rsid w:val="00D43711"/>
    <w:rsid w:val="00D51DE7"/>
    <w:rsid w:val="00D71D44"/>
    <w:rsid w:val="00D935BC"/>
    <w:rsid w:val="00DA203C"/>
    <w:rsid w:val="00DA76C5"/>
    <w:rsid w:val="00DC4ABA"/>
    <w:rsid w:val="00DE7EF0"/>
    <w:rsid w:val="00E25D08"/>
    <w:rsid w:val="00E35E83"/>
    <w:rsid w:val="00E446D3"/>
    <w:rsid w:val="00E6586D"/>
    <w:rsid w:val="00E76C6F"/>
    <w:rsid w:val="00E800BB"/>
    <w:rsid w:val="00E82824"/>
    <w:rsid w:val="00E84E54"/>
    <w:rsid w:val="00E949AC"/>
    <w:rsid w:val="00EB00F7"/>
    <w:rsid w:val="00EE31EB"/>
    <w:rsid w:val="00EE51AF"/>
    <w:rsid w:val="00EF7B0A"/>
    <w:rsid w:val="00F028CE"/>
    <w:rsid w:val="00F27872"/>
    <w:rsid w:val="00F463FD"/>
    <w:rsid w:val="00FA17D7"/>
    <w:rsid w:val="00FA73E9"/>
    <w:rsid w:val="00FD60E4"/>
    <w:rsid w:val="00FE7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07E8A2"/>
  <w15:chartTrackingRefBased/>
  <w15:docId w15:val="{6FA460FB-69BD-42E0-BE5A-62C975C6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1D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71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1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D44"/>
    <w:rPr>
      <w:rFonts w:ascii="Times New Roman" w:eastAsia="Times New Roman" w:hAnsi="Times New Roman" w:cs="Times New Roman"/>
      <w:b/>
      <w:bCs/>
      <w:kern w:val="36"/>
      <w:sz w:val="48"/>
      <w:szCs w:val="48"/>
      <w:lang w:eastAsia="en-GB"/>
    </w:rPr>
  </w:style>
  <w:style w:type="character" w:customStyle="1" w:styleId="title-text">
    <w:name w:val="title-text"/>
    <w:basedOn w:val="DefaultParagraphFont"/>
    <w:rsid w:val="00D71D44"/>
  </w:style>
  <w:style w:type="character" w:customStyle="1" w:styleId="sr-only">
    <w:name w:val="sr-only"/>
    <w:basedOn w:val="DefaultParagraphFont"/>
    <w:rsid w:val="00D71D44"/>
  </w:style>
  <w:style w:type="character" w:customStyle="1" w:styleId="text">
    <w:name w:val="text"/>
    <w:basedOn w:val="DefaultParagraphFont"/>
    <w:rsid w:val="00D71D44"/>
  </w:style>
  <w:style w:type="character" w:customStyle="1" w:styleId="Heading2Char">
    <w:name w:val="Heading 2 Char"/>
    <w:basedOn w:val="DefaultParagraphFont"/>
    <w:link w:val="Heading2"/>
    <w:uiPriority w:val="9"/>
    <w:semiHidden/>
    <w:rsid w:val="00D71D4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71D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71D44"/>
    <w:rPr>
      <w:color w:val="0000FF"/>
      <w:u w:val="single"/>
    </w:rPr>
  </w:style>
  <w:style w:type="character" w:customStyle="1" w:styleId="Heading3Char">
    <w:name w:val="Heading 3 Char"/>
    <w:basedOn w:val="DefaultParagraphFont"/>
    <w:link w:val="Heading3"/>
    <w:uiPriority w:val="9"/>
    <w:semiHidden/>
    <w:rsid w:val="00D71D44"/>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D71D44"/>
    <w:rPr>
      <w:i/>
      <w:iCs/>
    </w:rPr>
  </w:style>
  <w:style w:type="character" w:styleId="Strong">
    <w:name w:val="Strong"/>
    <w:basedOn w:val="DefaultParagraphFont"/>
    <w:uiPriority w:val="22"/>
    <w:qFormat/>
    <w:rsid w:val="00D71D44"/>
    <w:rPr>
      <w:b/>
      <w:bCs/>
    </w:rPr>
  </w:style>
  <w:style w:type="character" w:customStyle="1" w:styleId="label">
    <w:name w:val="label"/>
    <w:basedOn w:val="DefaultParagraphFont"/>
    <w:rsid w:val="00D71D44"/>
  </w:style>
  <w:style w:type="paragraph" w:styleId="BalloonText">
    <w:name w:val="Balloon Text"/>
    <w:basedOn w:val="Normal"/>
    <w:link w:val="BalloonTextChar"/>
    <w:uiPriority w:val="99"/>
    <w:semiHidden/>
    <w:unhideWhenUsed/>
    <w:rsid w:val="00795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EBF"/>
    <w:rPr>
      <w:rFonts w:ascii="Segoe UI" w:hAnsi="Segoe UI" w:cs="Segoe UI"/>
      <w:sz w:val="18"/>
      <w:szCs w:val="18"/>
    </w:rPr>
  </w:style>
  <w:style w:type="character" w:styleId="CommentReference">
    <w:name w:val="annotation reference"/>
    <w:basedOn w:val="DefaultParagraphFont"/>
    <w:uiPriority w:val="99"/>
    <w:semiHidden/>
    <w:unhideWhenUsed/>
    <w:rsid w:val="00795EBF"/>
    <w:rPr>
      <w:sz w:val="16"/>
      <w:szCs w:val="16"/>
    </w:rPr>
  </w:style>
  <w:style w:type="paragraph" w:styleId="CommentText">
    <w:name w:val="annotation text"/>
    <w:basedOn w:val="Normal"/>
    <w:link w:val="CommentTextChar"/>
    <w:uiPriority w:val="99"/>
    <w:semiHidden/>
    <w:unhideWhenUsed/>
    <w:rsid w:val="00795EBF"/>
    <w:pPr>
      <w:spacing w:line="240" w:lineRule="auto"/>
    </w:pPr>
    <w:rPr>
      <w:sz w:val="20"/>
      <w:szCs w:val="20"/>
    </w:rPr>
  </w:style>
  <w:style w:type="character" w:customStyle="1" w:styleId="CommentTextChar">
    <w:name w:val="Comment Text Char"/>
    <w:basedOn w:val="DefaultParagraphFont"/>
    <w:link w:val="CommentText"/>
    <w:uiPriority w:val="99"/>
    <w:semiHidden/>
    <w:rsid w:val="00795EBF"/>
    <w:rPr>
      <w:sz w:val="20"/>
      <w:szCs w:val="20"/>
    </w:rPr>
  </w:style>
  <w:style w:type="paragraph" w:styleId="CommentSubject">
    <w:name w:val="annotation subject"/>
    <w:basedOn w:val="CommentText"/>
    <w:next w:val="CommentText"/>
    <w:link w:val="CommentSubjectChar"/>
    <w:uiPriority w:val="99"/>
    <w:semiHidden/>
    <w:unhideWhenUsed/>
    <w:rsid w:val="00795EBF"/>
    <w:rPr>
      <w:b/>
      <w:bCs/>
    </w:rPr>
  </w:style>
  <w:style w:type="character" w:customStyle="1" w:styleId="CommentSubjectChar">
    <w:name w:val="Comment Subject Char"/>
    <w:basedOn w:val="CommentTextChar"/>
    <w:link w:val="CommentSubject"/>
    <w:uiPriority w:val="99"/>
    <w:semiHidden/>
    <w:rsid w:val="00795EBF"/>
    <w:rPr>
      <w:b/>
      <w:bCs/>
      <w:sz w:val="20"/>
      <w:szCs w:val="20"/>
    </w:rPr>
  </w:style>
  <w:style w:type="character" w:styleId="FollowedHyperlink">
    <w:name w:val="FollowedHyperlink"/>
    <w:basedOn w:val="DefaultParagraphFont"/>
    <w:uiPriority w:val="99"/>
    <w:semiHidden/>
    <w:unhideWhenUsed/>
    <w:rsid w:val="000175EB"/>
    <w:rPr>
      <w:color w:val="954F72" w:themeColor="followedHyperlink"/>
      <w:u w:val="single"/>
    </w:rPr>
  </w:style>
  <w:style w:type="character" w:customStyle="1" w:styleId="apple-converted-space">
    <w:name w:val="apple-converted-space"/>
    <w:basedOn w:val="DefaultParagraphFont"/>
    <w:rsid w:val="00FA73E9"/>
  </w:style>
  <w:style w:type="character" w:customStyle="1" w:styleId="fm-vol-iss-date">
    <w:name w:val="fm-vol-iss-date"/>
    <w:basedOn w:val="DefaultParagraphFont"/>
    <w:rsid w:val="00FA73E9"/>
  </w:style>
  <w:style w:type="character" w:customStyle="1" w:styleId="doi">
    <w:name w:val="doi"/>
    <w:basedOn w:val="DefaultParagraphFont"/>
    <w:rsid w:val="00FA73E9"/>
  </w:style>
  <w:style w:type="paragraph" w:styleId="ListParagraph">
    <w:name w:val="List Paragraph"/>
    <w:basedOn w:val="Normal"/>
    <w:uiPriority w:val="34"/>
    <w:qFormat/>
    <w:rsid w:val="00E949AC"/>
    <w:pPr>
      <w:ind w:left="720"/>
      <w:contextualSpacing/>
    </w:pPr>
  </w:style>
  <w:style w:type="paragraph" w:styleId="Revision">
    <w:name w:val="Revision"/>
    <w:hidden/>
    <w:uiPriority w:val="99"/>
    <w:semiHidden/>
    <w:rsid w:val="00014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33957">
      <w:bodyDiv w:val="1"/>
      <w:marLeft w:val="0"/>
      <w:marRight w:val="0"/>
      <w:marTop w:val="0"/>
      <w:marBottom w:val="0"/>
      <w:divBdr>
        <w:top w:val="none" w:sz="0" w:space="0" w:color="auto"/>
        <w:left w:val="none" w:sz="0" w:space="0" w:color="auto"/>
        <w:bottom w:val="none" w:sz="0" w:space="0" w:color="auto"/>
        <w:right w:val="none" w:sz="0" w:space="0" w:color="auto"/>
      </w:divBdr>
    </w:div>
    <w:div w:id="453211462">
      <w:bodyDiv w:val="1"/>
      <w:marLeft w:val="0"/>
      <w:marRight w:val="0"/>
      <w:marTop w:val="0"/>
      <w:marBottom w:val="0"/>
      <w:divBdr>
        <w:top w:val="none" w:sz="0" w:space="0" w:color="auto"/>
        <w:left w:val="none" w:sz="0" w:space="0" w:color="auto"/>
        <w:bottom w:val="none" w:sz="0" w:space="0" w:color="auto"/>
        <w:right w:val="none" w:sz="0" w:space="0" w:color="auto"/>
      </w:divBdr>
    </w:div>
    <w:div w:id="680737131">
      <w:bodyDiv w:val="1"/>
      <w:marLeft w:val="0"/>
      <w:marRight w:val="0"/>
      <w:marTop w:val="0"/>
      <w:marBottom w:val="0"/>
      <w:divBdr>
        <w:top w:val="none" w:sz="0" w:space="0" w:color="auto"/>
        <w:left w:val="none" w:sz="0" w:space="0" w:color="auto"/>
        <w:bottom w:val="none" w:sz="0" w:space="0" w:color="auto"/>
        <w:right w:val="none" w:sz="0" w:space="0" w:color="auto"/>
      </w:divBdr>
      <w:divsChild>
        <w:div w:id="1282301296">
          <w:marLeft w:val="0"/>
          <w:marRight w:val="0"/>
          <w:marTop w:val="240"/>
          <w:marBottom w:val="240"/>
          <w:divBdr>
            <w:top w:val="none" w:sz="0" w:space="0" w:color="auto"/>
            <w:left w:val="none" w:sz="0" w:space="0" w:color="auto"/>
            <w:bottom w:val="none" w:sz="0" w:space="0" w:color="auto"/>
            <w:right w:val="none" w:sz="0" w:space="0" w:color="auto"/>
          </w:divBdr>
        </w:div>
      </w:divsChild>
    </w:div>
    <w:div w:id="864443360">
      <w:bodyDiv w:val="1"/>
      <w:marLeft w:val="0"/>
      <w:marRight w:val="0"/>
      <w:marTop w:val="0"/>
      <w:marBottom w:val="0"/>
      <w:divBdr>
        <w:top w:val="none" w:sz="0" w:space="0" w:color="auto"/>
        <w:left w:val="none" w:sz="0" w:space="0" w:color="auto"/>
        <w:bottom w:val="none" w:sz="0" w:space="0" w:color="auto"/>
        <w:right w:val="none" w:sz="0" w:space="0" w:color="auto"/>
      </w:divBdr>
      <w:divsChild>
        <w:div w:id="1142698753">
          <w:marLeft w:val="0"/>
          <w:marRight w:val="0"/>
          <w:marTop w:val="240"/>
          <w:marBottom w:val="240"/>
          <w:divBdr>
            <w:top w:val="none" w:sz="0" w:space="0" w:color="auto"/>
            <w:left w:val="none" w:sz="0" w:space="0" w:color="auto"/>
            <w:bottom w:val="none" w:sz="0" w:space="0" w:color="auto"/>
            <w:right w:val="none" w:sz="0" w:space="0" w:color="auto"/>
          </w:divBdr>
        </w:div>
      </w:divsChild>
    </w:div>
    <w:div w:id="867529675">
      <w:bodyDiv w:val="1"/>
      <w:marLeft w:val="0"/>
      <w:marRight w:val="0"/>
      <w:marTop w:val="0"/>
      <w:marBottom w:val="0"/>
      <w:divBdr>
        <w:top w:val="none" w:sz="0" w:space="0" w:color="auto"/>
        <w:left w:val="none" w:sz="0" w:space="0" w:color="auto"/>
        <w:bottom w:val="none" w:sz="0" w:space="0" w:color="auto"/>
        <w:right w:val="none" w:sz="0" w:space="0" w:color="auto"/>
      </w:divBdr>
      <w:divsChild>
        <w:div w:id="1610819535">
          <w:marLeft w:val="0"/>
          <w:marRight w:val="0"/>
          <w:marTop w:val="0"/>
          <w:marBottom w:val="0"/>
          <w:divBdr>
            <w:top w:val="none" w:sz="0" w:space="0" w:color="auto"/>
            <w:left w:val="none" w:sz="0" w:space="0" w:color="auto"/>
            <w:bottom w:val="none" w:sz="0" w:space="0" w:color="auto"/>
            <w:right w:val="none" w:sz="0" w:space="0" w:color="auto"/>
          </w:divBdr>
        </w:div>
      </w:divsChild>
    </w:div>
    <w:div w:id="879978187">
      <w:bodyDiv w:val="1"/>
      <w:marLeft w:val="0"/>
      <w:marRight w:val="0"/>
      <w:marTop w:val="0"/>
      <w:marBottom w:val="0"/>
      <w:divBdr>
        <w:top w:val="none" w:sz="0" w:space="0" w:color="auto"/>
        <w:left w:val="none" w:sz="0" w:space="0" w:color="auto"/>
        <w:bottom w:val="none" w:sz="0" w:space="0" w:color="auto"/>
        <w:right w:val="none" w:sz="0" w:space="0" w:color="auto"/>
      </w:divBdr>
      <w:divsChild>
        <w:div w:id="1588341044">
          <w:marLeft w:val="0"/>
          <w:marRight w:val="0"/>
          <w:marTop w:val="0"/>
          <w:marBottom w:val="120"/>
          <w:divBdr>
            <w:top w:val="none" w:sz="0" w:space="0" w:color="auto"/>
            <w:left w:val="none" w:sz="0" w:space="0" w:color="auto"/>
            <w:bottom w:val="none" w:sz="0" w:space="0" w:color="auto"/>
            <w:right w:val="none" w:sz="0" w:space="0" w:color="auto"/>
          </w:divBdr>
          <w:divsChild>
            <w:div w:id="1107507533">
              <w:marLeft w:val="0"/>
              <w:marRight w:val="0"/>
              <w:marTop w:val="0"/>
              <w:marBottom w:val="0"/>
              <w:divBdr>
                <w:top w:val="none" w:sz="0" w:space="0" w:color="auto"/>
                <w:left w:val="none" w:sz="0" w:space="0" w:color="auto"/>
                <w:bottom w:val="none" w:sz="0" w:space="0" w:color="auto"/>
                <w:right w:val="none" w:sz="0" w:space="0" w:color="auto"/>
              </w:divBdr>
              <w:divsChild>
                <w:div w:id="1769152296">
                  <w:marLeft w:val="0"/>
                  <w:marRight w:val="0"/>
                  <w:marTop w:val="0"/>
                  <w:marBottom w:val="0"/>
                  <w:divBdr>
                    <w:top w:val="none" w:sz="0" w:space="0" w:color="auto"/>
                    <w:left w:val="none" w:sz="0" w:space="0" w:color="auto"/>
                    <w:bottom w:val="none" w:sz="0" w:space="0" w:color="auto"/>
                    <w:right w:val="none" w:sz="0" w:space="0" w:color="auto"/>
                  </w:divBdr>
                  <w:divsChild>
                    <w:div w:id="5388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92137">
      <w:bodyDiv w:val="1"/>
      <w:marLeft w:val="0"/>
      <w:marRight w:val="0"/>
      <w:marTop w:val="0"/>
      <w:marBottom w:val="0"/>
      <w:divBdr>
        <w:top w:val="none" w:sz="0" w:space="0" w:color="auto"/>
        <w:left w:val="none" w:sz="0" w:space="0" w:color="auto"/>
        <w:bottom w:val="none" w:sz="0" w:space="0" w:color="auto"/>
        <w:right w:val="none" w:sz="0" w:space="0" w:color="auto"/>
      </w:divBdr>
      <w:divsChild>
        <w:div w:id="987904820">
          <w:marLeft w:val="0"/>
          <w:marRight w:val="0"/>
          <w:marTop w:val="0"/>
          <w:marBottom w:val="0"/>
          <w:divBdr>
            <w:top w:val="none" w:sz="0" w:space="0" w:color="auto"/>
            <w:left w:val="none" w:sz="0" w:space="0" w:color="auto"/>
            <w:bottom w:val="none" w:sz="0" w:space="0" w:color="auto"/>
            <w:right w:val="none" w:sz="0" w:space="0" w:color="auto"/>
          </w:divBdr>
        </w:div>
      </w:divsChild>
    </w:div>
    <w:div w:id="1226523616">
      <w:bodyDiv w:val="1"/>
      <w:marLeft w:val="0"/>
      <w:marRight w:val="0"/>
      <w:marTop w:val="0"/>
      <w:marBottom w:val="0"/>
      <w:divBdr>
        <w:top w:val="none" w:sz="0" w:space="0" w:color="auto"/>
        <w:left w:val="none" w:sz="0" w:space="0" w:color="auto"/>
        <w:bottom w:val="none" w:sz="0" w:space="0" w:color="auto"/>
        <w:right w:val="none" w:sz="0" w:space="0" w:color="auto"/>
      </w:divBdr>
      <w:divsChild>
        <w:div w:id="1852642320">
          <w:marLeft w:val="0"/>
          <w:marRight w:val="0"/>
          <w:marTop w:val="0"/>
          <w:marBottom w:val="0"/>
          <w:divBdr>
            <w:top w:val="none" w:sz="0" w:space="0" w:color="auto"/>
            <w:left w:val="none" w:sz="0" w:space="0" w:color="auto"/>
            <w:bottom w:val="none" w:sz="0" w:space="0" w:color="auto"/>
            <w:right w:val="none" w:sz="0" w:space="0" w:color="auto"/>
          </w:divBdr>
        </w:div>
      </w:divsChild>
    </w:div>
    <w:div w:id="1307587812">
      <w:bodyDiv w:val="1"/>
      <w:marLeft w:val="0"/>
      <w:marRight w:val="0"/>
      <w:marTop w:val="0"/>
      <w:marBottom w:val="0"/>
      <w:divBdr>
        <w:top w:val="none" w:sz="0" w:space="0" w:color="auto"/>
        <w:left w:val="none" w:sz="0" w:space="0" w:color="auto"/>
        <w:bottom w:val="none" w:sz="0" w:space="0" w:color="auto"/>
        <w:right w:val="none" w:sz="0" w:space="0" w:color="auto"/>
      </w:divBdr>
      <w:divsChild>
        <w:div w:id="304894520">
          <w:marLeft w:val="0"/>
          <w:marRight w:val="0"/>
          <w:marTop w:val="0"/>
          <w:marBottom w:val="0"/>
          <w:divBdr>
            <w:top w:val="none" w:sz="0" w:space="0" w:color="auto"/>
            <w:left w:val="none" w:sz="0" w:space="0" w:color="auto"/>
            <w:bottom w:val="none" w:sz="0" w:space="0" w:color="auto"/>
            <w:right w:val="none" w:sz="0" w:space="0" w:color="auto"/>
          </w:divBdr>
        </w:div>
      </w:divsChild>
    </w:div>
    <w:div w:id="1359240024">
      <w:bodyDiv w:val="1"/>
      <w:marLeft w:val="0"/>
      <w:marRight w:val="0"/>
      <w:marTop w:val="0"/>
      <w:marBottom w:val="0"/>
      <w:divBdr>
        <w:top w:val="none" w:sz="0" w:space="0" w:color="auto"/>
        <w:left w:val="none" w:sz="0" w:space="0" w:color="auto"/>
        <w:bottom w:val="none" w:sz="0" w:space="0" w:color="auto"/>
        <w:right w:val="none" w:sz="0" w:space="0" w:color="auto"/>
      </w:divBdr>
      <w:divsChild>
        <w:div w:id="2022705458">
          <w:marLeft w:val="0"/>
          <w:marRight w:val="0"/>
          <w:marTop w:val="0"/>
          <w:marBottom w:val="0"/>
          <w:divBdr>
            <w:top w:val="none" w:sz="0" w:space="0" w:color="auto"/>
            <w:left w:val="none" w:sz="0" w:space="0" w:color="auto"/>
            <w:bottom w:val="none" w:sz="0" w:space="0" w:color="auto"/>
            <w:right w:val="none" w:sz="0" w:space="0" w:color="auto"/>
          </w:divBdr>
        </w:div>
      </w:divsChild>
    </w:div>
    <w:div w:id="1422020348">
      <w:bodyDiv w:val="1"/>
      <w:marLeft w:val="0"/>
      <w:marRight w:val="0"/>
      <w:marTop w:val="0"/>
      <w:marBottom w:val="0"/>
      <w:divBdr>
        <w:top w:val="none" w:sz="0" w:space="0" w:color="auto"/>
        <w:left w:val="none" w:sz="0" w:space="0" w:color="auto"/>
        <w:bottom w:val="none" w:sz="0" w:space="0" w:color="auto"/>
        <w:right w:val="none" w:sz="0" w:space="0" w:color="auto"/>
      </w:divBdr>
      <w:divsChild>
        <w:div w:id="1071584348">
          <w:marLeft w:val="0"/>
          <w:marRight w:val="0"/>
          <w:marTop w:val="0"/>
          <w:marBottom w:val="480"/>
          <w:divBdr>
            <w:top w:val="none" w:sz="0" w:space="0" w:color="auto"/>
            <w:left w:val="none" w:sz="0" w:space="0" w:color="auto"/>
            <w:bottom w:val="single" w:sz="12" w:space="24" w:color="EBEBEB"/>
            <w:right w:val="none" w:sz="0" w:space="0" w:color="auto"/>
          </w:divBdr>
          <w:divsChild>
            <w:div w:id="2041126492">
              <w:marLeft w:val="0"/>
              <w:marRight w:val="0"/>
              <w:marTop w:val="0"/>
              <w:marBottom w:val="0"/>
              <w:divBdr>
                <w:top w:val="none" w:sz="0" w:space="0" w:color="auto"/>
                <w:left w:val="none" w:sz="0" w:space="0" w:color="auto"/>
                <w:bottom w:val="none" w:sz="0" w:space="0" w:color="auto"/>
                <w:right w:val="none" w:sz="0" w:space="0" w:color="auto"/>
              </w:divBdr>
              <w:divsChild>
                <w:div w:id="1264262548">
                  <w:marLeft w:val="0"/>
                  <w:marRight w:val="0"/>
                  <w:marTop w:val="0"/>
                  <w:marBottom w:val="0"/>
                  <w:divBdr>
                    <w:top w:val="none" w:sz="0" w:space="0" w:color="auto"/>
                    <w:left w:val="none" w:sz="0" w:space="0" w:color="auto"/>
                    <w:bottom w:val="none" w:sz="0" w:space="0" w:color="auto"/>
                    <w:right w:val="none" w:sz="0" w:space="0" w:color="auto"/>
                  </w:divBdr>
                </w:div>
                <w:div w:id="1509830941">
                  <w:marLeft w:val="0"/>
                  <w:marRight w:val="0"/>
                  <w:marTop w:val="0"/>
                  <w:marBottom w:val="0"/>
                  <w:divBdr>
                    <w:top w:val="none" w:sz="0" w:space="0" w:color="auto"/>
                    <w:left w:val="none" w:sz="0" w:space="0" w:color="auto"/>
                    <w:bottom w:val="none" w:sz="0" w:space="0" w:color="auto"/>
                    <w:right w:val="none" w:sz="0" w:space="0" w:color="auto"/>
                  </w:divBdr>
                </w:div>
                <w:div w:id="1105808825">
                  <w:marLeft w:val="0"/>
                  <w:marRight w:val="0"/>
                  <w:marTop w:val="0"/>
                  <w:marBottom w:val="0"/>
                  <w:divBdr>
                    <w:top w:val="none" w:sz="0" w:space="0" w:color="auto"/>
                    <w:left w:val="none" w:sz="0" w:space="0" w:color="auto"/>
                    <w:bottom w:val="none" w:sz="0" w:space="0" w:color="auto"/>
                    <w:right w:val="none" w:sz="0" w:space="0" w:color="auto"/>
                  </w:divBdr>
                </w:div>
                <w:div w:id="1579050731">
                  <w:marLeft w:val="0"/>
                  <w:marRight w:val="0"/>
                  <w:marTop w:val="0"/>
                  <w:marBottom w:val="0"/>
                  <w:divBdr>
                    <w:top w:val="none" w:sz="0" w:space="0" w:color="auto"/>
                    <w:left w:val="none" w:sz="0" w:space="0" w:color="auto"/>
                    <w:bottom w:val="none" w:sz="0" w:space="0" w:color="auto"/>
                    <w:right w:val="none" w:sz="0" w:space="0" w:color="auto"/>
                  </w:divBdr>
                </w:div>
                <w:div w:id="1674801449">
                  <w:marLeft w:val="0"/>
                  <w:marRight w:val="0"/>
                  <w:marTop w:val="0"/>
                  <w:marBottom w:val="0"/>
                  <w:divBdr>
                    <w:top w:val="none" w:sz="0" w:space="0" w:color="auto"/>
                    <w:left w:val="none" w:sz="0" w:space="0" w:color="auto"/>
                    <w:bottom w:val="none" w:sz="0" w:space="0" w:color="auto"/>
                    <w:right w:val="none" w:sz="0" w:space="0" w:color="auto"/>
                  </w:divBdr>
                </w:div>
                <w:div w:id="1770927305">
                  <w:marLeft w:val="0"/>
                  <w:marRight w:val="0"/>
                  <w:marTop w:val="0"/>
                  <w:marBottom w:val="0"/>
                  <w:divBdr>
                    <w:top w:val="none" w:sz="0" w:space="0" w:color="auto"/>
                    <w:left w:val="none" w:sz="0" w:space="0" w:color="auto"/>
                    <w:bottom w:val="none" w:sz="0" w:space="0" w:color="auto"/>
                    <w:right w:val="none" w:sz="0" w:space="0" w:color="auto"/>
                  </w:divBdr>
                </w:div>
                <w:div w:id="194002275">
                  <w:marLeft w:val="0"/>
                  <w:marRight w:val="0"/>
                  <w:marTop w:val="0"/>
                  <w:marBottom w:val="0"/>
                  <w:divBdr>
                    <w:top w:val="none" w:sz="0" w:space="0" w:color="auto"/>
                    <w:left w:val="none" w:sz="0" w:space="0" w:color="auto"/>
                    <w:bottom w:val="none" w:sz="0" w:space="0" w:color="auto"/>
                    <w:right w:val="none" w:sz="0" w:space="0" w:color="auto"/>
                  </w:divBdr>
                </w:div>
                <w:div w:id="647396172">
                  <w:marLeft w:val="0"/>
                  <w:marRight w:val="0"/>
                  <w:marTop w:val="0"/>
                  <w:marBottom w:val="0"/>
                  <w:divBdr>
                    <w:top w:val="none" w:sz="0" w:space="0" w:color="auto"/>
                    <w:left w:val="none" w:sz="0" w:space="0" w:color="auto"/>
                    <w:bottom w:val="none" w:sz="0" w:space="0" w:color="auto"/>
                    <w:right w:val="none" w:sz="0" w:space="0" w:color="auto"/>
                  </w:divBdr>
                </w:div>
                <w:div w:id="1194732327">
                  <w:marLeft w:val="0"/>
                  <w:marRight w:val="0"/>
                  <w:marTop w:val="0"/>
                  <w:marBottom w:val="0"/>
                  <w:divBdr>
                    <w:top w:val="none" w:sz="0" w:space="0" w:color="auto"/>
                    <w:left w:val="none" w:sz="0" w:space="0" w:color="auto"/>
                    <w:bottom w:val="none" w:sz="0" w:space="0" w:color="auto"/>
                    <w:right w:val="none" w:sz="0" w:space="0" w:color="auto"/>
                  </w:divBdr>
                </w:div>
                <w:div w:id="2778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40150">
          <w:marLeft w:val="0"/>
          <w:marRight w:val="0"/>
          <w:marTop w:val="0"/>
          <w:marBottom w:val="0"/>
          <w:divBdr>
            <w:top w:val="none" w:sz="0" w:space="0" w:color="auto"/>
            <w:left w:val="none" w:sz="0" w:space="0" w:color="auto"/>
            <w:bottom w:val="none" w:sz="0" w:space="0" w:color="auto"/>
            <w:right w:val="none" w:sz="0" w:space="0" w:color="auto"/>
          </w:divBdr>
          <w:divsChild>
            <w:div w:id="653072567">
              <w:marLeft w:val="0"/>
              <w:marRight w:val="0"/>
              <w:marTop w:val="0"/>
              <w:marBottom w:val="0"/>
              <w:divBdr>
                <w:top w:val="none" w:sz="0" w:space="0" w:color="auto"/>
                <w:left w:val="none" w:sz="0" w:space="0" w:color="auto"/>
                <w:bottom w:val="none" w:sz="0" w:space="0" w:color="auto"/>
                <w:right w:val="none" w:sz="0" w:space="0" w:color="auto"/>
              </w:divBdr>
              <w:divsChild>
                <w:div w:id="954867392">
                  <w:marLeft w:val="0"/>
                  <w:marRight w:val="0"/>
                  <w:marTop w:val="240"/>
                  <w:marBottom w:val="240"/>
                  <w:divBdr>
                    <w:top w:val="none" w:sz="0" w:space="0" w:color="auto"/>
                    <w:left w:val="none" w:sz="0" w:space="0" w:color="auto"/>
                    <w:bottom w:val="none" w:sz="0" w:space="0" w:color="auto"/>
                    <w:right w:val="none" w:sz="0" w:space="0" w:color="auto"/>
                  </w:divBdr>
                  <w:divsChild>
                    <w:div w:id="689382254">
                      <w:marLeft w:val="0"/>
                      <w:marRight w:val="0"/>
                      <w:marTop w:val="0"/>
                      <w:marBottom w:val="0"/>
                      <w:divBdr>
                        <w:top w:val="none" w:sz="0" w:space="0" w:color="auto"/>
                        <w:left w:val="none" w:sz="0" w:space="0" w:color="auto"/>
                        <w:bottom w:val="none" w:sz="0" w:space="0" w:color="auto"/>
                        <w:right w:val="none" w:sz="0" w:space="0" w:color="auto"/>
                      </w:divBdr>
                    </w:div>
                  </w:divsChild>
                </w:div>
                <w:div w:id="11959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00750">
      <w:bodyDiv w:val="1"/>
      <w:marLeft w:val="0"/>
      <w:marRight w:val="0"/>
      <w:marTop w:val="0"/>
      <w:marBottom w:val="0"/>
      <w:divBdr>
        <w:top w:val="none" w:sz="0" w:space="0" w:color="auto"/>
        <w:left w:val="none" w:sz="0" w:space="0" w:color="auto"/>
        <w:bottom w:val="none" w:sz="0" w:space="0" w:color="auto"/>
        <w:right w:val="none" w:sz="0" w:space="0" w:color="auto"/>
      </w:divBdr>
      <w:divsChild>
        <w:div w:id="1186094759">
          <w:marLeft w:val="0"/>
          <w:marRight w:val="0"/>
          <w:marTop w:val="240"/>
          <w:marBottom w:val="240"/>
          <w:divBdr>
            <w:top w:val="none" w:sz="0" w:space="0" w:color="auto"/>
            <w:left w:val="none" w:sz="0" w:space="0" w:color="auto"/>
            <w:bottom w:val="none" w:sz="0" w:space="0" w:color="auto"/>
            <w:right w:val="none" w:sz="0" w:space="0" w:color="auto"/>
          </w:divBdr>
        </w:div>
      </w:divsChild>
    </w:div>
    <w:div w:id="1636176140">
      <w:bodyDiv w:val="1"/>
      <w:marLeft w:val="0"/>
      <w:marRight w:val="0"/>
      <w:marTop w:val="0"/>
      <w:marBottom w:val="0"/>
      <w:divBdr>
        <w:top w:val="none" w:sz="0" w:space="0" w:color="auto"/>
        <w:left w:val="none" w:sz="0" w:space="0" w:color="auto"/>
        <w:bottom w:val="none" w:sz="0" w:space="0" w:color="auto"/>
        <w:right w:val="none" w:sz="0" w:space="0" w:color="auto"/>
      </w:divBdr>
      <w:divsChild>
        <w:div w:id="95030417">
          <w:marLeft w:val="0"/>
          <w:marRight w:val="0"/>
          <w:marTop w:val="0"/>
          <w:marBottom w:val="0"/>
          <w:divBdr>
            <w:top w:val="none" w:sz="0" w:space="0" w:color="auto"/>
            <w:left w:val="none" w:sz="0" w:space="0" w:color="auto"/>
            <w:bottom w:val="none" w:sz="0" w:space="0" w:color="auto"/>
            <w:right w:val="none" w:sz="0" w:space="0" w:color="auto"/>
          </w:divBdr>
          <w:divsChild>
            <w:div w:id="536353010">
              <w:marLeft w:val="0"/>
              <w:marRight w:val="0"/>
              <w:marTop w:val="0"/>
              <w:marBottom w:val="120"/>
              <w:divBdr>
                <w:top w:val="none" w:sz="0" w:space="0" w:color="auto"/>
                <w:left w:val="none" w:sz="0" w:space="0" w:color="auto"/>
                <w:bottom w:val="none" w:sz="0" w:space="0" w:color="auto"/>
                <w:right w:val="none" w:sz="0" w:space="0" w:color="auto"/>
              </w:divBdr>
              <w:divsChild>
                <w:div w:id="13195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4623">
      <w:bodyDiv w:val="1"/>
      <w:marLeft w:val="0"/>
      <w:marRight w:val="0"/>
      <w:marTop w:val="0"/>
      <w:marBottom w:val="0"/>
      <w:divBdr>
        <w:top w:val="none" w:sz="0" w:space="0" w:color="auto"/>
        <w:left w:val="none" w:sz="0" w:space="0" w:color="auto"/>
        <w:bottom w:val="none" w:sz="0" w:space="0" w:color="auto"/>
        <w:right w:val="none" w:sz="0" w:space="0" w:color="auto"/>
      </w:divBdr>
      <w:divsChild>
        <w:div w:id="1457455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iencedirect.com/topics/medicine-and-dentistry/physiotherapist" TargetMode="External"/><Relationship Id="rId21" Type="http://schemas.openxmlformats.org/officeDocument/2006/relationships/hyperlink" Target="https://www.sciencedirect.com/topics/medicine-and-dentistry/synovial-joint" TargetMode="External"/><Relationship Id="rId42" Type="http://schemas.openxmlformats.org/officeDocument/2006/relationships/hyperlink" Target="https://www.sciencedirect.com/topics/medicine-and-dentistry/heritability" TargetMode="External"/><Relationship Id="rId63" Type="http://schemas.openxmlformats.org/officeDocument/2006/relationships/hyperlink" Target="https://www.sciencedirect.com/topics/medicine-and-dentistry/hemochromatosis" TargetMode="External"/><Relationship Id="rId84" Type="http://schemas.openxmlformats.org/officeDocument/2006/relationships/hyperlink" Target="https://www.sciencedirect.com/science/article/pii/S1357303917303304" TargetMode="External"/><Relationship Id="rId138" Type="http://schemas.openxmlformats.org/officeDocument/2006/relationships/hyperlink" Target="https://www.sciencedirect.com/topics/medicine-and-dentistry/pregabalin" TargetMode="External"/><Relationship Id="rId159" Type="http://schemas.openxmlformats.org/officeDocument/2006/relationships/hyperlink" Target="https://www.sciencedirect.com/topics/medicine-and-dentistry/bisphosphonate" TargetMode="External"/><Relationship Id="rId170" Type="http://schemas.openxmlformats.org/officeDocument/2006/relationships/hyperlink" Target="https://www.sciencedirect.com/topics/medicine-and-dentistry/bone-cyst" TargetMode="External"/><Relationship Id="rId107" Type="http://schemas.openxmlformats.org/officeDocument/2006/relationships/hyperlink" Target="https://www.sciencedirect.com/topics/medicine-and-dentistry/synovial-fluid" TargetMode="External"/><Relationship Id="rId11" Type="http://schemas.openxmlformats.org/officeDocument/2006/relationships/hyperlink" Target="https://www.sciencedirect.com/topics/medicine-and-dentistry/pathogenesis" TargetMode="External"/><Relationship Id="rId32" Type="http://schemas.openxmlformats.org/officeDocument/2006/relationships/hyperlink" Target="https://www.sciencedirect.com/topics/medicine-and-dentistry/enthesis" TargetMode="External"/><Relationship Id="rId53" Type="http://schemas.openxmlformats.org/officeDocument/2006/relationships/hyperlink" Target="https://www.sciencedirect.com/topics/medicine-and-dentistry/synovial-fluid" TargetMode="External"/><Relationship Id="rId74" Type="http://schemas.openxmlformats.org/officeDocument/2006/relationships/hyperlink" Target="https://www.sciencedirect.com/topics/medicine-and-dentistry/leg-length-inequality" TargetMode="External"/><Relationship Id="rId128" Type="http://schemas.openxmlformats.org/officeDocument/2006/relationships/hyperlink" Target="https://www.sciencedirect.com/topics/medicine-and-dentistry/proton-pump-inhibitor" TargetMode="External"/><Relationship Id="rId149" Type="http://schemas.openxmlformats.org/officeDocument/2006/relationships/hyperlink" Target="https://www.sciencedirect.com/topics/medicine-and-dentistry/unicompartmental-knee-arthroplasty" TargetMode="External"/><Relationship Id="rId5" Type="http://schemas.openxmlformats.org/officeDocument/2006/relationships/footnotes" Target="footnotes.xml"/><Relationship Id="rId95" Type="http://schemas.openxmlformats.org/officeDocument/2006/relationships/hyperlink" Target="https://www.sciencedirect.com/topics/medicine-and-dentistry/restylane" TargetMode="External"/><Relationship Id="rId160" Type="http://schemas.openxmlformats.org/officeDocument/2006/relationships/hyperlink" Target="https://www.sciencedirect.com/topics/medicine-and-dentistry/denosumab" TargetMode="External"/><Relationship Id="rId22" Type="http://schemas.openxmlformats.org/officeDocument/2006/relationships/hyperlink" Target="https://www.sciencedirect.com/topics/medicine-and-dentistry/extracellular-matrix" TargetMode="External"/><Relationship Id="rId43" Type="http://schemas.openxmlformats.org/officeDocument/2006/relationships/hyperlink" Target="https://www.sciencedirect.com/topics/medicine-and-dentistry/retinal-dehydrogenase" TargetMode="External"/><Relationship Id="rId64" Type="http://schemas.openxmlformats.org/officeDocument/2006/relationships/hyperlink" Target="https://www.sciencedirect.com/topics/medicine-and-dentistry/hyperparathyroidism" TargetMode="External"/><Relationship Id="rId118" Type="http://schemas.openxmlformats.org/officeDocument/2006/relationships/hyperlink" Target="https://www.sciencedirect.com/topics/medicine-and-dentistry/disease-exacerbation" TargetMode="External"/><Relationship Id="rId139" Type="http://schemas.openxmlformats.org/officeDocument/2006/relationships/hyperlink" Target="https://www.sciencedirect.com/topics/medicine-and-dentistry/amitriptyline" TargetMode="External"/><Relationship Id="rId85" Type="http://schemas.openxmlformats.org/officeDocument/2006/relationships/hyperlink" Target="https://www.sciencedirect.com/topics/medicine-and-dentistry/sacroiliac-joint" TargetMode="External"/><Relationship Id="rId150" Type="http://schemas.openxmlformats.org/officeDocument/2006/relationships/hyperlink" Target="https://www.sciencedirect.com/topics/medicine-and-dentistry/arthropathy" TargetMode="External"/><Relationship Id="rId171" Type="http://schemas.openxmlformats.org/officeDocument/2006/relationships/image" Target="media/image3.jpeg"/><Relationship Id="rId12" Type="http://schemas.openxmlformats.org/officeDocument/2006/relationships/hyperlink" Target="https://www.sciencedirect.com/topics/medicine-and-dentistry/prognostic-assessment" TargetMode="External"/><Relationship Id="rId33" Type="http://schemas.openxmlformats.org/officeDocument/2006/relationships/hyperlink" Target="https://www.sciencedirect.com/topics/medicine-and-dentistry/nerve-growth-factor" TargetMode="External"/><Relationship Id="rId108" Type="http://schemas.openxmlformats.org/officeDocument/2006/relationships/hyperlink" Target="https://www.sciencedirect.com/topics/medicine-and-dentistry/radioisotope" TargetMode="External"/><Relationship Id="rId129" Type="http://schemas.openxmlformats.org/officeDocument/2006/relationships/hyperlink" Target="https://www.sciencedirect.com/topics/medicine-and-dentistry/capsaicin" TargetMode="External"/><Relationship Id="rId54" Type="http://schemas.openxmlformats.org/officeDocument/2006/relationships/hyperlink" Target="https://www.sciencedirect.com/topics/medicine-and-dentistry/interleukin-1" TargetMode="External"/><Relationship Id="rId75" Type="http://schemas.openxmlformats.org/officeDocument/2006/relationships/hyperlink" Target="https://www.sciencedirect.com/science/article/pii/S1357303917303304" TargetMode="External"/><Relationship Id="rId96" Type="http://schemas.openxmlformats.org/officeDocument/2006/relationships/hyperlink" Target="https://www.sciencedirect.com/topics/medicine-and-dentistry/collagen-type-2" TargetMode="External"/><Relationship Id="rId140" Type="http://schemas.openxmlformats.org/officeDocument/2006/relationships/hyperlink" Target="https://www.sciencedirect.com/topics/medicine-and-dentistry/arthroscopy" TargetMode="External"/><Relationship Id="rId161" Type="http://schemas.openxmlformats.org/officeDocument/2006/relationships/image" Target="media/image1.jpeg"/><Relationship Id="rId6" Type="http://schemas.openxmlformats.org/officeDocument/2006/relationships/endnotes" Target="endnotes.xml"/><Relationship Id="rId23" Type="http://schemas.openxmlformats.org/officeDocument/2006/relationships/hyperlink" Target="https://www.sciencedirect.com/topics/medicine-and-dentistry/proteoglycan" TargetMode="External"/><Relationship Id="rId28" Type="http://schemas.openxmlformats.org/officeDocument/2006/relationships/hyperlink" Target="https://www.sciencedirect.com/topics/medicine-and-dentistry/sclerosis" TargetMode="External"/><Relationship Id="rId49" Type="http://schemas.openxmlformats.org/officeDocument/2006/relationships/hyperlink" Target="https://www.sciencedirect.com/topics/medicine-and-dentistry/pathogenesis" TargetMode="External"/><Relationship Id="rId114" Type="http://schemas.openxmlformats.org/officeDocument/2006/relationships/hyperlink" Target="https://www.sciencedirect.com/topics/medicine-and-dentistry/single-photon-emission-computed-tomography" TargetMode="External"/><Relationship Id="rId119" Type="http://schemas.openxmlformats.org/officeDocument/2006/relationships/hyperlink" Target="https://www.sciencedirect.com/topics/medicine-and-dentistry/transcutaneous-electrical-nerve-stimulation" TargetMode="External"/><Relationship Id="rId44" Type="http://schemas.openxmlformats.org/officeDocument/2006/relationships/hyperlink" Target="https://www.sciencedirect.com/topics/medicine-and-dentistry/tretinoin" TargetMode="External"/><Relationship Id="rId60" Type="http://schemas.openxmlformats.org/officeDocument/2006/relationships/hyperlink" Target="https://www.sciencedirect.com/topics/medicine-and-dentistry/arthropathy" TargetMode="External"/><Relationship Id="rId65" Type="http://schemas.openxmlformats.org/officeDocument/2006/relationships/hyperlink" Target="https://www.sciencedirect.com/topics/medicine-and-dentistry/psoriasis" TargetMode="External"/><Relationship Id="rId81" Type="http://schemas.openxmlformats.org/officeDocument/2006/relationships/hyperlink" Target="https://www.sciencedirect.com/topics/medicine-and-dentistry/gout" TargetMode="External"/><Relationship Id="rId86" Type="http://schemas.openxmlformats.org/officeDocument/2006/relationships/hyperlink" Target="https://www.sciencedirect.com/topics/medicine-and-dentistry/facet-joint" TargetMode="External"/><Relationship Id="rId130" Type="http://schemas.openxmlformats.org/officeDocument/2006/relationships/hyperlink" Target="https://www.sciencedirect.com/topics/medicine-and-dentistry/irritant-agent" TargetMode="External"/><Relationship Id="rId135" Type="http://schemas.openxmlformats.org/officeDocument/2006/relationships/hyperlink" Target="https://www.sciencedirect.com/topics/medicine-and-dentistry/restylane" TargetMode="External"/><Relationship Id="rId151" Type="http://schemas.openxmlformats.org/officeDocument/2006/relationships/hyperlink" Target="https://www.sciencedirect.com/topics/medicine-and-dentistry/high-tibial-osteotomy" TargetMode="External"/><Relationship Id="rId156" Type="http://schemas.openxmlformats.org/officeDocument/2006/relationships/hyperlink" Target="https://www.sciencedirect.com/topics/medicine-and-dentistry/nerve-growth-factor" TargetMode="External"/><Relationship Id="rId177" Type="http://schemas.openxmlformats.org/officeDocument/2006/relationships/image" Target="media/image4.jpeg"/><Relationship Id="rId172" Type="http://schemas.openxmlformats.org/officeDocument/2006/relationships/hyperlink" Target="https://www.sciencedirect.com/topics/medicine-and-dentistry/osteoarthritis" TargetMode="External"/><Relationship Id="rId13" Type="http://schemas.openxmlformats.org/officeDocument/2006/relationships/hyperlink" Target="https://www.sciencedirect.com/topics/medicine-and-dentistry/surgical-approach" TargetMode="External"/><Relationship Id="rId18" Type="http://schemas.openxmlformats.org/officeDocument/2006/relationships/hyperlink" Target="https://www.sciencedirect.com/topics/medicine-and-dentistry/arthropathy" TargetMode="External"/><Relationship Id="rId39" Type="http://schemas.openxmlformats.org/officeDocument/2006/relationships/hyperlink" Target="https://www.sciencedirect.com/topics/medicine-and-dentistry/reactive-oxygen-species" TargetMode="External"/><Relationship Id="rId109" Type="http://schemas.openxmlformats.org/officeDocument/2006/relationships/hyperlink" Target="https://www.sciencedirect.com/topics/medicine-and-dentistry/bone-scintigraphy" TargetMode="External"/><Relationship Id="rId34" Type="http://schemas.openxmlformats.org/officeDocument/2006/relationships/hyperlink" Target="https://www.sciencedirect.com/topics/medicine-and-dentistry/disease-predisposition" TargetMode="External"/><Relationship Id="rId50" Type="http://schemas.openxmlformats.org/officeDocument/2006/relationships/hyperlink" Target="https://www.sciencedirect.com/topics/medicine-and-dentistry/matrix-metalloproteinase" TargetMode="External"/><Relationship Id="rId55" Type="http://schemas.openxmlformats.org/officeDocument/2006/relationships/hyperlink" Target="https://www.sciencedirect.com/topics/medicine-and-dentistry/arthralgia" TargetMode="External"/><Relationship Id="rId76" Type="http://schemas.openxmlformats.org/officeDocument/2006/relationships/hyperlink" Target="https://www.sciencedirect.com/topics/medicine-and-dentistry/spondyloarthropathy" TargetMode="External"/><Relationship Id="rId97" Type="http://schemas.openxmlformats.org/officeDocument/2006/relationships/hyperlink" Target="https://www.sciencedirect.com/topics/medicine-and-dentistry/cartilage-oligomeric-matrix-protein" TargetMode="External"/><Relationship Id="rId104" Type="http://schemas.openxmlformats.org/officeDocument/2006/relationships/hyperlink" Target="https://www.sciencedirect.com/science/article/pii/S1357303917303304" TargetMode="External"/><Relationship Id="rId120" Type="http://schemas.openxmlformats.org/officeDocument/2006/relationships/hyperlink" Target="https://www.sciencedirect.com/topics/medicine-and-dentistry/auriculotherapy" TargetMode="External"/><Relationship Id="rId125" Type="http://schemas.openxmlformats.org/officeDocument/2006/relationships/hyperlink" Target="https://www.sciencedirect.com/topics/medicine-and-dentistry/ischemic-heart-disease" TargetMode="External"/><Relationship Id="rId141" Type="http://schemas.openxmlformats.org/officeDocument/2006/relationships/hyperlink" Target="https://www.sciencedirect.com/topics/medicine-and-dentistry/meniscectomy" TargetMode="External"/><Relationship Id="rId146" Type="http://schemas.openxmlformats.org/officeDocument/2006/relationships/hyperlink" Target="https://www.sciencedirect.com/topics/medicine-and-dentistry/fibrocartilage" TargetMode="External"/><Relationship Id="rId167" Type="http://schemas.openxmlformats.org/officeDocument/2006/relationships/hyperlink" Target="https://www.sciencedirect.com/topics/medicine-and-dentistry/bone-scintigraphy" TargetMode="External"/><Relationship Id="rId7" Type="http://schemas.openxmlformats.org/officeDocument/2006/relationships/hyperlink" Target="https://www.sciencedirect.com/science/article/pii/S1357303917303304" TargetMode="External"/><Relationship Id="rId71" Type="http://schemas.openxmlformats.org/officeDocument/2006/relationships/hyperlink" Target="https://www.sciencedirect.com/topics/medicine-and-dentistry/synovitis" TargetMode="External"/><Relationship Id="rId92" Type="http://schemas.openxmlformats.org/officeDocument/2006/relationships/hyperlink" Target="https://www.sciencedirect.com/topics/medicine-and-dentistry/erythrocyte-sedimentation-rate" TargetMode="External"/><Relationship Id="rId162" Type="http://schemas.openxmlformats.org/officeDocument/2006/relationships/hyperlink" Target="https://www.sciencedirect.com/topics/medicine-and-dentistry/proteoglycan" TargetMode="External"/><Relationship Id="rId2" Type="http://schemas.openxmlformats.org/officeDocument/2006/relationships/styles" Target="styles.xml"/><Relationship Id="rId29" Type="http://schemas.openxmlformats.org/officeDocument/2006/relationships/hyperlink" Target="https://www.sciencedirect.com/topics/medicine-and-dentistry/osteophyte" TargetMode="External"/><Relationship Id="rId24" Type="http://schemas.openxmlformats.org/officeDocument/2006/relationships/hyperlink" Target="https://www.sciencedirect.com/topics/medicine-and-dentistry/aggrecan" TargetMode="External"/><Relationship Id="rId40" Type="http://schemas.openxmlformats.org/officeDocument/2006/relationships/hyperlink" Target="https://www.sciencedirect.com/topics/medicine-and-dentistry/adipocyte" TargetMode="External"/><Relationship Id="rId45" Type="http://schemas.openxmlformats.org/officeDocument/2006/relationships/hyperlink" Target="https://www.sciencedirect.com/topics/medicine-and-dentistry/epigenomics" TargetMode="External"/><Relationship Id="rId66" Type="http://schemas.openxmlformats.org/officeDocument/2006/relationships/hyperlink" Target="https://www.sciencedirect.com/topics/medicine-and-dentistry/inflammatory-bowel-disease" TargetMode="External"/><Relationship Id="rId87" Type="http://schemas.openxmlformats.org/officeDocument/2006/relationships/hyperlink" Target="https://www.sciencedirect.com/topics/medicine-and-dentistry/ankylosing-hyperostosis" TargetMode="External"/><Relationship Id="rId110" Type="http://schemas.openxmlformats.org/officeDocument/2006/relationships/hyperlink" Target="https://www.sciencedirect.com/science/article/pii/S1357303917303304" TargetMode="External"/><Relationship Id="rId115" Type="http://schemas.openxmlformats.org/officeDocument/2006/relationships/hyperlink" Target="https://www.sciencedirect.com/topics/medicine-and-dentistry/rheumatic-disease" TargetMode="External"/><Relationship Id="rId131" Type="http://schemas.openxmlformats.org/officeDocument/2006/relationships/hyperlink" Target="https://www.sciencedirect.com/topics/medicine-and-dentistry/corticosteroid" TargetMode="External"/><Relationship Id="rId136" Type="http://schemas.openxmlformats.org/officeDocument/2006/relationships/hyperlink" Target="https://www.sciencedirect.com/topics/medicine-and-dentistry/neuropathic-pain" TargetMode="External"/><Relationship Id="rId157" Type="http://schemas.openxmlformats.org/officeDocument/2006/relationships/hyperlink" Target="https://www.sciencedirect.com/topics/medicine-and-dentistry/strontium-ranelate" TargetMode="External"/><Relationship Id="rId178" Type="http://schemas.openxmlformats.org/officeDocument/2006/relationships/hyperlink" Target="https://dx.doi.org/10.1016%2FS2665-9913(20)30279-4" TargetMode="External"/><Relationship Id="rId61" Type="http://schemas.openxmlformats.org/officeDocument/2006/relationships/hyperlink" Target="https://www.sciencedirect.com/science/article/pii/S1357303917303304" TargetMode="External"/><Relationship Id="rId82" Type="http://schemas.openxmlformats.org/officeDocument/2006/relationships/hyperlink" Target="https://www.sciencedirect.com/topics/medicine-and-dentistry/hallux-valgus" TargetMode="External"/><Relationship Id="rId152" Type="http://schemas.openxmlformats.org/officeDocument/2006/relationships/hyperlink" Target="https://www.sciencedirect.com/topics/medicine-and-dentistry/valgus-knee" TargetMode="External"/><Relationship Id="rId173" Type="http://schemas.openxmlformats.org/officeDocument/2006/relationships/hyperlink" Target="https://www.sciencedirect.com/topics/medicine-and-dentistry/arthrodesis" TargetMode="External"/><Relationship Id="rId19" Type="http://schemas.openxmlformats.org/officeDocument/2006/relationships/hyperlink" Target="https://www.sciencedirect.com/topics/medicine-and-dentistry/articular-cartilage" TargetMode="External"/><Relationship Id="rId14" Type="http://schemas.openxmlformats.org/officeDocument/2006/relationships/hyperlink" Target="https://www.sciencedirect.com/topics/medicine-and-dentistry/osteoarthritis" TargetMode="External"/><Relationship Id="rId30" Type="http://schemas.openxmlformats.org/officeDocument/2006/relationships/hyperlink" Target="https://www.sciencedirect.com/topics/medicine-and-dentistry/synovitis" TargetMode="External"/><Relationship Id="rId35" Type="http://schemas.openxmlformats.org/officeDocument/2006/relationships/hyperlink" Target="https://www.sciencedirect.com/topics/medicine-and-dentistry/disease-exacerbation" TargetMode="External"/><Relationship Id="rId56" Type="http://schemas.openxmlformats.org/officeDocument/2006/relationships/hyperlink" Target="https://www.sciencedirect.com/science/article/pii/S1357303917303304" TargetMode="External"/><Relationship Id="rId77" Type="http://schemas.openxmlformats.org/officeDocument/2006/relationships/hyperlink" Target="https://www.sciencedirect.com/topics/medicine-and-dentistry/psoriatic-arthritis" TargetMode="External"/><Relationship Id="rId100" Type="http://schemas.openxmlformats.org/officeDocument/2006/relationships/hyperlink" Target="https://www.sciencedirect.com/topics/medicine-and-dentistry/articular-cartilage" TargetMode="External"/><Relationship Id="rId105" Type="http://schemas.openxmlformats.org/officeDocument/2006/relationships/hyperlink" Target="https://www.sciencedirect.com/topics/medicine-and-dentistry/chondrocalcinosis" TargetMode="External"/><Relationship Id="rId126" Type="http://schemas.openxmlformats.org/officeDocument/2006/relationships/hyperlink" Target="https://www.sciencedirect.com/topics/medicine-and-dentistry/jejunum-ulcer" TargetMode="External"/><Relationship Id="rId147" Type="http://schemas.openxmlformats.org/officeDocument/2006/relationships/hyperlink" Target="https://www.sciencedirect.com/topics/medicine-and-dentistry/hyaline-cartilage" TargetMode="External"/><Relationship Id="rId168" Type="http://schemas.openxmlformats.org/officeDocument/2006/relationships/hyperlink" Target="https://www.sciencedirect.com/topics/medicine-and-dentistry/arthropathy" TargetMode="External"/><Relationship Id="rId8" Type="http://schemas.openxmlformats.org/officeDocument/2006/relationships/hyperlink" Target="https://www.sciencedirect.com/topics/medicine-and-dentistry/osteoarthritis" TargetMode="External"/><Relationship Id="rId51" Type="http://schemas.openxmlformats.org/officeDocument/2006/relationships/hyperlink" Target="https://www.sciencedirect.com/topics/medicine-and-dentistry/homeostasis" TargetMode="External"/><Relationship Id="rId72" Type="http://schemas.openxmlformats.org/officeDocument/2006/relationships/hyperlink" Target="https://www.sciencedirect.com/topics/medicine-and-dentistry/enthesitis" TargetMode="External"/><Relationship Id="rId93" Type="http://schemas.openxmlformats.org/officeDocument/2006/relationships/hyperlink" Target="https://www.sciencedirect.com/topics/medicine-and-dentistry/c-reactive-protein" TargetMode="External"/><Relationship Id="rId98" Type="http://schemas.openxmlformats.org/officeDocument/2006/relationships/hyperlink" Target="https://www.sciencedirect.com/science/article/pii/S1357303917303304" TargetMode="External"/><Relationship Id="rId121" Type="http://schemas.openxmlformats.org/officeDocument/2006/relationships/hyperlink" Target="https://www.sciencedirect.com/topics/medicine-and-dentistry/paracetamol" TargetMode="External"/><Relationship Id="rId142" Type="http://schemas.openxmlformats.org/officeDocument/2006/relationships/hyperlink" Target="https://www.sciencedirect.com/topics/medicine-and-dentistry/meniscal-transplantation" TargetMode="External"/><Relationship Id="rId163" Type="http://schemas.openxmlformats.org/officeDocument/2006/relationships/hyperlink" Target="https://www.sciencedirect.com/topics/medicine-and-dentistry/fibrillation" TargetMode="External"/><Relationship Id="rId3" Type="http://schemas.openxmlformats.org/officeDocument/2006/relationships/settings" Target="settings.xml"/><Relationship Id="rId25" Type="http://schemas.openxmlformats.org/officeDocument/2006/relationships/hyperlink" Target="https://www.sciencedirect.com/topics/medicine-and-dentistry/collagen-type-2" TargetMode="External"/><Relationship Id="rId46" Type="http://schemas.openxmlformats.org/officeDocument/2006/relationships/hyperlink" Target="https://www.sciencedirect.com/topics/medicine-and-dentistry/chondrocalcinosis" TargetMode="External"/><Relationship Id="rId67" Type="http://schemas.openxmlformats.org/officeDocument/2006/relationships/hyperlink" Target="https://www.sciencedirect.com/topics/medicine-and-dentistry/enthesis" TargetMode="External"/><Relationship Id="rId116" Type="http://schemas.openxmlformats.org/officeDocument/2006/relationships/hyperlink" Target="https://www.sciencedirect.com/topics/medicine-and-dentistry/osteoarthritis" TargetMode="External"/><Relationship Id="rId137" Type="http://schemas.openxmlformats.org/officeDocument/2006/relationships/hyperlink" Target="https://www.sciencedirect.com/topics/medicine-and-dentistry/gabapentin" TargetMode="External"/><Relationship Id="rId158" Type="http://schemas.openxmlformats.org/officeDocument/2006/relationships/hyperlink" Target="https://www.sciencedirect.com/topics/medicine-and-dentistry/venous-thromboembolism" TargetMode="External"/><Relationship Id="rId20" Type="http://schemas.openxmlformats.org/officeDocument/2006/relationships/hyperlink" Target="https://www.sciencedirect.com/topics/medicine-and-dentistry/meprobamate" TargetMode="External"/><Relationship Id="rId41" Type="http://schemas.openxmlformats.org/officeDocument/2006/relationships/hyperlink" Target="https://www.sciencedirect.com/topics/medicine-and-dentistry/synovitis" TargetMode="External"/><Relationship Id="rId62" Type="http://schemas.openxmlformats.org/officeDocument/2006/relationships/hyperlink" Target="https://www.sciencedirect.com/science/article/pii/S1357303917303304" TargetMode="External"/><Relationship Id="rId83" Type="http://schemas.openxmlformats.org/officeDocument/2006/relationships/hyperlink" Target="https://www.sciencedirect.com/topics/medicine-and-dentistry/hallux-rigidus" TargetMode="External"/><Relationship Id="rId88" Type="http://schemas.openxmlformats.org/officeDocument/2006/relationships/hyperlink" Target="https://www.sciencedirect.com/topics/medicine-and-dentistry/miconazole" TargetMode="External"/><Relationship Id="rId111" Type="http://schemas.openxmlformats.org/officeDocument/2006/relationships/hyperlink" Target="https://www.sciencedirect.com/topics/medicine-and-dentistry/imaging-technique" TargetMode="External"/><Relationship Id="rId132" Type="http://schemas.openxmlformats.org/officeDocument/2006/relationships/hyperlink" Target="https://www.sciencedirect.com/topics/medicine-and-dentistry/nutraceutical" TargetMode="External"/><Relationship Id="rId153" Type="http://schemas.openxmlformats.org/officeDocument/2006/relationships/hyperlink" Target="https://www.sciencedirect.com/topics/medicine-and-dentistry/vitamin-d" TargetMode="External"/><Relationship Id="rId174" Type="http://schemas.openxmlformats.org/officeDocument/2006/relationships/hyperlink" Target="https://www.sciencedirect.com/topics/medicine-and-dentistry/ankylosing-hyperostosis" TargetMode="External"/><Relationship Id="rId179" Type="http://schemas.openxmlformats.org/officeDocument/2006/relationships/fontTable" Target="fontTable.xml"/><Relationship Id="rId15" Type="http://schemas.openxmlformats.org/officeDocument/2006/relationships/hyperlink" Target="https://www.sciencedirect.com/topics/medicine-and-dentistry/axial-skeleton" TargetMode="External"/><Relationship Id="rId36" Type="http://schemas.openxmlformats.org/officeDocument/2006/relationships/hyperlink" Target="https://www.sciencedirect.com/topics/medicine-and-dentistry/apoplexy" TargetMode="External"/><Relationship Id="rId57" Type="http://schemas.openxmlformats.org/officeDocument/2006/relationships/hyperlink" Target="https://www.sciencedirect.com/topics/medicine-and-dentistry/rheumatoid-arthritis" TargetMode="External"/><Relationship Id="rId106" Type="http://schemas.openxmlformats.org/officeDocument/2006/relationships/hyperlink" Target="https://www.sciencedirect.com/topics/medicine-and-dentistry/calcium-pyrophosphate" TargetMode="External"/><Relationship Id="rId127" Type="http://schemas.openxmlformats.org/officeDocument/2006/relationships/hyperlink" Target="https://www.sciencedirect.com/topics/medicine-and-dentistry/anodyne" TargetMode="External"/><Relationship Id="rId10" Type="http://schemas.openxmlformats.org/officeDocument/2006/relationships/hyperlink" Target="https://www.sciencedirect.com/topics/medicine-and-dentistry/apathy" TargetMode="External"/><Relationship Id="rId31" Type="http://schemas.openxmlformats.org/officeDocument/2006/relationships/hyperlink" Target="https://www.sciencedirect.com/topics/medicine-and-dentistry/synovial-membrane" TargetMode="External"/><Relationship Id="rId52" Type="http://schemas.openxmlformats.org/officeDocument/2006/relationships/hyperlink" Target="https://www.sciencedirect.com/topics/medicine-and-dentistry/aggrecan" TargetMode="External"/><Relationship Id="rId73" Type="http://schemas.openxmlformats.org/officeDocument/2006/relationships/hyperlink" Target="https://www.sciencedirect.com/topics/medicine-and-dentistry/crepitus" TargetMode="External"/><Relationship Id="rId78" Type="http://schemas.openxmlformats.org/officeDocument/2006/relationships/hyperlink" Target="https://www.sciencedirect.com/science/article/pii/S1357303917303304" TargetMode="External"/><Relationship Id="rId94" Type="http://schemas.openxmlformats.org/officeDocument/2006/relationships/hyperlink" Target="https://www.sciencedirect.com/topics/medicine-and-dentistry/synovitis" TargetMode="External"/><Relationship Id="rId99" Type="http://schemas.openxmlformats.org/officeDocument/2006/relationships/hyperlink" Target="https://www.sciencedirect.com/science/article/pii/S1357303917303304" TargetMode="External"/><Relationship Id="rId101" Type="http://schemas.openxmlformats.org/officeDocument/2006/relationships/hyperlink" Target="https://www.sciencedirect.com/topics/medicine-and-dentistry/osteophyte" TargetMode="External"/><Relationship Id="rId122" Type="http://schemas.openxmlformats.org/officeDocument/2006/relationships/hyperlink" Target="https://www.sciencedirect.com/topics/medicine-and-dentistry/nonsteroid-antiinflammatory-agent" TargetMode="External"/><Relationship Id="rId143" Type="http://schemas.openxmlformats.org/officeDocument/2006/relationships/hyperlink" Target="https://www.sciencedirect.com/topics/medicine-and-dentistry/microfracture" TargetMode="External"/><Relationship Id="rId148" Type="http://schemas.openxmlformats.org/officeDocument/2006/relationships/hyperlink" Target="https://www.sciencedirect.com/topics/medicine-and-dentistry/arthroplasty" TargetMode="External"/><Relationship Id="rId164" Type="http://schemas.openxmlformats.org/officeDocument/2006/relationships/hyperlink" Target="https://www.sciencedirect.com/topics/medicine-and-dentistry/chondrocyte" TargetMode="External"/><Relationship Id="rId169" Type="http://schemas.openxmlformats.org/officeDocument/2006/relationships/hyperlink" Target="https://www.sciencedirect.com/topics/medicine-and-dentistry/sclerosis" TargetMode="External"/><Relationship Id="rId4" Type="http://schemas.openxmlformats.org/officeDocument/2006/relationships/webSettings" Target="webSettings.xml"/><Relationship Id="rId9" Type="http://schemas.openxmlformats.org/officeDocument/2006/relationships/hyperlink" Target="https://www.sciencedirect.com/topics/medicine-and-dentistry/arthropathy" TargetMode="External"/><Relationship Id="rId180" Type="http://schemas.openxmlformats.org/officeDocument/2006/relationships/theme" Target="theme/theme1.xml"/><Relationship Id="rId26" Type="http://schemas.openxmlformats.org/officeDocument/2006/relationships/hyperlink" Target="https://www.sciencedirect.com/topics/medicine-and-dentistry/chondrocyte" TargetMode="External"/><Relationship Id="rId47" Type="http://schemas.openxmlformats.org/officeDocument/2006/relationships/hyperlink" Target="https://www.sciencedirect.com/topics/medicine-and-dentistry/hemochromatosis" TargetMode="External"/><Relationship Id="rId68" Type="http://schemas.openxmlformats.org/officeDocument/2006/relationships/hyperlink" Target="https://www.sciencedirect.com/topics/medicine-and-dentistry/muscle-atrophy" TargetMode="External"/><Relationship Id="rId89" Type="http://schemas.openxmlformats.org/officeDocument/2006/relationships/hyperlink" Target="https://www.sciencedirect.com/topics/medicine-and-dentistry/vertebra" TargetMode="External"/><Relationship Id="rId112" Type="http://schemas.openxmlformats.org/officeDocument/2006/relationships/hyperlink" Target="https://www.sciencedirect.com/topics/medicine-and-dentistry/magnetic-resonance-imaging" TargetMode="External"/><Relationship Id="rId133" Type="http://schemas.openxmlformats.org/officeDocument/2006/relationships/hyperlink" Target="https://www.sciencedirect.com/topics/medicine-and-dentistry/glucosamine-sulfate" TargetMode="External"/><Relationship Id="rId154" Type="http://schemas.openxmlformats.org/officeDocument/2006/relationships/hyperlink" Target="https://www.sciencedirect.com/topics/medicine-and-dentistry/hydroxychloroquine" TargetMode="External"/><Relationship Id="rId175" Type="http://schemas.openxmlformats.org/officeDocument/2006/relationships/hyperlink" Target="https://www.sciencedirect.com/topics/medicine-and-dentistry/osteophyte" TargetMode="External"/><Relationship Id="rId16" Type="http://schemas.openxmlformats.org/officeDocument/2006/relationships/hyperlink" Target="https://www.sciencedirect.com/topics/medicine-and-dentistry/peripheral-joint" TargetMode="External"/><Relationship Id="rId37" Type="http://schemas.openxmlformats.org/officeDocument/2006/relationships/hyperlink" Target="https://www.sciencedirect.com/topics/medicine-and-dentistry/poliomyelitis" TargetMode="External"/><Relationship Id="rId58" Type="http://schemas.openxmlformats.org/officeDocument/2006/relationships/hyperlink" Target="https://www.sciencedirect.com/topics/medicine-and-dentistry/acromioclavicular-joint" TargetMode="External"/><Relationship Id="rId79" Type="http://schemas.openxmlformats.org/officeDocument/2006/relationships/hyperlink" Target="https://www.sciencedirect.com/topics/medicine-and-dentistry/metacarpophalangeal-joint" TargetMode="External"/><Relationship Id="rId102" Type="http://schemas.openxmlformats.org/officeDocument/2006/relationships/hyperlink" Target="https://www.sciencedirect.com/topics/medicine-and-dentistry/arthropathy" TargetMode="External"/><Relationship Id="rId123" Type="http://schemas.openxmlformats.org/officeDocument/2006/relationships/hyperlink" Target="https://www.sciencedirect.com/topics/medicine-and-dentistry/nonsteroid-antiinflammatory-agent" TargetMode="External"/><Relationship Id="rId144" Type="http://schemas.openxmlformats.org/officeDocument/2006/relationships/hyperlink" Target="https://www.sciencedirect.com/topics/medicine-and-dentistry/articular-cartilage" TargetMode="External"/><Relationship Id="rId90" Type="http://schemas.openxmlformats.org/officeDocument/2006/relationships/hyperlink" Target="https://www.sciencedirect.com/topics/medicine-and-dentistry/ankylosing-spondylitis" TargetMode="External"/><Relationship Id="rId165" Type="http://schemas.openxmlformats.org/officeDocument/2006/relationships/image" Target="media/image2.jpeg"/><Relationship Id="rId27" Type="http://schemas.openxmlformats.org/officeDocument/2006/relationships/hyperlink" Target="https://www.sciencedirect.com/topics/medicine-and-dentistry/articular-cartilage" TargetMode="External"/><Relationship Id="rId48" Type="http://schemas.openxmlformats.org/officeDocument/2006/relationships/hyperlink" Target="https://www.sciencedirect.com/topics/medicine-and-dentistry/calcium-pyrophosphate" TargetMode="External"/><Relationship Id="rId69" Type="http://schemas.openxmlformats.org/officeDocument/2006/relationships/hyperlink" Target="https://www.sciencedirect.com/topics/medicine-and-dentistry/varus-knee" TargetMode="External"/><Relationship Id="rId113" Type="http://schemas.openxmlformats.org/officeDocument/2006/relationships/hyperlink" Target="https://www.sciencedirect.com/topics/medicine-and-dentistry/magnetic-resonance-imaging" TargetMode="External"/><Relationship Id="rId134" Type="http://schemas.openxmlformats.org/officeDocument/2006/relationships/hyperlink" Target="https://www.sciencedirect.com/topics/medicine-and-dentistry/chondroitin-sulfate" TargetMode="External"/><Relationship Id="rId80" Type="http://schemas.openxmlformats.org/officeDocument/2006/relationships/hyperlink" Target="https://www.sciencedirect.com/topics/medicine-and-dentistry/metatarsophalangeal-joint" TargetMode="External"/><Relationship Id="rId155" Type="http://schemas.openxmlformats.org/officeDocument/2006/relationships/hyperlink" Target="https://www.sciencedirect.com/topics/medicine-and-dentistry/necrosis" TargetMode="External"/><Relationship Id="rId176" Type="http://schemas.openxmlformats.org/officeDocument/2006/relationships/hyperlink" Target="https://www.sciencedirect.com/topics/medicine-and-dentistry/patellofemoral-joint" TargetMode="External"/><Relationship Id="rId17" Type="http://schemas.openxmlformats.org/officeDocument/2006/relationships/hyperlink" Target="https://www.sciencedirect.com/topics/medicine-and-dentistry/osteoarthritis" TargetMode="External"/><Relationship Id="rId38" Type="http://schemas.openxmlformats.org/officeDocument/2006/relationships/hyperlink" Target="https://www.sciencedirect.com/topics/medicine-and-dentistry/high-tibial-osteotomy" TargetMode="External"/><Relationship Id="rId59" Type="http://schemas.openxmlformats.org/officeDocument/2006/relationships/hyperlink" Target="https://www.sciencedirect.com/topics/medicine-and-dentistry/morning-stiffness" TargetMode="External"/><Relationship Id="rId103" Type="http://schemas.openxmlformats.org/officeDocument/2006/relationships/hyperlink" Target="https://www.sciencedirect.com/topics/medicine-and-dentistry/patellofemoral-joint" TargetMode="External"/><Relationship Id="rId124" Type="http://schemas.openxmlformats.org/officeDocument/2006/relationships/hyperlink" Target="https://www.sciencedirect.com/topics/medicine-and-dentistry/prostaglandin-synthase" TargetMode="External"/><Relationship Id="rId70" Type="http://schemas.openxmlformats.org/officeDocument/2006/relationships/hyperlink" Target="https://www.sciencedirect.com/topics/medicine-and-dentistry/soft-tissue-inflammation" TargetMode="External"/><Relationship Id="rId91" Type="http://schemas.openxmlformats.org/officeDocument/2006/relationships/hyperlink" Target="https://www.sciencedirect.com/science/article/pii/S1357303917303304" TargetMode="External"/><Relationship Id="rId145" Type="http://schemas.openxmlformats.org/officeDocument/2006/relationships/hyperlink" Target="https://www.sciencedirect.com/topics/medicine-and-dentistry/chondrocyte" TargetMode="External"/><Relationship Id="rId166" Type="http://schemas.openxmlformats.org/officeDocument/2006/relationships/hyperlink" Target="https://www.sciencedirect.com/topics/medicine-and-dentistry/osteoarthritis" TargetMode="External"/><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16</Pages>
  <Words>10630</Words>
  <Characters>60597</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Carnell, Rachel (ELS-OXF)</dc:creator>
  <cp:keywords/>
  <dc:description/>
  <cp:lastModifiedBy>Fiona Watt</cp:lastModifiedBy>
  <cp:revision>151</cp:revision>
  <dcterms:created xsi:type="dcterms:W3CDTF">2021-07-23T06:10:00Z</dcterms:created>
  <dcterms:modified xsi:type="dcterms:W3CDTF">2022-08-23T10:03:00Z</dcterms:modified>
</cp:coreProperties>
</file>