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A39029" w14:textId="77777777" w:rsidR="00485300" w:rsidRPr="00314386" w:rsidRDefault="00485300" w:rsidP="001862AC">
      <w:pPr>
        <w:ind w:left="142"/>
        <w:outlineLvl w:val="0"/>
        <w:rPr>
          <w:rFonts w:asciiTheme="minorBidi" w:hAnsiTheme="minorBidi"/>
          <w:b/>
          <w:bCs/>
          <w:color w:val="000000" w:themeColor="text1"/>
        </w:rPr>
      </w:pPr>
      <w:r w:rsidRPr="00314386">
        <w:rPr>
          <w:rFonts w:asciiTheme="minorBidi" w:hAnsiTheme="minorBidi" w:cstheme="minorBidi"/>
          <w:b/>
          <w:bCs/>
          <w:color w:val="000000" w:themeColor="text1"/>
        </w:rPr>
        <w:t>Supplemental Table 1</w:t>
      </w:r>
      <w:r w:rsidRPr="00314386">
        <w:rPr>
          <w:rFonts w:asciiTheme="minorBidi" w:hAnsiTheme="minorBidi"/>
          <w:b/>
          <w:bCs/>
          <w:color w:val="000000" w:themeColor="text1"/>
        </w:rPr>
        <w:t xml:space="preserve">. </w:t>
      </w:r>
      <w:r w:rsidRPr="00314386">
        <w:rPr>
          <w:rFonts w:asciiTheme="minorBidi" w:hAnsiTheme="minorBidi"/>
          <w:color w:val="000000" w:themeColor="text1"/>
        </w:rPr>
        <w:t>Search strategy – search terms</w:t>
      </w:r>
    </w:p>
    <w:p w14:paraId="2EDE521B" w14:textId="77777777" w:rsidR="00485300" w:rsidRPr="00314386" w:rsidRDefault="00485300" w:rsidP="00485300">
      <w:pPr>
        <w:rPr>
          <w:color w:val="000000" w:themeColor="text1"/>
        </w:rPr>
      </w:pPr>
    </w:p>
    <w:tbl>
      <w:tblPr>
        <w:tblStyle w:val="TableGrid"/>
        <w:tblW w:w="1006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832"/>
        <w:gridCol w:w="4536"/>
      </w:tblGrid>
      <w:tr w:rsidR="00485300" w:rsidRPr="00485300" w14:paraId="7CBEABD7" w14:textId="77777777" w:rsidTr="001862AC">
        <w:tc>
          <w:tcPr>
            <w:tcW w:w="4697" w:type="dxa"/>
            <w:tcBorders>
              <w:top w:val="single" w:sz="4" w:space="0" w:color="auto"/>
              <w:bottom w:val="single" w:sz="4" w:space="0" w:color="auto"/>
            </w:tcBorders>
          </w:tcPr>
          <w:p w14:paraId="2200AE27" w14:textId="77777777" w:rsidR="00485300" w:rsidRPr="00485300" w:rsidRDefault="00485300" w:rsidP="004449E9">
            <w:pPr>
              <w:rPr>
                <w:rFonts w:asciiTheme="minorBidi" w:hAnsiTheme="minorBidi" w:cstheme="minorBidi"/>
                <w:b/>
                <w:iCs/>
                <w:color w:val="000000" w:themeColor="text1"/>
                <w:sz w:val="20"/>
                <w:szCs w:val="20"/>
              </w:rPr>
            </w:pPr>
            <w:r w:rsidRPr="00485300">
              <w:rPr>
                <w:rFonts w:asciiTheme="minorBidi" w:hAnsiTheme="minorBidi" w:cstheme="minorBidi"/>
                <w:b/>
                <w:iCs/>
                <w:color w:val="000000" w:themeColor="text1"/>
                <w:sz w:val="20"/>
                <w:szCs w:val="20"/>
              </w:rPr>
              <w:t xml:space="preserve">Descriptor </w:t>
            </w:r>
          </w:p>
        </w:tc>
        <w:tc>
          <w:tcPr>
            <w:tcW w:w="832" w:type="dxa"/>
            <w:tcBorders>
              <w:top w:val="single" w:sz="4" w:space="0" w:color="auto"/>
              <w:bottom w:val="single" w:sz="4" w:space="0" w:color="auto"/>
            </w:tcBorders>
          </w:tcPr>
          <w:p w14:paraId="0F25C791" w14:textId="77777777" w:rsidR="00485300" w:rsidRPr="00485300" w:rsidRDefault="00485300" w:rsidP="004449E9">
            <w:pPr>
              <w:rPr>
                <w:rFonts w:asciiTheme="minorBidi" w:hAnsiTheme="minorBidi" w:cstheme="minorBidi"/>
                <w:b/>
                <w:iCs/>
                <w:color w:val="000000" w:themeColor="text1"/>
                <w:sz w:val="20"/>
                <w:szCs w:val="20"/>
              </w:rPr>
            </w:pPr>
          </w:p>
        </w:tc>
        <w:tc>
          <w:tcPr>
            <w:tcW w:w="4536" w:type="dxa"/>
            <w:tcBorders>
              <w:top w:val="single" w:sz="4" w:space="0" w:color="auto"/>
              <w:bottom w:val="single" w:sz="4" w:space="0" w:color="auto"/>
            </w:tcBorders>
          </w:tcPr>
          <w:p w14:paraId="3765BE66" w14:textId="77777777" w:rsidR="00485300" w:rsidRPr="00485300" w:rsidRDefault="00485300" w:rsidP="004449E9">
            <w:pPr>
              <w:rPr>
                <w:rFonts w:asciiTheme="minorBidi" w:hAnsiTheme="minorBidi" w:cstheme="minorBidi"/>
                <w:b/>
                <w:iCs/>
                <w:color w:val="000000" w:themeColor="text1"/>
                <w:sz w:val="20"/>
                <w:szCs w:val="20"/>
              </w:rPr>
            </w:pPr>
            <w:r w:rsidRPr="00485300">
              <w:rPr>
                <w:rFonts w:asciiTheme="minorBidi" w:hAnsiTheme="minorBidi" w:cstheme="minorBidi"/>
                <w:b/>
                <w:iCs/>
                <w:color w:val="000000" w:themeColor="text1"/>
                <w:sz w:val="20"/>
                <w:szCs w:val="20"/>
              </w:rPr>
              <w:t>Search terms</w:t>
            </w:r>
          </w:p>
          <w:p w14:paraId="554615C9" w14:textId="77777777" w:rsidR="00485300" w:rsidRPr="00485300" w:rsidRDefault="00485300" w:rsidP="004449E9">
            <w:pPr>
              <w:rPr>
                <w:rFonts w:asciiTheme="minorBidi" w:hAnsiTheme="minorBidi" w:cstheme="minorBidi"/>
                <w:b/>
                <w:iCs/>
                <w:color w:val="000000" w:themeColor="text1"/>
                <w:sz w:val="20"/>
                <w:szCs w:val="20"/>
              </w:rPr>
            </w:pPr>
          </w:p>
        </w:tc>
      </w:tr>
      <w:tr w:rsidR="00485300" w:rsidRPr="00485300" w14:paraId="04AE2BCD" w14:textId="77777777" w:rsidTr="001862AC">
        <w:tc>
          <w:tcPr>
            <w:tcW w:w="4697" w:type="dxa"/>
            <w:tcBorders>
              <w:top w:val="single" w:sz="4" w:space="0" w:color="auto"/>
            </w:tcBorders>
          </w:tcPr>
          <w:p w14:paraId="39D33F8E" w14:textId="77777777" w:rsidR="00485300" w:rsidRPr="00485300" w:rsidRDefault="00485300" w:rsidP="004449E9">
            <w:pPr>
              <w:rPr>
                <w:rFonts w:asciiTheme="minorBidi" w:hAnsiTheme="minorBidi" w:cstheme="minorBidi"/>
                <w:color w:val="000000" w:themeColor="text1"/>
                <w:sz w:val="20"/>
                <w:szCs w:val="20"/>
              </w:rPr>
            </w:pPr>
            <w:r w:rsidRPr="00485300">
              <w:rPr>
                <w:rFonts w:asciiTheme="minorBidi" w:hAnsiTheme="minorBidi" w:cstheme="minorBidi"/>
                <w:color w:val="000000" w:themeColor="text1"/>
                <w:sz w:val="20"/>
                <w:szCs w:val="20"/>
              </w:rPr>
              <w:t>Diet / food intake</w:t>
            </w:r>
          </w:p>
        </w:tc>
        <w:tc>
          <w:tcPr>
            <w:tcW w:w="832" w:type="dxa"/>
            <w:tcBorders>
              <w:top w:val="single" w:sz="4" w:space="0" w:color="auto"/>
            </w:tcBorders>
          </w:tcPr>
          <w:p w14:paraId="783A0C84" w14:textId="77777777" w:rsidR="00485300" w:rsidRPr="00485300" w:rsidRDefault="00485300" w:rsidP="004449E9">
            <w:pPr>
              <w:rPr>
                <w:rFonts w:asciiTheme="minorBidi" w:hAnsiTheme="minorBidi" w:cstheme="minorBidi"/>
                <w:color w:val="000000" w:themeColor="text1"/>
                <w:sz w:val="20"/>
                <w:szCs w:val="20"/>
              </w:rPr>
            </w:pPr>
          </w:p>
        </w:tc>
        <w:tc>
          <w:tcPr>
            <w:tcW w:w="4536" w:type="dxa"/>
            <w:tcBorders>
              <w:top w:val="single" w:sz="4" w:space="0" w:color="auto"/>
            </w:tcBorders>
          </w:tcPr>
          <w:p w14:paraId="65FF0D4D" w14:textId="77777777" w:rsidR="00485300" w:rsidRPr="00485300" w:rsidRDefault="00485300" w:rsidP="004449E9">
            <w:pPr>
              <w:rPr>
                <w:rFonts w:asciiTheme="minorBidi" w:hAnsiTheme="minorBidi" w:cstheme="minorBidi"/>
                <w:color w:val="000000" w:themeColor="text1"/>
                <w:sz w:val="20"/>
                <w:szCs w:val="20"/>
              </w:rPr>
            </w:pPr>
            <w:r w:rsidRPr="00485300">
              <w:rPr>
                <w:rFonts w:asciiTheme="minorBidi" w:hAnsiTheme="minorBidi" w:cstheme="minorBidi"/>
                <w:color w:val="000000" w:themeColor="text1"/>
                <w:sz w:val="20"/>
                <w:szCs w:val="20"/>
              </w:rPr>
              <w:t>(diet OR food OR nutrient)</w:t>
            </w:r>
          </w:p>
        </w:tc>
      </w:tr>
      <w:tr w:rsidR="00485300" w:rsidRPr="00485300" w14:paraId="04F9A6DC" w14:textId="77777777" w:rsidTr="001862AC">
        <w:tc>
          <w:tcPr>
            <w:tcW w:w="4697" w:type="dxa"/>
          </w:tcPr>
          <w:p w14:paraId="28D30F5F" w14:textId="77777777" w:rsidR="00485300" w:rsidRPr="00485300" w:rsidRDefault="00485300" w:rsidP="004449E9">
            <w:pPr>
              <w:rPr>
                <w:rFonts w:asciiTheme="minorBidi" w:hAnsiTheme="minorBidi" w:cstheme="minorBidi"/>
                <w:color w:val="000000" w:themeColor="text1"/>
                <w:sz w:val="20"/>
                <w:szCs w:val="20"/>
              </w:rPr>
            </w:pPr>
            <w:r w:rsidRPr="00485300">
              <w:rPr>
                <w:rFonts w:asciiTheme="minorBidi" w:hAnsiTheme="minorBidi" w:cstheme="minorBidi"/>
                <w:color w:val="000000" w:themeColor="text1"/>
                <w:sz w:val="20"/>
                <w:szCs w:val="20"/>
              </w:rPr>
              <w:t>Score system method</w:t>
            </w:r>
          </w:p>
        </w:tc>
        <w:tc>
          <w:tcPr>
            <w:tcW w:w="832" w:type="dxa"/>
          </w:tcPr>
          <w:p w14:paraId="44017652" w14:textId="77777777" w:rsidR="00485300" w:rsidRPr="00485300" w:rsidRDefault="00485300" w:rsidP="004449E9">
            <w:pPr>
              <w:rPr>
                <w:rFonts w:asciiTheme="minorBidi" w:hAnsiTheme="minorBidi" w:cstheme="minorBidi"/>
                <w:color w:val="000000" w:themeColor="text1"/>
                <w:sz w:val="20"/>
                <w:szCs w:val="20"/>
              </w:rPr>
            </w:pPr>
            <w:r w:rsidRPr="00485300">
              <w:rPr>
                <w:rFonts w:asciiTheme="minorBidi" w:hAnsiTheme="minorBidi" w:cstheme="minorBidi"/>
                <w:color w:val="000000" w:themeColor="text1"/>
                <w:sz w:val="20"/>
                <w:szCs w:val="20"/>
              </w:rPr>
              <w:t xml:space="preserve">AND </w:t>
            </w:r>
          </w:p>
        </w:tc>
        <w:tc>
          <w:tcPr>
            <w:tcW w:w="4536" w:type="dxa"/>
          </w:tcPr>
          <w:p w14:paraId="0724F438" w14:textId="77777777" w:rsidR="00485300" w:rsidRPr="00485300" w:rsidRDefault="00485300" w:rsidP="004449E9">
            <w:pPr>
              <w:rPr>
                <w:rFonts w:asciiTheme="minorBidi" w:hAnsiTheme="minorBidi" w:cstheme="minorBidi"/>
                <w:color w:val="000000" w:themeColor="text1"/>
                <w:sz w:val="20"/>
                <w:szCs w:val="20"/>
              </w:rPr>
            </w:pPr>
            <w:r w:rsidRPr="00485300">
              <w:rPr>
                <w:rFonts w:asciiTheme="minorBidi" w:hAnsiTheme="minorBidi" w:cstheme="minorBidi"/>
                <w:color w:val="000000" w:themeColor="text1"/>
                <w:sz w:val="20"/>
                <w:szCs w:val="20"/>
              </w:rPr>
              <w:t xml:space="preserve">(pattern OR index OR indices OR score OR quality OR adherence OR adequacy) </w:t>
            </w:r>
          </w:p>
          <w:p w14:paraId="2FB9C650" w14:textId="77777777" w:rsidR="00485300" w:rsidRPr="00485300" w:rsidRDefault="00485300" w:rsidP="004449E9">
            <w:pPr>
              <w:rPr>
                <w:rFonts w:asciiTheme="minorBidi" w:hAnsiTheme="minorBidi" w:cstheme="minorBidi"/>
                <w:color w:val="000000" w:themeColor="text1"/>
                <w:sz w:val="20"/>
                <w:szCs w:val="20"/>
              </w:rPr>
            </w:pPr>
          </w:p>
        </w:tc>
      </w:tr>
      <w:tr w:rsidR="00485300" w:rsidRPr="00485300" w14:paraId="199D8FA9" w14:textId="77777777" w:rsidTr="001862AC">
        <w:tc>
          <w:tcPr>
            <w:tcW w:w="4697" w:type="dxa"/>
          </w:tcPr>
          <w:p w14:paraId="7882F772" w14:textId="77777777" w:rsidR="00485300" w:rsidRPr="00485300" w:rsidRDefault="00485300" w:rsidP="004449E9">
            <w:pPr>
              <w:rPr>
                <w:rFonts w:asciiTheme="minorBidi" w:hAnsiTheme="minorBidi" w:cstheme="minorBidi"/>
                <w:color w:val="000000" w:themeColor="text1"/>
                <w:sz w:val="20"/>
                <w:szCs w:val="20"/>
              </w:rPr>
            </w:pPr>
            <w:r w:rsidRPr="00485300">
              <w:rPr>
                <w:rFonts w:asciiTheme="minorBidi" w:hAnsiTheme="minorBidi" w:cstheme="minorBidi"/>
                <w:color w:val="000000" w:themeColor="text1"/>
                <w:sz w:val="20"/>
                <w:szCs w:val="20"/>
              </w:rPr>
              <w:t xml:space="preserve">Health outcome CVD </w:t>
            </w:r>
          </w:p>
        </w:tc>
        <w:tc>
          <w:tcPr>
            <w:tcW w:w="832" w:type="dxa"/>
          </w:tcPr>
          <w:p w14:paraId="535BD317" w14:textId="77777777" w:rsidR="00485300" w:rsidRPr="00485300" w:rsidRDefault="00485300" w:rsidP="004449E9">
            <w:pPr>
              <w:rPr>
                <w:rFonts w:asciiTheme="minorBidi" w:hAnsiTheme="minorBidi" w:cstheme="minorBidi"/>
                <w:color w:val="000000" w:themeColor="text1"/>
                <w:sz w:val="20"/>
                <w:szCs w:val="20"/>
              </w:rPr>
            </w:pPr>
            <w:r w:rsidRPr="00485300">
              <w:rPr>
                <w:rFonts w:asciiTheme="minorBidi" w:hAnsiTheme="minorBidi" w:cstheme="minorBidi"/>
                <w:color w:val="000000" w:themeColor="text1"/>
                <w:sz w:val="20"/>
                <w:szCs w:val="20"/>
              </w:rPr>
              <w:t>AND</w:t>
            </w:r>
          </w:p>
        </w:tc>
        <w:tc>
          <w:tcPr>
            <w:tcW w:w="4536" w:type="dxa"/>
          </w:tcPr>
          <w:p w14:paraId="04BDEACE" w14:textId="77777777" w:rsidR="00485300" w:rsidRPr="00485300" w:rsidRDefault="00485300" w:rsidP="004449E9">
            <w:pPr>
              <w:rPr>
                <w:rFonts w:asciiTheme="minorBidi" w:hAnsiTheme="minorBidi" w:cstheme="minorBidi"/>
                <w:color w:val="000000" w:themeColor="text1"/>
                <w:sz w:val="20"/>
                <w:szCs w:val="20"/>
              </w:rPr>
            </w:pPr>
            <w:r w:rsidRPr="00485300">
              <w:rPr>
                <w:rFonts w:asciiTheme="minorBidi" w:hAnsiTheme="minorBidi" w:cstheme="minorBidi"/>
                <w:color w:val="000000" w:themeColor="text1"/>
                <w:sz w:val="20"/>
                <w:szCs w:val="20"/>
              </w:rPr>
              <w:t xml:space="preserve">Cardiovascular disease OR </w:t>
            </w:r>
          </w:p>
          <w:p w14:paraId="04E5A553" w14:textId="77777777" w:rsidR="00485300" w:rsidRPr="00485300" w:rsidRDefault="00485300" w:rsidP="004449E9">
            <w:pPr>
              <w:rPr>
                <w:rFonts w:asciiTheme="minorBidi" w:hAnsiTheme="minorBidi" w:cstheme="minorBidi"/>
                <w:color w:val="000000" w:themeColor="text1"/>
                <w:sz w:val="20"/>
                <w:szCs w:val="20"/>
              </w:rPr>
            </w:pPr>
            <w:r w:rsidRPr="00485300">
              <w:rPr>
                <w:rFonts w:asciiTheme="minorBidi" w:hAnsiTheme="minorBidi" w:cstheme="minorBidi"/>
                <w:color w:val="000000" w:themeColor="text1"/>
                <w:sz w:val="20"/>
                <w:szCs w:val="20"/>
              </w:rPr>
              <w:t>Coronary disease OR</w:t>
            </w:r>
          </w:p>
          <w:p w14:paraId="79041560" w14:textId="77777777" w:rsidR="00485300" w:rsidRPr="00485300" w:rsidRDefault="00485300" w:rsidP="004449E9">
            <w:pPr>
              <w:rPr>
                <w:rFonts w:asciiTheme="minorBidi" w:hAnsiTheme="minorBidi" w:cstheme="minorBidi"/>
                <w:color w:val="000000" w:themeColor="text1"/>
                <w:sz w:val="20"/>
                <w:szCs w:val="20"/>
              </w:rPr>
            </w:pPr>
            <w:r w:rsidRPr="00485300">
              <w:rPr>
                <w:rFonts w:asciiTheme="minorBidi" w:hAnsiTheme="minorBidi" w:cstheme="minorBidi"/>
                <w:color w:val="000000" w:themeColor="text1"/>
                <w:sz w:val="20"/>
                <w:szCs w:val="20"/>
              </w:rPr>
              <w:t xml:space="preserve">myocardial infarction OR </w:t>
            </w:r>
          </w:p>
          <w:p w14:paraId="2CB4F4DE" w14:textId="77777777" w:rsidR="00485300" w:rsidRPr="00485300" w:rsidRDefault="00485300" w:rsidP="004449E9">
            <w:pPr>
              <w:rPr>
                <w:rFonts w:asciiTheme="minorBidi" w:hAnsiTheme="minorBidi" w:cstheme="minorBidi"/>
                <w:color w:val="000000" w:themeColor="text1"/>
                <w:sz w:val="20"/>
                <w:szCs w:val="20"/>
              </w:rPr>
            </w:pPr>
            <w:r w:rsidRPr="00485300">
              <w:rPr>
                <w:rFonts w:asciiTheme="minorBidi" w:hAnsiTheme="minorBidi" w:cstheme="minorBidi"/>
                <w:color w:val="000000" w:themeColor="text1"/>
                <w:sz w:val="20"/>
                <w:szCs w:val="20"/>
              </w:rPr>
              <w:t xml:space="preserve">stroke OR </w:t>
            </w:r>
          </w:p>
          <w:p w14:paraId="3522BF31" w14:textId="77777777" w:rsidR="00485300" w:rsidRPr="00485300" w:rsidRDefault="00485300" w:rsidP="004449E9">
            <w:pPr>
              <w:rPr>
                <w:rFonts w:asciiTheme="minorBidi" w:hAnsiTheme="minorBidi" w:cstheme="minorBidi"/>
                <w:color w:val="000000" w:themeColor="text1"/>
                <w:sz w:val="20"/>
                <w:szCs w:val="20"/>
              </w:rPr>
            </w:pPr>
            <w:r w:rsidRPr="00485300">
              <w:rPr>
                <w:rFonts w:asciiTheme="minorBidi" w:hAnsiTheme="minorBidi" w:cstheme="minorBidi"/>
                <w:color w:val="000000" w:themeColor="text1"/>
                <w:sz w:val="20"/>
                <w:szCs w:val="20"/>
              </w:rPr>
              <w:t xml:space="preserve">peripheral vascular diseases OR </w:t>
            </w:r>
          </w:p>
          <w:p w14:paraId="110D8CC7" w14:textId="77777777" w:rsidR="00485300" w:rsidRPr="00485300" w:rsidRDefault="00485300" w:rsidP="004449E9">
            <w:pPr>
              <w:rPr>
                <w:rFonts w:asciiTheme="minorBidi" w:hAnsiTheme="minorBidi" w:cstheme="minorBidi"/>
                <w:color w:val="000000" w:themeColor="text1"/>
                <w:sz w:val="20"/>
                <w:szCs w:val="20"/>
              </w:rPr>
            </w:pPr>
            <w:r w:rsidRPr="00485300">
              <w:rPr>
                <w:rFonts w:asciiTheme="minorBidi" w:hAnsiTheme="minorBidi" w:cstheme="minorBidi"/>
                <w:color w:val="000000" w:themeColor="text1"/>
                <w:sz w:val="20"/>
                <w:szCs w:val="20"/>
              </w:rPr>
              <w:t xml:space="preserve">arterial disease OR </w:t>
            </w:r>
          </w:p>
          <w:p w14:paraId="4FDE56D4" w14:textId="77777777" w:rsidR="00485300" w:rsidRPr="00485300" w:rsidRDefault="00485300" w:rsidP="004449E9">
            <w:pPr>
              <w:rPr>
                <w:rFonts w:asciiTheme="minorBidi" w:hAnsiTheme="minorBidi" w:cstheme="minorBidi"/>
                <w:color w:val="000000" w:themeColor="text1"/>
                <w:sz w:val="20"/>
                <w:szCs w:val="20"/>
              </w:rPr>
            </w:pPr>
            <w:r w:rsidRPr="00485300">
              <w:rPr>
                <w:rFonts w:asciiTheme="minorBidi" w:hAnsiTheme="minorBidi" w:cstheme="minorBidi"/>
                <w:color w:val="000000" w:themeColor="text1"/>
                <w:sz w:val="20"/>
                <w:szCs w:val="20"/>
              </w:rPr>
              <w:t>peripheral arterial disease OR</w:t>
            </w:r>
          </w:p>
          <w:p w14:paraId="1FB5E71F" w14:textId="77777777" w:rsidR="00485300" w:rsidRPr="00485300" w:rsidRDefault="00485300" w:rsidP="004449E9">
            <w:pPr>
              <w:rPr>
                <w:rFonts w:asciiTheme="minorBidi" w:hAnsiTheme="minorBidi" w:cstheme="minorBidi"/>
                <w:color w:val="000000" w:themeColor="text1"/>
                <w:sz w:val="20"/>
                <w:szCs w:val="20"/>
              </w:rPr>
            </w:pPr>
            <w:r w:rsidRPr="00485300">
              <w:rPr>
                <w:rFonts w:asciiTheme="minorBidi" w:hAnsiTheme="minorBidi" w:cstheme="minorBidi"/>
                <w:color w:val="000000" w:themeColor="text1"/>
                <w:sz w:val="20"/>
                <w:szCs w:val="20"/>
              </w:rPr>
              <w:t>(hypertension OR blood pressure) OR (cholesterol AND HDL) OR</w:t>
            </w:r>
          </w:p>
          <w:p w14:paraId="20705D84" w14:textId="77777777" w:rsidR="00485300" w:rsidRPr="00485300" w:rsidRDefault="00485300" w:rsidP="004449E9">
            <w:pPr>
              <w:rPr>
                <w:rFonts w:asciiTheme="minorBidi" w:hAnsiTheme="minorBidi" w:cstheme="minorBidi"/>
                <w:color w:val="000000" w:themeColor="text1"/>
                <w:sz w:val="20"/>
                <w:szCs w:val="20"/>
              </w:rPr>
            </w:pPr>
            <w:r w:rsidRPr="00485300">
              <w:rPr>
                <w:rFonts w:asciiTheme="minorBidi" w:hAnsiTheme="minorBidi" w:cstheme="minorBidi"/>
                <w:color w:val="000000" w:themeColor="text1"/>
                <w:sz w:val="20"/>
                <w:szCs w:val="20"/>
              </w:rPr>
              <w:t>(cholesterol AND LDL)</w:t>
            </w:r>
          </w:p>
          <w:p w14:paraId="11C04ED9" w14:textId="77777777" w:rsidR="00485300" w:rsidRPr="00485300" w:rsidRDefault="00485300" w:rsidP="004449E9">
            <w:pPr>
              <w:rPr>
                <w:rFonts w:asciiTheme="minorBidi" w:hAnsiTheme="minorBidi" w:cstheme="minorBidi"/>
                <w:color w:val="000000" w:themeColor="text1"/>
                <w:sz w:val="20"/>
                <w:szCs w:val="20"/>
              </w:rPr>
            </w:pPr>
          </w:p>
        </w:tc>
      </w:tr>
      <w:tr w:rsidR="00485300" w:rsidRPr="00485300" w14:paraId="3A56A0BE" w14:textId="77777777" w:rsidTr="001862AC">
        <w:tc>
          <w:tcPr>
            <w:tcW w:w="4697" w:type="dxa"/>
          </w:tcPr>
          <w:p w14:paraId="4C9CFC0B" w14:textId="77777777" w:rsidR="00485300" w:rsidRPr="00485300" w:rsidRDefault="00485300" w:rsidP="004449E9">
            <w:pPr>
              <w:rPr>
                <w:rFonts w:asciiTheme="minorBidi" w:hAnsiTheme="minorBidi" w:cstheme="minorBidi"/>
                <w:color w:val="000000" w:themeColor="text1"/>
                <w:sz w:val="20"/>
                <w:szCs w:val="20"/>
              </w:rPr>
            </w:pPr>
            <w:r w:rsidRPr="00485300">
              <w:rPr>
                <w:rFonts w:asciiTheme="minorBidi" w:hAnsiTheme="minorBidi" w:cstheme="minorBidi"/>
                <w:color w:val="000000" w:themeColor="text1"/>
                <w:sz w:val="20"/>
                <w:szCs w:val="20"/>
              </w:rPr>
              <w:t>Restrictions</w:t>
            </w:r>
          </w:p>
        </w:tc>
        <w:tc>
          <w:tcPr>
            <w:tcW w:w="832" w:type="dxa"/>
          </w:tcPr>
          <w:p w14:paraId="3D7E0DEF" w14:textId="77777777" w:rsidR="00485300" w:rsidRPr="00485300" w:rsidRDefault="00485300" w:rsidP="004449E9">
            <w:pPr>
              <w:rPr>
                <w:rFonts w:asciiTheme="minorBidi" w:hAnsiTheme="minorBidi" w:cstheme="minorBidi"/>
                <w:color w:val="000000" w:themeColor="text1"/>
                <w:sz w:val="20"/>
                <w:szCs w:val="20"/>
              </w:rPr>
            </w:pPr>
            <w:r w:rsidRPr="00485300">
              <w:rPr>
                <w:rFonts w:asciiTheme="minorBidi" w:hAnsiTheme="minorBidi" w:cstheme="minorBidi"/>
                <w:color w:val="000000" w:themeColor="text1"/>
                <w:sz w:val="20"/>
                <w:szCs w:val="20"/>
              </w:rPr>
              <w:t>AND</w:t>
            </w:r>
          </w:p>
        </w:tc>
        <w:tc>
          <w:tcPr>
            <w:tcW w:w="4536" w:type="dxa"/>
          </w:tcPr>
          <w:p w14:paraId="27E95ECB" w14:textId="77777777" w:rsidR="00485300" w:rsidRPr="00485300" w:rsidRDefault="00485300" w:rsidP="004449E9">
            <w:pPr>
              <w:rPr>
                <w:rFonts w:asciiTheme="minorBidi" w:hAnsiTheme="minorBidi" w:cstheme="minorBidi"/>
                <w:color w:val="000000" w:themeColor="text1"/>
                <w:sz w:val="20"/>
                <w:szCs w:val="20"/>
              </w:rPr>
            </w:pPr>
            <w:r w:rsidRPr="00485300">
              <w:rPr>
                <w:rFonts w:asciiTheme="minorBidi" w:hAnsiTheme="minorBidi" w:cstheme="minorBidi"/>
                <w:color w:val="000000" w:themeColor="text1"/>
                <w:sz w:val="20"/>
                <w:szCs w:val="20"/>
              </w:rPr>
              <w:t>"humans"</w:t>
            </w:r>
          </w:p>
          <w:p w14:paraId="3EE66AD6" w14:textId="77777777" w:rsidR="00485300" w:rsidRPr="00485300" w:rsidRDefault="00485300" w:rsidP="004449E9">
            <w:pPr>
              <w:rPr>
                <w:rFonts w:asciiTheme="minorBidi" w:hAnsiTheme="minorBidi" w:cstheme="minorBidi"/>
                <w:color w:val="000000" w:themeColor="text1"/>
                <w:sz w:val="20"/>
                <w:szCs w:val="20"/>
              </w:rPr>
            </w:pPr>
            <w:r w:rsidRPr="00485300">
              <w:rPr>
                <w:rFonts w:asciiTheme="minorBidi" w:hAnsiTheme="minorBidi" w:cstheme="minorBidi"/>
                <w:color w:val="000000" w:themeColor="text1"/>
                <w:sz w:val="20"/>
                <w:szCs w:val="20"/>
              </w:rPr>
              <w:t>"adult" (19+ years)</w:t>
            </w:r>
          </w:p>
          <w:p w14:paraId="289D6C76" w14:textId="77777777" w:rsidR="00485300" w:rsidRPr="00485300" w:rsidRDefault="00485300" w:rsidP="004449E9">
            <w:pPr>
              <w:rPr>
                <w:rFonts w:asciiTheme="minorBidi" w:hAnsiTheme="minorBidi" w:cstheme="minorBidi"/>
                <w:color w:val="000000" w:themeColor="text1"/>
                <w:sz w:val="20"/>
                <w:szCs w:val="20"/>
              </w:rPr>
            </w:pPr>
          </w:p>
        </w:tc>
      </w:tr>
      <w:tr w:rsidR="00485300" w:rsidRPr="00485300" w14:paraId="25DBE85A" w14:textId="77777777" w:rsidTr="001862AC">
        <w:tc>
          <w:tcPr>
            <w:tcW w:w="4697" w:type="dxa"/>
          </w:tcPr>
          <w:p w14:paraId="28616381" w14:textId="77777777" w:rsidR="00485300" w:rsidRPr="00485300" w:rsidRDefault="00485300" w:rsidP="004449E9">
            <w:pPr>
              <w:rPr>
                <w:rFonts w:asciiTheme="minorBidi" w:hAnsiTheme="minorBidi" w:cstheme="minorBidi"/>
                <w:color w:val="000000" w:themeColor="text1"/>
                <w:sz w:val="20"/>
                <w:szCs w:val="20"/>
              </w:rPr>
            </w:pPr>
            <w:r w:rsidRPr="00485300">
              <w:rPr>
                <w:rFonts w:asciiTheme="minorBidi" w:hAnsiTheme="minorBidi" w:cstheme="minorBidi"/>
                <w:color w:val="000000" w:themeColor="text1"/>
                <w:sz w:val="20"/>
                <w:szCs w:val="20"/>
              </w:rPr>
              <w:t>Filter: Language</w:t>
            </w:r>
          </w:p>
        </w:tc>
        <w:tc>
          <w:tcPr>
            <w:tcW w:w="832" w:type="dxa"/>
          </w:tcPr>
          <w:p w14:paraId="3B331478" w14:textId="77777777" w:rsidR="00485300" w:rsidRPr="00485300" w:rsidRDefault="00485300" w:rsidP="004449E9">
            <w:pPr>
              <w:rPr>
                <w:rFonts w:asciiTheme="minorBidi" w:hAnsiTheme="minorBidi" w:cstheme="minorBidi"/>
                <w:color w:val="000000" w:themeColor="text1"/>
                <w:sz w:val="20"/>
                <w:szCs w:val="20"/>
              </w:rPr>
            </w:pPr>
            <w:r w:rsidRPr="00485300">
              <w:rPr>
                <w:rFonts w:asciiTheme="minorBidi" w:hAnsiTheme="minorBidi" w:cstheme="minorBidi"/>
                <w:color w:val="000000" w:themeColor="text1"/>
                <w:sz w:val="20"/>
                <w:szCs w:val="20"/>
              </w:rPr>
              <w:t>AND</w:t>
            </w:r>
          </w:p>
        </w:tc>
        <w:tc>
          <w:tcPr>
            <w:tcW w:w="4536" w:type="dxa"/>
          </w:tcPr>
          <w:p w14:paraId="31A519CF" w14:textId="77777777" w:rsidR="00485300" w:rsidRPr="00485300" w:rsidRDefault="00485300" w:rsidP="004449E9">
            <w:pPr>
              <w:rPr>
                <w:rFonts w:asciiTheme="minorBidi" w:hAnsiTheme="minorBidi" w:cstheme="minorBidi"/>
                <w:color w:val="000000" w:themeColor="text1"/>
                <w:sz w:val="20"/>
                <w:szCs w:val="20"/>
              </w:rPr>
            </w:pPr>
            <w:r w:rsidRPr="00485300">
              <w:rPr>
                <w:rFonts w:asciiTheme="minorBidi" w:hAnsiTheme="minorBidi" w:cstheme="minorBidi"/>
                <w:color w:val="000000" w:themeColor="text1"/>
                <w:sz w:val="20"/>
                <w:szCs w:val="20"/>
              </w:rPr>
              <w:t>English language</w:t>
            </w:r>
          </w:p>
        </w:tc>
      </w:tr>
      <w:tr w:rsidR="00485300" w:rsidRPr="00485300" w14:paraId="74535ECB" w14:textId="77777777" w:rsidTr="001862AC">
        <w:tc>
          <w:tcPr>
            <w:tcW w:w="4697" w:type="dxa"/>
          </w:tcPr>
          <w:p w14:paraId="006D897C" w14:textId="77777777" w:rsidR="00485300" w:rsidRPr="00485300" w:rsidRDefault="00485300" w:rsidP="004449E9">
            <w:pPr>
              <w:rPr>
                <w:rFonts w:asciiTheme="minorBidi" w:hAnsiTheme="minorBidi" w:cstheme="minorBidi"/>
                <w:color w:val="000000" w:themeColor="text1"/>
                <w:sz w:val="20"/>
                <w:szCs w:val="20"/>
              </w:rPr>
            </w:pPr>
            <w:r w:rsidRPr="00485300">
              <w:rPr>
                <w:rFonts w:asciiTheme="minorBidi" w:hAnsiTheme="minorBidi" w:cstheme="minorBidi"/>
                <w:color w:val="000000" w:themeColor="text1"/>
                <w:sz w:val="20"/>
                <w:szCs w:val="20"/>
              </w:rPr>
              <w:t>Filter: Date</w:t>
            </w:r>
          </w:p>
        </w:tc>
        <w:tc>
          <w:tcPr>
            <w:tcW w:w="832" w:type="dxa"/>
          </w:tcPr>
          <w:p w14:paraId="054003C9" w14:textId="77777777" w:rsidR="00485300" w:rsidRPr="00485300" w:rsidRDefault="00485300" w:rsidP="004449E9">
            <w:pPr>
              <w:rPr>
                <w:rFonts w:asciiTheme="minorBidi" w:hAnsiTheme="minorBidi" w:cstheme="minorBidi"/>
                <w:color w:val="000000" w:themeColor="text1"/>
                <w:sz w:val="20"/>
                <w:szCs w:val="20"/>
              </w:rPr>
            </w:pPr>
            <w:r w:rsidRPr="00485300">
              <w:rPr>
                <w:rFonts w:asciiTheme="minorBidi" w:hAnsiTheme="minorBidi" w:cstheme="minorBidi"/>
                <w:color w:val="000000" w:themeColor="text1"/>
                <w:sz w:val="20"/>
                <w:szCs w:val="20"/>
              </w:rPr>
              <w:t>AND</w:t>
            </w:r>
          </w:p>
        </w:tc>
        <w:tc>
          <w:tcPr>
            <w:tcW w:w="4536" w:type="dxa"/>
          </w:tcPr>
          <w:p w14:paraId="03DDF02B" w14:textId="4A15B39C" w:rsidR="00485300" w:rsidRPr="00485300" w:rsidRDefault="00485300" w:rsidP="004449E9">
            <w:pPr>
              <w:rPr>
                <w:rFonts w:asciiTheme="minorBidi" w:hAnsiTheme="minorBidi" w:cstheme="minorBidi"/>
                <w:color w:val="000000" w:themeColor="text1"/>
                <w:sz w:val="20"/>
                <w:szCs w:val="20"/>
              </w:rPr>
            </w:pPr>
            <w:r w:rsidRPr="00485300">
              <w:rPr>
                <w:rFonts w:asciiTheme="minorBidi" w:hAnsiTheme="minorBidi" w:cstheme="minorBidi"/>
                <w:color w:val="000000" w:themeColor="text1"/>
                <w:sz w:val="20"/>
                <w:szCs w:val="20"/>
              </w:rPr>
              <w:t>1</w:t>
            </w:r>
            <w:r w:rsidRPr="00485300">
              <w:rPr>
                <w:rFonts w:asciiTheme="minorBidi" w:hAnsiTheme="minorBidi" w:cstheme="minorBidi"/>
                <w:color w:val="000000" w:themeColor="text1"/>
                <w:sz w:val="20"/>
                <w:szCs w:val="20"/>
                <w:vertAlign w:val="superscript"/>
              </w:rPr>
              <w:t>st</w:t>
            </w:r>
            <w:r w:rsidRPr="00485300">
              <w:rPr>
                <w:rFonts w:asciiTheme="minorBidi" w:hAnsiTheme="minorBidi" w:cstheme="minorBidi"/>
                <w:color w:val="000000" w:themeColor="text1"/>
                <w:sz w:val="20"/>
                <w:szCs w:val="20"/>
              </w:rPr>
              <w:t xml:space="preserve"> Jan 20</w:t>
            </w:r>
            <w:r>
              <w:rPr>
                <w:rFonts w:asciiTheme="minorBidi" w:hAnsiTheme="minorBidi" w:cstheme="minorBidi"/>
                <w:color w:val="000000" w:themeColor="text1"/>
                <w:sz w:val="20"/>
                <w:szCs w:val="20"/>
              </w:rPr>
              <w:t>15</w:t>
            </w:r>
            <w:r w:rsidRPr="00485300">
              <w:rPr>
                <w:rFonts w:asciiTheme="minorBidi" w:hAnsiTheme="minorBidi" w:cstheme="minorBidi"/>
                <w:color w:val="000000" w:themeColor="text1"/>
                <w:sz w:val="20"/>
                <w:szCs w:val="20"/>
              </w:rPr>
              <w:t xml:space="preserve"> to 31</w:t>
            </w:r>
            <w:r w:rsidRPr="00485300">
              <w:rPr>
                <w:rFonts w:asciiTheme="minorBidi" w:hAnsiTheme="minorBidi" w:cstheme="minorBidi"/>
                <w:color w:val="000000" w:themeColor="text1"/>
                <w:sz w:val="20"/>
                <w:szCs w:val="20"/>
                <w:vertAlign w:val="superscript"/>
              </w:rPr>
              <w:t>st</w:t>
            </w:r>
            <w:r w:rsidRPr="00485300">
              <w:rPr>
                <w:rFonts w:asciiTheme="minorBidi" w:hAnsiTheme="minorBidi" w:cstheme="minorBidi"/>
                <w:color w:val="000000" w:themeColor="text1"/>
                <w:sz w:val="20"/>
                <w:szCs w:val="20"/>
              </w:rPr>
              <w:t xml:space="preserve"> October 2018</w:t>
            </w:r>
          </w:p>
        </w:tc>
      </w:tr>
    </w:tbl>
    <w:p w14:paraId="6D76FCCD" w14:textId="61EEF5D7" w:rsidR="00485300" w:rsidRPr="001862AC" w:rsidRDefault="00485300" w:rsidP="001862AC">
      <w:pPr>
        <w:ind w:left="142" w:right="3179"/>
        <w:rPr>
          <w:rFonts w:ascii="Arial" w:hAnsi="Arial" w:cs="Arial"/>
          <w:color w:val="000000" w:themeColor="text1"/>
          <w:sz w:val="20"/>
          <w:szCs w:val="20"/>
          <w:shd w:val="clear" w:color="auto" w:fill="FFFFFF"/>
        </w:rPr>
      </w:pPr>
      <w:r w:rsidRPr="001862AC">
        <w:rPr>
          <w:rFonts w:ascii="Arial" w:hAnsi="Arial" w:cs="Arial"/>
          <w:color w:val="000000" w:themeColor="text1"/>
          <w:sz w:val="20"/>
          <w:szCs w:val="20"/>
          <w:shd w:val="clear" w:color="auto" w:fill="FFFFFF"/>
        </w:rPr>
        <w:t>Two authors (GA and RG) independently extracted data using a standard form and resolved differences by discussion with the third author (QC). Recorded data included characteristics of the study, design (</w:t>
      </w:r>
      <w:r w:rsidR="005A60A5" w:rsidRPr="001862AC">
        <w:rPr>
          <w:rFonts w:ascii="Arial" w:hAnsi="Arial" w:cs="Arial"/>
          <w:color w:val="000000" w:themeColor="text1"/>
          <w:sz w:val="20"/>
          <w:szCs w:val="20"/>
          <w:shd w:val="clear" w:color="auto" w:fill="FFFFFF"/>
        </w:rPr>
        <w:t>cross-sec / cohort</w:t>
      </w:r>
      <w:r w:rsidRPr="001862AC">
        <w:rPr>
          <w:rFonts w:ascii="Arial" w:hAnsi="Arial" w:cs="Arial"/>
          <w:color w:val="000000" w:themeColor="text1"/>
          <w:sz w:val="20"/>
          <w:szCs w:val="20"/>
          <w:shd w:val="clear" w:color="auto" w:fill="FFFFFF"/>
        </w:rPr>
        <w:t xml:space="preserve">), </w:t>
      </w:r>
      <w:r w:rsidR="000A7019" w:rsidRPr="001862AC">
        <w:rPr>
          <w:rFonts w:ascii="Arial" w:hAnsi="Arial" w:cs="Arial"/>
          <w:color w:val="000000" w:themeColor="text1"/>
          <w:sz w:val="20"/>
          <w:szCs w:val="20"/>
          <w:shd w:val="clear" w:color="auto" w:fill="FFFFFF"/>
        </w:rPr>
        <w:t>years follow-up if applicable</w:t>
      </w:r>
      <w:r w:rsidRPr="001862AC">
        <w:rPr>
          <w:rFonts w:ascii="Arial" w:hAnsi="Arial" w:cs="Arial"/>
          <w:color w:val="000000" w:themeColor="text1"/>
          <w:sz w:val="20"/>
          <w:szCs w:val="20"/>
          <w:shd w:val="clear" w:color="auto" w:fill="FFFFFF"/>
        </w:rPr>
        <w:t xml:space="preserve">, and results </w:t>
      </w:r>
    </w:p>
    <w:p w14:paraId="08A0671B" w14:textId="27B9624F" w:rsidR="00485300" w:rsidRDefault="00485300" w:rsidP="00B20E43">
      <w:pPr>
        <w:pStyle w:val="Caption"/>
        <w:keepNext/>
        <w:ind w:left="90"/>
        <w:rPr>
          <w:rFonts w:asciiTheme="minorBidi" w:hAnsiTheme="minorBidi" w:cstheme="minorBidi"/>
          <w:b/>
          <w:bCs/>
          <w:i w:val="0"/>
          <w:iCs w:val="0"/>
          <w:color w:val="000000" w:themeColor="text1"/>
          <w:sz w:val="24"/>
          <w:szCs w:val="24"/>
        </w:rPr>
      </w:pPr>
    </w:p>
    <w:p w14:paraId="0DFD484B" w14:textId="48CB25AF" w:rsidR="00485300" w:rsidRDefault="00485300" w:rsidP="00485300"/>
    <w:p w14:paraId="34718C82" w14:textId="3CBAA08A" w:rsidR="00485300" w:rsidRDefault="00485300" w:rsidP="00485300"/>
    <w:p w14:paraId="5EAD9D68" w14:textId="457C7F5D" w:rsidR="005A60A5" w:rsidRDefault="005A60A5" w:rsidP="00485300"/>
    <w:p w14:paraId="542EF1CB" w14:textId="77777777" w:rsidR="005A60A5" w:rsidRDefault="005A60A5" w:rsidP="00485300"/>
    <w:p w14:paraId="3482724B" w14:textId="77777777" w:rsidR="00485300" w:rsidRPr="00485300" w:rsidRDefault="00485300" w:rsidP="00485300"/>
    <w:p w14:paraId="4E543250" w14:textId="2B79EA70" w:rsidR="00E52B8A" w:rsidRPr="005F4695" w:rsidRDefault="00440ED2" w:rsidP="005A60A5">
      <w:pPr>
        <w:pStyle w:val="Caption"/>
        <w:keepNext/>
        <w:ind w:left="90" w:right="202"/>
        <w:rPr>
          <w:rFonts w:asciiTheme="minorBidi" w:hAnsiTheme="minorBidi" w:cstheme="minorBidi"/>
          <w:b/>
          <w:bCs/>
          <w:i w:val="0"/>
          <w:iCs w:val="0"/>
          <w:color w:val="000000" w:themeColor="text1"/>
          <w:sz w:val="24"/>
          <w:szCs w:val="24"/>
        </w:rPr>
      </w:pPr>
      <w:r w:rsidRPr="00440ED2">
        <w:rPr>
          <w:rFonts w:asciiTheme="minorBidi" w:hAnsiTheme="minorBidi" w:cstheme="minorBidi"/>
          <w:b/>
          <w:bCs/>
          <w:i w:val="0"/>
          <w:iCs w:val="0"/>
          <w:color w:val="000000" w:themeColor="text1"/>
          <w:sz w:val="24"/>
          <w:szCs w:val="24"/>
        </w:rPr>
        <w:lastRenderedPageBreak/>
        <w:t xml:space="preserve">Supplemental Table </w:t>
      </w:r>
      <w:r w:rsidR="00485300">
        <w:rPr>
          <w:rFonts w:asciiTheme="minorBidi" w:hAnsiTheme="minorBidi" w:cstheme="minorBidi"/>
          <w:b/>
          <w:bCs/>
          <w:i w:val="0"/>
          <w:iCs w:val="0"/>
          <w:color w:val="000000" w:themeColor="text1"/>
          <w:sz w:val="24"/>
          <w:szCs w:val="24"/>
        </w:rPr>
        <w:t>2</w:t>
      </w:r>
      <w:r w:rsidR="00E52B8A" w:rsidRPr="00440ED2">
        <w:rPr>
          <w:rFonts w:asciiTheme="minorBidi" w:hAnsiTheme="minorBidi" w:cstheme="minorBidi"/>
          <w:b/>
          <w:bCs/>
          <w:i w:val="0"/>
          <w:iCs w:val="0"/>
          <w:color w:val="000000" w:themeColor="text1"/>
          <w:sz w:val="24"/>
          <w:szCs w:val="24"/>
        </w:rPr>
        <w:t>.</w:t>
      </w:r>
      <w:r w:rsidR="00E52B8A" w:rsidRPr="005F4695">
        <w:rPr>
          <w:rFonts w:asciiTheme="minorBidi" w:hAnsiTheme="minorBidi" w:cstheme="minorBidi"/>
          <w:b/>
          <w:bCs/>
          <w:i w:val="0"/>
          <w:iCs w:val="0"/>
          <w:color w:val="000000" w:themeColor="text1"/>
          <w:sz w:val="24"/>
          <w:szCs w:val="24"/>
        </w:rPr>
        <w:t xml:space="preserve"> </w:t>
      </w:r>
      <w:r w:rsidR="00E52B8A" w:rsidRPr="005F4695">
        <w:rPr>
          <w:rFonts w:asciiTheme="minorBidi" w:hAnsiTheme="minorBidi" w:cstheme="minorBidi"/>
          <w:i w:val="0"/>
          <w:iCs w:val="0"/>
          <w:color w:val="000000" w:themeColor="text1"/>
          <w:sz w:val="24"/>
          <w:szCs w:val="24"/>
        </w:rPr>
        <w:t>Summary of characteristics of observational studies investigating the relation between CVD and CVD risk factors and dietary scores</w:t>
      </w:r>
    </w:p>
    <w:tbl>
      <w:tblPr>
        <w:tblStyle w:val="TableGrid"/>
        <w:tblW w:w="12671" w:type="dxa"/>
        <w:tblBorders>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55"/>
        <w:gridCol w:w="1417"/>
        <w:gridCol w:w="1276"/>
        <w:gridCol w:w="1559"/>
        <w:gridCol w:w="1559"/>
        <w:gridCol w:w="5305"/>
      </w:tblGrid>
      <w:tr w:rsidR="001765A4" w:rsidRPr="005F4695" w14:paraId="6B76E26A" w14:textId="6EBA08BF" w:rsidTr="00E25237">
        <w:trPr>
          <w:trHeight w:val="756"/>
        </w:trPr>
        <w:tc>
          <w:tcPr>
            <w:tcW w:w="1555" w:type="dxa"/>
            <w:tcBorders>
              <w:top w:val="single" w:sz="4" w:space="0" w:color="auto"/>
              <w:bottom w:val="single" w:sz="4" w:space="0" w:color="auto"/>
            </w:tcBorders>
          </w:tcPr>
          <w:p w14:paraId="0F1B17AF" w14:textId="1AF79C14" w:rsidR="00F554E8" w:rsidRPr="005F4695" w:rsidRDefault="00AD11E4" w:rsidP="00E25237">
            <w:pPr>
              <w:rPr>
                <w:rFonts w:asciiTheme="minorBidi" w:hAnsiTheme="minorBidi" w:cstheme="minorBidi"/>
                <w:b/>
                <w:bCs/>
                <w:color w:val="000000" w:themeColor="text1"/>
                <w:sz w:val="20"/>
                <w:szCs w:val="20"/>
              </w:rPr>
            </w:pPr>
            <w:r w:rsidRPr="005F4695">
              <w:rPr>
                <w:rFonts w:asciiTheme="minorBidi" w:hAnsiTheme="minorBidi" w:cstheme="minorBidi"/>
                <w:b/>
                <w:bCs/>
                <w:color w:val="000000" w:themeColor="text1"/>
                <w:sz w:val="20"/>
                <w:szCs w:val="20"/>
              </w:rPr>
              <w:t>R</w:t>
            </w:r>
            <w:r w:rsidR="00F554E8" w:rsidRPr="005F4695">
              <w:rPr>
                <w:rFonts w:asciiTheme="minorBidi" w:hAnsiTheme="minorBidi" w:cstheme="minorBidi"/>
                <w:b/>
                <w:bCs/>
                <w:color w:val="000000" w:themeColor="text1"/>
                <w:sz w:val="20"/>
                <w:szCs w:val="20"/>
              </w:rPr>
              <w:t>eference</w:t>
            </w:r>
          </w:p>
        </w:tc>
        <w:tc>
          <w:tcPr>
            <w:tcW w:w="1417" w:type="dxa"/>
            <w:tcBorders>
              <w:top w:val="single" w:sz="4" w:space="0" w:color="auto"/>
              <w:bottom w:val="single" w:sz="4" w:space="0" w:color="auto"/>
            </w:tcBorders>
          </w:tcPr>
          <w:p w14:paraId="1D684847" w14:textId="77777777" w:rsidR="00F554E8" w:rsidRPr="005F4695" w:rsidRDefault="00F554E8" w:rsidP="00E25237">
            <w:pPr>
              <w:rPr>
                <w:rFonts w:asciiTheme="minorBidi" w:hAnsiTheme="minorBidi" w:cstheme="minorBidi"/>
                <w:b/>
                <w:bCs/>
                <w:color w:val="000000" w:themeColor="text1"/>
                <w:sz w:val="20"/>
                <w:szCs w:val="20"/>
              </w:rPr>
            </w:pPr>
            <w:r w:rsidRPr="005F4695">
              <w:rPr>
                <w:rFonts w:asciiTheme="minorBidi" w:hAnsiTheme="minorBidi" w:cstheme="minorBidi"/>
                <w:b/>
                <w:bCs/>
                <w:color w:val="000000" w:themeColor="text1"/>
                <w:sz w:val="20"/>
                <w:szCs w:val="20"/>
              </w:rPr>
              <w:t>Country</w:t>
            </w:r>
          </w:p>
        </w:tc>
        <w:tc>
          <w:tcPr>
            <w:tcW w:w="1276" w:type="dxa"/>
            <w:tcBorders>
              <w:top w:val="single" w:sz="4" w:space="0" w:color="auto"/>
              <w:bottom w:val="single" w:sz="4" w:space="0" w:color="auto"/>
            </w:tcBorders>
          </w:tcPr>
          <w:p w14:paraId="44A98C02" w14:textId="68CFD9F8" w:rsidR="00F554E8" w:rsidRPr="005F4695" w:rsidRDefault="00F554E8" w:rsidP="00E25237">
            <w:pPr>
              <w:rPr>
                <w:rFonts w:asciiTheme="minorBidi" w:hAnsiTheme="minorBidi" w:cstheme="minorBidi"/>
                <w:b/>
                <w:bCs/>
                <w:color w:val="000000" w:themeColor="text1"/>
                <w:sz w:val="20"/>
                <w:szCs w:val="20"/>
              </w:rPr>
            </w:pPr>
            <w:r w:rsidRPr="005F4695">
              <w:rPr>
                <w:rFonts w:asciiTheme="minorBidi" w:hAnsiTheme="minorBidi" w:cstheme="minorBidi"/>
                <w:b/>
                <w:bCs/>
                <w:color w:val="000000" w:themeColor="text1"/>
                <w:sz w:val="20"/>
                <w:szCs w:val="20"/>
              </w:rPr>
              <w:t>Sample size, population (age</w:t>
            </w:r>
            <w:r w:rsidR="005C4B99" w:rsidRPr="005F4695">
              <w:rPr>
                <w:rFonts w:asciiTheme="minorBidi" w:hAnsiTheme="minorBidi" w:cstheme="minorBidi"/>
                <w:b/>
                <w:bCs/>
                <w:color w:val="000000" w:themeColor="text1"/>
                <w:sz w:val="20"/>
                <w:szCs w:val="20"/>
              </w:rPr>
              <w:t xml:space="preserve"> y</w:t>
            </w:r>
            <w:r w:rsidRPr="005F4695">
              <w:rPr>
                <w:rFonts w:asciiTheme="minorBidi" w:hAnsiTheme="minorBidi" w:cstheme="minorBidi"/>
                <w:b/>
                <w:bCs/>
                <w:color w:val="000000" w:themeColor="text1"/>
                <w:sz w:val="20"/>
                <w:szCs w:val="20"/>
              </w:rPr>
              <w:t>)</w:t>
            </w:r>
          </w:p>
        </w:tc>
        <w:tc>
          <w:tcPr>
            <w:tcW w:w="1559" w:type="dxa"/>
            <w:tcBorders>
              <w:top w:val="single" w:sz="4" w:space="0" w:color="auto"/>
              <w:bottom w:val="single" w:sz="4" w:space="0" w:color="auto"/>
            </w:tcBorders>
          </w:tcPr>
          <w:p w14:paraId="376CF5C1" w14:textId="77777777" w:rsidR="00F554E8" w:rsidRPr="005F4695" w:rsidRDefault="00F554E8" w:rsidP="00E25237">
            <w:pPr>
              <w:rPr>
                <w:rFonts w:asciiTheme="minorBidi" w:hAnsiTheme="minorBidi" w:cstheme="minorBidi"/>
                <w:b/>
                <w:bCs/>
                <w:color w:val="000000" w:themeColor="text1"/>
                <w:sz w:val="20"/>
                <w:szCs w:val="20"/>
              </w:rPr>
            </w:pPr>
            <w:r w:rsidRPr="005F4695">
              <w:rPr>
                <w:rFonts w:asciiTheme="minorBidi" w:hAnsiTheme="minorBidi" w:cstheme="minorBidi"/>
                <w:b/>
                <w:bCs/>
                <w:color w:val="000000" w:themeColor="text1"/>
                <w:sz w:val="20"/>
                <w:szCs w:val="20"/>
              </w:rPr>
              <w:t>Dietary data collection method</w:t>
            </w:r>
          </w:p>
        </w:tc>
        <w:tc>
          <w:tcPr>
            <w:tcW w:w="1559" w:type="dxa"/>
            <w:tcBorders>
              <w:top w:val="single" w:sz="4" w:space="0" w:color="auto"/>
              <w:bottom w:val="single" w:sz="4" w:space="0" w:color="auto"/>
            </w:tcBorders>
          </w:tcPr>
          <w:p w14:paraId="6A1CBC76" w14:textId="77777777" w:rsidR="00F554E8" w:rsidRPr="005F4695" w:rsidRDefault="00F554E8" w:rsidP="00E25237">
            <w:pPr>
              <w:rPr>
                <w:rFonts w:asciiTheme="minorBidi" w:hAnsiTheme="minorBidi" w:cstheme="minorBidi"/>
                <w:b/>
                <w:bCs/>
                <w:color w:val="000000" w:themeColor="text1"/>
                <w:sz w:val="20"/>
                <w:szCs w:val="20"/>
              </w:rPr>
            </w:pPr>
            <w:r w:rsidRPr="005F4695">
              <w:rPr>
                <w:rFonts w:asciiTheme="minorBidi" w:hAnsiTheme="minorBidi" w:cstheme="minorBidi"/>
                <w:b/>
                <w:bCs/>
                <w:color w:val="000000" w:themeColor="text1"/>
                <w:sz w:val="20"/>
                <w:szCs w:val="20"/>
              </w:rPr>
              <w:t>Dietary score</w:t>
            </w:r>
          </w:p>
        </w:tc>
        <w:tc>
          <w:tcPr>
            <w:tcW w:w="5305" w:type="dxa"/>
            <w:tcBorders>
              <w:top w:val="single" w:sz="4" w:space="0" w:color="auto"/>
              <w:bottom w:val="single" w:sz="4" w:space="0" w:color="auto"/>
            </w:tcBorders>
          </w:tcPr>
          <w:p w14:paraId="71EE735B" w14:textId="7D11D447" w:rsidR="00F554E8" w:rsidRPr="005F4695" w:rsidRDefault="00F554E8" w:rsidP="00E25237">
            <w:pPr>
              <w:ind w:right="-116"/>
              <w:rPr>
                <w:rFonts w:asciiTheme="minorBidi" w:hAnsiTheme="minorBidi" w:cstheme="minorBidi"/>
                <w:b/>
                <w:bCs/>
                <w:color w:val="000000" w:themeColor="text1"/>
                <w:sz w:val="20"/>
                <w:szCs w:val="20"/>
              </w:rPr>
            </w:pPr>
            <w:r w:rsidRPr="005F4695">
              <w:rPr>
                <w:rFonts w:asciiTheme="minorBidi" w:hAnsiTheme="minorBidi" w:cstheme="minorBidi"/>
                <w:b/>
                <w:bCs/>
                <w:color w:val="000000" w:themeColor="text1"/>
                <w:sz w:val="20"/>
                <w:szCs w:val="20"/>
              </w:rPr>
              <w:t>Number of components (components), scale, score calculation</w:t>
            </w:r>
          </w:p>
        </w:tc>
      </w:tr>
      <w:tr w:rsidR="001765A4" w:rsidRPr="005F4695" w14:paraId="7651748D" w14:textId="77777777" w:rsidTr="00B20E43">
        <w:trPr>
          <w:trHeight w:val="388"/>
        </w:trPr>
        <w:tc>
          <w:tcPr>
            <w:tcW w:w="1555" w:type="dxa"/>
            <w:tcBorders>
              <w:top w:val="single" w:sz="4" w:space="0" w:color="auto"/>
            </w:tcBorders>
          </w:tcPr>
          <w:p w14:paraId="03131D6E" w14:textId="77531FE4" w:rsidR="009D19A6" w:rsidRPr="005F4695" w:rsidRDefault="00AD11E4" w:rsidP="00B20E43">
            <w:pPr>
              <w:rPr>
                <w:rFonts w:asciiTheme="minorBidi" w:hAnsiTheme="minorBidi" w:cstheme="minorBidi"/>
                <w:b/>
                <w:bCs/>
                <w:color w:val="000000" w:themeColor="text1"/>
                <w:sz w:val="20"/>
                <w:szCs w:val="20"/>
                <w:lang w:val="en-GB" w:eastAsia="en-GB"/>
              </w:rPr>
            </w:pPr>
            <w:r w:rsidRPr="005F4695">
              <w:rPr>
                <w:rFonts w:asciiTheme="minorBidi" w:hAnsiTheme="minorBidi" w:cstheme="minorBidi"/>
                <w:b/>
                <w:bCs/>
                <w:color w:val="000000" w:themeColor="text1"/>
                <w:sz w:val="20"/>
                <w:szCs w:val="20"/>
                <w:lang w:val="en-GB" w:eastAsia="en-GB"/>
              </w:rPr>
              <w:t>USA</w:t>
            </w:r>
          </w:p>
        </w:tc>
        <w:tc>
          <w:tcPr>
            <w:tcW w:w="1417" w:type="dxa"/>
            <w:tcBorders>
              <w:top w:val="single" w:sz="4" w:space="0" w:color="auto"/>
            </w:tcBorders>
          </w:tcPr>
          <w:p w14:paraId="0F5CB3F2" w14:textId="77777777" w:rsidR="009D19A6" w:rsidRPr="005F4695" w:rsidRDefault="009D19A6" w:rsidP="00B20E43">
            <w:pPr>
              <w:rPr>
                <w:rFonts w:asciiTheme="minorBidi" w:hAnsiTheme="minorBidi" w:cstheme="minorBidi"/>
                <w:color w:val="000000" w:themeColor="text1"/>
                <w:sz w:val="20"/>
                <w:szCs w:val="20"/>
                <w:lang w:val="en-GB" w:eastAsia="en-GB"/>
              </w:rPr>
            </w:pPr>
          </w:p>
        </w:tc>
        <w:tc>
          <w:tcPr>
            <w:tcW w:w="1276" w:type="dxa"/>
            <w:tcBorders>
              <w:top w:val="single" w:sz="4" w:space="0" w:color="auto"/>
            </w:tcBorders>
          </w:tcPr>
          <w:p w14:paraId="726FFA1E" w14:textId="77777777" w:rsidR="009D19A6" w:rsidRPr="005F4695" w:rsidRDefault="009D19A6" w:rsidP="00B20E43">
            <w:pPr>
              <w:rPr>
                <w:rFonts w:asciiTheme="minorBidi" w:hAnsiTheme="minorBidi" w:cstheme="minorBidi"/>
                <w:color w:val="000000" w:themeColor="text1"/>
                <w:sz w:val="20"/>
                <w:szCs w:val="20"/>
                <w:lang w:val="en-GB" w:eastAsia="en-GB"/>
              </w:rPr>
            </w:pPr>
          </w:p>
        </w:tc>
        <w:tc>
          <w:tcPr>
            <w:tcW w:w="1559" w:type="dxa"/>
            <w:tcBorders>
              <w:top w:val="single" w:sz="4" w:space="0" w:color="auto"/>
            </w:tcBorders>
          </w:tcPr>
          <w:p w14:paraId="4CDB5260" w14:textId="77777777" w:rsidR="009D19A6" w:rsidRPr="005F4695" w:rsidRDefault="009D19A6" w:rsidP="00B20E43">
            <w:pPr>
              <w:rPr>
                <w:rFonts w:asciiTheme="minorBidi" w:hAnsiTheme="minorBidi" w:cstheme="minorBidi"/>
                <w:color w:val="000000" w:themeColor="text1"/>
                <w:sz w:val="20"/>
                <w:szCs w:val="20"/>
                <w:lang w:val="en-GB" w:eastAsia="en-GB"/>
              </w:rPr>
            </w:pPr>
          </w:p>
        </w:tc>
        <w:tc>
          <w:tcPr>
            <w:tcW w:w="1559" w:type="dxa"/>
            <w:tcBorders>
              <w:top w:val="single" w:sz="4" w:space="0" w:color="auto"/>
            </w:tcBorders>
          </w:tcPr>
          <w:p w14:paraId="14F401EC" w14:textId="77777777" w:rsidR="009D19A6" w:rsidRPr="005F4695" w:rsidRDefault="009D19A6" w:rsidP="00B20E43">
            <w:pPr>
              <w:rPr>
                <w:rFonts w:asciiTheme="minorBidi" w:hAnsiTheme="minorBidi" w:cstheme="minorBidi"/>
                <w:color w:val="000000" w:themeColor="text1"/>
                <w:sz w:val="20"/>
                <w:szCs w:val="20"/>
                <w:lang w:val="en-GB" w:eastAsia="en-GB"/>
              </w:rPr>
            </w:pPr>
          </w:p>
        </w:tc>
        <w:tc>
          <w:tcPr>
            <w:tcW w:w="5305" w:type="dxa"/>
            <w:tcBorders>
              <w:top w:val="single" w:sz="4" w:space="0" w:color="auto"/>
            </w:tcBorders>
          </w:tcPr>
          <w:p w14:paraId="6FFA746D" w14:textId="77777777" w:rsidR="009D19A6" w:rsidRPr="005F4695" w:rsidRDefault="009D19A6" w:rsidP="00B20E43">
            <w:pPr>
              <w:rPr>
                <w:rFonts w:asciiTheme="minorBidi" w:hAnsiTheme="minorBidi" w:cstheme="minorBidi"/>
                <w:color w:val="000000" w:themeColor="text1"/>
                <w:sz w:val="20"/>
                <w:szCs w:val="20"/>
                <w:lang w:val="en-GB" w:eastAsia="en-GB"/>
              </w:rPr>
            </w:pPr>
          </w:p>
        </w:tc>
      </w:tr>
      <w:tr w:rsidR="00743B47" w:rsidRPr="005F4695" w14:paraId="67244548" w14:textId="77777777" w:rsidTr="00B20E43">
        <w:trPr>
          <w:trHeight w:val="388"/>
        </w:trPr>
        <w:tc>
          <w:tcPr>
            <w:tcW w:w="1555" w:type="dxa"/>
          </w:tcPr>
          <w:p w14:paraId="50E74B7D" w14:textId="5F32945C" w:rsidR="00743B47" w:rsidRPr="005F4695" w:rsidRDefault="00743B47" w:rsidP="00743B47">
            <w:pPr>
              <w:rPr>
                <w:rFonts w:asciiTheme="minorBidi" w:hAnsiTheme="minorBidi" w:cstheme="minorBidi"/>
                <w:color w:val="000000" w:themeColor="text1"/>
                <w:sz w:val="20"/>
                <w:szCs w:val="20"/>
              </w:rPr>
            </w:pPr>
            <w:r w:rsidRPr="003754B5">
              <w:rPr>
                <w:rFonts w:asciiTheme="minorBidi" w:hAnsiTheme="minorBidi" w:cstheme="minorBidi"/>
                <w:sz w:val="20"/>
                <w:szCs w:val="20"/>
                <w:lang w:val="en-GB" w:eastAsia="en-GB"/>
              </w:rPr>
              <w:t>Aigner et al</w:t>
            </w:r>
            <w:r>
              <w:rPr>
                <w:rFonts w:asciiTheme="minorBidi" w:hAnsiTheme="minorBidi" w:cstheme="minorBidi"/>
                <w:sz w:val="20"/>
                <w:szCs w:val="20"/>
                <w:lang w:val="en-GB" w:eastAsia="en-GB"/>
              </w:rPr>
              <w:t>, 2018</w:t>
            </w:r>
            <w:r w:rsidRPr="003754B5">
              <w:rPr>
                <w:rFonts w:asciiTheme="minorBidi" w:hAnsiTheme="minorBidi" w:cstheme="minorBidi"/>
                <w:sz w:val="20"/>
                <w:szCs w:val="20"/>
                <w:lang w:val="en-GB" w:eastAsia="en-GB"/>
              </w:rPr>
              <w:t xml:space="preserve"> </w:t>
            </w:r>
            <w:r w:rsidRPr="003754B5">
              <w:rPr>
                <w:rFonts w:asciiTheme="minorBidi" w:hAnsiTheme="minorBidi" w:cstheme="minorBidi"/>
                <w:sz w:val="20"/>
                <w:szCs w:val="20"/>
                <w:lang w:val="en-GB" w:eastAsia="en-GB"/>
              </w:rPr>
              <w:fldChar w:fldCharType="begin" w:fldLock="1"/>
            </w:r>
            <w:r>
              <w:rPr>
                <w:rFonts w:asciiTheme="minorBidi" w:hAnsiTheme="minorBidi" w:cstheme="minorBidi"/>
                <w:sz w:val="20"/>
                <w:szCs w:val="20"/>
                <w:lang w:val="en-GB" w:eastAsia="en-GB"/>
              </w:rPr>
              <w:instrText>ADDIN CSL_CITATION {"citationItems":[{"id":"ITEM-1","itemData":{"DOI":"10.1038/s41430-018-0103-4","ISSN":"0954-3007","abstract":"Several diets, e.g., those low in fruits/vegetables, high in sodium, and red/processed meat, have been related to a higher stroke risk. We investigated stroke mortality associated with a priori diet-quality indices in the Multiethnic Cohort study. Based on 172,043 observations including 3548 stroke deaths, we investigated the Healthy Eating Index-2010 (HEI-2010), the Alternative HEI-2010, the alternate Mediterranean diet score, and the Dietary Approaches to Stop Hypertension index in relation to stroke mortality. Using Cox regression, we estimated adjusted population attributable risks (PAR) and hazard ratios (HR) for tertiles of the indices while adjusting for relevant confounders. The associations between all diet-quality indices and stroke mortality were consistent in direction; a low-quality diet was associated with a greater risk of stroke death, but the HEI-2010 was the strongest predictor. The PAR for stroke death based on HEI-2010 was 7.9% (95%-CI: 3.7–12.2%), indicating the preventable percentage of deaths if the total population had the same diet quality as those in the highest tertile for this diet-quality index. The lowest as compared to the highest tertile of the HEI-2010 was associated with a 1.23-fold (95%-CI: 1.13–1.34) risk. The PARs for low and medium adherence to the indices were similar by sex and follow-up time, but varied by ethnicity, with the highest PAR in Whites (15.4%) and no association in Latinos. Findings for four diet-quality indices, in particular the HEI-2010, indicated that diet quality acts as an independent risk factor for stroke mortality. Promotion of a high diet quality could have a substantial impact on the prevention of stroke deaths.","author":[{"dropping-particle":"","family":"Aigner","given":"Annette","non-dropping-particle":"","parse-names":false,"suffix":""},{"dropping-particle":"","family":"Becher","given":"Heiko","non-dropping-particle":"","parse-names":false,"suffix":""},{"dropping-particle":"","family":"Jacobs","given":"Simone","non-dropping-particle":"","parse-names":false,"suffix":""},{"dropping-particle":"","family":"Wilkens","given":"Lynne R.","non-dropping-particle":"","parse-names":false,"suffix":""},{"dropping-particle":"","family":"Boushey","given":"Carol J.","non-dropping-particle":"","parse-names":false,"suffix":""},{"dropping-particle":"","family":"Marchand","given":"Loic","non-dropping-particle":"Le","parse-names":false,"suffix":""},{"dropping-particle":"","family":"Haiman","given":"Christopher A.","non-dropping-particle":"","parse-names":false,"suffix":""},{"dropping-particle":"","family":"Maskarinec","given":"Gertraud","non-dropping-particle":"","parse-names":false,"suffix":""}],"container-title":"European Journal of Clinical Nutrition","id":"ITEM-1","issue":"7","issued":{"date-parts":[["2018","7","9"]]},"page":"1035-1045","title":"Low diet quality and the risk of stroke mortality: the multiethnic cohort study","type":"article-journal","volume":"72"},"uris":["http://www.mendeley.com/documents/?uuid=1bfc7025-0c45-361d-bcca-886765f739ba"]}],"mendeley":{"formattedCitation":"(1)","plainTextFormattedCitation":"(1)","previouslyFormattedCitation":"(1)"},"properties":{"noteIndex":0},"schema":"https://github.com/citation-style-language/schema/raw/master/csl-citation.json"}</w:instrText>
            </w:r>
            <w:r w:rsidRPr="003754B5">
              <w:rPr>
                <w:rFonts w:asciiTheme="minorBidi" w:hAnsiTheme="minorBidi" w:cstheme="minorBidi"/>
                <w:sz w:val="20"/>
                <w:szCs w:val="20"/>
                <w:lang w:val="en-GB" w:eastAsia="en-GB"/>
              </w:rPr>
              <w:fldChar w:fldCharType="separate"/>
            </w:r>
            <w:r w:rsidRPr="003754B5">
              <w:rPr>
                <w:rFonts w:asciiTheme="minorBidi" w:hAnsiTheme="minorBidi" w:cstheme="minorBidi"/>
                <w:noProof/>
                <w:sz w:val="20"/>
                <w:szCs w:val="20"/>
                <w:lang w:val="en-GB" w:eastAsia="en-GB"/>
              </w:rPr>
              <w:t>(1)</w:t>
            </w:r>
            <w:r w:rsidRPr="003754B5">
              <w:rPr>
                <w:rFonts w:asciiTheme="minorBidi" w:hAnsiTheme="minorBidi" w:cstheme="minorBidi"/>
                <w:sz w:val="20"/>
                <w:szCs w:val="20"/>
                <w:lang w:val="en-GB" w:eastAsia="en-GB"/>
              </w:rPr>
              <w:fldChar w:fldCharType="end"/>
            </w:r>
          </w:p>
        </w:tc>
        <w:tc>
          <w:tcPr>
            <w:tcW w:w="1417" w:type="dxa"/>
          </w:tcPr>
          <w:p w14:paraId="5447E03D" w14:textId="48B4C020" w:rsidR="00743B47" w:rsidRPr="005F4695" w:rsidRDefault="00743B47" w:rsidP="00743B47">
            <w:pPr>
              <w:rPr>
                <w:rFonts w:asciiTheme="minorBidi" w:hAnsiTheme="minorBidi" w:cstheme="minorBidi"/>
                <w:color w:val="000000" w:themeColor="text1"/>
                <w:sz w:val="20"/>
                <w:szCs w:val="20"/>
              </w:rPr>
            </w:pPr>
            <w:r w:rsidRPr="005F4695">
              <w:rPr>
                <w:rFonts w:asciiTheme="minorBidi" w:hAnsiTheme="minorBidi" w:cstheme="minorBidi"/>
                <w:color w:val="000000" w:themeColor="text1"/>
                <w:sz w:val="20"/>
                <w:szCs w:val="20"/>
                <w:lang w:val="en-GB" w:eastAsia="en-GB"/>
              </w:rPr>
              <w:t>USA</w:t>
            </w:r>
          </w:p>
        </w:tc>
        <w:tc>
          <w:tcPr>
            <w:tcW w:w="1276" w:type="dxa"/>
          </w:tcPr>
          <w:p w14:paraId="6472583A" w14:textId="15FCAA20" w:rsidR="00743B47" w:rsidRPr="005F4695" w:rsidRDefault="00743B47" w:rsidP="00743B47">
            <w:pPr>
              <w:rPr>
                <w:rFonts w:asciiTheme="minorBidi" w:hAnsiTheme="minorBidi" w:cstheme="minorBidi"/>
                <w:color w:val="000000" w:themeColor="text1"/>
                <w:sz w:val="20"/>
                <w:szCs w:val="20"/>
              </w:rPr>
            </w:pPr>
            <w:r w:rsidRPr="005F4695">
              <w:rPr>
                <w:rFonts w:asciiTheme="minorBidi" w:hAnsiTheme="minorBidi" w:cstheme="minorBidi"/>
                <w:color w:val="000000" w:themeColor="text1"/>
                <w:sz w:val="20"/>
                <w:szCs w:val="20"/>
                <w:lang w:val="en-GB" w:eastAsia="en-GB"/>
              </w:rPr>
              <w:t>172043, adults    (45-75)</w:t>
            </w:r>
          </w:p>
        </w:tc>
        <w:tc>
          <w:tcPr>
            <w:tcW w:w="1559" w:type="dxa"/>
          </w:tcPr>
          <w:p w14:paraId="11AFA1A2" w14:textId="428A24A4" w:rsidR="00743B47" w:rsidRPr="005F4695" w:rsidRDefault="00743B47" w:rsidP="00743B47">
            <w:pPr>
              <w:rPr>
                <w:rFonts w:asciiTheme="minorBidi" w:hAnsiTheme="minorBidi" w:cstheme="minorBidi"/>
                <w:color w:val="000000" w:themeColor="text1"/>
                <w:sz w:val="20"/>
                <w:szCs w:val="20"/>
              </w:rPr>
            </w:pPr>
            <w:r w:rsidRPr="005F4695">
              <w:rPr>
                <w:rFonts w:asciiTheme="minorBidi" w:hAnsiTheme="minorBidi" w:cstheme="minorBidi"/>
                <w:color w:val="000000" w:themeColor="text1"/>
                <w:sz w:val="20"/>
                <w:szCs w:val="20"/>
                <w:lang w:val="en-GB" w:eastAsia="en-GB"/>
              </w:rPr>
              <w:t>FFQ         (&gt;180 items)</w:t>
            </w:r>
          </w:p>
        </w:tc>
        <w:tc>
          <w:tcPr>
            <w:tcW w:w="1559" w:type="dxa"/>
          </w:tcPr>
          <w:p w14:paraId="7CDDC15E" w14:textId="77777777"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lang w:val="en-GB" w:eastAsia="en-GB"/>
              </w:rPr>
              <w:t>Comparison:</w:t>
            </w:r>
          </w:p>
          <w:p w14:paraId="19D8814C" w14:textId="5A8C68B4" w:rsidR="00743B47" w:rsidRPr="005F4695" w:rsidRDefault="00743B47" w:rsidP="00743B47">
            <w:pPr>
              <w:rPr>
                <w:rFonts w:asciiTheme="minorBidi" w:hAnsiTheme="minorBidi" w:cstheme="minorBidi"/>
                <w:color w:val="000000" w:themeColor="text1"/>
                <w:sz w:val="20"/>
                <w:szCs w:val="20"/>
              </w:rPr>
            </w:pPr>
            <w:r w:rsidRPr="005F4695">
              <w:rPr>
                <w:rFonts w:asciiTheme="minorBidi" w:hAnsiTheme="minorBidi" w:cstheme="minorBidi"/>
                <w:color w:val="000000" w:themeColor="text1"/>
                <w:sz w:val="20"/>
                <w:szCs w:val="20"/>
                <w:lang w:val="en-GB" w:eastAsia="en-GB"/>
              </w:rPr>
              <w:t xml:space="preserve">HEI, AHEI, </w:t>
            </w:r>
            <w:r w:rsidR="00A940F3">
              <w:rPr>
                <w:rFonts w:asciiTheme="minorBidi" w:hAnsiTheme="minorBidi" w:cstheme="minorBidi"/>
                <w:color w:val="000000" w:themeColor="text1"/>
                <w:sz w:val="20"/>
                <w:szCs w:val="20"/>
                <w:lang w:val="en-GB" w:eastAsia="en-GB"/>
              </w:rPr>
              <w:t>DASH score</w:t>
            </w:r>
            <w:r w:rsidRPr="005F4695">
              <w:rPr>
                <w:rFonts w:asciiTheme="minorBidi" w:hAnsiTheme="minorBidi" w:cstheme="minorBidi"/>
                <w:color w:val="000000" w:themeColor="text1"/>
                <w:sz w:val="20"/>
                <w:szCs w:val="20"/>
                <w:lang w:val="en-GB" w:eastAsia="en-GB"/>
              </w:rPr>
              <w:t xml:space="preserve"> </w:t>
            </w:r>
          </w:p>
        </w:tc>
        <w:tc>
          <w:tcPr>
            <w:tcW w:w="5305" w:type="dxa"/>
          </w:tcPr>
          <w:p w14:paraId="387BA4B4" w14:textId="322640F8"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lang w:val="en-GB" w:eastAsia="en-GB"/>
              </w:rPr>
              <w:t xml:space="preserve">HEI: </w:t>
            </w:r>
            <w:r w:rsidRPr="005F4695">
              <w:rPr>
                <w:rFonts w:asciiTheme="minorBidi" w:hAnsiTheme="minorBidi" w:cstheme="minorBidi"/>
                <w:color w:val="000000" w:themeColor="text1"/>
                <w:sz w:val="20"/>
                <w:szCs w:val="20"/>
                <w:lang w:val="en-GB" w:eastAsia="en-GB"/>
              </w:rPr>
              <w:fldChar w:fldCharType="begin" w:fldLock="1"/>
            </w:r>
            <w:r w:rsidR="004A7B72">
              <w:rPr>
                <w:rFonts w:asciiTheme="minorBidi" w:hAnsiTheme="minorBidi" w:cstheme="minorBidi"/>
                <w:color w:val="000000" w:themeColor="text1"/>
                <w:sz w:val="20"/>
                <w:szCs w:val="20"/>
                <w:lang w:val="en-GB" w:eastAsia="en-GB"/>
              </w:rPr>
              <w:instrText>ADDIN CSL_CITATION {"citationItems":[{"id":"ITEM-1","itemData":{"DOI":"10.1017/S0007114515000185","ISSN":"0007-1145","abstract":"The role that BMI plays in the association between dietary quality and CVD risk is not known. We aimed to better understand this relationship using statistical methods which correct for sex-specific underreporting of dietary intake. Overall, dietary quality was assessed using the Healthy Eating Index (HEI) on data from 9797 non-pregnant adults (aged &amp;gt;20 years) who participated in the National Health and Nutrition Examination Survey from 2005 to 2010. CVD risk factors included blood pressure, fasting glucose and insulin, homeostatic models of insulin resistance (HOMA-IR), HDL- and LDL-cholesterol (HDL-C and LDL-C), TAG and C-reactive protein (CRP). We controlled for demographic and lifestyle covariates, and we used the population ratio approach (which adjusts for the underreporting of intake) to compare mean HEI scores between the top and bottom quartiles of covariate-adjusted CVD risk factors. In women, the total HEI score was not associated with any CVD risk factors (all Q &amp;gt;0·11). In men, the total HEI score was associated with covariate-adjusted residuals for fasting insulin ( Q &amp;lt; 0·001), HOMA-IR ( Q &amp;lt; 0·001), HDL-C ( Q = 0·01), TAG ( Q = 0·03) and CRP ( Q &amp;lt; 0·001). When we additionally adjusted for BMI, the association with total HEI score was not significant (all P &amp;gt;0·10). In the present analyses, dietary quality was associated with five CVD risk factors in a sex-specific manner. Moreover, the association of BMI with CVD risk attenuated the relationship between CVD risk and diet, which suggests that BMI is an important factor in heart disease prevention.","author":[{"dropping-particle":"","family":"Frazier-Wood","given":"Alexis C.","non-dropping-particle":"","parse-names":false,"suffix":""},{"dropping-particle":"","family":"Kim","given":"Jihye","non-dropping-particle":"","parse-names":false,"suffix":""},{"dropping-particle":"","family":"Davis","given":"Jennifer S.","non-dropping-particle":"","parse-names":false,"suffix":""},{"dropping-particle":"","family":"Jung","given":"Su Yon","non-dropping-particle":"","parse-names":false,"suffix":""},{"dropping-particle":"","family":"Chang","given":"Shine","non-dropping-particle":"","parse-names":false,"suffix":""}],"container-title":"British Journal of Nutrition","id":"ITEM-1","issue":"08","issued":{"date-parts":[["2015","4","27"]]},"page":"1244-1253","title":"In cross-sectional observations, dietary quality is not associated with CVD risk in women; in men the positive association is accounted for by BMI","type":"article-journal","volume":"113"},"uris":["http://www.mendeley.com/documents/?uuid=fbc9117e-ec6d-3797-a24f-79f81b15f951"]}],"mendeley":{"formattedCitation":"(2)","plainTextFormattedCitation":"(2)","previouslyFormattedCitation":"(2)"},"properties":{"noteIndex":0},"schema":"https://github.com/citation-style-language/schema/raw/master/csl-citation.json"}</w:instrText>
            </w:r>
            <w:r w:rsidRPr="005F4695">
              <w:rPr>
                <w:rFonts w:asciiTheme="minorBidi" w:hAnsiTheme="minorBidi" w:cstheme="minorBidi"/>
                <w:color w:val="000000" w:themeColor="text1"/>
                <w:sz w:val="20"/>
                <w:szCs w:val="20"/>
                <w:lang w:val="en-GB" w:eastAsia="en-GB"/>
              </w:rPr>
              <w:fldChar w:fldCharType="separate"/>
            </w:r>
            <w:r w:rsidRPr="005F4695">
              <w:rPr>
                <w:rFonts w:asciiTheme="minorBidi" w:hAnsiTheme="minorBidi" w:cstheme="minorBidi"/>
                <w:noProof/>
                <w:color w:val="000000" w:themeColor="text1"/>
                <w:sz w:val="20"/>
                <w:szCs w:val="20"/>
                <w:lang w:val="en-GB" w:eastAsia="en-GB"/>
              </w:rPr>
              <w:t>(2)</w:t>
            </w:r>
            <w:r w:rsidRPr="005F4695">
              <w:rPr>
                <w:rFonts w:asciiTheme="minorBidi" w:hAnsiTheme="minorBidi" w:cstheme="minorBidi"/>
                <w:color w:val="000000" w:themeColor="text1"/>
                <w:sz w:val="20"/>
                <w:szCs w:val="20"/>
                <w:lang w:val="en-GB" w:eastAsia="en-GB"/>
              </w:rPr>
              <w:fldChar w:fldCharType="end"/>
            </w:r>
          </w:p>
          <w:p w14:paraId="7A6A614F" w14:textId="53C94706"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lang w:val="en-GB" w:eastAsia="en-GB"/>
              </w:rPr>
              <w:t xml:space="preserve">AHEI: </w:t>
            </w:r>
            <w:r w:rsidRPr="005F4695">
              <w:rPr>
                <w:rFonts w:asciiTheme="minorBidi" w:hAnsiTheme="minorBidi" w:cstheme="minorBidi"/>
                <w:color w:val="000000" w:themeColor="text1"/>
                <w:sz w:val="20"/>
                <w:szCs w:val="20"/>
                <w:lang w:val="en-GB" w:eastAsia="en-GB"/>
              </w:rPr>
              <w:fldChar w:fldCharType="begin" w:fldLock="1"/>
            </w:r>
            <w:r w:rsidR="004A7B72">
              <w:rPr>
                <w:rFonts w:asciiTheme="minorBidi" w:hAnsiTheme="minorBidi" w:cstheme="minorBidi"/>
                <w:color w:val="000000" w:themeColor="text1"/>
                <w:sz w:val="20"/>
                <w:szCs w:val="20"/>
                <w:lang w:val="en-GB" w:eastAsia="en-GB"/>
              </w:rPr>
              <w:instrText>ADDIN CSL_CITATION {"citationItems":[{"id":"ITEM-1","itemData":{"DOI":"10.3945/jn.116.231209","ISSN":"0022-3166","author":[{"dropping-particle":"","family":"Mattei","given":"Josiemer","non-dropping-particle":"","parse-names":false,"suffix":""},{"dropping-particle":"","family":"Sotres-Alvarez","given":"Daniela","non-dropping-particle":"","parse-names":false,"suffix":""},{"dropping-particle":"","family":"Daviglus","given":"Martha L","non-dropping-particle":"","parse-names":false,"suffix":""},{"dropping-particle":"","family":"Gallo","given":"Linda C","non-dropping-particle":"","parse-names":false,"suffix":""},{"dropping-particle":"","family":"Gellman","given":"Marc","non-dropping-particle":"","parse-names":false,"suffix":""},{"dropping-particle":"","family":"Hu","given":"Frank B","non-dropping-particle":"","parse-names":false,"suffix":""},{"dropping-particle":"","family":"Tucker","given":"Katherine L","non-dropping-particle":"","parse-names":false,"suffix":""},{"dropping-particle":"","family":"Willett","given":"Walter C","non-dropping-particle":"","parse-names":false,"suffix":""},{"dropping-particle":"","family":"Siega-Riz","given":"Anna Maria","non-dropping-particle":"","parse-names":false,"suffix":""},{"dropping-particle":"","family":"Horn","given":"Linda","non-dropping-particle":"Van","parse-names":false,"suffix":""},{"dropping-particle":"","family":"Kaplan","given":"Robert C","non-dropping-particle":"","parse-names":false,"suffix":""}],"container-title":"The Journal of Nutrition","id":"ITEM-1","issue":"10","issued":{"date-parts":[["2016","10","1"]]},"page":"2035-2044","title":"Diet Quality and Its Association with Cardiometabolic Risk Factors Vary by Hispanic and Latino Ethnic Background in the Hispanic Community Health Study/Study of Latinos","type":"article-journal","volume":"146"},"uris":["http://www.mendeley.com/documents/?uuid=5b5fce0c-303d-3170-b389-a2b391692146"]}],"mendeley":{"formattedCitation":"(3)","plainTextFormattedCitation":"(3)","previouslyFormattedCitation":"(3)"},"properties":{"noteIndex":0},"schema":"https://github.com/citation-style-language/schema/raw/master/csl-citation.json"}</w:instrText>
            </w:r>
            <w:r w:rsidRPr="005F4695">
              <w:rPr>
                <w:rFonts w:asciiTheme="minorBidi" w:hAnsiTheme="minorBidi" w:cstheme="minorBidi"/>
                <w:color w:val="000000" w:themeColor="text1"/>
                <w:sz w:val="20"/>
                <w:szCs w:val="20"/>
                <w:lang w:val="en-GB" w:eastAsia="en-GB"/>
              </w:rPr>
              <w:fldChar w:fldCharType="separate"/>
            </w:r>
            <w:r w:rsidRPr="005F4695">
              <w:rPr>
                <w:rFonts w:asciiTheme="minorBidi" w:hAnsiTheme="minorBidi" w:cstheme="minorBidi"/>
                <w:noProof/>
                <w:color w:val="000000" w:themeColor="text1"/>
                <w:sz w:val="20"/>
                <w:szCs w:val="20"/>
                <w:lang w:val="en-GB" w:eastAsia="en-GB"/>
              </w:rPr>
              <w:t>(3)</w:t>
            </w:r>
            <w:r w:rsidRPr="005F4695">
              <w:rPr>
                <w:rFonts w:asciiTheme="minorBidi" w:hAnsiTheme="minorBidi" w:cstheme="minorBidi"/>
                <w:color w:val="000000" w:themeColor="text1"/>
                <w:sz w:val="20"/>
                <w:szCs w:val="20"/>
                <w:lang w:val="en-GB" w:eastAsia="en-GB"/>
              </w:rPr>
              <w:fldChar w:fldCharType="end"/>
            </w:r>
          </w:p>
          <w:p w14:paraId="285139AD" w14:textId="1BA09645" w:rsidR="00743B47" w:rsidRPr="009F6DFD" w:rsidRDefault="00A940F3" w:rsidP="009F6DFD">
            <w:pPr>
              <w:rPr>
                <w:rFonts w:asciiTheme="minorBidi" w:eastAsiaTheme="minorHAnsi" w:hAnsiTheme="minorBidi" w:cstheme="minorBidi"/>
                <w:color w:val="000000" w:themeColor="text1"/>
                <w:sz w:val="20"/>
                <w:szCs w:val="20"/>
              </w:rPr>
            </w:pPr>
            <w:r>
              <w:rPr>
                <w:rFonts w:asciiTheme="minorBidi" w:hAnsiTheme="minorBidi" w:cstheme="minorBidi"/>
                <w:color w:val="000000" w:themeColor="text1"/>
                <w:sz w:val="20"/>
                <w:szCs w:val="20"/>
                <w:lang w:val="en-GB" w:eastAsia="en-GB"/>
              </w:rPr>
              <w:t>DASH score</w:t>
            </w:r>
            <w:r w:rsidR="00743B47" w:rsidRPr="005F4695">
              <w:rPr>
                <w:rFonts w:asciiTheme="minorBidi" w:hAnsiTheme="minorBidi" w:cstheme="minorBidi"/>
                <w:color w:val="000000" w:themeColor="text1"/>
                <w:sz w:val="20"/>
                <w:szCs w:val="20"/>
                <w:lang w:val="en-GB" w:eastAsia="en-GB"/>
              </w:rPr>
              <w:t>:</w:t>
            </w:r>
            <w:r w:rsidR="009F6DFD">
              <w:rPr>
                <w:rFonts w:asciiTheme="minorBidi" w:hAnsiTheme="minorBidi" w:cstheme="minorBidi"/>
                <w:color w:val="000000" w:themeColor="text1"/>
                <w:sz w:val="20"/>
                <w:szCs w:val="20"/>
                <w:lang w:val="en-GB" w:eastAsia="en-GB"/>
              </w:rPr>
              <w:t xml:space="preserve"> </w:t>
            </w:r>
            <w:r w:rsidR="009F6DFD" w:rsidRPr="005F4695">
              <w:rPr>
                <w:rFonts w:asciiTheme="minorBidi" w:hAnsiTheme="minorBidi" w:cstheme="minorBidi"/>
                <w:color w:val="000000" w:themeColor="text1"/>
                <w:sz w:val="20"/>
                <w:szCs w:val="20"/>
              </w:rPr>
              <w:t xml:space="preserve">8 (fruits, vegetables, nuts, legumes, and low-fat dairy, lower intake of low-sodium, sweetened beverages, and red or processed meat), 1 to 5 with equal weight assigned to each item, </w:t>
            </w:r>
            <w:r w:rsidR="009F6DFD" w:rsidRPr="005F4695">
              <w:rPr>
                <w:rFonts w:asciiTheme="minorBidi" w:eastAsiaTheme="minorHAnsi" w:hAnsiTheme="minorBidi" w:cstheme="minorBidi"/>
                <w:color w:val="000000" w:themeColor="text1"/>
                <w:sz w:val="20"/>
                <w:szCs w:val="20"/>
              </w:rPr>
              <w:t>overall score was the sum of all scores</w:t>
            </w:r>
            <w:r w:rsidR="00743B47" w:rsidRPr="005F4695">
              <w:rPr>
                <w:rFonts w:asciiTheme="minorBidi" w:hAnsiTheme="minorBidi" w:cstheme="minorBidi"/>
                <w:color w:val="000000" w:themeColor="text1"/>
                <w:sz w:val="20"/>
                <w:szCs w:val="20"/>
                <w:lang w:val="en-GB" w:eastAsia="en-GB"/>
              </w:rPr>
              <w:t xml:space="preserve"> </w:t>
            </w:r>
            <w:r w:rsidR="00743B47" w:rsidRPr="005F4695">
              <w:rPr>
                <w:rFonts w:asciiTheme="minorBidi" w:hAnsiTheme="minorBidi" w:cstheme="minorBidi"/>
                <w:color w:val="000000" w:themeColor="text1"/>
                <w:sz w:val="20"/>
                <w:szCs w:val="20"/>
                <w:lang w:val="en-GB" w:eastAsia="en-GB"/>
              </w:rPr>
              <w:fldChar w:fldCharType="begin" w:fldLock="1"/>
            </w:r>
            <w:r w:rsidR="00743B47" w:rsidRPr="005F4695">
              <w:rPr>
                <w:rFonts w:asciiTheme="minorBidi" w:hAnsiTheme="minorBidi" w:cstheme="minorBidi"/>
                <w:color w:val="000000" w:themeColor="text1"/>
                <w:sz w:val="20"/>
                <w:szCs w:val="20"/>
                <w:lang w:val="en-GB" w:eastAsia="en-GB"/>
              </w:rPr>
              <w:instrText>ADDIN CSL_CITATION {"citationItems":[{"id":"ITEM-1","itemData":{"DOI":"10.1007/s00394-017-1562-4","ISSN":"1436-6207","PMID":"29098424","abstract":"PURPOSE The aims of this study were to (1) determine the association between diet quality using the Dietary Approaches to Stop Hypertension (DASH) score and cardiometabolic risk in a British working population and (2) identify employee characteristics associated with reporting a poorer quality dietary pattern. METHODS British police employees enrolled (2007-2012) into the Airwave Health Monitoring Study (n = 5527) were included for sex-specific cross-sectional analyses. Dietary intakes were measured using 7-day food records. DASH score was calculated to determine diet quality. Logistic regression evaluated associations between (1) diet quality and increased cardiometabolic risk (defined as ≥ 3 risk markers: dyslipidaemia, elevated blood pressure, waist circumference, CRP or HbA1c), and (2) poor diet quality (lowest fifth of DASH score distribution) and employee characteristics. RESULTS Employees recording a poor diet quality had greater odds (OR) of increased cardiometabolic risk independent of established risk factors (demographic, lifestyle and occupational) and BMI: men OR 1.50 (95% CI 1.12-2.00), women: OR 1.84 (95% CI 1.19-2.97) compared to the healthiest diet group. Characteristics associated with reporting a poor quality diet were employment in Scotland vs. England: men OR 1.88 (95% CI 1.53-2.32), women: OR 1.49 (95% CI 1.11-2.00), longer working hours (≥ 49 vs. ≤40 h) men: OR 1.53 (95% CI 1.21-1.92) women: OR 1.53 (95% CI 1.12-2.09). For men, job strain (high vs. low) was associated with reporting a poor diet quality OR 1.66 (95% CI 1.30-2.12). CONCLUSIONS The general population disparities in diet quality between England and Scotland were reflected in British police employees. The association of longer working hours and job strain with diet quality supports the targeting of workplace nutritional interventions.","author":[{"dropping-particle":"","family":"Gibson","given":"Rachel","non-dropping-particle":"","parse-names":false,"suffix":""},{"dropping-particle":"","family":"Eriksen","given":"Rebeca","non-dropping-particle":"","parse-names":false,"suffix":""},{"dropping-particle":"","family":"Singh","given":"Deepa","non-dropping-particle":"","parse-names":false,"suffix":""},{"dropping-particle":"","family":"Vergnaud","given":"Anne-Claire","non-dropping-particle":"","parse-names":false,"suffix":""},{"dropping-particle":"","family":"Heard","given":"Andrew","non-dropping-particle":"","parse-names":false,"suffix":""},{"dropping-particle":"","family":"Chan","given":"Queenie","non-dropping-particle":"","parse-names":false,"suffix":""},{"dropping-particle":"","family":"Elliott","given":"Paul","non-dropping-particle":"","parse-names":false,"suffix":""},{"dropping-particle":"","family":"Frost","given":"Gary","non-dropping-particle":"","parse-names":false,"suffix":""}],"container-title":"European Journal of Nutrition","id":"ITEM-1","issue":"8","issued":{"date-parts":[["2018","12","2"]]},"page":"2913-2926","title":"A cross-sectional investigation into the occupational and socio-demographic characteristics of British police force employees reporting a dietary pattern associated with cardiometabolic risk: findings from the Airwave Health Monitoring Study","type":"article-journal","volume":"57"},"uris":["http://www.mendeley.com/documents/?uuid=308b59cf-d657-32ee-a72f-ff29a9cd74fd"]}],"mendeley":{"formattedCitation":"(4)","plainTextFormattedCitation":"(4)","previouslyFormattedCitation":"(4)"},"properties":{"noteIndex":0},"schema":"https://github.com/citation-style-language/schema/raw/master/csl-citation.json"}</w:instrText>
            </w:r>
            <w:r w:rsidR="00743B47" w:rsidRPr="005F4695">
              <w:rPr>
                <w:rFonts w:asciiTheme="minorBidi" w:hAnsiTheme="minorBidi" w:cstheme="minorBidi"/>
                <w:color w:val="000000" w:themeColor="text1"/>
                <w:sz w:val="20"/>
                <w:szCs w:val="20"/>
                <w:lang w:val="en-GB" w:eastAsia="en-GB"/>
              </w:rPr>
              <w:fldChar w:fldCharType="separate"/>
            </w:r>
            <w:r w:rsidR="00743B47" w:rsidRPr="005F4695">
              <w:rPr>
                <w:rFonts w:asciiTheme="minorBidi" w:hAnsiTheme="minorBidi" w:cstheme="minorBidi"/>
                <w:noProof/>
                <w:color w:val="000000" w:themeColor="text1"/>
                <w:sz w:val="20"/>
                <w:szCs w:val="20"/>
                <w:lang w:val="en-GB" w:eastAsia="en-GB"/>
              </w:rPr>
              <w:t>(4)</w:t>
            </w:r>
            <w:r w:rsidR="00743B47" w:rsidRPr="005F4695">
              <w:rPr>
                <w:rFonts w:asciiTheme="minorBidi" w:hAnsiTheme="minorBidi" w:cstheme="minorBidi"/>
                <w:color w:val="000000" w:themeColor="text1"/>
                <w:sz w:val="20"/>
                <w:szCs w:val="20"/>
                <w:lang w:val="en-GB" w:eastAsia="en-GB"/>
              </w:rPr>
              <w:fldChar w:fldCharType="end"/>
            </w:r>
          </w:p>
          <w:p w14:paraId="21E4F1FD" w14:textId="118EA4B4" w:rsidR="00743B47" w:rsidRPr="005F4695" w:rsidRDefault="00743B47" w:rsidP="00743B47">
            <w:pPr>
              <w:autoSpaceDE w:val="0"/>
              <w:autoSpaceDN w:val="0"/>
              <w:adjustRightInd w:val="0"/>
              <w:rPr>
                <w:rFonts w:asciiTheme="minorBidi" w:hAnsiTheme="minorBidi" w:cstheme="minorBidi"/>
                <w:color w:val="000000" w:themeColor="text1"/>
                <w:sz w:val="20"/>
                <w:szCs w:val="20"/>
              </w:rPr>
            </w:pPr>
          </w:p>
        </w:tc>
      </w:tr>
      <w:tr w:rsidR="00743B47" w:rsidRPr="005F4695" w14:paraId="76DB97D5" w14:textId="77777777" w:rsidTr="00B20E43">
        <w:trPr>
          <w:trHeight w:val="388"/>
        </w:trPr>
        <w:tc>
          <w:tcPr>
            <w:tcW w:w="1555" w:type="dxa"/>
          </w:tcPr>
          <w:p w14:paraId="2055C31D" w14:textId="3B993DF4" w:rsidR="00743B47" w:rsidRPr="005F4695" w:rsidRDefault="00743B47" w:rsidP="00743B47">
            <w:pPr>
              <w:rPr>
                <w:rFonts w:asciiTheme="minorBidi" w:hAnsiTheme="minorBidi" w:cstheme="minorBidi"/>
                <w:color w:val="000000" w:themeColor="text1"/>
                <w:sz w:val="20"/>
                <w:szCs w:val="20"/>
              </w:rPr>
            </w:pPr>
            <w:r w:rsidRPr="003754B5">
              <w:rPr>
                <w:rFonts w:asciiTheme="minorBidi" w:hAnsiTheme="minorBidi" w:cstheme="minorBidi"/>
                <w:color w:val="000000" w:themeColor="text1"/>
                <w:sz w:val="20"/>
                <w:szCs w:val="20"/>
              </w:rPr>
              <w:t>Dijousse et al</w:t>
            </w:r>
            <w:r>
              <w:rPr>
                <w:rFonts w:asciiTheme="minorBidi" w:hAnsiTheme="minorBidi" w:cstheme="minorBidi"/>
                <w:color w:val="000000" w:themeColor="text1"/>
                <w:sz w:val="20"/>
                <w:szCs w:val="20"/>
              </w:rPr>
              <w:t>, 2018</w:t>
            </w:r>
            <w:r w:rsidRPr="003754B5">
              <w:rPr>
                <w:rFonts w:asciiTheme="minorBidi" w:hAnsiTheme="minorBidi" w:cstheme="minorBidi"/>
                <w:color w:val="000000" w:themeColor="text1"/>
                <w:sz w:val="20"/>
                <w:szCs w:val="20"/>
              </w:rPr>
              <w:t xml:space="preserve"> </w:t>
            </w:r>
            <w:r w:rsidRPr="003754B5">
              <w:rPr>
                <w:rFonts w:asciiTheme="minorBidi" w:hAnsiTheme="minorBidi" w:cstheme="minorBidi"/>
                <w:color w:val="000000" w:themeColor="text1"/>
                <w:sz w:val="20"/>
                <w:szCs w:val="20"/>
              </w:rPr>
              <w:fldChar w:fldCharType="begin" w:fldLock="1"/>
            </w:r>
            <w:r w:rsidR="004A7B72">
              <w:rPr>
                <w:rFonts w:asciiTheme="minorBidi" w:hAnsiTheme="minorBidi" w:cstheme="minorBidi"/>
                <w:color w:val="000000" w:themeColor="text1"/>
                <w:sz w:val="20"/>
                <w:szCs w:val="20"/>
              </w:rPr>
              <w:instrText>ADDIN CSL_CITATION {"citationItems":[{"id":"ITEM-1","itemData":{"DOI":"10.1161/JAHA.117.008089","ISSN":"2047-9980","PMID":"29680824","abstract":"BACKGROUND While adherence to healthful dietary patterns has been associated with a lower risk of coronary artery disease (CAD) in the general population, limited data are available among US veterans. We tested the hypothesis that adherence to Dietary Approach to Stop Hypertension (DASH) food pattern is associated with a lower risk of developing CAD among veterans. METHODS AND RESULTS We analyzed data on 153 802 participants of the Million Veteran Program enrolled between 2011 and 2016. Information on dietary habits was obtained using a food frequency questionnaire at enrollment. We used electronic health records to assess the development of CAD during follow-up. Of the 153 802 veterans who provided information on diet and were free of CAD at baseline, the mean age was 64.0 (SD=11.8) years and 90.4% were men. During a mean follow-up of 2.8 years, 5451 CAD cases occurred. The crude incidence rate of CAD was 14.0, 13.1, 12.6, 12.3, and 11.1 cases per 1000 person-years across consecutive quintiles of Dietary Approach to Stop Hypertension score. Hazard ratios (95% confidence interval) for CAD were 1.0 (ref), 0.91 (0.84-0.99), 0.87 (0.80-0.95), 0.86 (0.79-0.94), and 0.80 (0.73-0.87) from the lowest to highest quintile of Dietary Approach to Stop Hypertension score controlling for age, sex, body mass index, race, smoking, exercise, alcohol intake, and statin use (P linear trend, &lt;0.0001). CONCLUSIONS Our data are consistent with an inverse association between Dietary Approach to Stop Hypertension diet score and incidence of CAD among US veterans.","author":[{"dropping-particle":"","family":"Djoussé","given":"Luc","non-dropping-particle":"","parse-names":false,"suffix":""},{"dropping-particle":"","family":"Ho","given":"Yuk</w:instrText>
            </w:r>
            <w:r w:rsidR="004A7B72">
              <w:rPr>
                <w:rFonts w:ascii="Cambria Math" w:hAnsi="Cambria Math" w:cs="Cambria Math"/>
                <w:color w:val="000000" w:themeColor="text1"/>
                <w:sz w:val="20"/>
                <w:szCs w:val="20"/>
              </w:rPr>
              <w:instrText>‐</w:instrText>
            </w:r>
            <w:r w:rsidR="004A7B72">
              <w:rPr>
                <w:rFonts w:asciiTheme="minorBidi" w:hAnsiTheme="minorBidi" w:cstheme="minorBidi"/>
                <w:color w:val="000000" w:themeColor="text1"/>
                <w:sz w:val="20"/>
                <w:szCs w:val="20"/>
              </w:rPr>
              <w:instrText>Lam","non-dropping-particle":"","parse-names":false,"suffix":""},{"dropping-particle":"","family":"Nguyen","given":"Xuan</w:instrText>
            </w:r>
            <w:r w:rsidR="004A7B72">
              <w:rPr>
                <w:rFonts w:ascii="Cambria Math" w:hAnsi="Cambria Math" w:cs="Cambria Math"/>
                <w:color w:val="000000" w:themeColor="text1"/>
                <w:sz w:val="20"/>
                <w:szCs w:val="20"/>
              </w:rPr>
              <w:instrText>‐</w:instrText>
            </w:r>
            <w:r w:rsidR="004A7B72">
              <w:rPr>
                <w:rFonts w:asciiTheme="minorBidi" w:hAnsiTheme="minorBidi" w:cstheme="minorBidi"/>
                <w:color w:val="000000" w:themeColor="text1"/>
                <w:sz w:val="20"/>
                <w:szCs w:val="20"/>
              </w:rPr>
              <w:instrText>Mai T.","non-dropping-particle":"","parse-names":false,"suffix":""},{"dropping-particle":"","family":"Gagnon","given":"David R.","non-dropping-particle":"","parse-names":false,"suffix":""},{"dropping-particle":"","family":"Wilson","given":"Peter W.F.","non-dropping-particle":"","parse-names":false,"suffix":""},{"dropping-particle":"","family":"Cho","given":"Kelly","non-dropping-particle":"","parse-names":false,"suffix":""},{"dropping-particle":"","family":"Gaziano","given":"J. Michael","non-dropping-particle":"","parse-names":false,"suffix":""},{"dropping-particle":"","family":"Halasz","given":"Ildiko","non-dropping-particle":"","parse-names":false,"suffix":""},{"dropping-particle":"","family":"Federman","given":"Daniel","non-dropping-particle":"","parse-names":false,"suffix":""},{"dropping-particle":"","family":"Beckham","given":"Jean","non-dropping-particle":"","parse-names":false,"suffix":""},{"dropping-particle":"","family":"Sherman","given":"Scott E.","non-dropping-particle":"","parse-names":false,"suffix":""},{"dropping-particle":"","family":"Sriram","given":"Peruvemba","non-dropping-particle":"","parse-names":false,"suffix":""},{"dropping-particle":"","family":"Tsao","given":"Philip S.","non-dropping-particle":"","parse-names":false,"suffix":""},{"dropping-particle":"","family":"Boyko","given":"Edward J.","non-dropping-particle":"","parse-names":false,"suffix":""},{"dropping-particle":"","family":"Xu","given":"Junzhe","non-dropping-particle":"","parse-names":false,"suffix":""},{"dropping-particle":"","family":"Lederle","given":"Frank","non-dropping-particle":"","parse-names":false,"suffix":""},{"dropping-particle":"","family":"Dellitalia","given":"Louis J.","non-dropping-particle":"","parse-names":false,"suffix":""},{"dropping-particle":"","family":"McArdle","given":"Rachel","non-dropping-particle":"","parse-names":false,"suffix":""},{"dropping-particle":"","family":"Kaminsky","given":"Laurence","non-dropping-particle":"","parse-names":false,"suffix":""},{"dropping-particle":"","family":"Swann","given":"Alan C.","non-dropping-particle":"","parse-names":false,"suffix":""},{"dropping-particle":"","family":"Hamner","given":"Mark B.","non-dropping-particle":"","parse-names":false,"suffix":""},{"dropping-particle":"","family":"Florez","given":"Hermes J.","non-dropping-particle":"","parse-names":false,"suffix":""},{"dropping-particle":"","family":"Pandya","given":"Prashant","non-dropping-particle":"","parse-names":false,"suffix":""},{"dropping-particle":"","family":"Villarreal","given":"Gerardo","non-dropping-particle":"","parse-names":false,"suffix":""},{"dropping-particle":"","family":"Wilson","given":"Peter","non-dropping-particle":"","parse-names":false,"suffix":""},{"dropping-particle":"","family":"Morgan","given":"Timothy R.","non-dropping-particle":"","parse-names":false,"suffix":""},{"dropping-particle":"","family":"Davis","given":"Lori","non-dropping-particle":"","parse-names":false,"suffix":""},{"dropping-particle":"","family":"Hurley","given":"Robin A.","non-dropping-particle":"","parse-names":false,"suffix":""},{"dropping-particle":"","family":"Meyer","given":"Laurence","non-dropping-particle":"","parse-names":false,"suffix":""},{"dropping-particle":"","family":"Ahuja","given":"Sunil K.","non-dropping-particle":"","parse-names":false,"suffix":""},{"dropping-particle":"","family":"Konicki","given":"Eric P.","non-dropping-particle":"","parse-names":false,"suffix":""},{"dropping-particle":"","family":"Cohen","given":"David","non-dropping-particle":"","parse-names":false,"suffix":""},{"dropping-particle":"","family":"Lichy","given":"Jack","non-dropping-particle":"","parse-names":false,"suffix":""},{"dropping-particle":"","family":"Whittle","given":"Jeffrey","non-dropping-particle":"","parse-names":false,"suffix":""},{"dropping-particle":"","family":"Haddock","given":"Kathlyn Sue","non-dropping-particle":"","parse-names":false,"suffix":""},{"dropping-particle":"","family":"Straub","given":"Karl D.","non-dropping-particle":"","parse-names":false,"suffix":""},{"dropping-particle":"","family":"Callaghan","given":"John T.","non-dropping-particle":"","parse-names":false,"suffix":""},{"dropping-particle":"","family":"Aguayo","given":"Samuel M.","non-dropping-particle":"","parse-names":false,"suffix":""},{"dropping-particle":"","family":"Gupta","given":"Samir","non-dropping-particle":"","parse-names":false,"suffix":""},{"dropping-particle":"","family":"Washburn","given":"Ronald G.","non-dropping-particle":"","parse-names":false,"suffix":""},{"dropping-particle":"","family":"Oehlert","given":"Mary E.","non-dropping-particle":"","parse-names":false,"suffix":""},{"dropping-particle":"","family":"Hung","given":"Adriana M.","non-dropping-particle":"","parse-names":false,"suffix":""},{"dropping-particle":"","family":"Wallbom","given":"Agnes","non-dropping-particle":"","parse-names":false,"suffix":""},{"dropping-particle":"","family":"Keith","given":"Robert","non-dropping-particle":"","parse-names":false,"suffix":""},{"dropping-particle":"","family":"Sonel","given":"Elif","non-dropping-particle":"","parse-names":false,"suffix":""},{"dropping-particle":"","family":"Schifman","given":"Ronald B.","non-dropping-particle":"","parse-names":false,"suffix":""},{"dropping-particle":"","family":"Childress","given":"Richard D.","non-dropping-particle":"","parse-names":false,"suffix":""},{"dropping-particle":"","family":"Godschalk","given":"Michael F.","non-dropping-particle":"","parse-names":false,"suffix":""},{"dropping-particle":"","family":"Shuldiner","given":"Alan R.","non-dropping-particle":"","parse-names":false,"suffix":""},{"dropping-particle":"","family":"Rastogi","given":"Padmashri","non-dropping-particle":"","parse-names":false,"suffix":""},{"dropping-particle":"","family":"Gutierrez","given":"Salvador","non-dropping-particle":"","parse-names":false,"suffix":""},{"dropping-particle":"","family":"Fernando","given":"Ronald","non-dropping-particle":"","parse-names":false,"suffix":""},{"dropping-particle":"","family":"Iruvanti","given":"Pran R.","non-dropping-particle":"","parse-names":false,"suffix":""},{"dropping-particle":"","family":"Jhala","given":"Darshana","non-dropping-particle":"","parse-names":false,"suffix":""},{"dropping-particle":"","family":"Rosado</w:instrText>
            </w:r>
            <w:r w:rsidR="004A7B72">
              <w:rPr>
                <w:rFonts w:ascii="Cambria Math" w:hAnsi="Cambria Math" w:cs="Cambria Math"/>
                <w:color w:val="000000" w:themeColor="text1"/>
                <w:sz w:val="20"/>
                <w:szCs w:val="20"/>
              </w:rPr>
              <w:instrText>‐</w:instrText>
            </w:r>
            <w:r w:rsidR="004A7B72">
              <w:rPr>
                <w:rFonts w:asciiTheme="minorBidi" w:hAnsiTheme="minorBidi" w:cstheme="minorBidi"/>
                <w:color w:val="000000" w:themeColor="text1"/>
                <w:sz w:val="20"/>
                <w:szCs w:val="20"/>
              </w:rPr>
              <w:instrText>Rodriguez","given":"Carlos","non-dropping-particle":"","parse-names":false,"suffix":""},{"dropping-particle":"","family":"Mastorides","given":"Stephen M.","non-dropping-particle":"","parse-names":false,"suffix":""},{"dropping-particle":"","family":"Harley","given":"John B.","non-dropping-particle":"","parse-names":false,"suffix":""},{"dropping-particle":"","family":"Mattocks","given":"Kristin","non-dropping-particle":"","parse-names":false,"suffix":""},{"dropping-particle":"","family":"Striker","given":"Robert T.","non-dropping-particle":"","parse-names":false,"suffix":""},{"dropping-particle":"","family":"Rauchman","given":"Michael","non-dropping-particle":"","parse-names":false,"suffix":""},{"dropping-particle":"","family":"Wells","given":"John","non-dropping-particle":"","parse-names":false,"suffix":""},{"dropping-particle":"","family":"Ballas","given":"Zuhair K.","non-dropping-particle":"","parse-names":false,"suffix":""},{"dropping-particle":"","family":"Woods","given":"Susan S.","non-dropping-particle":"","parse-names":false,"suffix":""},{"dropping-particle":"","family":"Yeh","given":"Shing","non-dropping-particle":"","parse-names":false,"suffix":""},{"dropping-particle":"","family":"Ratcliffe","given":"Nora R.","non-dropping-particle":"","parse-names":false,"suffix":""},{"dropping-particle":"","family":"Klein","given":"Jon B.","non-dropping-particle":"","parse-names":false,"suffix":""},{"dropping-particle":"","family":"Golden","given":"Adam G.","non-dropping-particle":"","parse-names":false,"suffix":""},{"dropping-particle":"","family":"Ginzburg","given":"Harold M.","non-dropping-particle":"","parse-names":false,"suffix":""},{"dropping-particle":"","family":"Sharma","given":"Satish","non-dropping-particle":"","parse-names":false,"suffix":""},{"dropping-particle":"","family":"Oursler","given":"Kris Ann K.","non-dropping-particle":"","parse-names":false,"suffix":""},{"dropping-particle":"","family":"Whooley","given":"Mary A.","non-dropping-particle":"","parse-names":false,"suffix":""},{"dropping-particle":"","family":"Gibson","given":"Gretchen","non-dropping-particle":"","parse-names":false,"suffix":""}],"container-title":"Journal of the American Heart Association","id":"ITEM-1","issue":"9","issued":{"date-parts":[["2018","5","21"]]},"page":"e008089","title":"DASH Score and Subsequent Risk of Coronary Artery Disease: The Findings From Million Veteran Program","type":"article-journal","volume":"7"},"uris":["http://www.mendeley.com/documents/?uuid=65463ea2-6657-3e84-8922-1f3d87444328"]}],"mendeley":{"formattedCitation":"(5)","plainTextFormattedCitation":"(5)","previouslyFormattedCitation":"(2)"},"properties":{"noteIndex":0},"schema":"https://github.com/citation-style-language/schema/raw/master/csl-citation.json"}</w:instrText>
            </w:r>
            <w:r w:rsidRPr="003754B5">
              <w:rPr>
                <w:rFonts w:asciiTheme="minorBidi" w:hAnsiTheme="minorBidi" w:cstheme="minorBidi"/>
                <w:color w:val="000000" w:themeColor="text1"/>
                <w:sz w:val="20"/>
                <w:szCs w:val="20"/>
              </w:rPr>
              <w:fldChar w:fldCharType="separate"/>
            </w:r>
            <w:r w:rsidR="004A7B72" w:rsidRPr="004A7B72">
              <w:rPr>
                <w:rFonts w:asciiTheme="minorBidi" w:hAnsiTheme="minorBidi" w:cstheme="minorBidi"/>
                <w:noProof/>
                <w:color w:val="000000" w:themeColor="text1"/>
                <w:sz w:val="20"/>
                <w:szCs w:val="20"/>
              </w:rPr>
              <w:t>(5)</w:t>
            </w:r>
            <w:r w:rsidRPr="003754B5">
              <w:rPr>
                <w:rFonts w:asciiTheme="minorBidi" w:hAnsiTheme="minorBidi" w:cstheme="minorBidi"/>
                <w:color w:val="000000" w:themeColor="text1"/>
                <w:sz w:val="20"/>
                <w:szCs w:val="20"/>
              </w:rPr>
              <w:fldChar w:fldCharType="end"/>
            </w:r>
            <w:r w:rsidRPr="003754B5">
              <w:rPr>
                <w:rFonts w:asciiTheme="minorBidi" w:hAnsiTheme="minorBidi" w:cstheme="minorBidi"/>
                <w:color w:val="000000" w:themeColor="text1"/>
                <w:sz w:val="20"/>
                <w:szCs w:val="20"/>
              </w:rPr>
              <w:t xml:space="preserve"> </w:t>
            </w:r>
          </w:p>
        </w:tc>
        <w:tc>
          <w:tcPr>
            <w:tcW w:w="1417" w:type="dxa"/>
          </w:tcPr>
          <w:p w14:paraId="152AF898" w14:textId="54F2CBF2" w:rsidR="00743B47" w:rsidRPr="005F4695" w:rsidRDefault="00743B47" w:rsidP="00743B47">
            <w:pPr>
              <w:rPr>
                <w:rFonts w:asciiTheme="minorBidi" w:hAnsiTheme="minorBidi" w:cstheme="minorBidi"/>
                <w:color w:val="000000" w:themeColor="text1"/>
                <w:sz w:val="20"/>
                <w:szCs w:val="20"/>
              </w:rPr>
            </w:pPr>
            <w:r w:rsidRPr="005F4695">
              <w:rPr>
                <w:rFonts w:asciiTheme="minorBidi" w:hAnsiTheme="minorBidi" w:cstheme="minorBidi"/>
                <w:color w:val="000000" w:themeColor="text1"/>
                <w:sz w:val="20"/>
                <w:szCs w:val="20"/>
              </w:rPr>
              <w:t>USA</w:t>
            </w:r>
          </w:p>
        </w:tc>
        <w:tc>
          <w:tcPr>
            <w:tcW w:w="1276" w:type="dxa"/>
          </w:tcPr>
          <w:p w14:paraId="2C8F9684" w14:textId="292D48F9" w:rsidR="00743B47" w:rsidRPr="005F4695" w:rsidRDefault="00743B47" w:rsidP="00743B47">
            <w:pPr>
              <w:rPr>
                <w:rFonts w:asciiTheme="minorBidi" w:hAnsiTheme="minorBidi" w:cstheme="minorBidi"/>
                <w:color w:val="000000" w:themeColor="text1"/>
                <w:sz w:val="20"/>
                <w:szCs w:val="20"/>
              </w:rPr>
            </w:pPr>
            <w:r w:rsidRPr="005F4695">
              <w:rPr>
                <w:rFonts w:asciiTheme="minorBidi" w:hAnsiTheme="minorBidi" w:cstheme="minorBidi"/>
                <w:color w:val="000000" w:themeColor="text1"/>
                <w:sz w:val="20"/>
                <w:szCs w:val="20"/>
              </w:rPr>
              <w:t>153802, adults      (64±12)</w:t>
            </w:r>
          </w:p>
        </w:tc>
        <w:tc>
          <w:tcPr>
            <w:tcW w:w="1559" w:type="dxa"/>
          </w:tcPr>
          <w:p w14:paraId="310ADECD" w14:textId="164B1599" w:rsidR="00743B47" w:rsidRPr="005F4695" w:rsidRDefault="00743B47" w:rsidP="00743B47">
            <w:pPr>
              <w:rPr>
                <w:rFonts w:asciiTheme="minorBidi" w:hAnsiTheme="minorBidi" w:cstheme="minorBidi"/>
                <w:color w:val="000000" w:themeColor="text1"/>
                <w:sz w:val="20"/>
                <w:szCs w:val="20"/>
              </w:rPr>
            </w:pPr>
            <w:r w:rsidRPr="005F4695">
              <w:rPr>
                <w:rFonts w:asciiTheme="minorBidi" w:hAnsiTheme="minorBidi" w:cstheme="minorBidi"/>
                <w:color w:val="000000" w:themeColor="text1"/>
                <w:sz w:val="20"/>
                <w:szCs w:val="20"/>
              </w:rPr>
              <w:t>FFQ         (Willett)</w:t>
            </w:r>
          </w:p>
          <w:p w14:paraId="1B8E21BE" w14:textId="77777777" w:rsidR="00743B47" w:rsidRPr="005F4695" w:rsidRDefault="00743B47" w:rsidP="00743B47">
            <w:pPr>
              <w:rPr>
                <w:rFonts w:asciiTheme="minorBidi" w:hAnsiTheme="minorBidi" w:cstheme="minorBidi"/>
                <w:color w:val="000000" w:themeColor="text1"/>
                <w:sz w:val="20"/>
                <w:szCs w:val="20"/>
              </w:rPr>
            </w:pPr>
          </w:p>
        </w:tc>
        <w:tc>
          <w:tcPr>
            <w:tcW w:w="1559" w:type="dxa"/>
          </w:tcPr>
          <w:p w14:paraId="36B13D0E" w14:textId="091226B5" w:rsidR="00743B47" w:rsidRPr="005F4695" w:rsidRDefault="00743B47" w:rsidP="00743B47">
            <w:pPr>
              <w:rPr>
                <w:rFonts w:asciiTheme="minorBidi" w:hAnsiTheme="minorBidi" w:cstheme="minorBidi"/>
                <w:color w:val="000000" w:themeColor="text1"/>
                <w:sz w:val="20"/>
                <w:szCs w:val="20"/>
              </w:rPr>
            </w:pPr>
            <w:r w:rsidRPr="005F4695">
              <w:rPr>
                <w:rFonts w:asciiTheme="minorBidi" w:hAnsiTheme="minorBidi" w:cstheme="minorBidi"/>
                <w:color w:val="000000" w:themeColor="text1"/>
                <w:sz w:val="20"/>
                <w:szCs w:val="20"/>
              </w:rPr>
              <w:t>Modified DASH score</w:t>
            </w:r>
          </w:p>
        </w:tc>
        <w:tc>
          <w:tcPr>
            <w:tcW w:w="5305" w:type="dxa"/>
          </w:tcPr>
          <w:p w14:paraId="5BBEABAC" w14:textId="77777777" w:rsidR="00743B47" w:rsidRPr="005F4695" w:rsidRDefault="00743B47" w:rsidP="00743B47">
            <w:pPr>
              <w:autoSpaceDE w:val="0"/>
              <w:autoSpaceDN w:val="0"/>
              <w:adjustRightInd w:val="0"/>
              <w:rPr>
                <w:rFonts w:asciiTheme="minorBidi" w:eastAsiaTheme="minorHAnsi" w:hAnsiTheme="minorBidi" w:cstheme="minorBidi"/>
                <w:color w:val="000000" w:themeColor="text1"/>
                <w:sz w:val="20"/>
                <w:szCs w:val="20"/>
              </w:rPr>
            </w:pPr>
            <w:r w:rsidRPr="005F4695">
              <w:rPr>
                <w:rFonts w:asciiTheme="minorBidi" w:hAnsiTheme="minorBidi" w:cstheme="minorBidi"/>
                <w:color w:val="000000" w:themeColor="text1"/>
                <w:sz w:val="20"/>
                <w:szCs w:val="20"/>
              </w:rPr>
              <w:t xml:space="preserve">7 (fruits, vegetables, nuts and legumes, low-fat dairy products, whole grain, sweetened beverages, and red and processed meats (no low sodium food included)), 1 to 5 with equal weight assigned to groups, </w:t>
            </w:r>
            <w:r w:rsidRPr="005F4695">
              <w:rPr>
                <w:rFonts w:asciiTheme="minorBidi" w:eastAsiaTheme="minorHAnsi" w:hAnsiTheme="minorBidi" w:cstheme="minorBidi"/>
                <w:color w:val="000000" w:themeColor="text1"/>
                <w:sz w:val="20"/>
                <w:szCs w:val="20"/>
              </w:rPr>
              <w:t>overall score ranged from 7 to 35 points</w:t>
            </w:r>
          </w:p>
          <w:p w14:paraId="4880236B" w14:textId="4F1E62BC" w:rsidR="00743B47" w:rsidRPr="005F4695" w:rsidRDefault="00743B47" w:rsidP="00743B47">
            <w:pPr>
              <w:autoSpaceDE w:val="0"/>
              <w:autoSpaceDN w:val="0"/>
              <w:adjustRightInd w:val="0"/>
              <w:rPr>
                <w:rFonts w:asciiTheme="minorBidi" w:eastAsiaTheme="minorHAnsi" w:hAnsiTheme="minorBidi" w:cstheme="minorBidi"/>
                <w:color w:val="000000" w:themeColor="text1"/>
                <w:sz w:val="20"/>
                <w:szCs w:val="20"/>
              </w:rPr>
            </w:pPr>
          </w:p>
        </w:tc>
      </w:tr>
      <w:tr w:rsidR="00743B47" w:rsidRPr="005F4695" w14:paraId="683BAA1B" w14:textId="77777777" w:rsidTr="00B20E43">
        <w:trPr>
          <w:trHeight w:val="388"/>
        </w:trPr>
        <w:tc>
          <w:tcPr>
            <w:tcW w:w="1555" w:type="dxa"/>
          </w:tcPr>
          <w:p w14:paraId="78294CB7" w14:textId="6D7B8968" w:rsidR="00743B47" w:rsidRPr="005F4695" w:rsidRDefault="00743B47" w:rsidP="00743B47">
            <w:pPr>
              <w:rPr>
                <w:rFonts w:asciiTheme="minorBidi" w:hAnsiTheme="minorBidi" w:cstheme="minorBidi"/>
                <w:color w:val="000000" w:themeColor="text1"/>
                <w:sz w:val="20"/>
                <w:szCs w:val="20"/>
                <w:lang w:val="en-GB" w:eastAsia="en-GB"/>
              </w:rPr>
            </w:pPr>
            <w:r w:rsidRPr="003754B5">
              <w:rPr>
                <w:rFonts w:asciiTheme="minorBidi" w:hAnsiTheme="minorBidi" w:cstheme="minorBidi"/>
                <w:color w:val="000000" w:themeColor="text1"/>
                <w:sz w:val="20"/>
                <w:szCs w:val="20"/>
                <w:lang w:val="en-GB" w:eastAsia="en-GB"/>
              </w:rPr>
              <w:t>Fung et al</w:t>
            </w:r>
            <w:r>
              <w:rPr>
                <w:rFonts w:asciiTheme="minorBidi" w:hAnsiTheme="minorBidi" w:cstheme="minorBidi"/>
                <w:color w:val="000000" w:themeColor="text1"/>
                <w:sz w:val="20"/>
                <w:szCs w:val="20"/>
                <w:lang w:val="en-GB" w:eastAsia="en-GB"/>
              </w:rPr>
              <w:t>, 2018</w:t>
            </w:r>
            <w:r w:rsidRPr="003754B5">
              <w:rPr>
                <w:rFonts w:asciiTheme="minorBidi" w:hAnsiTheme="minorBidi" w:cstheme="minorBidi"/>
                <w:color w:val="000000" w:themeColor="text1"/>
                <w:sz w:val="20"/>
                <w:szCs w:val="20"/>
                <w:lang w:val="en-GB" w:eastAsia="en-GB"/>
              </w:rPr>
              <w:t xml:space="preserve"> </w:t>
            </w:r>
            <w:r w:rsidRPr="003754B5">
              <w:rPr>
                <w:rFonts w:asciiTheme="minorBidi" w:hAnsiTheme="minorBidi" w:cstheme="minorBidi"/>
                <w:color w:val="000000" w:themeColor="text1"/>
                <w:sz w:val="20"/>
                <w:szCs w:val="20"/>
                <w:lang w:val="en-GB" w:eastAsia="en-GB"/>
              </w:rPr>
              <w:fldChar w:fldCharType="begin" w:fldLock="1"/>
            </w:r>
            <w:r w:rsidR="004A7B72">
              <w:rPr>
                <w:rFonts w:asciiTheme="minorBidi" w:hAnsiTheme="minorBidi" w:cstheme="minorBidi"/>
                <w:color w:val="000000" w:themeColor="text1"/>
                <w:sz w:val="20"/>
                <w:szCs w:val="20"/>
                <w:lang w:val="en-GB" w:eastAsia="en-GB"/>
              </w:rPr>
              <w:instrText>ADDIN CSL_CITATION {"citationItems":[{"id":"ITEM-1","itemData":{"DOI":"10.1093/ajcn/nqx015","ISSN":"1938-3207","PMID":"29381797","abstract":"Background Standard diet quality assessment tools, which measure micronutrient sufficiency and food consumption related to disease and applicable to different populations, are needed to track progress in meeting the Sustainable Development Goals related to hunger, food security, and nutrition. Diet quality scores have been constructed for high- and low-income countries, but none are simple to administer or applicable internationally. Objective We prospectively examined the association between the Food Group Index (FGI), the Minimal Diet Diversity Score for Women (MDDW), and a new Prime Diet Quality Score (PDQS), and the risk of ischemic heart disease (IHD) in 3 US cohorts. Design In total, 75,045 women (baseline age 43-63 y), 43,966 men (aged 40-75 y), and 93,131 younger women (aged 27-44 y) without a history of cardiovascular disease were followed up to 28 y. Diet was assessed multiple times using food frequency questionnaires and the 3 diet quality scores were computed for each individual. The association with IHD was modeled with Cox proportional hazard models, controlling for potential confounders. Results During follow-up, we ascertained 2908 incident IHD cases in the Nurses' Health Study, 3722 in the Health Professionals Follow-up Study, and 505 in the Nurses' Health Study II. The FGI was not associated with total IHD in any cohort. The PDQS was significantly associated with IHD in all 3 cohorts separately and the pooled RR for each SD increase was 0.89 (95% CI: 0.87, 0.91). This was significantly different than the pooled RR of 0.93 for MDDW (95% CI: 0.90, 0.96) and the RR of 0.98 for the FGI (95% CI: 0.95, 1.01). The association did not appear to differ by age. Conclusion We found that the PDQS with the most detailed differentiation of healthy and unhealthy foods was associated with a lower risk of IHD in a high-income country. On the other hand, diet quality scores that do not account for unhealthy foods had a limited association with IHD.","author":[{"dropping-particle":"","family":"Fung","given":"Teresa T","non-dropping-particle":"","parse-names":false,"suffix":""},{"dropping-particle":"","family":"Isanaka","given":"Sheila","non-dropping-particle":"","parse-names":false,"suffix":""},{"dropping-particle":"","family":"Hu","given":"Frank B","non-dropping-particle":"","parse-names":false,"suffix":""},{"dropping-particle":"","family":"Willett","given":"Walter C","non-dropping-particle":"","parse-names":false,"suffix":""}],"container-title":"The American journal of clinical nutrition","id":"ITEM-1","issue":"1","issued":{"date-parts":[["2018","1","1"]]},"page":"120-129","title":"International food group-based diet quality and risk of coronary heart disease in men and women.","type":"article-journal","volume":"107"},"uris":["http://www.mendeley.com/documents/?uuid=f21494a4-8359-3aa4-a4e7-463c17b7fd41","http://www.mendeley.com/documents/?uuid=daaeeed9-9870-4b88-8ae6-5fcb66e7a8b0"]}],"mendeley":{"formattedCitation":"(6)","plainTextFormattedCitation":"(6)","previouslyFormattedCitation":"(3)"},"properties":{"noteIndex":0},"schema":"https://github.com/citation-style-language/schema/raw/master/csl-citation.json"}</w:instrText>
            </w:r>
            <w:r w:rsidRPr="003754B5">
              <w:rPr>
                <w:rFonts w:asciiTheme="minorBidi" w:hAnsiTheme="minorBidi" w:cstheme="minorBidi"/>
                <w:color w:val="000000" w:themeColor="text1"/>
                <w:sz w:val="20"/>
                <w:szCs w:val="20"/>
                <w:lang w:val="en-GB" w:eastAsia="en-GB"/>
              </w:rPr>
              <w:fldChar w:fldCharType="separate"/>
            </w:r>
            <w:r w:rsidR="004A7B72" w:rsidRPr="004A7B72">
              <w:rPr>
                <w:rFonts w:asciiTheme="minorBidi" w:hAnsiTheme="minorBidi" w:cstheme="minorBidi"/>
                <w:noProof/>
                <w:color w:val="000000" w:themeColor="text1"/>
                <w:sz w:val="20"/>
                <w:szCs w:val="20"/>
                <w:lang w:val="en-GB" w:eastAsia="en-GB"/>
              </w:rPr>
              <w:t>(6)</w:t>
            </w:r>
            <w:r w:rsidRPr="003754B5">
              <w:rPr>
                <w:rFonts w:asciiTheme="minorBidi" w:hAnsiTheme="minorBidi" w:cstheme="minorBidi"/>
                <w:color w:val="000000" w:themeColor="text1"/>
                <w:sz w:val="20"/>
                <w:szCs w:val="20"/>
                <w:lang w:val="en-GB" w:eastAsia="en-GB"/>
              </w:rPr>
              <w:fldChar w:fldCharType="end"/>
            </w:r>
          </w:p>
        </w:tc>
        <w:tc>
          <w:tcPr>
            <w:tcW w:w="1417" w:type="dxa"/>
          </w:tcPr>
          <w:p w14:paraId="63710456" w14:textId="7F8C56E4"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lang w:val="en-GB" w:eastAsia="en-GB"/>
              </w:rPr>
              <w:t>USA</w:t>
            </w:r>
          </w:p>
        </w:tc>
        <w:tc>
          <w:tcPr>
            <w:tcW w:w="1276" w:type="dxa"/>
          </w:tcPr>
          <w:p w14:paraId="01C03AD3" w14:textId="45EE783E"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lang w:val="en-GB" w:eastAsia="en-GB"/>
              </w:rPr>
              <w:t>212142, adults       (25-75)</w:t>
            </w:r>
          </w:p>
        </w:tc>
        <w:tc>
          <w:tcPr>
            <w:tcW w:w="1559" w:type="dxa"/>
          </w:tcPr>
          <w:p w14:paraId="469D737D" w14:textId="6887AF79"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lang w:val="en-GB" w:eastAsia="en-GB"/>
              </w:rPr>
              <w:t>FFQ           (135 items)</w:t>
            </w:r>
          </w:p>
        </w:tc>
        <w:tc>
          <w:tcPr>
            <w:tcW w:w="1559" w:type="dxa"/>
          </w:tcPr>
          <w:p w14:paraId="21645D27" w14:textId="0C0F5978"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sz w:val="20"/>
                <w:szCs w:val="20"/>
              </w:rPr>
              <w:t>Comparison: Food Group Index (FGI), Minimal Diet Diversity Score for Women (MDDS),  Prime Diet Quality score (PQDS)</w:t>
            </w:r>
          </w:p>
        </w:tc>
        <w:tc>
          <w:tcPr>
            <w:tcW w:w="5305" w:type="dxa"/>
          </w:tcPr>
          <w:p w14:paraId="515DAE8A" w14:textId="77777777" w:rsidR="00743B47" w:rsidRPr="005F4695" w:rsidRDefault="00743B47" w:rsidP="00743B47">
            <w:pPr>
              <w:autoSpaceDE w:val="0"/>
              <w:autoSpaceDN w:val="0"/>
              <w:adjustRightInd w:val="0"/>
              <w:rPr>
                <w:rFonts w:asciiTheme="minorBidi" w:hAnsiTheme="minorBidi" w:cstheme="minorBidi"/>
                <w:color w:val="000000" w:themeColor="text1"/>
                <w:sz w:val="20"/>
                <w:szCs w:val="20"/>
              </w:rPr>
            </w:pPr>
            <w:r w:rsidRPr="005F4695">
              <w:rPr>
                <w:rFonts w:asciiTheme="minorBidi" w:hAnsiTheme="minorBidi" w:cstheme="minorBidi"/>
                <w:color w:val="000000" w:themeColor="text1"/>
                <w:sz w:val="20"/>
                <w:szCs w:val="20"/>
              </w:rPr>
              <w:t>FGI: 8 (fruits and vegetables, legumes and nuts, animal flesh (red, processed, poultry, fish), eggs, dairy,</w:t>
            </w:r>
          </w:p>
          <w:p w14:paraId="11FDCE29" w14:textId="77777777" w:rsidR="00743B47" w:rsidRPr="005F4695" w:rsidRDefault="00743B47" w:rsidP="00743B47">
            <w:pPr>
              <w:autoSpaceDE w:val="0"/>
              <w:autoSpaceDN w:val="0"/>
              <w:adjustRightInd w:val="0"/>
              <w:rPr>
                <w:rFonts w:asciiTheme="minorBidi" w:hAnsiTheme="minorBidi" w:cstheme="minorBidi"/>
                <w:color w:val="000000" w:themeColor="text1"/>
                <w:sz w:val="20"/>
                <w:szCs w:val="20"/>
              </w:rPr>
            </w:pPr>
            <w:r w:rsidRPr="005F4695">
              <w:rPr>
                <w:rFonts w:asciiTheme="minorBidi" w:hAnsiTheme="minorBidi" w:cstheme="minorBidi"/>
                <w:color w:val="000000" w:themeColor="text1"/>
                <w:sz w:val="20"/>
                <w:szCs w:val="20"/>
              </w:rPr>
              <w:t>grains and roots, vegetables with &gt;130 RE/100 g, and added fats and oils), 0 to 1 with equal weight assigned to groups, overall score ranged from 0 to 8 points</w:t>
            </w:r>
          </w:p>
          <w:p w14:paraId="50DAAF32" w14:textId="77777777" w:rsidR="00743B47" w:rsidRPr="005F4695" w:rsidRDefault="00743B47" w:rsidP="00743B47">
            <w:pPr>
              <w:autoSpaceDE w:val="0"/>
              <w:autoSpaceDN w:val="0"/>
              <w:adjustRightInd w:val="0"/>
              <w:rPr>
                <w:rFonts w:asciiTheme="minorBidi" w:hAnsiTheme="minorBidi" w:cstheme="minorBidi"/>
                <w:color w:val="000000" w:themeColor="text1"/>
                <w:sz w:val="20"/>
                <w:szCs w:val="20"/>
              </w:rPr>
            </w:pPr>
            <w:r w:rsidRPr="005F4695">
              <w:rPr>
                <w:rFonts w:asciiTheme="minorBidi" w:hAnsiTheme="minorBidi" w:cstheme="minorBidi"/>
                <w:color w:val="000000" w:themeColor="text1"/>
                <w:sz w:val="20"/>
                <w:szCs w:val="20"/>
              </w:rPr>
              <w:t>MDDW: 10 (grains and starchy vegetables, pulses, nuts and seeds, dairy, animal flesh, eggs, dark green</w:t>
            </w:r>
          </w:p>
          <w:p w14:paraId="707FE2C2" w14:textId="77777777" w:rsidR="00743B47" w:rsidRPr="005F4695" w:rsidRDefault="00743B47" w:rsidP="00743B47">
            <w:pPr>
              <w:autoSpaceDE w:val="0"/>
              <w:autoSpaceDN w:val="0"/>
              <w:adjustRightInd w:val="0"/>
              <w:rPr>
                <w:rFonts w:asciiTheme="minorBidi" w:hAnsiTheme="minorBidi" w:cstheme="minorBidi"/>
                <w:color w:val="000000" w:themeColor="text1"/>
                <w:sz w:val="20"/>
                <w:szCs w:val="20"/>
              </w:rPr>
            </w:pPr>
            <w:r w:rsidRPr="005F4695">
              <w:rPr>
                <w:rFonts w:asciiTheme="minorBidi" w:hAnsiTheme="minorBidi" w:cstheme="minorBidi"/>
                <w:color w:val="000000" w:themeColor="text1"/>
                <w:sz w:val="20"/>
                <w:szCs w:val="20"/>
              </w:rPr>
              <w:t>leafy vegetables, vitamin A–rich vegetables and fruits, other vegetables, other fruits), 1 to 5 with equal weight assigned to groups, overall score ranged from 0 to 10 points</w:t>
            </w:r>
          </w:p>
          <w:p w14:paraId="1A32D285" w14:textId="77777777" w:rsidR="00743B47" w:rsidRPr="005F4695" w:rsidRDefault="00743B47" w:rsidP="00743B47">
            <w:pPr>
              <w:rPr>
                <w:rFonts w:asciiTheme="minorBidi" w:hAnsiTheme="minorBidi" w:cstheme="minorBidi"/>
                <w:color w:val="000000" w:themeColor="text1"/>
                <w:sz w:val="20"/>
                <w:szCs w:val="20"/>
              </w:rPr>
            </w:pPr>
            <w:r w:rsidRPr="005F4695">
              <w:rPr>
                <w:rFonts w:asciiTheme="minorBidi" w:hAnsiTheme="minorBidi" w:cstheme="minorBidi"/>
                <w:color w:val="000000" w:themeColor="text1"/>
                <w:sz w:val="20"/>
                <w:szCs w:val="20"/>
              </w:rPr>
              <w:t>PDQS: 21(healthy-positive: dark leafy green vegetables, cruciferous vegetables, carrots, other vegetables, whole citrus fruits, other whole fruits, legumes, nuts, poultry, fish, eggs, whole grains, and liquid vegetable oils, unhealthy-negative: red meat, potatoes, processed meat, whole milk dairy, refined grains and baked goods, sugar sweetened beverages, fried foods</w:t>
            </w:r>
          </w:p>
          <w:p w14:paraId="22566A60" w14:textId="3CCCDC79" w:rsidR="00743B47" w:rsidRPr="005F4695" w:rsidRDefault="00743B47" w:rsidP="00743B47">
            <w:pPr>
              <w:rPr>
                <w:rFonts w:asciiTheme="minorBidi" w:hAnsiTheme="minorBidi" w:cstheme="minorBidi"/>
                <w:color w:val="000000" w:themeColor="text1"/>
                <w:sz w:val="20"/>
                <w:szCs w:val="20"/>
                <w:lang w:val="en-GB" w:eastAsia="en-GB"/>
              </w:rPr>
            </w:pPr>
          </w:p>
        </w:tc>
      </w:tr>
      <w:tr w:rsidR="00743B47" w:rsidRPr="005F4695" w14:paraId="20296708" w14:textId="77777777" w:rsidTr="00B20E43">
        <w:trPr>
          <w:trHeight w:val="388"/>
        </w:trPr>
        <w:tc>
          <w:tcPr>
            <w:tcW w:w="1555" w:type="dxa"/>
          </w:tcPr>
          <w:p w14:paraId="37DEF9B6" w14:textId="21FECAFC" w:rsidR="00743B47" w:rsidRPr="005F4695" w:rsidRDefault="00743B47" w:rsidP="00743B47">
            <w:pPr>
              <w:rPr>
                <w:rFonts w:asciiTheme="minorBidi" w:hAnsiTheme="minorBidi" w:cstheme="minorBidi"/>
                <w:color w:val="000000" w:themeColor="text1"/>
                <w:sz w:val="20"/>
                <w:szCs w:val="20"/>
              </w:rPr>
            </w:pPr>
            <w:r w:rsidRPr="003754B5">
              <w:rPr>
                <w:rFonts w:asciiTheme="minorBidi" w:hAnsiTheme="minorBidi" w:cstheme="minorBidi"/>
                <w:color w:val="000000" w:themeColor="text1"/>
                <w:sz w:val="20"/>
                <w:szCs w:val="20"/>
              </w:rPr>
              <w:lastRenderedPageBreak/>
              <w:t>Satija et al</w:t>
            </w:r>
            <w:r>
              <w:rPr>
                <w:rFonts w:asciiTheme="minorBidi" w:hAnsiTheme="minorBidi" w:cstheme="minorBidi"/>
                <w:color w:val="000000" w:themeColor="text1"/>
                <w:sz w:val="20"/>
                <w:szCs w:val="20"/>
              </w:rPr>
              <w:t>, 2017</w:t>
            </w:r>
            <w:r w:rsidRPr="003754B5">
              <w:rPr>
                <w:rFonts w:asciiTheme="minorBidi" w:hAnsiTheme="minorBidi" w:cstheme="minorBidi"/>
                <w:color w:val="000000" w:themeColor="text1"/>
                <w:sz w:val="20"/>
                <w:szCs w:val="20"/>
              </w:rPr>
              <w:t xml:space="preserve"> </w:t>
            </w:r>
            <w:r w:rsidRPr="003754B5">
              <w:rPr>
                <w:rFonts w:asciiTheme="minorBidi" w:hAnsiTheme="minorBidi" w:cstheme="minorBidi"/>
                <w:color w:val="000000" w:themeColor="text1"/>
                <w:sz w:val="20"/>
                <w:szCs w:val="20"/>
              </w:rPr>
              <w:fldChar w:fldCharType="begin" w:fldLock="1"/>
            </w:r>
            <w:r w:rsidR="004A7B72">
              <w:rPr>
                <w:rFonts w:asciiTheme="minorBidi" w:hAnsiTheme="minorBidi" w:cstheme="minorBidi"/>
                <w:color w:val="000000" w:themeColor="text1"/>
                <w:sz w:val="20"/>
                <w:szCs w:val="20"/>
              </w:rPr>
              <w:instrText>ADDIN CSL_CITATION {"citationItems":[{"id":"ITEM-1","itemData":{"DOI":"10.1016/j.jacc.2017.05.047","ISSN":"07351097","PMID":"28728684","abstract":"BACKGROUND Plant-based diets are recommended for coronary heart disease (CHD) prevention. However, not all plant foods are necessarily beneficial for health. OBJECTIVES This study sought to examine associations between plant-based diet indices and CHD incidence. METHODS We included 73,710 women in NHS (Nurses' Health Study) (1984 to 2012), 92,329 women in NHS2 (1991 to 2013), and 43,259 men in Health Professionals Follow-up Study (1986 to 2012), free of chronic diseases at baseline. We created an overall plant-based diet index (PDI) from repeated semiquantitative food-frequency questionnaire data, by assigning positive scores to plant foods and reverse scores to animal foods. We also created a healthful plant-based diet index (hPDI) where healthy plant foods (whole grains, fruits/vegetables, nuts/legumes, oils, tea/coffee) received positive scores, whereas less-healthy plant foods (juices/sweetened beverages, refined grains, potatoes/fries, sweets) and animal foods received reverse scores. To create an unhealthful PDI (uPDI), we gave positive scores to less-healthy plant foods and reverse scores to animal and healthy plant foods. RESULTS Over 4,833,042 person-years of follow-up, we documented 8,631 incident CHD cases. In pooled multivariable analysis, higher adherence to PDI was independently inversely associated with CHD (hazard ratio [HR] comparing extreme deciles: 0.92; 95% confidence interval [CI]: 0.83 to 1.01; p trend = 0.003). This inverse association was stronger for hDPI (HR: 0.75; 95% CI: 0.68 to 0.83; p trend &lt;0.001). Conversely, uPDI was positively associated with CHD (HR: 1.32; 95% CI: 1.20 to 1.46; p trend &lt;0.001). CONCLUSIONS Higher intake of a plant-based diet index rich in healthier plant foods is associated with substantially lower CHD risk, whereas a plant-based diet index that emphasizes less-healthy plant foods is associated with higher CHD risk.","author":[{"dropping-particle":"","family":"Satija","given":"Ambika","non-dropping-particle":"","parse-names":false,"suffix":""},{"dropping-particle":"","family":"Bhupathiraju","given":"Shilpa N.","non-dropping-particle":"","parse-names":false,"suffix":""},{"dropping-particle":"","family":"Spiegelman","given":"Donna","non-dropping-particle":"","parse-names":false,"suffix":""},{"dropping-particle":"","family":"Chiuve","given":"Stephanie E.","non-dropping-particle":"","parse-names":false,"suffix":""},{"dropping-particle":"","family":"Manson","given":"JoAnn E.","non-dropping-particle":"","parse-names":false,"suffix":""},{"dropping-particle":"","family":"Willett","given":"Walter","non-dropping-particle":"","parse-names":false,"suffix":""},{"dropping-particle":"","family":"Rexrode","given":"Kathryn M.","non-dropping-particle":"","parse-names":false,"suffix":""},{"dropping-particle":"","family":"Rimm","given":"Eric B.","non-dropping-particle":"","parse-names":false,"suffix":""},{"dropping-particle":"","family":"Hu","given":"Frank B.","non-dropping-particle":"","parse-names":false,"suffix":""}],"container-title":"Journal of the American College of Cardiology","id":"ITEM-1","issue":"4","issued":{"date-parts":[["2017","7","25"]]},"page":"411-422","title":"Healthful and Unhealthful Plant-Based Diets and the Risk of Coronary Heart Disease in U.S. Adults","type":"article-journal","volume":"70"},"uris":["http://www.mendeley.com/documents/?uuid=b65a677c-9eb7-3388-a1e5-0d6682432a87"]}],"mendeley":{"formattedCitation":"(7)","plainTextFormattedCitation":"(7)","previouslyFormattedCitation":"(4)"},"properties":{"noteIndex":0},"schema":"https://github.com/citation-style-language/schema/raw/master/csl-citation.json"}</w:instrText>
            </w:r>
            <w:r w:rsidRPr="003754B5">
              <w:rPr>
                <w:rFonts w:asciiTheme="minorBidi" w:hAnsiTheme="minorBidi" w:cstheme="minorBidi"/>
                <w:color w:val="000000" w:themeColor="text1"/>
                <w:sz w:val="20"/>
                <w:szCs w:val="20"/>
              </w:rPr>
              <w:fldChar w:fldCharType="separate"/>
            </w:r>
            <w:r w:rsidR="004A7B72" w:rsidRPr="004A7B72">
              <w:rPr>
                <w:rFonts w:asciiTheme="minorBidi" w:hAnsiTheme="minorBidi" w:cstheme="minorBidi"/>
                <w:noProof/>
                <w:color w:val="000000" w:themeColor="text1"/>
                <w:sz w:val="20"/>
                <w:szCs w:val="20"/>
              </w:rPr>
              <w:t>(7)</w:t>
            </w:r>
            <w:r w:rsidRPr="003754B5">
              <w:rPr>
                <w:rFonts w:asciiTheme="minorBidi" w:hAnsiTheme="minorBidi" w:cstheme="minorBidi"/>
                <w:color w:val="000000" w:themeColor="text1"/>
                <w:sz w:val="20"/>
                <w:szCs w:val="20"/>
              </w:rPr>
              <w:fldChar w:fldCharType="end"/>
            </w:r>
          </w:p>
        </w:tc>
        <w:tc>
          <w:tcPr>
            <w:tcW w:w="1417" w:type="dxa"/>
          </w:tcPr>
          <w:p w14:paraId="001E999B" w14:textId="6FD3D12C" w:rsidR="00743B47" w:rsidRPr="005F4695" w:rsidRDefault="00743B47" w:rsidP="00743B47">
            <w:pPr>
              <w:rPr>
                <w:rFonts w:asciiTheme="minorBidi" w:hAnsiTheme="minorBidi" w:cstheme="minorBidi"/>
                <w:color w:val="000000" w:themeColor="text1"/>
                <w:sz w:val="20"/>
                <w:szCs w:val="20"/>
              </w:rPr>
            </w:pPr>
            <w:r w:rsidRPr="005F4695">
              <w:rPr>
                <w:rFonts w:asciiTheme="minorBidi" w:hAnsiTheme="minorBidi" w:cstheme="minorBidi"/>
                <w:color w:val="000000" w:themeColor="text1"/>
                <w:sz w:val="20"/>
                <w:szCs w:val="20"/>
              </w:rPr>
              <w:t>USA</w:t>
            </w:r>
          </w:p>
        </w:tc>
        <w:tc>
          <w:tcPr>
            <w:tcW w:w="1276" w:type="dxa"/>
          </w:tcPr>
          <w:p w14:paraId="7E0FBF45" w14:textId="2B04363B" w:rsidR="00743B47" w:rsidRPr="005F4695" w:rsidRDefault="00743B47" w:rsidP="00743B47">
            <w:pPr>
              <w:autoSpaceDE w:val="0"/>
              <w:autoSpaceDN w:val="0"/>
              <w:adjustRightInd w:val="0"/>
              <w:rPr>
                <w:rFonts w:asciiTheme="minorBidi" w:eastAsiaTheme="minorHAnsi" w:hAnsiTheme="minorBidi" w:cstheme="minorBidi"/>
                <w:color w:val="000000" w:themeColor="text1"/>
                <w:sz w:val="20"/>
                <w:szCs w:val="20"/>
              </w:rPr>
            </w:pPr>
            <w:r w:rsidRPr="005F4695">
              <w:rPr>
                <w:rFonts w:asciiTheme="minorBidi" w:eastAsiaTheme="minorHAnsi" w:hAnsiTheme="minorBidi" w:cstheme="minorBidi"/>
                <w:color w:val="000000" w:themeColor="text1"/>
                <w:sz w:val="20"/>
                <w:szCs w:val="20"/>
              </w:rPr>
              <w:t xml:space="preserve">NHS I: 121701, women   (30-55) </w:t>
            </w:r>
          </w:p>
          <w:p w14:paraId="3D29C4C2" w14:textId="6A3C6A31" w:rsidR="00743B47" w:rsidRPr="005F4695" w:rsidRDefault="00743B47" w:rsidP="00743B47">
            <w:pPr>
              <w:autoSpaceDE w:val="0"/>
              <w:autoSpaceDN w:val="0"/>
              <w:adjustRightInd w:val="0"/>
              <w:rPr>
                <w:rFonts w:asciiTheme="minorBidi" w:eastAsiaTheme="minorHAnsi" w:hAnsiTheme="minorBidi" w:cstheme="minorBidi"/>
                <w:color w:val="000000" w:themeColor="text1"/>
                <w:sz w:val="20"/>
                <w:szCs w:val="20"/>
              </w:rPr>
            </w:pPr>
            <w:r w:rsidRPr="005F4695">
              <w:rPr>
                <w:rFonts w:asciiTheme="minorBidi" w:eastAsiaTheme="minorHAnsi" w:hAnsiTheme="minorBidi" w:cstheme="minorBidi"/>
                <w:color w:val="000000" w:themeColor="text1"/>
                <w:sz w:val="20"/>
                <w:szCs w:val="20"/>
              </w:rPr>
              <w:t xml:space="preserve">NHS II: 116686, women   (25-42) </w:t>
            </w:r>
          </w:p>
          <w:p w14:paraId="30F784A9" w14:textId="5BA1369F" w:rsidR="00743B47" w:rsidRPr="005F4695" w:rsidRDefault="00743B47" w:rsidP="00743B47">
            <w:pPr>
              <w:rPr>
                <w:rFonts w:asciiTheme="minorBidi" w:hAnsiTheme="minorBidi" w:cstheme="minorBidi"/>
                <w:color w:val="000000" w:themeColor="text1"/>
                <w:sz w:val="20"/>
                <w:szCs w:val="20"/>
              </w:rPr>
            </w:pPr>
            <w:r w:rsidRPr="005F4695">
              <w:rPr>
                <w:rFonts w:asciiTheme="minorBidi" w:eastAsiaTheme="minorHAnsi" w:hAnsiTheme="minorBidi" w:cstheme="minorBidi"/>
                <w:color w:val="000000" w:themeColor="text1"/>
                <w:sz w:val="20"/>
                <w:szCs w:val="20"/>
              </w:rPr>
              <w:t>HPFS: 51529, men       (40-75)</w:t>
            </w:r>
          </w:p>
        </w:tc>
        <w:tc>
          <w:tcPr>
            <w:tcW w:w="1559" w:type="dxa"/>
          </w:tcPr>
          <w:p w14:paraId="22A90776" w14:textId="02A4EB84" w:rsidR="00743B47" w:rsidRPr="005F4695" w:rsidRDefault="00743B47" w:rsidP="00743B47">
            <w:pPr>
              <w:rPr>
                <w:rFonts w:asciiTheme="minorBidi" w:hAnsiTheme="minorBidi" w:cstheme="minorBidi"/>
                <w:color w:val="000000" w:themeColor="text1"/>
                <w:sz w:val="20"/>
                <w:szCs w:val="20"/>
              </w:rPr>
            </w:pPr>
            <w:r w:rsidRPr="005F4695">
              <w:rPr>
                <w:rFonts w:asciiTheme="minorBidi" w:hAnsiTheme="minorBidi" w:cstheme="minorBidi"/>
                <w:color w:val="000000" w:themeColor="text1"/>
                <w:sz w:val="20"/>
                <w:szCs w:val="20"/>
              </w:rPr>
              <w:t>FFQ          (130 items, every 2-4 y)</w:t>
            </w:r>
          </w:p>
        </w:tc>
        <w:tc>
          <w:tcPr>
            <w:tcW w:w="1559" w:type="dxa"/>
          </w:tcPr>
          <w:p w14:paraId="49900758" w14:textId="29EA7BB3" w:rsidR="00743B47" w:rsidRPr="005F4695" w:rsidRDefault="00743B47" w:rsidP="00743B47">
            <w:pPr>
              <w:rPr>
                <w:rFonts w:asciiTheme="minorBidi" w:hAnsiTheme="minorBidi" w:cstheme="minorBidi"/>
                <w:color w:val="000000" w:themeColor="text1"/>
                <w:sz w:val="20"/>
                <w:szCs w:val="20"/>
              </w:rPr>
            </w:pPr>
            <w:r w:rsidRPr="005F4695">
              <w:rPr>
                <w:rFonts w:asciiTheme="minorBidi" w:hAnsiTheme="minorBidi" w:cstheme="minorBidi"/>
                <w:sz w:val="20"/>
                <w:szCs w:val="20"/>
              </w:rPr>
              <w:t>Plant-based diet index (PDI), healthy-PDI, unhealthy-PDI</w:t>
            </w:r>
            <w:r w:rsidRPr="005F4695">
              <w:rPr>
                <w:rFonts w:asciiTheme="minorBidi" w:hAnsiTheme="minorBidi" w:cstheme="minorBidi"/>
                <w:color w:val="000000" w:themeColor="text1"/>
                <w:sz w:val="20"/>
                <w:szCs w:val="20"/>
              </w:rPr>
              <w:t xml:space="preserve"> </w:t>
            </w:r>
          </w:p>
        </w:tc>
        <w:tc>
          <w:tcPr>
            <w:tcW w:w="5305" w:type="dxa"/>
          </w:tcPr>
          <w:p w14:paraId="35768DC4" w14:textId="5FB93BE4" w:rsidR="00743B47" w:rsidRPr="005F4695" w:rsidRDefault="00743B47" w:rsidP="00743B47">
            <w:pPr>
              <w:rPr>
                <w:rFonts w:asciiTheme="minorBidi" w:hAnsiTheme="minorBidi" w:cstheme="minorBidi"/>
                <w:color w:val="000000" w:themeColor="text1"/>
                <w:sz w:val="20"/>
                <w:szCs w:val="20"/>
              </w:rPr>
            </w:pPr>
            <w:r w:rsidRPr="005F4695">
              <w:rPr>
                <w:rFonts w:asciiTheme="minorBidi" w:hAnsiTheme="minorBidi" w:cstheme="minorBidi"/>
                <w:color w:val="000000" w:themeColor="text1"/>
                <w:sz w:val="20"/>
                <w:szCs w:val="20"/>
              </w:rPr>
              <w:t xml:space="preserve">18 (PDI: plant food groups given positive scores, and animal food groups given reverse scores, hPDI: positive scores given to healthy plant food groups and reverse scores to less healthy plant food groups and animal food groups, </w:t>
            </w:r>
            <w:r w:rsidRPr="005F4695">
              <w:rPr>
                <w:rFonts w:asciiTheme="minorBidi" w:eastAsiaTheme="minorHAnsi" w:hAnsiTheme="minorBidi" w:cstheme="minorBidi"/>
                <w:color w:val="000000" w:themeColor="text1"/>
                <w:sz w:val="20"/>
                <w:szCs w:val="20"/>
              </w:rPr>
              <w:t xml:space="preserve">uPDI: positive scores given to less healthy plant food groups and reverse scores to healthy plant food groups and animal food groups), 1 to 5 </w:t>
            </w:r>
            <w:r w:rsidRPr="005F4695">
              <w:rPr>
                <w:rFonts w:asciiTheme="minorBidi" w:hAnsiTheme="minorBidi" w:cstheme="minorBidi"/>
                <w:color w:val="000000" w:themeColor="text1"/>
                <w:sz w:val="20"/>
                <w:szCs w:val="20"/>
              </w:rPr>
              <w:t>with equal weight assigned to groups</w:t>
            </w:r>
            <w:r w:rsidRPr="005F4695">
              <w:rPr>
                <w:rFonts w:asciiTheme="minorBidi" w:eastAsiaTheme="minorHAnsi" w:hAnsiTheme="minorBidi" w:cstheme="minorBidi"/>
                <w:color w:val="000000" w:themeColor="text1"/>
                <w:sz w:val="20"/>
                <w:szCs w:val="20"/>
              </w:rPr>
              <w:t>, scores were summed to obtain overall score</w:t>
            </w:r>
          </w:p>
        </w:tc>
      </w:tr>
      <w:tr w:rsidR="00743B47" w:rsidRPr="005F4695" w14:paraId="5B14FF6C" w14:textId="77777777" w:rsidTr="00B20E43">
        <w:trPr>
          <w:trHeight w:val="388"/>
        </w:trPr>
        <w:tc>
          <w:tcPr>
            <w:tcW w:w="1555" w:type="dxa"/>
          </w:tcPr>
          <w:p w14:paraId="0BA3B5C7" w14:textId="6A91E47D" w:rsidR="00743B47" w:rsidRPr="005F4695" w:rsidRDefault="00743B47" w:rsidP="00743B47">
            <w:pPr>
              <w:rPr>
                <w:rFonts w:asciiTheme="minorBidi" w:hAnsiTheme="minorBidi" w:cstheme="minorBidi"/>
                <w:color w:val="000000" w:themeColor="text1"/>
                <w:sz w:val="20"/>
                <w:szCs w:val="20"/>
              </w:rPr>
            </w:pPr>
            <w:r w:rsidRPr="003754B5">
              <w:rPr>
                <w:rFonts w:asciiTheme="minorBidi" w:hAnsiTheme="minorBidi" w:cstheme="minorBidi"/>
                <w:color w:val="000000" w:themeColor="text1"/>
                <w:sz w:val="20"/>
                <w:szCs w:val="20"/>
              </w:rPr>
              <w:t>Shivappa et al</w:t>
            </w:r>
            <w:r>
              <w:rPr>
                <w:rFonts w:asciiTheme="minorBidi" w:hAnsiTheme="minorBidi" w:cstheme="minorBidi"/>
                <w:color w:val="000000" w:themeColor="text1"/>
                <w:sz w:val="20"/>
                <w:szCs w:val="20"/>
              </w:rPr>
              <w:t>, 2017</w:t>
            </w:r>
            <w:r w:rsidRPr="003754B5">
              <w:rPr>
                <w:rFonts w:asciiTheme="minorBidi" w:hAnsiTheme="minorBidi" w:cstheme="minorBidi"/>
                <w:color w:val="000000" w:themeColor="text1"/>
                <w:sz w:val="20"/>
                <w:szCs w:val="20"/>
              </w:rPr>
              <w:t xml:space="preserve"> </w:t>
            </w:r>
            <w:r w:rsidRPr="003754B5">
              <w:rPr>
                <w:rFonts w:asciiTheme="minorBidi" w:hAnsiTheme="minorBidi" w:cstheme="minorBidi"/>
                <w:color w:val="000000" w:themeColor="text1"/>
                <w:sz w:val="20"/>
                <w:szCs w:val="20"/>
              </w:rPr>
              <w:fldChar w:fldCharType="begin" w:fldLock="1"/>
            </w:r>
            <w:r w:rsidR="004A7B72">
              <w:rPr>
                <w:rFonts w:asciiTheme="minorBidi" w:hAnsiTheme="minorBidi" w:cstheme="minorBidi"/>
                <w:color w:val="000000" w:themeColor="text1"/>
                <w:sz w:val="20"/>
                <w:szCs w:val="20"/>
              </w:rPr>
              <w:instrText>ADDIN CSL_CITATION {"citationItems":[{"id":"ITEM-1","itemData":{"DOI":"10.1007/s00394-015-1112-x","ISSN":"1436-6207","PMID":"26644215","abstract":"BACKGROUND Various dietary components have been studied in relation to overall mortality; however, little is known about the relationship between the inflammatory potential of overall diet and mortality. MATERIALS AND METHODS We examined the association between the dietary inflammatory index (DII) and mortality in the National Health and Nutrition Examination Survey III follow-up study. The DII was computed from baseline dietary intake assessed using 24-h dietary recalls (1988-1994). Mortality was determined from the National Death Index records through 2006. Cox proportional hazards regression was used to estimate hazard ratios (HRs) and 95 % confidence interval (95 % CI). During the follow-up, 2795 deaths were identified, including 1233 due to cardiovascular disease (CVD), and 615 due to cancer, 158 of which were due to digestive-tract cancers. RESULTS Multivariate Cox proportional hazards regression analyses, adjusting for age, race, diabetes status, hypertension, physical activity, body mass index, poverty index, and smoking, revealed positive associations between higher DII scores and mortality. Comparing subjects in DII tertile 3 versus tertile 1, significant associations were noted for all-cause mortality (HRTertile3vs1 1.34; 95 % CI 1.19-1.51, P trend &lt; 0.0001), CVD mortality (HRTertile3vs1 1.46; 95 % CI 1.18-1.81, P trend = 0.0006), cancer mortality (HRTertile3vs1 1.46; 95 % CI 1.10-1.96, P trend = 0.01), and digestive-tract cancer mortality (HRTertile3vs1 2.10; 95 % CI 1.15-3.84, P trend = 0.03). CONCLUSION These results indicate that a pro-inflammatory diet, as indicated by higher DII scores, was associated with higher risk of all-cause, CVD, and cancer mortality.","author":[{"dropping-particle":"","family":"Shivappa","given":"Nitin","non-dropping-particle":"","parse-names":false,"suffix":""},{"dropping-particle":"","family":"Steck","given":"Susan E.","non-dropping-particle":"","parse-names":false,"suffix":""},{"dropping-particle":"","family":"Hussey","given":"James R.","non-dropping-particle":"","parse-names":false,"suffix":""},{"dropping-particle":"","family":"Ma","given":"Yunsheng","non-dropping-particle":"","parse-names":false,"suffix":""},{"dropping-particle":"","family":"Hebert","given":"James R.","non-dropping-particle":"","parse-names":false,"suffix":""}],"container-title":"European Journal of Nutrition","id":"ITEM-1","issue":"2","issued":{"date-parts":[["2017","3","7"]]},"page":"683-692","title":"Inflammatory potential of diet and all-cause, cardiovascular, and cancer mortality in National Health and Nutrition Examination Survey III Study","type":"article-journal","volume":"56"},"uris":["http://www.mendeley.com/documents/?uuid=157568fa-13ed-4171-8b34-c26b88107aef"]}],"mendeley":{"formattedCitation":"(8)","plainTextFormattedCitation":"(8)","previouslyFormattedCitation":"(5)"},"properties":{"noteIndex":0},"schema":"https://github.com/citation-style-language/schema/raw/master/csl-citation.json"}</w:instrText>
            </w:r>
            <w:r w:rsidRPr="003754B5">
              <w:rPr>
                <w:rFonts w:asciiTheme="minorBidi" w:hAnsiTheme="minorBidi" w:cstheme="minorBidi"/>
                <w:color w:val="000000" w:themeColor="text1"/>
                <w:sz w:val="20"/>
                <w:szCs w:val="20"/>
              </w:rPr>
              <w:fldChar w:fldCharType="separate"/>
            </w:r>
            <w:r w:rsidR="004A7B72" w:rsidRPr="004A7B72">
              <w:rPr>
                <w:rFonts w:asciiTheme="minorBidi" w:hAnsiTheme="minorBidi" w:cstheme="minorBidi"/>
                <w:noProof/>
                <w:color w:val="000000" w:themeColor="text1"/>
                <w:sz w:val="20"/>
                <w:szCs w:val="20"/>
              </w:rPr>
              <w:t>(8)</w:t>
            </w:r>
            <w:r w:rsidRPr="003754B5">
              <w:rPr>
                <w:rFonts w:asciiTheme="minorBidi" w:hAnsiTheme="minorBidi" w:cstheme="minorBidi"/>
                <w:color w:val="000000" w:themeColor="text1"/>
                <w:sz w:val="20"/>
                <w:szCs w:val="20"/>
              </w:rPr>
              <w:fldChar w:fldCharType="end"/>
            </w:r>
          </w:p>
        </w:tc>
        <w:tc>
          <w:tcPr>
            <w:tcW w:w="1417" w:type="dxa"/>
          </w:tcPr>
          <w:p w14:paraId="22814ABE" w14:textId="775E542E" w:rsidR="00743B47" w:rsidRPr="005F4695" w:rsidRDefault="00743B47" w:rsidP="00743B47">
            <w:pPr>
              <w:rPr>
                <w:rFonts w:asciiTheme="minorBidi" w:hAnsiTheme="minorBidi" w:cstheme="minorBidi"/>
                <w:color w:val="000000" w:themeColor="text1"/>
                <w:sz w:val="20"/>
                <w:szCs w:val="20"/>
              </w:rPr>
            </w:pPr>
            <w:r w:rsidRPr="005F4695">
              <w:rPr>
                <w:rFonts w:asciiTheme="minorBidi" w:hAnsiTheme="minorBidi" w:cstheme="minorBidi"/>
                <w:color w:val="000000" w:themeColor="text1"/>
                <w:sz w:val="20"/>
                <w:szCs w:val="20"/>
              </w:rPr>
              <w:t>USA</w:t>
            </w:r>
          </w:p>
        </w:tc>
        <w:tc>
          <w:tcPr>
            <w:tcW w:w="1276" w:type="dxa"/>
          </w:tcPr>
          <w:p w14:paraId="4280661C" w14:textId="78AFB356" w:rsidR="00743B47" w:rsidRPr="005F4695" w:rsidRDefault="00743B47" w:rsidP="00743B47">
            <w:pPr>
              <w:rPr>
                <w:rFonts w:asciiTheme="minorBidi" w:eastAsiaTheme="minorHAnsi" w:hAnsiTheme="minorBidi" w:cstheme="minorBidi"/>
                <w:color w:val="000000" w:themeColor="text1"/>
                <w:sz w:val="20"/>
                <w:szCs w:val="20"/>
              </w:rPr>
            </w:pPr>
            <w:r w:rsidRPr="005F4695">
              <w:rPr>
                <w:rFonts w:asciiTheme="minorBidi" w:hAnsiTheme="minorBidi" w:cstheme="minorBidi"/>
                <w:color w:val="000000" w:themeColor="text1"/>
                <w:sz w:val="20"/>
                <w:szCs w:val="20"/>
              </w:rPr>
              <w:t>12366, adults   (&gt;</w:t>
            </w:r>
            <w:r w:rsidRPr="005F4695">
              <w:rPr>
                <w:rFonts w:asciiTheme="minorBidi" w:eastAsiaTheme="minorHAnsi" w:hAnsiTheme="minorBidi" w:cstheme="minorBidi"/>
                <w:color w:val="000000" w:themeColor="text1"/>
                <w:sz w:val="20"/>
                <w:szCs w:val="20"/>
              </w:rPr>
              <w:t>19)</w:t>
            </w:r>
          </w:p>
          <w:p w14:paraId="551D1E62" w14:textId="44A8371A" w:rsidR="00743B47" w:rsidRPr="005F4695" w:rsidRDefault="00743B47" w:rsidP="00743B47">
            <w:pPr>
              <w:rPr>
                <w:rFonts w:asciiTheme="minorBidi" w:hAnsiTheme="minorBidi" w:cstheme="minorBidi"/>
                <w:color w:val="000000" w:themeColor="text1"/>
                <w:sz w:val="20"/>
                <w:szCs w:val="20"/>
              </w:rPr>
            </w:pPr>
          </w:p>
        </w:tc>
        <w:tc>
          <w:tcPr>
            <w:tcW w:w="1559" w:type="dxa"/>
          </w:tcPr>
          <w:p w14:paraId="59237AC1" w14:textId="540C7981" w:rsidR="00743B47" w:rsidRPr="005F4695" w:rsidRDefault="00743B47" w:rsidP="00743B47">
            <w:pPr>
              <w:rPr>
                <w:rFonts w:asciiTheme="minorBidi" w:hAnsiTheme="minorBidi" w:cstheme="minorBidi"/>
                <w:color w:val="000000" w:themeColor="text1"/>
                <w:sz w:val="20"/>
                <w:szCs w:val="20"/>
              </w:rPr>
            </w:pPr>
            <w:r w:rsidRPr="005F4695">
              <w:rPr>
                <w:rFonts w:asciiTheme="minorBidi" w:hAnsiTheme="minorBidi" w:cstheme="minorBidi"/>
                <w:color w:val="000000" w:themeColor="text1"/>
                <w:sz w:val="20"/>
                <w:szCs w:val="20"/>
              </w:rPr>
              <w:t xml:space="preserve">A single </w:t>
            </w:r>
            <w:r w:rsidRPr="005F4695">
              <w:rPr>
                <w:rFonts w:asciiTheme="minorBidi" w:hAnsiTheme="minorBidi" w:cstheme="minorBidi"/>
                <w:color w:val="000000" w:themeColor="text1"/>
                <w:sz w:val="20"/>
                <w:szCs w:val="20"/>
                <w:lang w:val="en-GB" w:eastAsia="en-GB"/>
              </w:rPr>
              <w:t>24hr recall</w:t>
            </w:r>
          </w:p>
        </w:tc>
        <w:tc>
          <w:tcPr>
            <w:tcW w:w="1559" w:type="dxa"/>
          </w:tcPr>
          <w:p w14:paraId="41292032" w14:textId="4A743139" w:rsidR="00743B47" w:rsidRPr="005F4695" w:rsidRDefault="00743B47" w:rsidP="00743B47">
            <w:pPr>
              <w:rPr>
                <w:rFonts w:asciiTheme="minorBidi" w:hAnsiTheme="minorBidi" w:cstheme="minorBidi"/>
                <w:color w:val="000000" w:themeColor="text1"/>
                <w:sz w:val="20"/>
                <w:szCs w:val="20"/>
              </w:rPr>
            </w:pPr>
            <w:r w:rsidRPr="005F4695">
              <w:rPr>
                <w:rFonts w:asciiTheme="minorBidi" w:hAnsiTheme="minorBidi" w:cstheme="minorBidi"/>
                <w:sz w:val="20"/>
                <w:szCs w:val="20"/>
              </w:rPr>
              <w:t>Dietary inflammatory index (DII) </w:t>
            </w:r>
          </w:p>
        </w:tc>
        <w:tc>
          <w:tcPr>
            <w:tcW w:w="5305" w:type="dxa"/>
          </w:tcPr>
          <w:p w14:paraId="1404AF1A" w14:textId="77777777" w:rsidR="00743B47" w:rsidRPr="005F4695" w:rsidRDefault="00743B47" w:rsidP="00743B47">
            <w:pPr>
              <w:rPr>
                <w:rFonts w:asciiTheme="minorBidi" w:hAnsiTheme="minorBidi" w:cstheme="minorBidi"/>
                <w:color w:val="000000" w:themeColor="text1"/>
                <w:sz w:val="20"/>
                <w:szCs w:val="20"/>
                <w:shd w:val="clear" w:color="auto" w:fill="FFFFFF"/>
              </w:rPr>
            </w:pPr>
            <w:r w:rsidRPr="005F4695">
              <w:rPr>
                <w:rFonts w:asciiTheme="minorBidi" w:hAnsiTheme="minorBidi" w:cstheme="minorBidi"/>
                <w:color w:val="000000" w:themeColor="text1"/>
                <w:sz w:val="20"/>
                <w:szCs w:val="20"/>
              </w:rPr>
              <w:t xml:space="preserve">30 (positive: pro-inflammatory food/nutrient, negative: anti-inflammatory food/nutrient), 1 to 4 based on global means, </w:t>
            </w:r>
            <w:r w:rsidRPr="005F4695">
              <w:rPr>
                <w:rFonts w:asciiTheme="minorBidi" w:hAnsiTheme="minorBidi" w:cstheme="minorBidi"/>
                <w:color w:val="000000" w:themeColor="text1"/>
                <w:sz w:val="20"/>
                <w:szCs w:val="20"/>
                <w:shd w:val="clear" w:color="auto" w:fill="FFFFFF"/>
              </w:rPr>
              <w:t>overall score ranged from-8.87 (maximally anti-inflammatory) to +7.98 (maximally pro-inflammatory)</w:t>
            </w:r>
          </w:p>
          <w:p w14:paraId="61C4EF16" w14:textId="2AC2F383" w:rsidR="00743B47" w:rsidRPr="005F4695" w:rsidRDefault="00743B47" w:rsidP="00743B47">
            <w:pPr>
              <w:rPr>
                <w:rFonts w:asciiTheme="minorBidi" w:hAnsiTheme="minorBidi" w:cstheme="minorBidi"/>
                <w:color w:val="000000" w:themeColor="text1"/>
                <w:sz w:val="20"/>
                <w:szCs w:val="20"/>
              </w:rPr>
            </w:pPr>
          </w:p>
        </w:tc>
      </w:tr>
      <w:tr w:rsidR="00743B47" w:rsidRPr="005F4695" w14:paraId="270F1867" w14:textId="77777777" w:rsidTr="00B20E43">
        <w:trPr>
          <w:trHeight w:val="388"/>
        </w:trPr>
        <w:tc>
          <w:tcPr>
            <w:tcW w:w="1555" w:type="dxa"/>
          </w:tcPr>
          <w:p w14:paraId="15F22017" w14:textId="3D14A547" w:rsidR="00743B47" w:rsidRPr="005F4695" w:rsidRDefault="00743B47" w:rsidP="00743B47">
            <w:pPr>
              <w:rPr>
                <w:rFonts w:asciiTheme="minorBidi" w:hAnsiTheme="minorBidi" w:cstheme="minorBidi"/>
                <w:color w:val="000000" w:themeColor="text1"/>
                <w:sz w:val="20"/>
                <w:szCs w:val="20"/>
              </w:rPr>
            </w:pPr>
            <w:r w:rsidRPr="003754B5">
              <w:rPr>
                <w:rFonts w:asciiTheme="minorBidi" w:hAnsiTheme="minorBidi" w:cstheme="minorBidi"/>
                <w:sz w:val="20"/>
                <w:szCs w:val="20"/>
              </w:rPr>
              <w:t>Fung et al</w:t>
            </w:r>
            <w:r>
              <w:rPr>
                <w:rFonts w:asciiTheme="minorBidi" w:hAnsiTheme="minorBidi" w:cstheme="minorBidi"/>
                <w:sz w:val="20"/>
                <w:szCs w:val="20"/>
              </w:rPr>
              <w:t>, 2016</w:t>
            </w:r>
            <w:r w:rsidRPr="003754B5">
              <w:rPr>
                <w:rFonts w:asciiTheme="minorBidi" w:hAnsiTheme="minorBidi" w:cstheme="minorBidi"/>
                <w:sz w:val="20"/>
                <w:szCs w:val="20"/>
              </w:rPr>
              <w:t xml:space="preserve"> </w:t>
            </w:r>
            <w:r w:rsidRPr="003754B5">
              <w:rPr>
                <w:rFonts w:asciiTheme="minorBidi" w:hAnsiTheme="minorBidi" w:cstheme="minorBidi"/>
                <w:sz w:val="20"/>
                <w:szCs w:val="20"/>
              </w:rPr>
              <w:fldChar w:fldCharType="begin" w:fldLock="1"/>
            </w:r>
            <w:r w:rsidR="004A7B72">
              <w:rPr>
                <w:rFonts w:asciiTheme="minorBidi" w:hAnsiTheme="minorBidi" w:cstheme="minorBidi"/>
                <w:sz w:val="20"/>
                <w:szCs w:val="20"/>
              </w:rPr>
              <w:instrText>ADDIN CSL_CITATION {"citationItems":[{"id":"ITEM-1","itemData":{"DOI":"10.3945/ajcn.116.130393","ISSN":"0002-9165","PMID":"27281310","abstract":"BACKGROUND Currently, there are few diet quality assessment tools that are predictive of coronary artery disease (CAD) risk that do not require nutrient analysis and substantial time to administer in clinical settings. OBJECTIVE To inform the development of such a tool, we prospectively examined the association between a food-based diet quality score and risk of CAD in 3 separate large US cohort studies. DESIGN Between 1984 and 2012, 71,415 women (aged 43-63 y in 1984), 42,945 men (aged 40-75 y in 1986), and 93,131 younger women (aged 27-44 y in 1991) without a history of cardiovascular disease were followed up to 28 y. Diet was assessed ≤7 times by using repeated food-frequency questionnaires. We computed the Food Quality Score (FQS) for each individual based on food groups previously associated with less weight gain. A higher score represented a healthier diet. The FQS and CAD association was modeled with the Cox proportional hazard model, controlling for potential confounders. We also compared the magnitude of association with CAD for the FQS and other diet quality scores. RESULTS We ascertained 6817 incident total CAD events, with 4588 cases of nonfatal myocardial infarction and 2131 fatal CAD events. Comparing top to bottom deciles, pooled RRs of the FQS were 0.61 (95% CI: 0.54, 0.69; P-trend &lt; 0.001) for total CAD. These associations were independent of established cardiovascular disease risk factors including body weight, physical activity, and smoking. The magnitude of the RR for 1 SD of the FQS and CAD was generally similar to established diet scores that require detailed nutrient analysis, including the Alternate Healthy Eating Index-2010, the Dietary Approaches to Stop Hypertension score, and the alternate Mediterranean diet score. CONCLUSION A higher food-based diet quality score was associated with lower risk of CAD and was comparable with established diet scores.","author":[{"dropping-particle":"","family":"Fung","given":"Teresa T","non-dropping-particle":"","parse-names":false,"suffix":""},{"dropping-particle":"","family":"Pan","given":"An","non-dropping-particle":"","parse-names":false,"suffix":""},{"dropping-particle":"","family":"Hou","given":"Tao","non-dropping-particle":"","parse-names":false,"suffix":""},{"dropping-particle":"","family":"Mozaffarian","given":"Dariush","non-dropping-particle":"","parse-names":false,"suffix":""},{"dropping-particle":"","family":"Rexrode","given":"Kathryn M","non-dropping-particle":"","parse-names":false,"suffix":""},{"dropping-particle":"","family":"Willett","given":"Walter C","non-dropping-particle":"","parse-names":false,"suffix":""},{"dropping-particle":"","family":"Hu","given":"Frank B","non-dropping-particle":"","parse-names":false,"suffix":""}],"container-title":"The American Journal of Clinical Nutrition","id":"ITEM-1","issue":"1","issued":{"date-parts":[["2016","7","1"]]},"page":"65-72","title":"Food quality score and the risk of coronary artery disease: a prospective analysis in 3 cohorts","type":"article-journal","volume":"104"},"uris":["http://www.mendeley.com/documents/?uuid=8b3b3b0b-a4fd-306b-98de-594cbde615da"]}],"mendeley":{"formattedCitation":"(9)","plainTextFormattedCitation":"(9)","previouslyFormattedCitation":"(6)"},"properties":{"noteIndex":0},"schema":"https://github.com/citation-style-language/schema/raw/master/csl-citation.json"}</w:instrText>
            </w:r>
            <w:r w:rsidRPr="003754B5">
              <w:rPr>
                <w:rFonts w:asciiTheme="minorBidi" w:hAnsiTheme="minorBidi" w:cstheme="minorBidi"/>
                <w:sz w:val="20"/>
                <w:szCs w:val="20"/>
              </w:rPr>
              <w:fldChar w:fldCharType="separate"/>
            </w:r>
            <w:r w:rsidR="004A7B72" w:rsidRPr="004A7B72">
              <w:rPr>
                <w:rFonts w:asciiTheme="minorBidi" w:hAnsiTheme="minorBidi" w:cstheme="minorBidi"/>
                <w:noProof/>
                <w:sz w:val="20"/>
                <w:szCs w:val="20"/>
              </w:rPr>
              <w:t>(9)</w:t>
            </w:r>
            <w:r w:rsidRPr="003754B5">
              <w:rPr>
                <w:rFonts w:asciiTheme="minorBidi" w:hAnsiTheme="minorBidi" w:cstheme="minorBidi"/>
                <w:sz w:val="20"/>
                <w:szCs w:val="20"/>
              </w:rPr>
              <w:fldChar w:fldCharType="end"/>
            </w:r>
          </w:p>
        </w:tc>
        <w:tc>
          <w:tcPr>
            <w:tcW w:w="1417" w:type="dxa"/>
          </w:tcPr>
          <w:p w14:paraId="04C5CCE1" w14:textId="3A8BEBA3" w:rsidR="00743B47" w:rsidRPr="005F4695" w:rsidRDefault="00743B47" w:rsidP="00743B47">
            <w:pPr>
              <w:rPr>
                <w:rFonts w:asciiTheme="minorBidi" w:hAnsiTheme="minorBidi" w:cstheme="minorBidi"/>
                <w:color w:val="000000" w:themeColor="text1"/>
                <w:sz w:val="20"/>
                <w:szCs w:val="20"/>
              </w:rPr>
            </w:pPr>
            <w:r w:rsidRPr="005F4695">
              <w:rPr>
                <w:rFonts w:asciiTheme="minorBidi" w:hAnsiTheme="minorBidi" w:cstheme="minorBidi"/>
                <w:color w:val="000000" w:themeColor="text1"/>
                <w:sz w:val="20"/>
                <w:szCs w:val="20"/>
                <w:lang w:val="en-GB" w:eastAsia="en-GB"/>
              </w:rPr>
              <w:t>USA</w:t>
            </w:r>
          </w:p>
        </w:tc>
        <w:tc>
          <w:tcPr>
            <w:tcW w:w="1276" w:type="dxa"/>
          </w:tcPr>
          <w:p w14:paraId="335181E5" w14:textId="24DBB0C5" w:rsidR="00743B47" w:rsidRPr="005F4695" w:rsidRDefault="00743B47" w:rsidP="00743B47">
            <w:pPr>
              <w:autoSpaceDE w:val="0"/>
              <w:autoSpaceDN w:val="0"/>
              <w:adjustRightInd w:val="0"/>
              <w:rPr>
                <w:rFonts w:asciiTheme="minorBidi" w:eastAsiaTheme="minorHAnsi" w:hAnsiTheme="minorBidi" w:cstheme="minorBidi"/>
                <w:color w:val="000000" w:themeColor="text1"/>
                <w:sz w:val="20"/>
                <w:szCs w:val="20"/>
              </w:rPr>
            </w:pPr>
            <w:r w:rsidRPr="005F4695">
              <w:rPr>
                <w:rFonts w:asciiTheme="minorBidi" w:hAnsiTheme="minorBidi" w:cstheme="minorBidi"/>
                <w:color w:val="000000" w:themeColor="text1"/>
                <w:sz w:val="20"/>
                <w:szCs w:val="20"/>
                <w:lang w:val="en-GB" w:eastAsia="en-GB"/>
              </w:rPr>
              <w:t>207041, adults    (25-75)</w:t>
            </w:r>
          </w:p>
        </w:tc>
        <w:tc>
          <w:tcPr>
            <w:tcW w:w="1559" w:type="dxa"/>
          </w:tcPr>
          <w:p w14:paraId="58F103D5" w14:textId="1B194644" w:rsidR="00743B47" w:rsidRPr="005F4695" w:rsidRDefault="00743B47" w:rsidP="00743B47">
            <w:pPr>
              <w:rPr>
                <w:rFonts w:asciiTheme="minorBidi" w:hAnsiTheme="minorBidi" w:cstheme="minorBidi"/>
                <w:color w:val="000000" w:themeColor="text1"/>
                <w:sz w:val="20"/>
                <w:szCs w:val="20"/>
              </w:rPr>
            </w:pPr>
            <w:r w:rsidRPr="005F4695">
              <w:rPr>
                <w:rFonts w:asciiTheme="minorBidi" w:hAnsiTheme="minorBidi" w:cstheme="minorBidi"/>
                <w:color w:val="000000" w:themeColor="text1"/>
                <w:sz w:val="20"/>
                <w:szCs w:val="20"/>
                <w:lang w:val="en-GB" w:eastAsia="en-GB"/>
              </w:rPr>
              <w:t>FFQ             (135 items)</w:t>
            </w:r>
          </w:p>
        </w:tc>
        <w:tc>
          <w:tcPr>
            <w:tcW w:w="1559" w:type="dxa"/>
          </w:tcPr>
          <w:p w14:paraId="312CF3D2" w14:textId="33A96A3B" w:rsidR="00743B47" w:rsidRPr="005F4695" w:rsidRDefault="00743B47" w:rsidP="00743B47">
            <w:pPr>
              <w:rPr>
                <w:rFonts w:asciiTheme="minorBidi" w:hAnsiTheme="minorBidi" w:cstheme="minorBidi"/>
                <w:color w:val="000000" w:themeColor="text1"/>
                <w:sz w:val="20"/>
                <w:szCs w:val="20"/>
              </w:rPr>
            </w:pPr>
            <w:r w:rsidRPr="005F4695">
              <w:rPr>
                <w:rFonts w:asciiTheme="minorBidi" w:hAnsiTheme="minorBidi" w:cstheme="minorBidi"/>
                <w:color w:val="000000" w:themeColor="text1"/>
                <w:sz w:val="20"/>
                <w:szCs w:val="20"/>
                <w:lang w:val="en-GB" w:eastAsia="en-GB"/>
              </w:rPr>
              <w:t>Food quality score</w:t>
            </w:r>
          </w:p>
        </w:tc>
        <w:tc>
          <w:tcPr>
            <w:tcW w:w="5305" w:type="dxa"/>
          </w:tcPr>
          <w:p w14:paraId="2437B374" w14:textId="77777777" w:rsidR="00743B47" w:rsidRPr="005F4695" w:rsidRDefault="00743B47" w:rsidP="00743B47">
            <w:pPr>
              <w:autoSpaceDE w:val="0"/>
              <w:autoSpaceDN w:val="0"/>
              <w:adjustRightInd w:val="0"/>
              <w:rPr>
                <w:rFonts w:asciiTheme="minorBidi" w:eastAsiaTheme="minorHAnsi" w:hAnsiTheme="minorBidi" w:cstheme="minorBidi"/>
                <w:color w:val="000000" w:themeColor="text1"/>
                <w:sz w:val="20"/>
                <w:szCs w:val="20"/>
              </w:rPr>
            </w:pPr>
            <w:r w:rsidRPr="005F4695">
              <w:rPr>
                <w:rFonts w:asciiTheme="minorBidi" w:hAnsiTheme="minorBidi" w:cstheme="minorBidi"/>
                <w:color w:val="000000" w:themeColor="text1"/>
                <w:sz w:val="20"/>
                <w:szCs w:val="20"/>
                <w:lang w:val="en-GB" w:eastAsia="en-GB"/>
              </w:rPr>
              <w:t xml:space="preserve">14 (vegetables, fruit, nuts and legumes, whole grains, yogurt, sugar-sweetened beverages, red meats, processed meats, refined grains, desserts and ice cream, potatoes, potato chips, butter, and fried food from outside the home, coffee, no milk, cheese, or trans fat), </w:t>
            </w:r>
            <w:r w:rsidRPr="005F4695">
              <w:rPr>
                <w:rFonts w:asciiTheme="minorBidi" w:hAnsiTheme="minorBidi" w:cstheme="minorBidi"/>
                <w:color w:val="000000" w:themeColor="text1"/>
                <w:sz w:val="20"/>
                <w:szCs w:val="20"/>
              </w:rPr>
              <w:t xml:space="preserve">1 to 5 with equal weight assigned to groups, </w:t>
            </w:r>
            <w:r w:rsidRPr="005F4695">
              <w:rPr>
                <w:rFonts w:asciiTheme="minorBidi" w:eastAsiaTheme="minorHAnsi" w:hAnsiTheme="minorBidi" w:cstheme="minorBidi"/>
                <w:color w:val="000000" w:themeColor="text1"/>
                <w:sz w:val="20"/>
                <w:szCs w:val="20"/>
              </w:rPr>
              <w:t>overall score ranged from 14 to 70 points</w:t>
            </w:r>
          </w:p>
          <w:p w14:paraId="24929948" w14:textId="12BE2900" w:rsidR="00743B47" w:rsidRPr="005F4695" w:rsidRDefault="00743B47" w:rsidP="00743B47">
            <w:pPr>
              <w:autoSpaceDE w:val="0"/>
              <w:autoSpaceDN w:val="0"/>
              <w:adjustRightInd w:val="0"/>
              <w:rPr>
                <w:rFonts w:asciiTheme="minorBidi" w:hAnsiTheme="minorBidi" w:cstheme="minorBidi"/>
                <w:color w:val="000000" w:themeColor="text1"/>
                <w:sz w:val="20"/>
                <w:szCs w:val="20"/>
              </w:rPr>
            </w:pPr>
          </w:p>
        </w:tc>
      </w:tr>
      <w:tr w:rsidR="00743B47" w:rsidRPr="005F4695" w14:paraId="1B9B1DEA" w14:textId="77777777" w:rsidTr="00B20E43">
        <w:trPr>
          <w:trHeight w:val="388"/>
        </w:trPr>
        <w:tc>
          <w:tcPr>
            <w:tcW w:w="1555" w:type="dxa"/>
          </w:tcPr>
          <w:p w14:paraId="34D5FAC9" w14:textId="2A002D8E" w:rsidR="00743B47" w:rsidRPr="005F4695" w:rsidRDefault="00743B47" w:rsidP="00743B47">
            <w:pPr>
              <w:rPr>
                <w:rFonts w:asciiTheme="minorBidi" w:hAnsiTheme="minorBidi" w:cstheme="minorBidi"/>
                <w:color w:val="000000" w:themeColor="text1"/>
                <w:sz w:val="20"/>
                <w:szCs w:val="20"/>
                <w:lang w:val="en-GB" w:eastAsia="en-GB"/>
              </w:rPr>
            </w:pPr>
            <w:r w:rsidRPr="003754B5">
              <w:rPr>
                <w:rFonts w:asciiTheme="minorBidi" w:hAnsiTheme="minorBidi" w:cstheme="minorBidi"/>
                <w:sz w:val="20"/>
                <w:szCs w:val="20"/>
                <w:lang w:val="en-GB" w:eastAsia="en-GB"/>
              </w:rPr>
              <w:t>Li et al</w:t>
            </w:r>
            <w:r>
              <w:rPr>
                <w:rFonts w:asciiTheme="minorBidi" w:hAnsiTheme="minorBidi" w:cstheme="minorBidi"/>
                <w:sz w:val="20"/>
                <w:szCs w:val="20"/>
                <w:lang w:val="en-GB" w:eastAsia="en-GB"/>
              </w:rPr>
              <w:t>, 2016</w:t>
            </w:r>
            <w:r w:rsidRPr="003754B5">
              <w:rPr>
                <w:rFonts w:asciiTheme="minorBidi" w:hAnsiTheme="minorBidi" w:cstheme="minorBidi"/>
                <w:sz w:val="20"/>
                <w:szCs w:val="20"/>
                <w:lang w:val="en-GB" w:eastAsia="en-GB"/>
              </w:rPr>
              <w:t xml:space="preserve"> </w:t>
            </w:r>
            <w:r w:rsidRPr="003754B5">
              <w:rPr>
                <w:rFonts w:asciiTheme="minorBidi" w:hAnsiTheme="minorBidi" w:cstheme="minorBidi"/>
                <w:sz w:val="20"/>
                <w:szCs w:val="20"/>
                <w:lang w:val="en-GB" w:eastAsia="en-GB"/>
              </w:rPr>
              <w:fldChar w:fldCharType="begin" w:fldLock="1"/>
            </w:r>
            <w:r w:rsidR="004A7B72">
              <w:rPr>
                <w:rFonts w:asciiTheme="minorBidi" w:hAnsiTheme="minorBidi" w:cstheme="minorBidi"/>
                <w:sz w:val="20"/>
                <w:szCs w:val="20"/>
                <w:lang w:val="en-GB" w:eastAsia="en-GB"/>
              </w:rPr>
              <w:instrText>ADDIN CSL_CITATION {"citationItems":[{"id":"ITEM-1","itemData":{"DOI":"10.1161/HYPERTENSIONAHA.115.06747","ISSN":"0194-911X","PMID":"27091899","abstract":"Women who developed gestational diabetes mellitus represent a high-risk population for hypertension later in life. The role of diet in the progression of hypertension among this susceptible population is unknown. We conducted a prospective cohort study of 3818 women with a history of gestational diabetes mellitus in the Nurses' Health Study II as part of the ongoing Diabetes &amp; Women's Health Study. These women were followed-up from 1989 to 2011. Incident hypertension was identified through self-administered questionnaires that were validated previously by medical record review. Adherence scores for the alternative Healthy Eating Index 2010, the alternative Mediterranean diet, and the Dietary Approaches to Stop Hypertension were computed for each participant. Cox proportional hazard models were used to evaluate the associations between dietary scores and hypertension while adjusting for major risk factors for hypertension. We documented 1069 incident hypertension cases during a median of 18.5 years of follow-up. After adjustment for major risk factors for hypertension, including body mass index, alternative Healthy Eating Index 2010, alternative Mediterranean diet, and Dietary Approaches to Stop Hypertension scores were significantly inversely associated with the risk of hypertension; hazard ratio and 95% confidence interval comparing the extreme quartiles (highest versus lowest) were 0.76 (0.61-0.94; P for linear trend =0.03) for AHEI score, 0.72 (0.58-0.90; P for trend =0.01) for Dietary Approach to Stop Hypertension score, and 0.70 (0.56-0.88; P for trend =0.002) for alternative Mediterranean diet score. Adherence to a healthful dietary pattern was related to a lower subsequent risk of developing hypertension among women with a history of gestational diabetes mellitus.","author":[{"dropping-particle":"","family":"Li","given":"Shanshan","non-dropping-particle":"","parse-names":false,"suffix":""},{"dropping-particle":"","family":"Zhu","given":"Yeyi","non-dropping-particle":"","parse-names":false,"suffix":""},{"dropping-particle":"","family":"Chavarro","given":"Jorge E.","non-dropping-particle":"","parse-names":false,"suffix":""},{"dropping-particle":"","family":"Bao","given":"Wei","non-dropping-particle":"","parse-names":false,"suffix":""},{"dropping-particle":"","family":"Tobias","given":"Deirdre K.","non-dropping-particle":"","parse-names":false,"suffix":""},{"dropping-particle":"","family":"Ley","given":"Sylvia H.","non-dropping-particle":"","parse-names":false,"suffix":""},{"dropping-particle":"","family":"Forman","given":"John P.","non-dropping-particle":"","parse-names":false,"suffix":""},{"dropping-particle":"","family":"Liu","given":"Aiyi","non-dropping-particle":"","parse-names":false,"suffix":""},{"dropping-particle":"","family":"Mills","given":"James","non-dropping-particle":"","parse-names":false,"suffix":""},{"dropping-particle":"","family":"Bowers","given":"Katherine","non-dropping-particle":"","parse-names":false,"suffix":""},{"dropping-particle":"","family":"Strøm","given":"Marin","non-dropping-particle":"","parse-names":false,"suffix":""},{"dropping-particle":"","family":"Hansen","given":"Susanne","non-dropping-particle":"","parse-names":false,"suffix":""},{"dropping-particle":"","family":"Hu","given":"Frank B.","non-dropping-particle":"","parse-names":false,"suffix":""},{"dropping-particle":"","family":"Zhang","given":"Cuilin","non-dropping-particle":"","parse-names":false,"suffix":""}],"container-title":"Hypertension","id":"ITEM-1","issue":"6","issued":{"date-parts":[["2016","6"]]},"page":"1157-1165","title":"Healthful Dietary Patterns and the Risk of Hypertension Among Women With a History of Gestational Diabetes Mellitus","type":"article-journal","volume":"67"},"uris":["http://www.mendeley.com/documents/?uuid=3eaa968b-6b5d-3231-a980-d54c6a0d2552"]}],"mendeley":{"formattedCitation":"(10)","plainTextFormattedCitation":"(10)","previouslyFormattedCitation":"(7)"},"properties":{"noteIndex":0},"schema":"https://github.com/citation-style-language/schema/raw/master/csl-citation.json"}</w:instrText>
            </w:r>
            <w:r w:rsidRPr="003754B5">
              <w:rPr>
                <w:rFonts w:asciiTheme="minorBidi" w:hAnsiTheme="minorBidi" w:cstheme="minorBidi"/>
                <w:sz w:val="20"/>
                <w:szCs w:val="20"/>
                <w:lang w:val="en-GB" w:eastAsia="en-GB"/>
              </w:rPr>
              <w:fldChar w:fldCharType="separate"/>
            </w:r>
            <w:r w:rsidR="004A7B72" w:rsidRPr="004A7B72">
              <w:rPr>
                <w:rFonts w:asciiTheme="minorBidi" w:hAnsiTheme="minorBidi" w:cstheme="minorBidi"/>
                <w:noProof/>
                <w:sz w:val="20"/>
                <w:szCs w:val="20"/>
                <w:lang w:val="en-GB" w:eastAsia="en-GB"/>
              </w:rPr>
              <w:t>(10)</w:t>
            </w:r>
            <w:r w:rsidRPr="003754B5">
              <w:rPr>
                <w:rFonts w:asciiTheme="minorBidi" w:hAnsiTheme="minorBidi" w:cstheme="minorBidi"/>
                <w:sz w:val="20"/>
                <w:szCs w:val="20"/>
                <w:lang w:val="en-GB" w:eastAsia="en-GB"/>
              </w:rPr>
              <w:fldChar w:fldCharType="end"/>
            </w:r>
          </w:p>
        </w:tc>
        <w:tc>
          <w:tcPr>
            <w:tcW w:w="1417" w:type="dxa"/>
          </w:tcPr>
          <w:p w14:paraId="1002D294" w14:textId="70930D89"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lang w:val="en-GB" w:eastAsia="en-GB"/>
              </w:rPr>
              <w:t>USA</w:t>
            </w:r>
          </w:p>
        </w:tc>
        <w:tc>
          <w:tcPr>
            <w:tcW w:w="1276" w:type="dxa"/>
          </w:tcPr>
          <w:p w14:paraId="57553E46" w14:textId="5199C5DA" w:rsidR="00743B47" w:rsidRPr="005F4695" w:rsidRDefault="00743B47" w:rsidP="00743B47">
            <w:pPr>
              <w:autoSpaceDE w:val="0"/>
              <w:autoSpaceDN w:val="0"/>
              <w:adjustRightInd w:val="0"/>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lang w:val="en-GB" w:eastAsia="en-GB"/>
              </w:rPr>
              <w:t>3818, adults     (22-44)</w:t>
            </w:r>
          </w:p>
        </w:tc>
        <w:tc>
          <w:tcPr>
            <w:tcW w:w="1559" w:type="dxa"/>
          </w:tcPr>
          <w:p w14:paraId="7C42DA58" w14:textId="1B792B5E"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lang w:val="en-GB" w:eastAsia="en-GB"/>
              </w:rPr>
              <w:t>FFQ          (135 items)</w:t>
            </w:r>
          </w:p>
        </w:tc>
        <w:tc>
          <w:tcPr>
            <w:tcW w:w="1559" w:type="dxa"/>
          </w:tcPr>
          <w:p w14:paraId="07762FE3" w14:textId="77777777"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lang w:val="en-GB" w:eastAsia="en-GB"/>
              </w:rPr>
              <w:t>Comparison:</w:t>
            </w:r>
          </w:p>
          <w:p w14:paraId="2BBF56C9" w14:textId="661B5E2A" w:rsidR="00743B47" w:rsidRPr="005F4695" w:rsidRDefault="00A940F3" w:rsidP="00743B47">
            <w:pPr>
              <w:rPr>
                <w:rFonts w:asciiTheme="minorBidi" w:hAnsiTheme="minorBidi" w:cstheme="minorBidi"/>
                <w:color w:val="000000" w:themeColor="text1"/>
                <w:sz w:val="20"/>
                <w:szCs w:val="20"/>
                <w:lang w:val="en-GB" w:eastAsia="en-GB"/>
              </w:rPr>
            </w:pPr>
            <w:r>
              <w:rPr>
                <w:rFonts w:asciiTheme="minorBidi" w:hAnsiTheme="minorBidi" w:cstheme="minorBidi"/>
                <w:color w:val="000000" w:themeColor="text1"/>
                <w:sz w:val="20"/>
                <w:szCs w:val="20"/>
                <w:lang w:val="en-GB" w:eastAsia="en-GB"/>
              </w:rPr>
              <w:t>DASH score</w:t>
            </w:r>
            <w:r w:rsidR="00743B47" w:rsidRPr="005F4695">
              <w:rPr>
                <w:rFonts w:asciiTheme="minorBidi" w:hAnsiTheme="minorBidi" w:cstheme="minorBidi"/>
                <w:color w:val="000000" w:themeColor="text1"/>
                <w:sz w:val="20"/>
                <w:szCs w:val="20"/>
                <w:lang w:val="en-GB" w:eastAsia="en-GB"/>
              </w:rPr>
              <w:t xml:space="preserve">, AHEI, alternative-MDS </w:t>
            </w:r>
          </w:p>
        </w:tc>
        <w:tc>
          <w:tcPr>
            <w:tcW w:w="5305" w:type="dxa"/>
          </w:tcPr>
          <w:p w14:paraId="5C31B30B" w14:textId="4EE67BE5" w:rsidR="00743B47" w:rsidRPr="005F4695" w:rsidRDefault="00A940F3" w:rsidP="00743B47">
            <w:pPr>
              <w:rPr>
                <w:rFonts w:asciiTheme="minorBidi" w:hAnsiTheme="minorBidi" w:cstheme="minorBidi"/>
                <w:color w:val="000000" w:themeColor="text1"/>
                <w:sz w:val="20"/>
                <w:szCs w:val="20"/>
                <w:lang w:val="en-GB" w:eastAsia="en-GB"/>
              </w:rPr>
            </w:pPr>
            <w:r>
              <w:rPr>
                <w:rFonts w:asciiTheme="minorBidi" w:hAnsiTheme="minorBidi" w:cstheme="minorBidi"/>
                <w:color w:val="000000" w:themeColor="text1"/>
                <w:sz w:val="20"/>
                <w:szCs w:val="20"/>
                <w:lang w:val="en-GB" w:eastAsia="en-GB"/>
              </w:rPr>
              <w:t>DASH score</w:t>
            </w:r>
            <w:r w:rsidR="00743B47" w:rsidRPr="005F4695">
              <w:rPr>
                <w:rFonts w:asciiTheme="minorBidi" w:hAnsiTheme="minorBidi" w:cstheme="minorBidi"/>
                <w:color w:val="000000" w:themeColor="text1"/>
                <w:sz w:val="20"/>
                <w:szCs w:val="20"/>
                <w:lang w:val="en-GB" w:eastAsia="en-GB"/>
              </w:rPr>
              <w:t xml:space="preserve">: </w:t>
            </w:r>
            <w:r w:rsidR="00743B47" w:rsidRPr="005F4695">
              <w:rPr>
                <w:rFonts w:asciiTheme="minorBidi" w:hAnsiTheme="minorBidi" w:cstheme="minorBidi"/>
                <w:color w:val="000000" w:themeColor="text1"/>
                <w:sz w:val="20"/>
                <w:szCs w:val="20"/>
                <w:lang w:val="en-GB" w:eastAsia="en-GB"/>
              </w:rPr>
              <w:fldChar w:fldCharType="begin" w:fldLock="1"/>
            </w:r>
            <w:r w:rsidR="00743B47" w:rsidRPr="005F4695">
              <w:rPr>
                <w:rFonts w:asciiTheme="minorBidi" w:hAnsiTheme="minorBidi" w:cstheme="minorBidi"/>
                <w:color w:val="000000" w:themeColor="text1"/>
                <w:sz w:val="20"/>
                <w:szCs w:val="20"/>
                <w:lang w:val="en-GB" w:eastAsia="en-GB"/>
              </w:rPr>
              <w:instrText>ADDIN CSL_CITATION {"citationItems":[{"id":"ITEM-1","itemData":{"DOI":"10.1007/s00394-017-1562-4","ISSN":"1436-6207","PMID":"29098424","abstract":"PURPOSE The aims of this study were to (1) determine the association between diet quality using the Dietary Approaches to Stop Hypertension (DASH) score and cardiometabolic risk in a British working population and (2) identify employee characteristics associated with reporting a poorer quality dietary pattern. METHODS British police employees enrolled (2007-2012) into the Airwave Health Monitoring Study (n = 5527) were included for sex-specific cross-sectional analyses. Dietary intakes were measured using 7-day food records. DASH score was calculated to determine diet quality. Logistic regression evaluated associations between (1) diet quality and increased cardiometabolic risk (defined as ≥ 3 risk markers: dyslipidaemia, elevated blood pressure, waist circumference, CRP or HbA1c), and (2) poor diet quality (lowest fifth of DASH score distribution) and employee characteristics. RESULTS Employees recording a poor diet quality had greater odds (OR) of increased cardiometabolic risk independent of established risk factors (demographic, lifestyle and occupational) and BMI: men OR 1.50 (95% CI 1.12-2.00), women: OR 1.84 (95% CI 1.19-2.97) compared to the healthiest diet group. Characteristics associated with reporting a poor quality diet were employment in Scotland vs. England: men OR 1.88 (95% CI 1.53-2.32), women: OR 1.49 (95% CI 1.11-2.00), longer working hours (≥ 49 vs. ≤40 h) men: OR 1.53 (95% CI 1.21-1.92) women: OR 1.53 (95% CI 1.12-2.09). For men, job strain (high vs. low) was associated with reporting a poor diet quality OR 1.66 (95% CI 1.30-2.12). CONCLUSIONS The general population disparities in diet quality between England and Scotland were reflected in British police employees. The association of longer working hours and job strain with diet quality supports the targeting of workplace nutritional interventions.","author":[{"dropping-particle":"","family":"Gibson","given":"Rachel","non-dropping-particle":"","parse-names":false,"suffix":""},{"dropping-particle":"","family":"Eriksen","given":"Rebeca","non-dropping-particle":"","parse-names":false,"suffix":""},{"dropping-particle":"","family":"Singh","given":"Deepa","non-dropping-particle":"","parse-names":false,"suffix":""},{"dropping-particle":"","family":"Vergnaud","given":"Anne-Claire","non-dropping-particle":"","parse-names":false,"suffix":""},{"dropping-particle":"","family":"Heard","given":"Andrew","non-dropping-particle":"","parse-names":false,"suffix":""},{"dropping-particle":"","family":"Chan","given":"Queenie","non-dropping-particle":"","parse-names":false,"suffix":""},{"dropping-particle":"","family":"Elliott","given":"Paul","non-dropping-particle":"","parse-names":false,"suffix":""},{"dropping-particle":"","family":"Frost","given":"Gary","non-dropping-particle":"","parse-names":false,"suffix":""}],"container-title":"European Journal of Nutrition","id":"ITEM-1","issue":"8","issued":{"date-parts":[["2018","12","2"]]},"page":"2913-2926","title":"A cross-sectional investigation into the occupational and socio-demographic characteristics of British police force employees reporting a dietary pattern associated with cardiometabolic risk: findings from the Airwave Health Monitoring Study","type":"article-journal","volume":"57"},"uris":["http://www.mendeley.com/documents/?uuid=308b59cf-d657-32ee-a72f-ff29a9cd74fd"]}],"mendeley":{"formattedCitation":"(4)","plainTextFormattedCitation":"(4)","previouslyFormattedCitation":"(4)"},"properties":{"noteIndex":0},"schema":"https://github.com/citation-style-language/schema/raw/master/csl-citation.json"}</w:instrText>
            </w:r>
            <w:r w:rsidR="00743B47" w:rsidRPr="005F4695">
              <w:rPr>
                <w:rFonts w:asciiTheme="minorBidi" w:hAnsiTheme="minorBidi" w:cstheme="minorBidi"/>
                <w:color w:val="000000" w:themeColor="text1"/>
                <w:sz w:val="20"/>
                <w:szCs w:val="20"/>
                <w:lang w:val="en-GB" w:eastAsia="en-GB"/>
              </w:rPr>
              <w:fldChar w:fldCharType="separate"/>
            </w:r>
            <w:r w:rsidR="00743B47" w:rsidRPr="005F4695">
              <w:rPr>
                <w:rFonts w:asciiTheme="minorBidi" w:hAnsiTheme="minorBidi" w:cstheme="minorBidi"/>
                <w:noProof/>
                <w:color w:val="000000" w:themeColor="text1"/>
                <w:sz w:val="20"/>
                <w:szCs w:val="20"/>
                <w:lang w:val="en-GB" w:eastAsia="en-GB"/>
              </w:rPr>
              <w:t>(4)</w:t>
            </w:r>
            <w:r w:rsidR="00743B47" w:rsidRPr="005F4695">
              <w:rPr>
                <w:rFonts w:asciiTheme="minorBidi" w:hAnsiTheme="minorBidi" w:cstheme="minorBidi"/>
                <w:color w:val="000000" w:themeColor="text1"/>
                <w:sz w:val="20"/>
                <w:szCs w:val="20"/>
                <w:lang w:val="en-GB" w:eastAsia="en-GB"/>
              </w:rPr>
              <w:fldChar w:fldCharType="end"/>
            </w:r>
          </w:p>
          <w:p w14:paraId="04942B0B" w14:textId="35DEE773"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lang w:val="en-GB" w:eastAsia="en-GB"/>
              </w:rPr>
              <w:t xml:space="preserve">Alternative MDS: </w:t>
            </w:r>
            <w:r w:rsidRPr="005F4695">
              <w:rPr>
                <w:rFonts w:asciiTheme="minorBidi" w:hAnsiTheme="minorBidi" w:cstheme="minorBidi"/>
                <w:color w:val="000000" w:themeColor="text1"/>
                <w:sz w:val="20"/>
                <w:szCs w:val="20"/>
                <w:lang w:val="en-GB" w:eastAsia="en-GB"/>
              </w:rPr>
              <w:fldChar w:fldCharType="begin" w:fldLock="1"/>
            </w:r>
            <w:r w:rsidRPr="005F4695">
              <w:rPr>
                <w:rFonts w:asciiTheme="minorBidi" w:hAnsiTheme="minorBidi" w:cstheme="minorBidi"/>
                <w:color w:val="000000" w:themeColor="text1"/>
                <w:sz w:val="20"/>
                <w:szCs w:val="20"/>
                <w:lang w:val="en-GB" w:eastAsia="en-GB"/>
              </w:rPr>
              <w:instrText>ADDIN CSL_CITATION {"citationItems":[{"id":"ITEM-1","itemData":{"DOI":"10.1161/STROKEAHA.114.007894","ISSN":"0039-2499","PMID":"25628306","abstract":"BACKGROUND AND PURPOSE There are limited data on the potential association of adherence to Mediterranean diet (MeD) with incident stroke. We sought to assess the longitudinal association between greater adherence to MeD and risk of incident stroke. METHODS We prospectively evaluated a population-based cohort of 30 239 individuals enrolled in REasons for Geographic and Racial Differences in Stroke (REGARDS) study, after excluding participants with stroke history, missing demographic data or food frequency questionnaires, and unavailable follow-up information. Adherence to MeD was categorized using MeD score. Incident stroke was adjudicated by expert panel review of medical records during a mean follow-up period of 6.5 years. RESULTS Incident stroke was identified in 565 participants (2.8%; 497 and 68 cases of ischemic stroke [IS] and hemorrhagic stroke, respectively) of 20 197 individuals fulfilling the inclusion criteria. High adherence to MeD (MeD score, 5-9) was associated with lower risk of incident IS in unadjusted analyses (hazard ratio, 0.83; 95% confidence interval, 0.70-1.00; P=0.046). The former association retained its significance (hazard ratio, 0.79; 95% confidence interval, 0.65-0.96; P=0.016) after adjustment for demographics, vascular risk factors, blood pressure levels, and antihypertensive medications. When MeD was evaluated as a continuous variable, a 1-point increase in MeD score was independently associated with a 5% reduction in the risk of incident IS (95% confidence interval, 0-11%). We documented no association of adherence to MeD with incident hemorrhagic stroke. There was no interaction of race (P=0.37) on the association of adherence to MeD with incident IS. CONCLUSIONS High adherence to MeD seems to be associated with a lower risk of incident IS independent of potential confounders. Adherence to MeD is not related to the risk of incident hemorrhagic stroke.","author":[{"dropping-particle":"","family":"Tsivgoulis","given":"Georgios","non-dropping-particle":"","parse-names":false,"suffix":""},{"dropping-particle":"","family":"Psaltopoulou","given":"Theodora","non-dropping-particle":"","parse-names":false,"suffix":""},{"dropping-particle":"","family":"Wadley","given":"Virginia G.","non-dropping-particle":"","parse-names":false,"suffix":""},{"dropping-particle":"V.","family":"Alexandrov","given":"Andrei","non-dropping-particle":"","parse-names":false,"suffix":""},{"dropping-particle":"","family":"Howard","given":"George","non-dropping-particle":"","parse-names":false,"suffix":""},{"dropping-particle":"","family":"Unverzagt","given":"Frederick W.","non-dropping-particle":"","parse-names":false,"suffix":""},{"dropping-particle":"","family":"Moy","given":"Claudia","non-dropping-particle":"","parse-names":false,"suffix":""},{"dropping-particle":"","family":"Howard","given":"Virginia J.","non-dropping-particle":"","parse-names":false,"suffix":""},{"dropping-particle":"","family":"Kissela","given":"Brett","non-dropping-particle":"","parse-names":false,"suffix":""},{"dropping-particle":"","family":"Judd","given":"Suzanne E.","non-dropping-particle":"","parse-names":false,"suffix":""}],"container-title":"Stroke","id":"ITEM-1","issue":"3","issued":{"date-parts":[["2015","3"]]},"page":"780-785","title":"Adherence to a Mediterranean Diet and Prediction of Incident Stroke","type":"article-journal","volume":"46"},"uris":["http://www.mendeley.com/documents/?uuid=2c5f0285-1e55-3857-9133-2d23cea0c220"]}],"mendeley":{"formattedCitation":"(11)","plainTextFormattedCitation":"(11)","previouslyFormattedCitation":"(11)"},"properties":{"noteIndex":0},"schema":"https://github.com/citation-style-language/schema/raw/master/csl-citation.json"}</w:instrText>
            </w:r>
            <w:r w:rsidRPr="005F4695">
              <w:rPr>
                <w:rFonts w:asciiTheme="minorBidi" w:hAnsiTheme="minorBidi" w:cstheme="minorBidi"/>
                <w:color w:val="000000" w:themeColor="text1"/>
                <w:sz w:val="20"/>
                <w:szCs w:val="20"/>
                <w:lang w:val="en-GB" w:eastAsia="en-GB"/>
              </w:rPr>
              <w:fldChar w:fldCharType="separate"/>
            </w:r>
            <w:r w:rsidRPr="005F4695">
              <w:rPr>
                <w:rFonts w:asciiTheme="minorBidi" w:hAnsiTheme="minorBidi" w:cstheme="minorBidi"/>
                <w:noProof/>
                <w:color w:val="000000" w:themeColor="text1"/>
                <w:sz w:val="20"/>
                <w:szCs w:val="20"/>
                <w:lang w:val="en-GB" w:eastAsia="en-GB"/>
              </w:rPr>
              <w:t>(11)</w:t>
            </w:r>
            <w:r w:rsidRPr="005F4695">
              <w:rPr>
                <w:rFonts w:asciiTheme="minorBidi" w:hAnsiTheme="minorBidi" w:cstheme="minorBidi"/>
                <w:color w:val="000000" w:themeColor="text1"/>
                <w:sz w:val="20"/>
                <w:szCs w:val="20"/>
                <w:lang w:val="en-GB" w:eastAsia="en-GB"/>
              </w:rPr>
              <w:fldChar w:fldCharType="end"/>
            </w:r>
          </w:p>
          <w:p w14:paraId="66711763" w14:textId="66E6D7E2"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lang w:val="en-GB" w:eastAsia="en-GB"/>
              </w:rPr>
              <w:t xml:space="preserve">AHEI: </w:t>
            </w:r>
            <w:r w:rsidRPr="005F4695">
              <w:rPr>
                <w:rFonts w:asciiTheme="minorBidi" w:hAnsiTheme="minorBidi" w:cstheme="minorBidi"/>
                <w:color w:val="000000" w:themeColor="text1"/>
                <w:sz w:val="20"/>
                <w:szCs w:val="20"/>
                <w:lang w:val="en-GB" w:eastAsia="en-GB"/>
              </w:rPr>
              <w:fldChar w:fldCharType="begin" w:fldLock="1"/>
            </w:r>
            <w:r w:rsidR="004A7B72">
              <w:rPr>
                <w:rFonts w:asciiTheme="minorBidi" w:hAnsiTheme="minorBidi" w:cstheme="minorBidi"/>
                <w:color w:val="000000" w:themeColor="text1"/>
                <w:sz w:val="20"/>
                <w:szCs w:val="20"/>
                <w:lang w:val="en-GB" w:eastAsia="en-GB"/>
              </w:rPr>
              <w:instrText>ADDIN CSL_CITATION {"citationItems":[{"id":"ITEM-1","itemData":{"DOI":"10.3945/jn.116.231209","ISSN":"0022-3166","author":[{"dropping-particle":"","family":"Mattei","given":"Josiemer","non-dropping-particle":"","parse-names":false,"suffix":""},{"dropping-particle":"","family":"Sotres-Alvarez","given":"Daniela","non-dropping-particle":"","parse-names":false,"suffix":""},{"dropping-particle":"","family":"Daviglus","given":"Martha L","non-dropping-particle":"","parse-names":false,"suffix":""},{"dropping-particle":"","family":"Gallo","given":"Linda C","non-dropping-particle":"","parse-names":false,"suffix":""},{"dropping-particle":"","family":"Gellman","given":"Marc","non-dropping-particle":"","parse-names":false,"suffix":""},{"dropping-particle":"","family":"Hu","given":"Frank B","non-dropping-particle":"","parse-names":false,"suffix":""},{"dropping-particle":"","family":"Tucker","given":"Katherine L","non-dropping-particle":"","parse-names":false,"suffix":""},{"dropping-particle":"","family":"Willett","given":"Walter C","non-dropping-particle":"","parse-names":false,"suffix":""},{"dropping-particle":"","family":"Siega-Riz","given":"Anna Maria","non-dropping-particle":"","parse-names":false,"suffix":""},{"dropping-particle":"","family":"Horn","given":"Linda","non-dropping-particle":"Van","parse-names":false,"suffix":""},{"dropping-particle":"","family":"Kaplan","given":"Robert C","non-dropping-particle":"","parse-names":false,"suffix":""}],"container-title":"The Journal of Nutrition","id":"ITEM-1","issue":"10","issued":{"date-parts":[["2016","10","1"]]},"page":"2035-2044","title":"Diet Quality and Its Association with Cardiometabolic Risk Factors Vary by Hispanic and Latino Ethnic Background in the Hispanic Community Health Study/Study of Latinos","type":"article-journal","volume":"146"},"uris":["http://www.mendeley.com/documents/?uuid=5b5fce0c-303d-3170-b389-a2b391692146"]}],"mendeley":{"formattedCitation":"(3)","plainTextFormattedCitation":"(3)","previouslyFormattedCitation":"(3)"},"properties":{"noteIndex":0},"schema":"https://github.com/citation-style-language/schema/raw/master/csl-citation.json"}</w:instrText>
            </w:r>
            <w:r w:rsidRPr="005F4695">
              <w:rPr>
                <w:rFonts w:asciiTheme="minorBidi" w:hAnsiTheme="minorBidi" w:cstheme="minorBidi"/>
                <w:color w:val="000000" w:themeColor="text1"/>
                <w:sz w:val="20"/>
                <w:szCs w:val="20"/>
                <w:lang w:val="en-GB" w:eastAsia="en-GB"/>
              </w:rPr>
              <w:fldChar w:fldCharType="separate"/>
            </w:r>
            <w:r w:rsidRPr="005F4695">
              <w:rPr>
                <w:rFonts w:asciiTheme="minorBidi" w:hAnsiTheme="minorBidi" w:cstheme="minorBidi"/>
                <w:noProof/>
                <w:color w:val="000000" w:themeColor="text1"/>
                <w:sz w:val="20"/>
                <w:szCs w:val="20"/>
                <w:lang w:val="en-GB" w:eastAsia="en-GB"/>
              </w:rPr>
              <w:t>(3)</w:t>
            </w:r>
            <w:r w:rsidRPr="005F4695">
              <w:rPr>
                <w:rFonts w:asciiTheme="minorBidi" w:hAnsiTheme="minorBidi" w:cstheme="minorBidi"/>
                <w:color w:val="000000" w:themeColor="text1"/>
                <w:sz w:val="20"/>
                <w:szCs w:val="20"/>
                <w:lang w:val="en-GB" w:eastAsia="en-GB"/>
              </w:rPr>
              <w:fldChar w:fldCharType="end"/>
            </w:r>
          </w:p>
        </w:tc>
      </w:tr>
      <w:tr w:rsidR="00743B47" w:rsidRPr="005F4695" w14:paraId="0DEC60C9" w14:textId="77777777" w:rsidTr="00B20E43">
        <w:trPr>
          <w:trHeight w:val="388"/>
        </w:trPr>
        <w:tc>
          <w:tcPr>
            <w:tcW w:w="1555" w:type="dxa"/>
          </w:tcPr>
          <w:p w14:paraId="1F9AE1B3" w14:textId="114AC204" w:rsidR="00743B47" w:rsidRPr="005F4695" w:rsidRDefault="00743B47" w:rsidP="00743B47">
            <w:pPr>
              <w:rPr>
                <w:rFonts w:asciiTheme="minorBidi" w:hAnsiTheme="minorBidi" w:cstheme="minorBidi"/>
                <w:color w:val="000000" w:themeColor="text1"/>
                <w:sz w:val="20"/>
                <w:szCs w:val="20"/>
                <w:lang w:val="en-GB" w:eastAsia="en-GB"/>
              </w:rPr>
            </w:pPr>
            <w:r w:rsidRPr="003754B5">
              <w:rPr>
                <w:rFonts w:asciiTheme="minorBidi" w:hAnsiTheme="minorBidi" w:cstheme="minorBidi"/>
                <w:sz w:val="20"/>
                <w:szCs w:val="20"/>
                <w:lang w:val="en-GB" w:eastAsia="en-GB"/>
              </w:rPr>
              <w:t>Mattei et al</w:t>
            </w:r>
            <w:r>
              <w:rPr>
                <w:rFonts w:asciiTheme="minorBidi" w:hAnsiTheme="minorBidi" w:cstheme="minorBidi"/>
                <w:sz w:val="20"/>
                <w:szCs w:val="20"/>
                <w:lang w:val="en-GB" w:eastAsia="en-GB"/>
              </w:rPr>
              <w:t>, 2016</w:t>
            </w:r>
            <w:r w:rsidRPr="003754B5">
              <w:rPr>
                <w:rFonts w:asciiTheme="minorBidi" w:hAnsiTheme="minorBidi" w:cstheme="minorBidi"/>
                <w:sz w:val="20"/>
                <w:szCs w:val="20"/>
                <w:lang w:val="en-GB" w:eastAsia="en-GB"/>
              </w:rPr>
              <w:t xml:space="preserve"> </w:t>
            </w:r>
            <w:r w:rsidRPr="003754B5">
              <w:rPr>
                <w:rFonts w:asciiTheme="minorBidi" w:hAnsiTheme="minorBidi" w:cstheme="minorBidi"/>
                <w:sz w:val="20"/>
                <w:szCs w:val="20"/>
                <w:lang w:val="en-GB" w:eastAsia="en-GB"/>
              </w:rPr>
              <w:fldChar w:fldCharType="begin" w:fldLock="1"/>
            </w:r>
            <w:r w:rsidR="004A7B72">
              <w:rPr>
                <w:rFonts w:asciiTheme="minorBidi" w:hAnsiTheme="minorBidi" w:cstheme="minorBidi"/>
                <w:sz w:val="20"/>
                <w:szCs w:val="20"/>
                <w:lang w:val="en-GB" w:eastAsia="en-GB"/>
              </w:rPr>
              <w:instrText>ADDIN CSL_CITATION {"citationItems":[{"id":"ITEM-1","itemData":{"DOI":"10.3945/jn.116.231209","ISSN":"0022-3166","author":[{"dropping-particle":"","family":"Mattei","given":"Josiemer","non-dropping-particle":"","parse-names":false,"suffix":""},{"dropping-particle":"","family":"Sotres-Alvarez","given":"Daniela","non-dropping-particle":"","parse-names":false,"suffix":""},{"dropping-particle":"","family":"Daviglus","given":"Martha L","non-dropping-particle":"","parse-names":false,"suffix":""},{"dropping-particle":"","family":"Gallo","given":"Linda C","non-dropping-particle":"","parse-names":false,"suffix":""},{"dropping-particle":"","family":"Gellman","given":"Marc","non-dropping-particle":"","parse-names":false,"suffix":""},{"dropping-particle":"","family":"Hu","given":"Frank B","non-dropping-particle":"","parse-names":false,"suffix":""},{"dropping-particle":"","family":"Tucker","given":"Katherine L","non-dropping-particle":"","parse-names":false,"suffix":""},{"dropping-particle":"","family":"Willett","given":"Walter C","non-dropping-particle":"","parse-names":false,"suffix":""},{"dropping-particle":"","family":"Siega-Riz","given":"Anna Maria","non-dropping-particle":"","parse-names":false,"suffix":""},{"dropping-particle":"","family":"Horn","given":"Linda","non-dropping-particle":"Van","parse-names":false,"suffix":""},{"dropping-particle":"","family":"Kaplan","given":"Robert C","non-dropping-particle":"","parse-names":false,"suffix":""}],"container-title":"The Journal of Nutrition","id":"ITEM-1","issue":"10","issued":{"date-parts":[["2016","10","1"]]},"page":"2035-2044","title":"Diet Quality and Its Association with Cardiometabolic Risk Factors Vary by Hispanic and Latino Ethnic Background in the Hispanic Community Health Study/Study of Latinos","type":"article-journal","volume":"146"},"uris":["http://www.mendeley.com/documents/?uuid=5b5fce0c-303d-3170-b389-a2b391692146"]}],"mendeley":{"formattedCitation":"(3)","plainTextFormattedCitation":"(3)","previouslyFormattedCitation":"(8)"},"properties":{"noteIndex":0},"schema":"https://github.com/citation-style-language/schema/raw/master/csl-citation.json"}</w:instrText>
            </w:r>
            <w:r w:rsidRPr="003754B5">
              <w:rPr>
                <w:rFonts w:asciiTheme="minorBidi" w:hAnsiTheme="minorBidi" w:cstheme="minorBidi"/>
                <w:sz w:val="20"/>
                <w:szCs w:val="20"/>
                <w:lang w:val="en-GB" w:eastAsia="en-GB"/>
              </w:rPr>
              <w:fldChar w:fldCharType="separate"/>
            </w:r>
            <w:r w:rsidR="004A7B72" w:rsidRPr="004A7B72">
              <w:rPr>
                <w:rFonts w:asciiTheme="minorBidi" w:hAnsiTheme="minorBidi" w:cstheme="minorBidi"/>
                <w:noProof/>
                <w:sz w:val="20"/>
                <w:szCs w:val="20"/>
                <w:lang w:val="en-GB" w:eastAsia="en-GB"/>
              </w:rPr>
              <w:t>(3)</w:t>
            </w:r>
            <w:r w:rsidRPr="003754B5">
              <w:rPr>
                <w:rFonts w:asciiTheme="minorBidi" w:hAnsiTheme="minorBidi" w:cstheme="minorBidi"/>
                <w:sz w:val="20"/>
                <w:szCs w:val="20"/>
                <w:lang w:val="en-GB" w:eastAsia="en-GB"/>
              </w:rPr>
              <w:fldChar w:fldCharType="end"/>
            </w:r>
          </w:p>
        </w:tc>
        <w:tc>
          <w:tcPr>
            <w:tcW w:w="1417" w:type="dxa"/>
          </w:tcPr>
          <w:p w14:paraId="13D1466E" w14:textId="15FA137B"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lang w:val="en-GB" w:eastAsia="en-GB"/>
              </w:rPr>
              <w:t>USA</w:t>
            </w:r>
          </w:p>
        </w:tc>
        <w:tc>
          <w:tcPr>
            <w:tcW w:w="1276" w:type="dxa"/>
          </w:tcPr>
          <w:p w14:paraId="5E87987D" w14:textId="134821A7" w:rsidR="00743B47" w:rsidRPr="005F4695" w:rsidRDefault="00743B47" w:rsidP="00743B47">
            <w:pPr>
              <w:autoSpaceDE w:val="0"/>
              <w:autoSpaceDN w:val="0"/>
              <w:adjustRightInd w:val="0"/>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lang w:val="en-GB" w:eastAsia="en-GB"/>
              </w:rPr>
              <w:t>12406, adults      (18-74)</w:t>
            </w:r>
          </w:p>
        </w:tc>
        <w:tc>
          <w:tcPr>
            <w:tcW w:w="1559" w:type="dxa"/>
          </w:tcPr>
          <w:p w14:paraId="12F1EBE6" w14:textId="7315F659"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lang w:val="en-GB" w:eastAsia="en-GB"/>
              </w:rPr>
              <w:t>2 x 24hr recalls</w:t>
            </w:r>
          </w:p>
        </w:tc>
        <w:tc>
          <w:tcPr>
            <w:tcW w:w="1559" w:type="dxa"/>
          </w:tcPr>
          <w:p w14:paraId="65F38D07" w14:textId="2C98B56F"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lang w:val="en-GB" w:eastAsia="en-GB"/>
              </w:rPr>
              <w:t>AHEI</w:t>
            </w:r>
          </w:p>
        </w:tc>
        <w:tc>
          <w:tcPr>
            <w:tcW w:w="5305" w:type="dxa"/>
          </w:tcPr>
          <w:p w14:paraId="09183F4E" w14:textId="77777777" w:rsidR="00743B47" w:rsidRPr="005F4695" w:rsidRDefault="00743B47" w:rsidP="00743B47">
            <w:pPr>
              <w:rPr>
                <w:rFonts w:asciiTheme="minorBidi" w:eastAsiaTheme="minorHAnsi" w:hAnsiTheme="minorBidi" w:cstheme="minorBidi"/>
                <w:color w:val="000000" w:themeColor="text1"/>
                <w:sz w:val="20"/>
                <w:szCs w:val="20"/>
              </w:rPr>
            </w:pPr>
            <w:r w:rsidRPr="005F4695">
              <w:rPr>
                <w:rFonts w:asciiTheme="minorBidi" w:hAnsiTheme="minorBidi" w:cstheme="minorBidi"/>
                <w:color w:val="000000" w:themeColor="text1"/>
                <w:sz w:val="20"/>
                <w:szCs w:val="20"/>
                <w:lang w:val="en-GB" w:eastAsia="en-GB"/>
              </w:rPr>
              <w:t xml:space="preserve">11 (vegetables without potatoes, whole fruit without fruit juice, whole grains, sugar sweetened beverages and fruit juice, nuts and legumes, red/processed meat, trans fat, omega-3 fatty acids, polyunsaturated fatty acids, sodium, alcohol), 0 to 10 and each component prorated intermediate values, overall score range from 0 to 110 </w:t>
            </w:r>
            <w:r w:rsidRPr="005F4695">
              <w:rPr>
                <w:rFonts w:asciiTheme="minorBidi" w:eastAsiaTheme="minorHAnsi" w:hAnsiTheme="minorBidi" w:cstheme="minorBidi"/>
                <w:color w:val="000000" w:themeColor="text1"/>
                <w:sz w:val="20"/>
                <w:szCs w:val="20"/>
              </w:rPr>
              <w:t>points</w:t>
            </w:r>
          </w:p>
          <w:p w14:paraId="4B762168" w14:textId="07EC2370" w:rsidR="00743B47" w:rsidRPr="005F4695" w:rsidRDefault="00743B47" w:rsidP="00743B47">
            <w:pPr>
              <w:rPr>
                <w:rFonts w:asciiTheme="minorBidi" w:hAnsiTheme="minorBidi" w:cstheme="minorBidi"/>
                <w:color w:val="000000" w:themeColor="text1"/>
                <w:sz w:val="20"/>
                <w:szCs w:val="20"/>
                <w:lang w:val="en-GB" w:eastAsia="en-GB"/>
              </w:rPr>
            </w:pPr>
          </w:p>
        </w:tc>
      </w:tr>
      <w:tr w:rsidR="00743B47" w:rsidRPr="005F4695" w14:paraId="456183C1" w14:textId="77777777" w:rsidTr="00B20E43">
        <w:trPr>
          <w:trHeight w:val="388"/>
        </w:trPr>
        <w:tc>
          <w:tcPr>
            <w:tcW w:w="1555" w:type="dxa"/>
          </w:tcPr>
          <w:p w14:paraId="29CB5E94" w14:textId="065FBB32" w:rsidR="00743B47" w:rsidRPr="005F4695" w:rsidRDefault="00743B47" w:rsidP="00743B47">
            <w:pPr>
              <w:rPr>
                <w:rFonts w:asciiTheme="minorBidi" w:hAnsiTheme="minorBidi" w:cstheme="minorBidi"/>
                <w:color w:val="000000" w:themeColor="text1"/>
                <w:sz w:val="20"/>
                <w:szCs w:val="20"/>
              </w:rPr>
            </w:pPr>
            <w:r w:rsidRPr="003754B5">
              <w:rPr>
                <w:rFonts w:asciiTheme="minorBidi" w:hAnsiTheme="minorBidi" w:cstheme="minorBidi"/>
                <w:color w:val="000000" w:themeColor="text1"/>
                <w:sz w:val="20"/>
                <w:szCs w:val="20"/>
                <w:lang w:val="en-GB" w:eastAsia="en-GB"/>
              </w:rPr>
              <w:lastRenderedPageBreak/>
              <w:t>Frazier-Wood et al</w:t>
            </w:r>
            <w:r>
              <w:rPr>
                <w:rFonts w:asciiTheme="minorBidi" w:hAnsiTheme="minorBidi" w:cstheme="minorBidi"/>
                <w:color w:val="000000" w:themeColor="text1"/>
                <w:sz w:val="20"/>
                <w:szCs w:val="20"/>
                <w:lang w:val="en-GB" w:eastAsia="en-GB"/>
              </w:rPr>
              <w:t>, 2015</w:t>
            </w:r>
            <w:r w:rsidRPr="003754B5">
              <w:rPr>
                <w:rFonts w:asciiTheme="minorBidi" w:hAnsiTheme="minorBidi" w:cstheme="minorBidi"/>
                <w:color w:val="000000" w:themeColor="text1"/>
                <w:sz w:val="20"/>
                <w:szCs w:val="20"/>
                <w:lang w:val="en-GB" w:eastAsia="en-GB"/>
              </w:rPr>
              <w:t xml:space="preserve"> </w:t>
            </w:r>
            <w:r w:rsidRPr="003754B5">
              <w:rPr>
                <w:rFonts w:asciiTheme="minorBidi" w:hAnsiTheme="minorBidi" w:cstheme="minorBidi"/>
                <w:color w:val="000000" w:themeColor="text1"/>
                <w:sz w:val="20"/>
                <w:szCs w:val="20"/>
                <w:lang w:val="en-GB" w:eastAsia="en-GB"/>
              </w:rPr>
              <w:fldChar w:fldCharType="begin" w:fldLock="1"/>
            </w:r>
            <w:r w:rsidR="004A7B72">
              <w:rPr>
                <w:rFonts w:asciiTheme="minorBidi" w:hAnsiTheme="minorBidi" w:cstheme="minorBidi"/>
                <w:color w:val="000000" w:themeColor="text1"/>
                <w:sz w:val="20"/>
                <w:szCs w:val="20"/>
                <w:lang w:val="en-GB" w:eastAsia="en-GB"/>
              </w:rPr>
              <w:instrText>ADDIN CSL_CITATION {"citationItems":[{"id":"ITEM-1","itemData":{"DOI":"10.1017/S0007114515000185","ISSN":"0007-1145","abstract":"The role that BMI plays in the association between dietary quality and CVD risk is not known. We aimed to better understand this relationship using statistical methods which correct for sex-specific underreporting of dietary intake. Overall, dietary quality was assessed using the Healthy Eating Index (HEI) on data from 9797 non-pregnant adults (aged &amp;gt;20 years) who participated in the National Health and Nutrition Examination Survey from 2005 to 2010. CVD risk factors included blood pressure, fasting glucose and insulin, homeostatic models of insulin resistance (HOMA-IR), HDL- and LDL-cholesterol (HDL-C and LDL-C), TAG and C-reactive protein (CRP). We controlled for demographic and lifestyle covariates, and we used the population ratio approach (which adjusts for the underreporting of intake) to compare mean HEI scores between the top and bottom quartiles of covariate-adjusted CVD risk factors. In women, the total HEI score was not associated with any CVD risk factors (all Q &amp;gt;0·11). In men, the total HEI score was associated with covariate-adjusted residuals for fasting insulin ( Q &amp;lt; 0·001), HOMA-IR ( Q &amp;lt; 0·001), HDL-C ( Q = 0·01), TAG ( Q = 0·03) and CRP ( Q &amp;lt; 0·001). When we additionally adjusted for BMI, the association with total HEI score was not significant (all P &amp;gt;0·10). In the present analyses, dietary quality was associated with five CVD risk factors in a sex-specific manner. Moreover, the association of BMI with CVD risk attenuated the relationship between CVD risk and diet, which suggests that BMI is an important factor in heart disease prevention.","author":[{"dropping-particle":"","family":"Frazier-Wood","given":"Alexis C.","non-dropping-particle":"","parse-names":false,"suffix":""},{"dropping-particle":"","family":"Kim","given":"Jihye","non-dropping-particle":"","parse-names":false,"suffix":""},{"dropping-particle":"","family":"Davis","given":"Jennifer S.","non-dropping-particle":"","parse-names":false,"suffix":""},{"dropping-particle":"","family":"Jung","given":"Su Yon","non-dropping-particle":"","parse-names":false,"suffix":""},{"dropping-particle":"","family":"Chang","given":"Shine","non-dropping-particle":"","parse-names":false,"suffix":""}],"container-title":"British Journal of Nutrition","id":"ITEM-1","issue":"08","issued":{"date-parts":[["2015","4","27"]]},"page":"1244-1253","title":"In cross-sectional observations, dietary quality is not associated with CVD risk in women; in men the positive association is accounted for by BMI","type":"article-journal","volume":"113"},"uris":["http://www.mendeley.com/documents/?uuid=fbc9117e-ec6d-3797-a24f-79f81b15f951"]}],"mendeley":{"formattedCitation":"(2)","plainTextFormattedCitation":"(2)","previouslyFormattedCitation":"(9)"},"properties":{"noteIndex":0},"schema":"https://github.com/citation-style-language/schema/raw/master/csl-citation.json"}</w:instrText>
            </w:r>
            <w:r w:rsidRPr="003754B5">
              <w:rPr>
                <w:rFonts w:asciiTheme="minorBidi" w:hAnsiTheme="minorBidi" w:cstheme="minorBidi"/>
                <w:color w:val="000000" w:themeColor="text1"/>
                <w:sz w:val="20"/>
                <w:szCs w:val="20"/>
                <w:lang w:val="en-GB" w:eastAsia="en-GB"/>
              </w:rPr>
              <w:fldChar w:fldCharType="separate"/>
            </w:r>
            <w:r w:rsidR="004A7B72" w:rsidRPr="004A7B72">
              <w:rPr>
                <w:rFonts w:asciiTheme="minorBidi" w:hAnsiTheme="minorBidi" w:cstheme="minorBidi"/>
                <w:noProof/>
                <w:color w:val="000000" w:themeColor="text1"/>
                <w:sz w:val="20"/>
                <w:szCs w:val="20"/>
                <w:lang w:val="en-GB" w:eastAsia="en-GB"/>
              </w:rPr>
              <w:t>(2)</w:t>
            </w:r>
            <w:r w:rsidRPr="003754B5">
              <w:rPr>
                <w:rFonts w:asciiTheme="minorBidi" w:hAnsiTheme="minorBidi" w:cstheme="minorBidi"/>
                <w:color w:val="000000" w:themeColor="text1"/>
                <w:sz w:val="20"/>
                <w:szCs w:val="20"/>
                <w:lang w:val="en-GB" w:eastAsia="en-GB"/>
              </w:rPr>
              <w:fldChar w:fldCharType="end"/>
            </w:r>
          </w:p>
        </w:tc>
        <w:tc>
          <w:tcPr>
            <w:tcW w:w="1417" w:type="dxa"/>
          </w:tcPr>
          <w:p w14:paraId="79F81CBE" w14:textId="267A3147" w:rsidR="00743B47" w:rsidRPr="005F4695" w:rsidRDefault="00743B47" w:rsidP="00743B47">
            <w:pPr>
              <w:rPr>
                <w:rFonts w:asciiTheme="minorBidi" w:hAnsiTheme="minorBidi" w:cstheme="minorBidi"/>
                <w:color w:val="000000" w:themeColor="text1"/>
                <w:sz w:val="20"/>
                <w:szCs w:val="20"/>
              </w:rPr>
            </w:pPr>
            <w:r w:rsidRPr="005F4695">
              <w:rPr>
                <w:rFonts w:asciiTheme="minorBidi" w:hAnsiTheme="minorBidi" w:cstheme="minorBidi"/>
                <w:color w:val="000000" w:themeColor="text1"/>
                <w:sz w:val="20"/>
                <w:szCs w:val="20"/>
                <w:lang w:val="en-GB" w:eastAsia="en-GB"/>
              </w:rPr>
              <w:t>USA</w:t>
            </w:r>
          </w:p>
        </w:tc>
        <w:tc>
          <w:tcPr>
            <w:tcW w:w="1276" w:type="dxa"/>
          </w:tcPr>
          <w:p w14:paraId="3E73A214" w14:textId="6D1A6FDA" w:rsidR="00743B47" w:rsidRPr="005F4695" w:rsidRDefault="00743B47" w:rsidP="00743B47">
            <w:pPr>
              <w:rPr>
                <w:rFonts w:asciiTheme="minorBidi" w:hAnsiTheme="minorBidi" w:cstheme="minorBidi"/>
                <w:color w:val="000000" w:themeColor="text1"/>
                <w:sz w:val="20"/>
                <w:szCs w:val="20"/>
              </w:rPr>
            </w:pPr>
            <w:r w:rsidRPr="005F4695">
              <w:rPr>
                <w:rFonts w:asciiTheme="minorBidi" w:hAnsiTheme="minorBidi" w:cstheme="minorBidi"/>
                <w:color w:val="000000" w:themeColor="text1"/>
                <w:sz w:val="20"/>
                <w:szCs w:val="20"/>
                <w:lang w:val="en-GB" w:eastAsia="en-GB"/>
              </w:rPr>
              <w:t>9797, adults   (~41)</w:t>
            </w:r>
          </w:p>
        </w:tc>
        <w:tc>
          <w:tcPr>
            <w:tcW w:w="1559" w:type="dxa"/>
          </w:tcPr>
          <w:p w14:paraId="751DB93F" w14:textId="6462C8FD" w:rsidR="00743B47" w:rsidRPr="005F4695" w:rsidRDefault="00743B47" w:rsidP="00743B47">
            <w:pPr>
              <w:rPr>
                <w:rFonts w:asciiTheme="minorBidi" w:hAnsiTheme="minorBidi" w:cstheme="minorBidi"/>
                <w:color w:val="000000" w:themeColor="text1"/>
                <w:sz w:val="20"/>
                <w:szCs w:val="20"/>
              </w:rPr>
            </w:pPr>
            <w:r w:rsidRPr="005F4695">
              <w:rPr>
                <w:rFonts w:asciiTheme="minorBidi" w:hAnsiTheme="minorBidi" w:cstheme="minorBidi"/>
                <w:color w:val="000000" w:themeColor="text1"/>
                <w:sz w:val="20"/>
                <w:szCs w:val="20"/>
                <w:lang w:val="en-GB" w:eastAsia="en-GB"/>
              </w:rPr>
              <w:t>2 x 24hr recalls</w:t>
            </w:r>
          </w:p>
        </w:tc>
        <w:tc>
          <w:tcPr>
            <w:tcW w:w="1559" w:type="dxa"/>
          </w:tcPr>
          <w:p w14:paraId="105899E1" w14:textId="5ACB9ECC" w:rsidR="00743B47" w:rsidRPr="005F4695" w:rsidRDefault="00743B47" w:rsidP="00743B47">
            <w:pPr>
              <w:rPr>
                <w:rFonts w:asciiTheme="minorBidi" w:hAnsiTheme="minorBidi" w:cstheme="minorBidi"/>
                <w:color w:val="000000" w:themeColor="text1"/>
                <w:sz w:val="20"/>
                <w:szCs w:val="20"/>
              </w:rPr>
            </w:pPr>
            <w:r w:rsidRPr="005F4695">
              <w:rPr>
                <w:rFonts w:asciiTheme="minorBidi" w:hAnsiTheme="minorBidi" w:cstheme="minorBidi"/>
                <w:color w:val="000000" w:themeColor="text1"/>
                <w:sz w:val="20"/>
                <w:szCs w:val="20"/>
                <w:lang w:val="en-GB" w:eastAsia="en-GB"/>
              </w:rPr>
              <w:t xml:space="preserve">HEI  </w:t>
            </w:r>
          </w:p>
        </w:tc>
        <w:tc>
          <w:tcPr>
            <w:tcW w:w="5305" w:type="dxa"/>
          </w:tcPr>
          <w:p w14:paraId="1E7FBD24" w14:textId="77777777" w:rsidR="00743B47" w:rsidRPr="005F4695" w:rsidRDefault="00743B47" w:rsidP="00743B47">
            <w:pPr>
              <w:rPr>
                <w:rFonts w:asciiTheme="minorBidi" w:eastAsiaTheme="minorHAnsi" w:hAnsiTheme="minorBidi" w:cstheme="minorBidi"/>
                <w:color w:val="000000" w:themeColor="text1"/>
                <w:sz w:val="20"/>
                <w:szCs w:val="20"/>
              </w:rPr>
            </w:pPr>
            <w:r w:rsidRPr="005F4695">
              <w:rPr>
                <w:rFonts w:asciiTheme="minorBidi" w:hAnsiTheme="minorBidi" w:cstheme="minorBidi"/>
                <w:color w:val="000000" w:themeColor="text1"/>
                <w:sz w:val="20"/>
                <w:szCs w:val="20"/>
                <w:lang w:val="en-GB" w:eastAsia="en-GB"/>
              </w:rPr>
              <w:t xml:space="preserve">12 (Total fruits, whole fruits, total vegetables, greens and beans, whole grains, dairy, total protein foods, seafood and plant proteins, fatty acids, refined grains, Na and empty energy), </w:t>
            </w:r>
            <w:r w:rsidRPr="005F4695">
              <w:rPr>
                <w:rFonts w:asciiTheme="minorBidi" w:hAnsiTheme="minorBidi" w:cstheme="minorBidi"/>
                <w:color w:val="000000" w:themeColor="text1"/>
                <w:sz w:val="20"/>
                <w:szCs w:val="20"/>
              </w:rPr>
              <w:t xml:space="preserve">each component has a minimum score of 0 and a maximum score between 5 and 20 using weighted means, </w:t>
            </w:r>
            <w:r w:rsidRPr="005F4695">
              <w:rPr>
                <w:rFonts w:asciiTheme="minorBidi" w:hAnsiTheme="minorBidi" w:cstheme="minorBidi"/>
                <w:color w:val="000000" w:themeColor="text1"/>
                <w:sz w:val="20"/>
                <w:szCs w:val="20"/>
                <w:lang w:val="en-GB" w:eastAsia="en-GB"/>
              </w:rPr>
              <w:t>overall score ranged from 0 to 100</w:t>
            </w:r>
            <w:r w:rsidRPr="005F4695">
              <w:rPr>
                <w:rFonts w:asciiTheme="minorBidi" w:hAnsiTheme="minorBidi" w:cstheme="minorBidi"/>
                <w:color w:val="000000" w:themeColor="text1"/>
                <w:sz w:val="20"/>
                <w:szCs w:val="20"/>
              </w:rPr>
              <w:t xml:space="preserve"> </w:t>
            </w:r>
            <w:r w:rsidRPr="005F4695">
              <w:rPr>
                <w:rFonts w:asciiTheme="minorBidi" w:eastAsiaTheme="minorHAnsi" w:hAnsiTheme="minorBidi" w:cstheme="minorBidi"/>
                <w:color w:val="000000" w:themeColor="text1"/>
                <w:sz w:val="20"/>
                <w:szCs w:val="20"/>
              </w:rPr>
              <w:t>points</w:t>
            </w:r>
          </w:p>
          <w:p w14:paraId="3214071C" w14:textId="02414EFC" w:rsidR="00743B47" w:rsidRPr="005F4695" w:rsidRDefault="00743B47" w:rsidP="00743B47">
            <w:pPr>
              <w:rPr>
                <w:rFonts w:asciiTheme="minorBidi" w:hAnsiTheme="minorBidi" w:cstheme="minorBidi"/>
                <w:color w:val="000000" w:themeColor="text1"/>
                <w:sz w:val="20"/>
                <w:szCs w:val="20"/>
              </w:rPr>
            </w:pPr>
          </w:p>
        </w:tc>
      </w:tr>
      <w:tr w:rsidR="00743B47" w:rsidRPr="005F4695" w14:paraId="499FA22F" w14:textId="77777777" w:rsidTr="00B20E43">
        <w:trPr>
          <w:trHeight w:val="388"/>
        </w:trPr>
        <w:tc>
          <w:tcPr>
            <w:tcW w:w="1555" w:type="dxa"/>
          </w:tcPr>
          <w:p w14:paraId="6F298A08" w14:textId="7BE72ABC" w:rsidR="00743B47" w:rsidRPr="005F4695" w:rsidRDefault="00743B47" w:rsidP="00743B47">
            <w:pPr>
              <w:rPr>
                <w:rFonts w:asciiTheme="minorBidi" w:hAnsiTheme="minorBidi" w:cstheme="minorBidi"/>
                <w:color w:val="000000" w:themeColor="text1"/>
                <w:sz w:val="20"/>
                <w:szCs w:val="20"/>
              </w:rPr>
            </w:pPr>
            <w:r w:rsidRPr="003754B5">
              <w:rPr>
                <w:rFonts w:asciiTheme="minorBidi" w:hAnsiTheme="minorBidi" w:cstheme="minorBidi"/>
                <w:sz w:val="20"/>
                <w:szCs w:val="20"/>
              </w:rPr>
              <w:t>Sotos-Prieto et al</w:t>
            </w:r>
            <w:r>
              <w:rPr>
                <w:rFonts w:asciiTheme="minorBidi" w:hAnsiTheme="minorBidi" w:cstheme="minorBidi"/>
                <w:sz w:val="20"/>
                <w:szCs w:val="20"/>
              </w:rPr>
              <w:t>, 2015</w:t>
            </w:r>
            <w:r w:rsidRPr="003754B5">
              <w:rPr>
                <w:rFonts w:asciiTheme="minorBidi" w:hAnsiTheme="minorBidi" w:cstheme="minorBidi"/>
                <w:sz w:val="20"/>
                <w:szCs w:val="20"/>
              </w:rPr>
              <w:t xml:space="preserve"> </w:t>
            </w:r>
            <w:r w:rsidRPr="003754B5">
              <w:rPr>
                <w:rFonts w:asciiTheme="minorBidi" w:hAnsiTheme="minorBidi" w:cstheme="minorBidi"/>
                <w:sz w:val="20"/>
                <w:szCs w:val="20"/>
              </w:rPr>
              <w:fldChar w:fldCharType="begin" w:fldLock="1"/>
            </w:r>
            <w:r w:rsidR="004A7B72">
              <w:rPr>
                <w:rFonts w:asciiTheme="minorBidi" w:hAnsiTheme="minorBidi" w:cstheme="minorBidi"/>
                <w:sz w:val="20"/>
                <w:szCs w:val="20"/>
              </w:rPr>
              <w:instrText>ADDIN CSL_CITATION {"citationItems":[{"id":"ITEM-1","itemData":{"DOI":"10.1161/CIRCULATIONAHA.115.017158","ISBN":"0000441139","ISSN":"15244539","PMID":"26644246","abstract":"BACKGROUND: Adherence to several diet quality scores, including the Alternative Healthy Eating Index, Alternative Mediterranean Diet score, and Dietary Approach to Stop Hypertension, has been associated with lower risk of cardiovascular disease (CVD), but little is known about how changes in these scores over time influence subsequent CVD risk.\\n\\nMETHODS AND RESULTS: We analyzed the association between 4-year changes in the 3 diet quality scores (Alternative Healthy Eating Index, Alternative Mediterranean Diet score, and Dietary Approach to Stop Hypertension) and subsequent cardiovascular disease (CVD) risk among 29 343 men in the Health Professionals Follow-up Study and 51 195 women in the Nurses' Health Study (1986-2010). During 1 394 702 person-years of follow-up, we documented 11 793 CVD cases. Compared with participants whose diet quality remained relatively stable in each 4-year period, those with the greatest improvement in diet quality scores had a 7% to 8% lower CVD risk in the subsequent 4-year period (pooled hazard ratio, 0.92 [95% confidence interval (CI), 0.87-0.99] for the Alternative Healthy Eating Index; 0.93 [95% CI, 0.85-1.02] for the Alternative Mediterranean Diet score; and 0.93 [95% CI, 0.87-0.99] for the Dietary Approach to Stop Hypertension; all P for trend &lt;0.05). In the long term, increasing the diet scores from baseline to the first 4-year follow-up was associated with lower CVD risk during the next 20 years (7% [95% CI, 1-12] for the Alternative Healthy Eating Index, and 9% [95% CI, 3-14] for the Alternative Mediterranean Diet score). A decrease in diet quality scores was associated with significantly elevated risk of CVD in subsequent time periods.\\n\\nCONCLUSIONS: Improving adherence to diet quality scores over time is associated with significantly lower CVD risk in both the short term and long term.","author":[{"dropping-particle":"","family":"Sotos-Prieto","given":"Mercedes","non-dropping-particle":"","parse-names":false,"suffix":""},{"dropping-particle":"","family":"Bhupathiraju","given":"Shilpa N.","non-dropping-particle":"","parse-names":false,"suffix":""},{"dropping-particle":"","family":"Mattei","given":"Josiemer","non-dropping-particle":"","parse-names":false,"suffix":""},{"dropping-particle":"","family":"Fung","given":"Teresa T.","non-dropping-particle":"","parse-names":false,"suffix":""},{"dropping-particle":"","family":"Li","given":"Yanping","non-dropping-particle":"","parse-names":false,"suffix":""},{"dropping-particle":"","family":"Pan","given":"An","non-dropping-particle":"","parse-names":false,"suffix":""},{"dropping-particle":"","family":"Willett","given":"Walter C.","non-dropping-particle":"","parse-names":false,"suffix":""},{"dropping-particle":"","family":"Rimm","given":"Eric B.","non-dropping-particle":"","parse-names":false,"suffix":""},{"dropping-particle":"","family":"Hu","given":"Frank B.","non-dropping-particle":"","parse-names":false,"suffix":""}],"container-title":"Circulation","id":"ITEM-1","issue":"23","issued":{"date-parts":[["2015","12","8"]]},"page":"2212-2219","title":"Changes in diet quality scores and risk of cardiovascular disease among US men and women","type":"article-journal","volume":"132"},"uris":["http://www.mendeley.com/documents/?uuid=cadeb2cd-b6e3-4b81-a4d3-0b8f34c2d88f"]}],"mendeley":{"formattedCitation":"(12)","plainTextFormattedCitation":"(12)","previouslyFormattedCitation":"(10)"},"properties":{"noteIndex":0},"schema":"https://github.com/citation-style-language/schema/raw/master/csl-citation.json"}</w:instrText>
            </w:r>
            <w:r w:rsidRPr="003754B5">
              <w:rPr>
                <w:rFonts w:asciiTheme="minorBidi" w:hAnsiTheme="minorBidi" w:cstheme="minorBidi"/>
                <w:sz w:val="20"/>
                <w:szCs w:val="20"/>
              </w:rPr>
              <w:fldChar w:fldCharType="separate"/>
            </w:r>
            <w:r w:rsidR="004A7B72" w:rsidRPr="004A7B72">
              <w:rPr>
                <w:rFonts w:asciiTheme="minorBidi" w:hAnsiTheme="minorBidi" w:cstheme="minorBidi"/>
                <w:noProof/>
                <w:sz w:val="20"/>
                <w:szCs w:val="20"/>
              </w:rPr>
              <w:t>(12)</w:t>
            </w:r>
            <w:r w:rsidRPr="003754B5">
              <w:rPr>
                <w:rFonts w:asciiTheme="minorBidi" w:hAnsiTheme="minorBidi" w:cstheme="minorBidi"/>
                <w:sz w:val="20"/>
                <w:szCs w:val="20"/>
              </w:rPr>
              <w:fldChar w:fldCharType="end"/>
            </w:r>
          </w:p>
        </w:tc>
        <w:tc>
          <w:tcPr>
            <w:tcW w:w="1417" w:type="dxa"/>
          </w:tcPr>
          <w:p w14:paraId="27A1412E" w14:textId="698CE3B4" w:rsidR="00743B47" w:rsidRPr="005F4695" w:rsidRDefault="00743B47" w:rsidP="00743B47">
            <w:pPr>
              <w:rPr>
                <w:rFonts w:asciiTheme="minorBidi" w:hAnsiTheme="minorBidi" w:cstheme="minorBidi"/>
                <w:color w:val="000000" w:themeColor="text1"/>
                <w:sz w:val="20"/>
                <w:szCs w:val="20"/>
              </w:rPr>
            </w:pPr>
            <w:r w:rsidRPr="005F4695">
              <w:rPr>
                <w:rFonts w:asciiTheme="minorBidi" w:hAnsiTheme="minorBidi" w:cstheme="minorBidi"/>
                <w:color w:val="000000" w:themeColor="text1"/>
                <w:sz w:val="20"/>
                <w:szCs w:val="20"/>
              </w:rPr>
              <w:t>USA</w:t>
            </w:r>
          </w:p>
        </w:tc>
        <w:tc>
          <w:tcPr>
            <w:tcW w:w="1276" w:type="dxa"/>
          </w:tcPr>
          <w:p w14:paraId="704E4751" w14:textId="4401D711" w:rsidR="00743B47" w:rsidRPr="005F4695" w:rsidRDefault="00743B47" w:rsidP="00743B47">
            <w:pPr>
              <w:rPr>
                <w:rFonts w:asciiTheme="minorBidi" w:hAnsiTheme="minorBidi" w:cstheme="minorBidi"/>
                <w:color w:val="000000" w:themeColor="text1"/>
                <w:sz w:val="20"/>
                <w:szCs w:val="20"/>
              </w:rPr>
            </w:pPr>
            <w:r w:rsidRPr="005F4695">
              <w:rPr>
                <w:rFonts w:asciiTheme="minorBidi" w:hAnsiTheme="minorBidi" w:cstheme="minorBidi"/>
                <w:color w:val="000000" w:themeColor="text1"/>
                <w:sz w:val="20"/>
                <w:szCs w:val="20"/>
              </w:rPr>
              <w:t>80538, adults    (</w:t>
            </w:r>
            <w:r w:rsidRPr="005F4695">
              <w:rPr>
                <w:rFonts w:asciiTheme="minorBidi" w:eastAsiaTheme="minorHAnsi" w:hAnsiTheme="minorBidi" w:cstheme="minorBidi"/>
                <w:color w:val="000000" w:themeColor="text1"/>
                <w:sz w:val="20"/>
                <w:szCs w:val="20"/>
              </w:rPr>
              <w:t>35-64)</w:t>
            </w:r>
          </w:p>
        </w:tc>
        <w:tc>
          <w:tcPr>
            <w:tcW w:w="1559" w:type="dxa"/>
          </w:tcPr>
          <w:p w14:paraId="54FE9E5E" w14:textId="77777777" w:rsidR="00743B47" w:rsidRDefault="00743B47" w:rsidP="00743B47">
            <w:pPr>
              <w:rPr>
                <w:rFonts w:asciiTheme="minorBidi" w:hAnsiTheme="minorBidi" w:cstheme="minorBidi"/>
                <w:color w:val="000000" w:themeColor="text1"/>
                <w:sz w:val="20"/>
                <w:szCs w:val="20"/>
              </w:rPr>
            </w:pPr>
            <w:r w:rsidRPr="005F4695">
              <w:rPr>
                <w:rFonts w:asciiTheme="minorBidi" w:hAnsiTheme="minorBidi" w:cstheme="minorBidi"/>
                <w:color w:val="000000" w:themeColor="text1"/>
                <w:sz w:val="20"/>
                <w:szCs w:val="20"/>
              </w:rPr>
              <w:t>FFQ</w:t>
            </w:r>
          </w:p>
          <w:p w14:paraId="0972398D" w14:textId="470E6054" w:rsidR="00743B47" w:rsidRPr="005F4695" w:rsidRDefault="00743B47" w:rsidP="00743B47">
            <w:pPr>
              <w:rPr>
                <w:rFonts w:asciiTheme="minorBidi" w:hAnsiTheme="minorBidi" w:cstheme="minorBidi"/>
                <w:color w:val="000000" w:themeColor="text1"/>
                <w:sz w:val="20"/>
                <w:szCs w:val="20"/>
              </w:rPr>
            </w:pPr>
            <w:r w:rsidRPr="005F4695">
              <w:rPr>
                <w:rFonts w:asciiTheme="minorBidi" w:hAnsiTheme="minorBidi" w:cstheme="minorBidi"/>
                <w:color w:val="000000" w:themeColor="text1"/>
                <w:sz w:val="20"/>
                <w:szCs w:val="20"/>
              </w:rPr>
              <w:t>(EPIC)</w:t>
            </w:r>
          </w:p>
          <w:p w14:paraId="0612E4D1" w14:textId="77777777" w:rsidR="00743B47" w:rsidRPr="005F4695" w:rsidRDefault="00743B47" w:rsidP="00743B47">
            <w:pPr>
              <w:rPr>
                <w:rFonts w:asciiTheme="minorBidi" w:hAnsiTheme="minorBidi" w:cstheme="minorBidi"/>
                <w:color w:val="000000" w:themeColor="text1"/>
                <w:sz w:val="20"/>
                <w:szCs w:val="20"/>
              </w:rPr>
            </w:pPr>
          </w:p>
        </w:tc>
        <w:tc>
          <w:tcPr>
            <w:tcW w:w="1559" w:type="dxa"/>
          </w:tcPr>
          <w:p w14:paraId="1DE0D91B" w14:textId="5BD6DC65" w:rsidR="00743B47" w:rsidRPr="005F4695" w:rsidRDefault="00743B47" w:rsidP="00743B47">
            <w:pPr>
              <w:rPr>
                <w:rFonts w:asciiTheme="minorBidi" w:hAnsiTheme="minorBidi" w:cstheme="minorBidi"/>
                <w:color w:val="000000" w:themeColor="text1"/>
                <w:sz w:val="20"/>
                <w:szCs w:val="20"/>
              </w:rPr>
            </w:pPr>
            <w:r w:rsidRPr="005F4695">
              <w:rPr>
                <w:rFonts w:asciiTheme="minorBidi" w:hAnsiTheme="minorBidi" w:cstheme="minorBidi"/>
                <w:color w:val="000000" w:themeColor="text1"/>
                <w:sz w:val="20"/>
                <w:szCs w:val="20"/>
              </w:rPr>
              <w:t xml:space="preserve">Comparison: HEI, AHEI, modified MDS, </w:t>
            </w:r>
            <w:r w:rsidR="00A940F3">
              <w:rPr>
                <w:rFonts w:asciiTheme="minorBidi" w:hAnsiTheme="minorBidi" w:cstheme="minorBidi"/>
                <w:color w:val="000000" w:themeColor="text1"/>
                <w:sz w:val="20"/>
                <w:szCs w:val="20"/>
              </w:rPr>
              <w:t>DASH score</w:t>
            </w:r>
          </w:p>
        </w:tc>
        <w:tc>
          <w:tcPr>
            <w:tcW w:w="5305" w:type="dxa"/>
          </w:tcPr>
          <w:p w14:paraId="73B7CF2F" w14:textId="1D982673" w:rsidR="00743B47" w:rsidRPr="005F4695" w:rsidRDefault="00743B47" w:rsidP="00743B47">
            <w:pPr>
              <w:rPr>
                <w:rFonts w:asciiTheme="minorBidi" w:hAnsiTheme="minorBidi" w:cstheme="minorBidi"/>
                <w:color w:val="000000" w:themeColor="text1"/>
                <w:sz w:val="20"/>
                <w:szCs w:val="20"/>
              </w:rPr>
            </w:pPr>
            <w:r w:rsidRPr="005F4695">
              <w:rPr>
                <w:rFonts w:asciiTheme="minorBidi" w:hAnsiTheme="minorBidi" w:cstheme="minorBidi"/>
                <w:color w:val="000000" w:themeColor="text1"/>
                <w:sz w:val="20"/>
                <w:szCs w:val="20"/>
              </w:rPr>
              <w:t xml:space="preserve">HEI: </w:t>
            </w:r>
            <w:r w:rsidRPr="005F4695">
              <w:rPr>
                <w:rFonts w:asciiTheme="minorBidi" w:hAnsiTheme="minorBidi" w:cstheme="minorBidi"/>
                <w:color w:val="000000" w:themeColor="text1"/>
                <w:sz w:val="20"/>
                <w:szCs w:val="20"/>
                <w:lang w:val="en-GB" w:eastAsia="en-GB"/>
              </w:rPr>
              <w:fldChar w:fldCharType="begin" w:fldLock="1"/>
            </w:r>
            <w:r w:rsidR="004A7B72">
              <w:rPr>
                <w:rFonts w:asciiTheme="minorBidi" w:hAnsiTheme="minorBidi" w:cstheme="minorBidi"/>
                <w:color w:val="000000" w:themeColor="text1"/>
                <w:sz w:val="20"/>
                <w:szCs w:val="20"/>
                <w:lang w:val="en-GB" w:eastAsia="en-GB"/>
              </w:rPr>
              <w:instrText>ADDIN CSL_CITATION {"citationItems":[{"id":"ITEM-1","itemData":{"DOI":"10.1017/S0007114515000185","ISSN":"0007-1145","abstract":"The role that BMI plays in the association between dietary quality and CVD risk is not known. We aimed to better understand this relationship using statistical methods which correct for sex-specific underreporting of dietary intake. Overall, dietary quality was assessed using the Healthy Eating Index (HEI) on data from 9797 non-pregnant adults (aged &amp;gt;20 years) who participated in the National Health and Nutrition Examination Survey from 2005 to 2010. CVD risk factors included blood pressure, fasting glucose and insulin, homeostatic models of insulin resistance (HOMA-IR), HDL- and LDL-cholesterol (HDL-C and LDL-C), TAG and C-reactive protein (CRP). We controlled for demographic and lifestyle covariates, and we used the population ratio approach (which adjusts for the underreporting of intake) to compare mean HEI scores between the top and bottom quartiles of covariate-adjusted CVD risk factors. In women, the total HEI score was not associated with any CVD risk factors (all Q &amp;gt;0·11). In men, the total HEI score was associated with covariate-adjusted residuals for fasting insulin ( Q &amp;lt; 0·001), HOMA-IR ( Q &amp;lt; 0·001), HDL-C ( Q = 0·01), TAG ( Q = 0·03) and CRP ( Q &amp;lt; 0·001). When we additionally adjusted for BMI, the association with total HEI score was not significant (all P &amp;gt;0·10). In the present analyses, dietary quality was associated with five CVD risk factors in a sex-specific manner. Moreover, the association of BMI with CVD risk attenuated the relationship between CVD risk and diet, which suggests that BMI is an important factor in heart disease prevention.","author":[{"dropping-particle":"","family":"Frazier-Wood","given":"Alexis C.","non-dropping-particle":"","parse-names":false,"suffix":""},{"dropping-particle":"","family":"Kim","given":"Jihye","non-dropping-particle":"","parse-names":false,"suffix":""},{"dropping-particle":"","family":"Davis","given":"Jennifer S.","non-dropping-particle":"","parse-names":false,"suffix":""},{"dropping-particle":"","family":"Jung","given":"Su Yon","non-dropping-particle":"","parse-names":false,"suffix":""},{"dropping-particle":"","family":"Chang","given":"Shine","non-dropping-particle":"","parse-names":false,"suffix":""}],"container-title":"British Journal of Nutrition","id":"ITEM-1","issue":"08","issued":{"date-parts":[["2015","4","27"]]},"page":"1244-1253","title":"In cross-sectional observations, dietary quality is not associated with CVD risk in women; in men the positive association is accounted for by BMI","type":"article-journal","volume":"113"},"uris":["http://www.mendeley.com/documents/?uuid=fbc9117e-ec6d-3797-a24f-79f81b15f951"]}],"mendeley":{"formattedCitation":"(2)","plainTextFormattedCitation":"(2)","previouslyFormattedCitation":"(2)"},"properties":{"noteIndex":0},"schema":"https://github.com/citation-style-language/schema/raw/master/csl-citation.json"}</w:instrText>
            </w:r>
            <w:r w:rsidRPr="005F4695">
              <w:rPr>
                <w:rFonts w:asciiTheme="minorBidi" w:hAnsiTheme="minorBidi" w:cstheme="minorBidi"/>
                <w:color w:val="000000" w:themeColor="text1"/>
                <w:sz w:val="20"/>
                <w:szCs w:val="20"/>
                <w:lang w:val="en-GB" w:eastAsia="en-GB"/>
              </w:rPr>
              <w:fldChar w:fldCharType="separate"/>
            </w:r>
            <w:r w:rsidRPr="005F4695">
              <w:rPr>
                <w:rFonts w:asciiTheme="minorBidi" w:hAnsiTheme="minorBidi" w:cstheme="minorBidi"/>
                <w:noProof/>
                <w:color w:val="000000" w:themeColor="text1"/>
                <w:sz w:val="20"/>
                <w:szCs w:val="20"/>
                <w:lang w:val="en-GB" w:eastAsia="en-GB"/>
              </w:rPr>
              <w:t>(2)</w:t>
            </w:r>
            <w:r w:rsidRPr="005F4695">
              <w:rPr>
                <w:rFonts w:asciiTheme="minorBidi" w:hAnsiTheme="minorBidi" w:cstheme="minorBidi"/>
                <w:color w:val="000000" w:themeColor="text1"/>
                <w:sz w:val="20"/>
                <w:szCs w:val="20"/>
                <w:lang w:val="en-GB" w:eastAsia="en-GB"/>
              </w:rPr>
              <w:fldChar w:fldCharType="end"/>
            </w:r>
          </w:p>
          <w:p w14:paraId="678B4520" w14:textId="4E7EDB4A" w:rsidR="00743B47" w:rsidRPr="005F4695" w:rsidRDefault="00743B47" w:rsidP="00743B47">
            <w:pPr>
              <w:rPr>
                <w:rFonts w:asciiTheme="minorBidi" w:hAnsiTheme="minorBidi" w:cstheme="minorBidi"/>
                <w:color w:val="000000" w:themeColor="text1"/>
                <w:sz w:val="20"/>
                <w:szCs w:val="20"/>
              </w:rPr>
            </w:pPr>
            <w:r w:rsidRPr="005F4695">
              <w:rPr>
                <w:rFonts w:asciiTheme="minorBidi" w:hAnsiTheme="minorBidi" w:cstheme="minorBidi"/>
                <w:color w:val="000000" w:themeColor="text1"/>
                <w:sz w:val="20"/>
                <w:szCs w:val="20"/>
              </w:rPr>
              <w:t xml:space="preserve">AHEI: </w:t>
            </w:r>
            <w:r w:rsidRPr="005F4695">
              <w:rPr>
                <w:rFonts w:asciiTheme="minorBidi" w:hAnsiTheme="minorBidi" w:cstheme="minorBidi"/>
                <w:color w:val="000000" w:themeColor="text1"/>
                <w:sz w:val="20"/>
                <w:szCs w:val="20"/>
                <w:lang w:val="en-GB" w:eastAsia="en-GB"/>
              </w:rPr>
              <w:fldChar w:fldCharType="begin" w:fldLock="1"/>
            </w:r>
            <w:r w:rsidR="004A7B72">
              <w:rPr>
                <w:rFonts w:asciiTheme="minorBidi" w:hAnsiTheme="minorBidi" w:cstheme="minorBidi"/>
                <w:color w:val="000000" w:themeColor="text1"/>
                <w:sz w:val="20"/>
                <w:szCs w:val="20"/>
                <w:lang w:val="en-GB" w:eastAsia="en-GB"/>
              </w:rPr>
              <w:instrText>ADDIN CSL_CITATION {"citationItems":[{"id":"ITEM-1","itemData":{"DOI":"10.3945/jn.116.231209","ISSN":"0022-3166","author":[{"dropping-particle":"","family":"Mattei","given":"Josiemer","non-dropping-particle":"","parse-names":false,"suffix":""},{"dropping-particle":"","family":"Sotres-Alvarez","given":"Daniela","non-dropping-particle":"","parse-names":false,"suffix":""},{"dropping-particle":"","family":"Daviglus","given":"Martha L","non-dropping-particle":"","parse-names":false,"suffix":""},{"dropping-particle":"","family":"Gallo","given":"Linda C","non-dropping-particle":"","parse-names":false,"suffix":""},{"dropping-particle":"","family":"Gellman","given":"Marc","non-dropping-particle":"","parse-names":false,"suffix":""},{"dropping-particle":"","family":"Hu","given":"Frank B","non-dropping-particle":"","parse-names":false,"suffix":""},{"dropping-particle":"","family":"Tucker","given":"Katherine L","non-dropping-particle":"","parse-names":false,"suffix":""},{"dropping-particle":"","family":"Willett","given":"Walter C","non-dropping-particle":"","parse-names":false,"suffix":""},{"dropping-particle":"","family":"Siega-Riz","given":"Anna Maria","non-dropping-particle":"","parse-names":false,"suffix":""},{"dropping-particle":"","family":"Horn","given":"Linda","non-dropping-particle":"Van","parse-names":false,"suffix":""},{"dropping-particle":"","family":"Kaplan","given":"Robert C","non-dropping-particle":"","parse-names":false,"suffix":""}],"container-title":"The Journal of Nutrition","id":"ITEM-1","issue":"10","issued":{"date-parts":[["2016","10","1"]]},"page":"2035-2044","title":"Diet Quality and Its Association with Cardiometabolic Risk Factors Vary by Hispanic and Latino Ethnic Background in the Hispanic Community Health Study/Study of Latinos","type":"article-journal","volume":"146"},"uris":["http://www.mendeley.com/documents/?uuid=5b5fce0c-303d-3170-b389-a2b391692146"]}],"mendeley":{"formattedCitation":"(3)","plainTextFormattedCitation":"(3)","previouslyFormattedCitation":"(3)"},"properties":{"noteIndex":0},"schema":"https://github.com/citation-style-language/schema/raw/master/csl-citation.json"}</w:instrText>
            </w:r>
            <w:r w:rsidRPr="005F4695">
              <w:rPr>
                <w:rFonts w:asciiTheme="minorBidi" w:hAnsiTheme="minorBidi" w:cstheme="minorBidi"/>
                <w:color w:val="000000" w:themeColor="text1"/>
                <w:sz w:val="20"/>
                <w:szCs w:val="20"/>
                <w:lang w:val="en-GB" w:eastAsia="en-GB"/>
              </w:rPr>
              <w:fldChar w:fldCharType="separate"/>
            </w:r>
            <w:r w:rsidRPr="005F4695">
              <w:rPr>
                <w:rFonts w:asciiTheme="minorBidi" w:hAnsiTheme="minorBidi" w:cstheme="minorBidi"/>
                <w:noProof/>
                <w:color w:val="000000" w:themeColor="text1"/>
                <w:sz w:val="20"/>
                <w:szCs w:val="20"/>
                <w:lang w:val="en-GB" w:eastAsia="en-GB"/>
              </w:rPr>
              <w:t>(3)</w:t>
            </w:r>
            <w:r w:rsidRPr="005F4695">
              <w:rPr>
                <w:rFonts w:asciiTheme="minorBidi" w:hAnsiTheme="minorBidi" w:cstheme="minorBidi"/>
                <w:color w:val="000000" w:themeColor="text1"/>
                <w:sz w:val="20"/>
                <w:szCs w:val="20"/>
                <w:lang w:val="en-GB" w:eastAsia="en-GB"/>
              </w:rPr>
              <w:fldChar w:fldCharType="end"/>
            </w:r>
          </w:p>
          <w:p w14:paraId="5C97B202" w14:textId="7820F33E" w:rsidR="00743B47" w:rsidRPr="005F4695" w:rsidRDefault="00743B47" w:rsidP="00743B47">
            <w:pPr>
              <w:rPr>
                <w:rFonts w:asciiTheme="minorBidi" w:hAnsiTheme="minorBidi" w:cstheme="minorBidi"/>
                <w:color w:val="000000" w:themeColor="text1"/>
                <w:sz w:val="20"/>
                <w:szCs w:val="20"/>
              </w:rPr>
            </w:pPr>
            <w:r w:rsidRPr="005F4695">
              <w:rPr>
                <w:rFonts w:asciiTheme="minorBidi" w:hAnsiTheme="minorBidi" w:cstheme="minorBidi"/>
                <w:color w:val="000000" w:themeColor="text1"/>
                <w:sz w:val="20"/>
                <w:szCs w:val="20"/>
              </w:rPr>
              <w:t xml:space="preserve">Modified MDS: </w:t>
            </w:r>
            <w:r w:rsidRPr="005F4695">
              <w:rPr>
                <w:rFonts w:asciiTheme="minorBidi" w:hAnsiTheme="minorBidi" w:cstheme="minorBidi"/>
                <w:color w:val="000000" w:themeColor="text1"/>
                <w:sz w:val="20"/>
                <w:szCs w:val="20"/>
                <w:lang w:val="en-GB" w:eastAsia="en-GB"/>
              </w:rPr>
              <w:fldChar w:fldCharType="begin" w:fldLock="1"/>
            </w:r>
            <w:r w:rsidRPr="005F4695">
              <w:rPr>
                <w:rFonts w:asciiTheme="minorBidi" w:hAnsiTheme="minorBidi" w:cstheme="minorBidi"/>
                <w:color w:val="000000" w:themeColor="text1"/>
                <w:sz w:val="20"/>
                <w:szCs w:val="20"/>
                <w:lang w:val="en-GB" w:eastAsia="en-GB"/>
              </w:rPr>
              <w:instrText>ADDIN CSL_CITATION {"citationItems":[{"id":"ITEM-1","itemData":{"DOI":"10.1161/STROKEAHA.114.007894","ISSN":"0039-2499","PMID":"25628306","abstract":"BACKGROUND AND PURPOSE There are limited data on the potential association of adherence to Mediterranean diet (MeD) with incident stroke. We sought to assess the longitudinal association between greater adherence to MeD and risk of incident stroke. METHODS We prospectively evaluated a population-based cohort of 30 239 individuals enrolled in REasons for Geographic and Racial Differences in Stroke (REGARDS) study, after excluding participants with stroke history, missing demographic data or food frequency questionnaires, and unavailable follow-up information. Adherence to MeD was categorized using MeD score. Incident stroke was adjudicated by expert panel review of medical records during a mean follow-up period of 6.5 years. RESULTS Incident stroke was identified in 565 participants (2.8%; 497 and 68 cases of ischemic stroke [IS] and hemorrhagic stroke, respectively) of 20 197 individuals fulfilling the inclusion criteria. High adherence to MeD (MeD score, 5-9) was associated with lower risk of incident IS in unadjusted analyses (hazard ratio, 0.83; 95% confidence interval, 0.70-1.00; P=0.046). The former association retained its significance (hazard ratio, 0.79; 95% confidence interval, 0.65-0.96; P=0.016) after adjustment for demographics, vascular risk factors, blood pressure levels, and antihypertensive medications. When MeD was evaluated as a continuous variable, a 1-point increase in MeD score was independently associated with a 5% reduction in the risk of incident IS (95% confidence interval, 0-11%). We documented no association of adherence to MeD with incident hemorrhagic stroke. There was no interaction of race (P=0.37) on the association of adherence to MeD with incident IS. CONCLUSIONS High adherence to MeD seems to be associated with a lower risk of incident IS independent of potential confounders. Adherence to MeD is not related to the risk of incident hemorrhagic stroke.","author":[{"dropping-particle":"","family":"Tsivgoulis","given":"Georgios","non-dropping-particle":"","parse-names":false,"suffix":""},{"dropping-particle":"","family":"Psaltopoulou","given":"Theodora","non-dropping-particle":"","parse-names":false,"suffix":""},{"dropping-particle":"","family":"Wadley","given":"Virginia G.","non-dropping-particle":"","parse-names":false,"suffix":""},{"dropping-particle":"V.","family":"Alexandrov","given":"Andrei","non-dropping-particle":"","parse-names":false,"suffix":""},{"dropping-particle":"","family":"Howard","given":"George","non-dropping-particle":"","parse-names":false,"suffix":""},{"dropping-particle":"","family":"Unverzagt","given":"Frederick W.","non-dropping-particle":"","parse-names":false,"suffix":""},{"dropping-particle":"","family":"Moy","given":"Claudia","non-dropping-particle":"","parse-names":false,"suffix":""},{"dropping-particle":"","family":"Howard","given":"Virginia J.","non-dropping-particle":"","parse-names":false,"suffix":""},{"dropping-particle":"","family":"Kissela","given":"Brett","non-dropping-particle":"","parse-names":false,"suffix":""},{"dropping-particle":"","family":"Judd","given":"Suzanne E.","non-dropping-particle":"","parse-names":false,"suffix":""}],"container-title":"Stroke","id":"ITEM-1","issue":"3","issued":{"date-parts":[["2015","3"]]},"page":"780-785","title":"Adherence to a Mediterranean Diet and Prediction of Incident Stroke","type":"article-journal","volume":"46"},"uris":["http://www.mendeley.com/documents/?uuid=2c5f0285-1e55-3857-9133-2d23cea0c220"]}],"mendeley":{"formattedCitation":"(11)","plainTextFormattedCitation":"(11)","previouslyFormattedCitation":"(11)"},"properties":{"noteIndex":0},"schema":"https://github.com/citation-style-language/schema/raw/master/csl-citation.json"}</w:instrText>
            </w:r>
            <w:r w:rsidRPr="005F4695">
              <w:rPr>
                <w:rFonts w:asciiTheme="minorBidi" w:hAnsiTheme="minorBidi" w:cstheme="minorBidi"/>
                <w:color w:val="000000" w:themeColor="text1"/>
                <w:sz w:val="20"/>
                <w:szCs w:val="20"/>
                <w:lang w:val="en-GB" w:eastAsia="en-GB"/>
              </w:rPr>
              <w:fldChar w:fldCharType="separate"/>
            </w:r>
            <w:r w:rsidRPr="005F4695">
              <w:rPr>
                <w:rFonts w:asciiTheme="minorBidi" w:hAnsiTheme="minorBidi" w:cstheme="minorBidi"/>
                <w:noProof/>
                <w:color w:val="000000" w:themeColor="text1"/>
                <w:sz w:val="20"/>
                <w:szCs w:val="20"/>
                <w:lang w:val="en-GB" w:eastAsia="en-GB"/>
              </w:rPr>
              <w:t>(11)</w:t>
            </w:r>
            <w:r w:rsidRPr="005F4695">
              <w:rPr>
                <w:rFonts w:asciiTheme="minorBidi" w:hAnsiTheme="minorBidi" w:cstheme="minorBidi"/>
                <w:color w:val="000000" w:themeColor="text1"/>
                <w:sz w:val="20"/>
                <w:szCs w:val="20"/>
                <w:lang w:val="en-GB" w:eastAsia="en-GB"/>
              </w:rPr>
              <w:fldChar w:fldCharType="end"/>
            </w:r>
          </w:p>
          <w:p w14:paraId="65B45AC4" w14:textId="008F8482" w:rsidR="00743B47" w:rsidRPr="005F4695" w:rsidRDefault="00A940F3" w:rsidP="00743B47">
            <w:pPr>
              <w:rPr>
                <w:rFonts w:asciiTheme="minorBidi" w:hAnsiTheme="minorBidi" w:cstheme="minorBidi"/>
                <w:color w:val="000000" w:themeColor="text1"/>
                <w:sz w:val="20"/>
                <w:szCs w:val="20"/>
                <w:lang w:val="en-GB" w:eastAsia="en-GB"/>
              </w:rPr>
            </w:pPr>
            <w:r>
              <w:rPr>
                <w:rFonts w:asciiTheme="minorBidi" w:hAnsiTheme="minorBidi" w:cstheme="minorBidi"/>
                <w:color w:val="000000" w:themeColor="text1"/>
                <w:sz w:val="20"/>
                <w:szCs w:val="20"/>
              </w:rPr>
              <w:t>DASH score</w:t>
            </w:r>
            <w:r w:rsidR="00743B47" w:rsidRPr="005F4695">
              <w:rPr>
                <w:rFonts w:asciiTheme="minorBidi" w:hAnsiTheme="minorBidi" w:cstheme="minorBidi"/>
                <w:color w:val="000000" w:themeColor="text1"/>
                <w:sz w:val="20"/>
                <w:szCs w:val="20"/>
              </w:rPr>
              <w:t xml:space="preserve">: </w:t>
            </w:r>
            <w:r w:rsidR="00743B47" w:rsidRPr="005F4695">
              <w:rPr>
                <w:rFonts w:asciiTheme="minorBidi" w:hAnsiTheme="minorBidi" w:cstheme="minorBidi"/>
                <w:color w:val="000000" w:themeColor="text1"/>
                <w:sz w:val="20"/>
                <w:szCs w:val="20"/>
                <w:lang w:val="en-GB" w:eastAsia="en-GB"/>
              </w:rPr>
              <w:fldChar w:fldCharType="begin" w:fldLock="1"/>
            </w:r>
            <w:r w:rsidR="00743B47" w:rsidRPr="005F4695">
              <w:rPr>
                <w:rFonts w:asciiTheme="minorBidi" w:hAnsiTheme="minorBidi" w:cstheme="minorBidi"/>
                <w:color w:val="000000" w:themeColor="text1"/>
                <w:sz w:val="20"/>
                <w:szCs w:val="20"/>
                <w:lang w:val="en-GB" w:eastAsia="en-GB"/>
              </w:rPr>
              <w:instrText>ADDIN CSL_CITATION {"citationItems":[{"id":"ITEM-1","itemData":{"DOI":"10.1007/s00394-017-1562-4","ISSN":"1436-6207","PMID":"29098424","abstract":"PURPOSE The aims of this study were to (1) determine the association between diet quality using the Dietary Approaches to Stop Hypertension (DASH) score and cardiometabolic risk in a British working population and (2) identify employee characteristics associated with reporting a poorer quality dietary pattern. METHODS British police employees enrolled (2007-2012) into the Airwave Health Monitoring Study (n = 5527) were included for sex-specific cross-sectional analyses. Dietary intakes were measured using 7-day food records. DASH score was calculated to determine diet quality. Logistic regression evaluated associations between (1) diet quality and increased cardiometabolic risk (defined as ≥ 3 risk markers: dyslipidaemia, elevated blood pressure, waist circumference, CRP or HbA1c), and (2) poor diet quality (lowest fifth of DASH score distribution) and employee characteristics. RESULTS Employees recording a poor diet quality had greater odds (OR) of increased cardiometabolic risk independent of established risk factors (demographic, lifestyle and occupational) and BMI: men OR 1.50 (95% CI 1.12-2.00), women: OR 1.84 (95% CI 1.19-2.97) compared to the healthiest diet group. Characteristics associated with reporting a poor quality diet were employment in Scotland vs. England: men OR 1.88 (95% CI 1.53-2.32), women: OR 1.49 (95% CI 1.11-2.00), longer working hours (≥ 49 vs. ≤40 h) men: OR 1.53 (95% CI 1.21-1.92) women: OR 1.53 (95% CI 1.12-2.09). For men, job strain (high vs. low) was associated with reporting a poor diet quality OR 1.66 (95% CI 1.30-2.12). CONCLUSIONS The general population disparities in diet quality between England and Scotland were reflected in British police employees. The association of longer working hours and job strain with diet quality supports the targeting of workplace nutritional interventions.","author":[{"dropping-particle":"","family":"Gibson","given":"Rachel","non-dropping-particle":"","parse-names":false,"suffix":""},{"dropping-particle":"","family":"Eriksen","given":"Rebeca","non-dropping-particle":"","parse-names":false,"suffix":""},{"dropping-particle":"","family":"Singh","given":"Deepa","non-dropping-particle":"","parse-names":false,"suffix":""},{"dropping-particle":"","family":"Vergnaud","given":"Anne-Claire","non-dropping-particle":"","parse-names":false,"suffix":""},{"dropping-particle":"","family":"Heard","given":"Andrew","non-dropping-particle":"","parse-names":false,"suffix":""},{"dropping-particle":"","family":"Chan","given":"Queenie","non-dropping-particle":"","parse-names":false,"suffix":""},{"dropping-particle":"","family":"Elliott","given":"Paul","non-dropping-particle":"","parse-names":false,"suffix":""},{"dropping-particle":"","family":"Frost","given":"Gary","non-dropping-particle":"","parse-names":false,"suffix":""}],"container-title":"European Journal of Nutrition","id":"ITEM-1","issue":"8","issued":{"date-parts":[["2018","12","2"]]},"page":"2913-2926","title":"A cross-sectional investigation into the occupational and socio-demographic characteristics of British police force employees reporting a dietary pattern associated with cardiometabolic risk: findings from the Airwave Health Monitoring Study","type":"article-journal","volume":"57"},"uris":["http://www.mendeley.com/documents/?uuid=308b59cf-d657-32ee-a72f-ff29a9cd74fd"]}],"mendeley":{"formattedCitation":"(4)","plainTextFormattedCitation":"(4)","previouslyFormattedCitation":"(4)"},"properties":{"noteIndex":0},"schema":"https://github.com/citation-style-language/schema/raw/master/csl-citation.json"}</w:instrText>
            </w:r>
            <w:r w:rsidR="00743B47" w:rsidRPr="005F4695">
              <w:rPr>
                <w:rFonts w:asciiTheme="minorBidi" w:hAnsiTheme="minorBidi" w:cstheme="minorBidi"/>
                <w:color w:val="000000" w:themeColor="text1"/>
                <w:sz w:val="20"/>
                <w:szCs w:val="20"/>
                <w:lang w:val="en-GB" w:eastAsia="en-GB"/>
              </w:rPr>
              <w:fldChar w:fldCharType="separate"/>
            </w:r>
            <w:r w:rsidR="00743B47" w:rsidRPr="005F4695">
              <w:rPr>
                <w:rFonts w:asciiTheme="minorBidi" w:hAnsiTheme="minorBidi" w:cstheme="minorBidi"/>
                <w:noProof/>
                <w:color w:val="000000" w:themeColor="text1"/>
                <w:sz w:val="20"/>
                <w:szCs w:val="20"/>
                <w:lang w:val="en-GB" w:eastAsia="en-GB"/>
              </w:rPr>
              <w:t>(4)</w:t>
            </w:r>
            <w:r w:rsidR="00743B47" w:rsidRPr="005F4695">
              <w:rPr>
                <w:rFonts w:asciiTheme="minorBidi" w:hAnsiTheme="minorBidi" w:cstheme="minorBidi"/>
                <w:color w:val="000000" w:themeColor="text1"/>
                <w:sz w:val="20"/>
                <w:szCs w:val="20"/>
                <w:lang w:val="en-GB" w:eastAsia="en-GB"/>
              </w:rPr>
              <w:fldChar w:fldCharType="end"/>
            </w:r>
          </w:p>
          <w:p w14:paraId="55F5969B" w14:textId="2587CC46" w:rsidR="00743B47" w:rsidRPr="005F4695" w:rsidRDefault="00743B47" w:rsidP="00743B47">
            <w:pPr>
              <w:rPr>
                <w:rFonts w:asciiTheme="minorBidi" w:hAnsiTheme="minorBidi" w:cstheme="minorBidi"/>
                <w:color w:val="000000" w:themeColor="text1"/>
                <w:sz w:val="20"/>
                <w:szCs w:val="20"/>
              </w:rPr>
            </w:pPr>
          </w:p>
        </w:tc>
      </w:tr>
      <w:tr w:rsidR="00743B47" w:rsidRPr="005F4695" w14:paraId="785D6FC9" w14:textId="77777777" w:rsidTr="00B20E43">
        <w:trPr>
          <w:trHeight w:val="388"/>
        </w:trPr>
        <w:tc>
          <w:tcPr>
            <w:tcW w:w="1555" w:type="dxa"/>
          </w:tcPr>
          <w:p w14:paraId="0580BCFA" w14:textId="124D666A" w:rsidR="00743B47" w:rsidRPr="005F4695" w:rsidRDefault="00743B47" w:rsidP="00743B47">
            <w:pPr>
              <w:rPr>
                <w:rFonts w:asciiTheme="minorBidi" w:hAnsiTheme="minorBidi" w:cstheme="minorBidi"/>
                <w:color w:val="000000" w:themeColor="text1"/>
                <w:sz w:val="20"/>
                <w:szCs w:val="20"/>
                <w:lang w:val="en-GB" w:eastAsia="en-GB"/>
              </w:rPr>
            </w:pPr>
            <w:r w:rsidRPr="003754B5">
              <w:rPr>
                <w:rFonts w:asciiTheme="minorBidi" w:hAnsiTheme="minorBidi" w:cstheme="minorBidi"/>
                <w:color w:val="000000" w:themeColor="text1"/>
                <w:sz w:val="20"/>
                <w:szCs w:val="20"/>
                <w:lang w:val="en-GB" w:eastAsia="en-GB"/>
              </w:rPr>
              <w:t>Tsivgoulis et al</w:t>
            </w:r>
            <w:r>
              <w:rPr>
                <w:rFonts w:asciiTheme="minorBidi" w:hAnsiTheme="minorBidi" w:cstheme="minorBidi"/>
                <w:color w:val="000000" w:themeColor="text1"/>
                <w:sz w:val="20"/>
                <w:szCs w:val="20"/>
                <w:lang w:val="en-GB" w:eastAsia="en-GB"/>
              </w:rPr>
              <w:t>, 2015</w:t>
            </w:r>
            <w:r w:rsidRPr="003754B5">
              <w:rPr>
                <w:rFonts w:asciiTheme="minorBidi" w:hAnsiTheme="minorBidi" w:cstheme="minorBidi"/>
                <w:color w:val="000000" w:themeColor="text1"/>
                <w:sz w:val="20"/>
                <w:szCs w:val="20"/>
                <w:lang w:val="en-GB" w:eastAsia="en-GB"/>
              </w:rPr>
              <w:t xml:space="preserve"> </w:t>
            </w:r>
            <w:r w:rsidRPr="003754B5">
              <w:rPr>
                <w:rFonts w:asciiTheme="minorBidi" w:hAnsiTheme="minorBidi" w:cstheme="minorBidi"/>
                <w:color w:val="000000" w:themeColor="text1"/>
                <w:sz w:val="20"/>
                <w:szCs w:val="20"/>
                <w:lang w:val="en-GB" w:eastAsia="en-GB"/>
              </w:rPr>
              <w:fldChar w:fldCharType="begin" w:fldLock="1"/>
            </w:r>
            <w:r>
              <w:rPr>
                <w:rFonts w:asciiTheme="minorBidi" w:hAnsiTheme="minorBidi" w:cstheme="minorBidi"/>
                <w:color w:val="000000" w:themeColor="text1"/>
                <w:sz w:val="20"/>
                <w:szCs w:val="20"/>
                <w:lang w:val="en-GB" w:eastAsia="en-GB"/>
              </w:rPr>
              <w:instrText>ADDIN CSL_CITATION {"citationItems":[{"id":"ITEM-1","itemData":{"DOI":"10.1161/STROKEAHA.114.007894","ISSN":"0039-2499","PMID":"25628306","abstract":"BACKGROUND AND PURPOSE There are limited data on the potential association of adherence to Mediterranean diet (MeD) with incident stroke. We sought to assess the longitudinal association between greater adherence to MeD and risk of incident stroke. METHODS We prospectively evaluated a population-based cohort of 30 239 individuals enrolled in REasons for Geographic and Racial Differences in Stroke (REGARDS) study, after excluding participants with stroke history, missing demographic data or food frequency questionnaires, and unavailable follow-up information. Adherence to MeD was categorized using MeD score. Incident stroke was adjudicated by expert panel review of medical records during a mean follow-up period of 6.5 years. RESULTS Incident stroke was identified in 565 participants (2.8%; 497 and 68 cases of ischemic stroke [IS] and hemorrhagic stroke, respectively) of 20 197 individuals fulfilling the inclusion criteria. High adherence to MeD (MeD score, 5-9) was associated with lower risk of incident IS in unadjusted analyses (hazard ratio, 0.83; 95% confidence interval, 0.70-1.00; P=0.046). The former association retained its significance (hazard ratio, 0.79; 95% confidence interval, 0.65-0.96; P=0.016) after adjustment for demographics, vascular risk factors, blood pressure levels, and antihypertensive medications. When MeD was evaluated as a continuous variable, a 1-point increase in MeD score was independently associated with a 5% reduction in the risk of incident IS (95% confidence interval, 0-11%). We documented no association of adherence to MeD with incident hemorrhagic stroke. There was no interaction of race (P=0.37) on the association of adherence to MeD with incident IS. CONCLUSIONS High adherence to MeD seems to be associated with a lower risk of incident IS independent of potential confounders. Adherence to MeD is not related to the risk of incident hemorrhagic stroke.","author":[{"dropping-particle":"","family":"Tsivgoulis","given":"Georgios","non-dropping-particle":"","parse-names":false,"suffix":""},{"dropping-particle":"","family":"Psaltopoulou","given":"Theodora","non-dropping-particle":"","parse-names":false,"suffix":""},{"dropping-particle":"","family":"Wadley","given":"Virginia G.","non-dropping-particle":"","parse-names":false,"suffix":""},{"dropping-particle":"V.","family":"Alexandrov","given":"Andrei","non-dropping-particle":"","parse-names":false,"suffix":""},{"dropping-particle":"","family":"Howard","given":"George","non-dropping-particle":"","parse-names":false,"suffix":""},{"dropping-particle":"","family":"Unverzagt","given":"Frederick W.","non-dropping-particle":"","parse-names":false,"suffix":""},{"dropping-particle":"","family":"Moy","given":"Claudia","non-dropping-particle":"","parse-names":false,"suffix":""},{"dropping-particle":"","family":"Howard","given":"Virginia J.","non-dropping-particle":"","parse-names":false,"suffix":""},{"dropping-particle":"","family":"Kissela","given":"Brett","non-dropping-particle":"","parse-names":false,"suffix":""},{"dropping-particle":"","family":"Judd","given":"Suzanne E.","non-dropping-particle":"","parse-names":false,"suffix":""}],"container-title":"Stroke","id":"ITEM-1","issue":"3","issued":{"date-parts":[["2015","3"]]},"page":"780-785","title":"Adherence to a Mediterranean Diet and Prediction of Incident Stroke","type":"article-journal","volume":"46"},"uris":["http://www.mendeley.com/documents/?uuid=2c5f0285-1e55-3857-9133-2d23cea0c220"]}],"mendeley":{"formattedCitation":"(11)","plainTextFormattedCitation":"(11)","previouslyFormattedCitation":"(11)"},"properties":{"noteIndex":0},"schema":"https://github.com/citation-style-language/schema/raw/master/csl-citation.json"}</w:instrText>
            </w:r>
            <w:r w:rsidRPr="003754B5">
              <w:rPr>
                <w:rFonts w:asciiTheme="minorBidi" w:hAnsiTheme="minorBidi" w:cstheme="minorBidi"/>
                <w:color w:val="000000" w:themeColor="text1"/>
                <w:sz w:val="20"/>
                <w:szCs w:val="20"/>
                <w:lang w:val="en-GB" w:eastAsia="en-GB"/>
              </w:rPr>
              <w:fldChar w:fldCharType="separate"/>
            </w:r>
            <w:r w:rsidRPr="003754B5">
              <w:rPr>
                <w:rFonts w:asciiTheme="minorBidi" w:hAnsiTheme="minorBidi" w:cstheme="minorBidi"/>
                <w:noProof/>
                <w:color w:val="000000" w:themeColor="text1"/>
                <w:sz w:val="20"/>
                <w:szCs w:val="20"/>
                <w:lang w:val="en-GB" w:eastAsia="en-GB"/>
              </w:rPr>
              <w:t>(11)</w:t>
            </w:r>
            <w:r w:rsidRPr="003754B5">
              <w:rPr>
                <w:rFonts w:asciiTheme="minorBidi" w:hAnsiTheme="minorBidi" w:cstheme="minorBidi"/>
                <w:color w:val="000000" w:themeColor="text1"/>
                <w:sz w:val="20"/>
                <w:szCs w:val="20"/>
                <w:lang w:val="en-GB" w:eastAsia="en-GB"/>
              </w:rPr>
              <w:fldChar w:fldCharType="end"/>
            </w:r>
          </w:p>
        </w:tc>
        <w:tc>
          <w:tcPr>
            <w:tcW w:w="1417" w:type="dxa"/>
          </w:tcPr>
          <w:p w14:paraId="36DE6523" w14:textId="259E025F"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lang w:val="en-GB" w:eastAsia="en-GB"/>
              </w:rPr>
              <w:t>USA</w:t>
            </w:r>
          </w:p>
        </w:tc>
        <w:tc>
          <w:tcPr>
            <w:tcW w:w="1276" w:type="dxa"/>
          </w:tcPr>
          <w:p w14:paraId="0CDAD0E6" w14:textId="3557E6C7"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lang w:val="en-GB" w:eastAsia="en-GB"/>
              </w:rPr>
              <w:t>30239, adults     (~65)</w:t>
            </w:r>
          </w:p>
        </w:tc>
        <w:tc>
          <w:tcPr>
            <w:tcW w:w="1559" w:type="dxa"/>
          </w:tcPr>
          <w:p w14:paraId="418CD196" w14:textId="12816854"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lang w:val="en-GB" w:eastAsia="en-GB"/>
              </w:rPr>
              <w:t>FFQ            (98 item)</w:t>
            </w:r>
          </w:p>
        </w:tc>
        <w:tc>
          <w:tcPr>
            <w:tcW w:w="1559" w:type="dxa"/>
          </w:tcPr>
          <w:p w14:paraId="52512CA6" w14:textId="50AF2D82"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lang w:val="en-GB" w:eastAsia="en-GB"/>
              </w:rPr>
              <w:t>MDS</w:t>
            </w:r>
          </w:p>
        </w:tc>
        <w:tc>
          <w:tcPr>
            <w:tcW w:w="5305" w:type="dxa"/>
          </w:tcPr>
          <w:p w14:paraId="6726BCCD" w14:textId="67AD6EC3" w:rsidR="00743B47" w:rsidRPr="005F4695" w:rsidRDefault="00743B47" w:rsidP="00743B47">
            <w:pPr>
              <w:rPr>
                <w:rFonts w:asciiTheme="minorBidi" w:eastAsiaTheme="minorHAnsi" w:hAnsiTheme="minorBidi" w:cstheme="minorBidi"/>
                <w:color w:val="000000" w:themeColor="text1"/>
                <w:sz w:val="20"/>
                <w:szCs w:val="20"/>
              </w:rPr>
            </w:pPr>
            <w:r w:rsidRPr="005F4695">
              <w:rPr>
                <w:rFonts w:asciiTheme="minorBidi" w:hAnsiTheme="minorBidi" w:cstheme="minorBidi"/>
                <w:color w:val="000000" w:themeColor="text1"/>
                <w:sz w:val="20"/>
                <w:szCs w:val="20"/>
                <w:lang w:val="en-GB" w:eastAsia="en-GB"/>
              </w:rPr>
              <w:t xml:space="preserve">9 (vegetables, fruits, legumes, cereals (including bread, pasta and rice), fish, meat,  dairy products, fat intake (ratio MUFS:PUFA)), value of 1 assigned for healthy </w:t>
            </w:r>
            <w:r w:rsidR="004B5916">
              <w:rPr>
                <w:rFonts w:asciiTheme="minorBidi" w:hAnsiTheme="minorBidi" w:cstheme="minorBidi"/>
                <w:color w:val="000000" w:themeColor="text1"/>
                <w:sz w:val="20"/>
                <w:szCs w:val="20"/>
                <w:lang w:val="en-GB" w:eastAsia="en-GB"/>
              </w:rPr>
              <w:t>components and 0 for unhealthy</w:t>
            </w:r>
            <w:r w:rsidRPr="005F4695">
              <w:rPr>
                <w:rFonts w:asciiTheme="minorBidi" w:hAnsiTheme="minorBidi" w:cstheme="minorBidi"/>
                <w:color w:val="000000" w:themeColor="text1"/>
                <w:sz w:val="20"/>
                <w:szCs w:val="20"/>
                <w:lang w:val="en-GB" w:eastAsia="en-GB"/>
              </w:rPr>
              <w:t xml:space="preserve">, overall score ranged from 0 to 9 </w:t>
            </w:r>
            <w:r w:rsidRPr="005F4695">
              <w:rPr>
                <w:rFonts w:asciiTheme="minorBidi" w:eastAsiaTheme="minorHAnsi" w:hAnsiTheme="minorBidi" w:cstheme="minorBidi"/>
                <w:color w:val="000000" w:themeColor="text1"/>
                <w:sz w:val="20"/>
                <w:szCs w:val="20"/>
              </w:rPr>
              <w:t>points</w:t>
            </w:r>
          </w:p>
          <w:p w14:paraId="0F2ACF3F" w14:textId="530AFA07" w:rsidR="00743B47" w:rsidRPr="005F4695" w:rsidRDefault="00743B47" w:rsidP="00743B47">
            <w:pPr>
              <w:rPr>
                <w:rFonts w:asciiTheme="minorBidi" w:hAnsiTheme="minorBidi" w:cstheme="minorBidi"/>
                <w:color w:val="000000" w:themeColor="text1"/>
                <w:sz w:val="20"/>
                <w:szCs w:val="20"/>
                <w:lang w:val="en-GB" w:eastAsia="en-GB"/>
              </w:rPr>
            </w:pPr>
          </w:p>
        </w:tc>
      </w:tr>
      <w:tr w:rsidR="002E4603" w:rsidRPr="005F4695" w14:paraId="5CF150B8" w14:textId="77777777" w:rsidTr="00B20E43">
        <w:trPr>
          <w:trHeight w:val="388"/>
        </w:trPr>
        <w:tc>
          <w:tcPr>
            <w:tcW w:w="2972" w:type="dxa"/>
            <w:gridSpan w:val="2"/>
          </w:tcPr>
          <w:p w14:paraId="513A746F" w14:textId="2FCA0B5D" w:rsidR="002E4603" w:rsidRPr="005F4695" w:rsidRDefault="002E4603" w:rsidP="00B20E43">
            <w:pPr>
              <w:rPr>
                <w:rFonts w:asciiTheme="minorBidi" w:hAnsiTheme="minorBidi" w:cstheme="minorBidi"/>
                <w:color w:val="000000" w:themeColor="text1"/>
                <w:sz w:val="20"/>
                <w:szCs w:val="20"/>
                <w:lang w:val="en-GB" w:eastAsia="en-GB"/>
              </w:rPr>
            </w:pPr>
            <w:r w:rsidRPr="005F4695">
              <w:rPr>
                <w:rFonts w:asciiTheme="minorBidi" w:hAnsiTheme="minorBidi" w:cstheme="minorBidi"/>
                <w:b/>
                <w:color w:val="000000" w:themeColor="text1"/>
                <w:sz w:val="20"/>
                <w:szCs w:val="20"/>
              </w:rPr>
              <w:t>Southern Europe</w:t>
            </w:r>
          </w:p>
        </w:tc>
        <w:tc>
          <w:tcPr>
            <w:tcW w:w="1276" w:type="dxa"/>
          </w:tcPr>
          <w:p w14:paraId="4A91A69B" w14:textId="77777777" w:rsidR="002E4603" w:rsidRPr="005F4695" w:rsidRDefault="002E4603" w:rsidP="00B20E43">
            <w:pPr>
              <w:rPr>
                <w:rFonts w:asciiTheme="minorBidi" w:hAnsiTheme="minorBidi" w:cstheme="minorBidi"/>
                <w:color w:val="000000" w:themeColor="text1"/>
                <w:sz w:val="20"/>
                <w:szCs w:val="20"/>
                <w:lang w:val="en-GB" w:eastAsia="en-GB"/>
              </w:rPr>
            </w:pPr>
          </w:p>
        </w:tc>
        <w:tc>
          <w:tcPr>
            <w:tcW w:w="1559" w:type="dxa"/>
          </w:tcPr>
          <w:p w14:paraId="50B171CF" w14:textId="77777777" w:rsidR="002E4603" w:rsidRPr="005F4695" w:rsidRDefault="002E4603" w:rsidP="00B20E43">
            <w:pPr>
              <w:rPr>
                <w:rFonts w:asciiTheme="minorBidi" w:hAnsiTheme="minorBidi" w:cstheme="minorBidi"/>
                <w:color w:val="000000" w:themeColor="text1"/>
                <w:sz w:val="20"/>
                <w:szCs w:val="20"/>
                <w:lang w:val="en-GB" w:eastAsia="en-GB"/>
              </w:rPr>
            </w:pPr>
          </w:p>
        </w:tc>
        <w:tc>
          <w:tcPr>
            <w:tcW w:w="1559" w:type="dxa"/>
          </w:tcPr>
          <w:p w14:paraId="4267E273" w14:textId="77777777" w:rsidR="002E4603" w:rsidRPr="005F4695" w:rsidRDefault="002E4603" w:rsidP="00B20E43">
            <w:pPr>
              <w:rPr>
                <w:rFonts w:asciiTheme="minorBidi" w:hAnsiTheme="minorBidi" w:cstheme="minorBidi"/>
                <w:color w:val="000000" w:themeColor="text1"/>
                <w:sz w:val="20"/>
                <w:szCs w:val="20"/>
                <w:lang w:val="en-GB" w:eastAsia="en-GB"/>
              </w:rPr>
            </w:pPr>
          </w:p>
        </w:tc>
        <w:tc>
          <w:tcPr>
            <w:tcW w:w="5305" w:type="dxa"/>
          </w:tcPr>
          <w:p w14:paraId="26671DDC" w14:textId="77777777" w:rsidR="002E4603" w:rsidRPr="005F4695" w:rsidRDefault="002E4603" w:rsidP="00B20E43">
            <w:pPr>
              <w:rPr>
                <w:rFonts w:asciiTheme="minorBidi" w:hAnsiTheme="minorBidi" w:cstheme="minorBidi"/>
                <w:color w:val="000000" w:themeColor="text1"/>
                <w:sz w:val="20"/>
                <w:szCs w:val="20"/>
                <w:lang w:val="en-GB" w:eastAsia="en-GB"/>
              </w:rPr>
            </w:pPr>
          </w:p>
        </w:tc>
      </w:tr>
      <w:tr w:rsidR="00743B47" w:rsidRPr="005F4695" w14:paraId="7135B307" w14:textId="77777777" w:rsidTr="00B20E43">
        <w:trPr>
          <w:trHeight w:val="388"/>
        </w:trPr>
        <w:tc>
          <w:tcPr>
            <w:tcW w:w="1555" w:type="dxa"/>
          </w:tcPr>
          <w:p w14:paraId="306E12EA" w14:textId="24ED2461" w:rsidR="00743B47" w:rsidRPr="005F4695" w:rsidRDefault="00743B47" w:rsidP="00743B47">
            <w:pPr>
              <w:rPr>
                <w:rFonts w:asciiTheme="minorBidi" w:hAnsiTheme="minorBidi" w:cstheme="minorBidi"/>
                <w:color w:val="000000" w:themeColor="text1"/>
                <w:sz w:val="20"/>
                <w:szCs w:val="20"/>
                <w:lang w:val="en-GB" w:eastAsia="en-GB"/>
              </w:rPr>
            </w:pPr>
            <w:r w:rsidRPr="003754B5">
              <w:rPr>
                <w:rFonts w:asciiTheme="minorBidi" w:hAnsiTheme="minorBidi" w:cstheme="minorBidi"/>
                <w:color w:val="000000" w:themeColor="text1"/>
                <w:sz w:val="20"/>
                <w:szCs w:val="20"/>
                <w:lang w:val="en-GB" w:eastAsia="en-GB"/>
              </w:rPr>
              <w:t>Shivappa et al</w:t>
            </w:r>
            <w:r>
              <w:rPr>
                <w:rFonts w:asciiTheme="minorBidi" w:hAnsiTheme="minorBidi" w:cstheme="minorBidi"/>
                <w:color w:val="000000" w:themeColor="text1"/>
                <w:sz w:val="20"/>
                <w:szCs w:val="20"/>
                <w:lang w:val="en-GB" w:eastAsia="en-GB"/>
              </w:rPr>
              <w:t>, 2018</w:t>
            </w:r>
            <w:r w:rsidRPr="003754B5">
              <w:rPr>
                <w:rFonts w:asciiTheme="minorBidi" w:hAnsiTheme="minorBidi" w:cstheme="minorBidi"/>
                <w:color w:val="000000" w:themeColor="text1"/>
                <w:sz w:val="20"/>
                <w:szCs w:val="20"/>
                <w:lang w:val="en-GB" w:eastAsia="en-GB"/>
              </w:rPr>
              <w:t xml:space="preserve"> </w:t>
            </w:r>
            <w:r w:rsidRPr="003754B5">
              <w:rPr>
                <w:rFonts w:asciiTheme="minorBidi" w:hAnsiTheme="minorBidi" w:cstheme="minorBidi"/>
                <w:color w:val="000000" w:themeColor="text1"/>
                <w:sz w:val="20"/>
                <w:szCs w:val="20"/>
                <w:lang w:val="en-GB" w:eastAsia="en-GB"/>
              </w:rPr>
              <w:fldChar w:fldCharType="begin" w:fldLock="1"/>
            </w:r>
            <w:r w:rsidR="004A7B72">
              <w:rPr>
                <w:rFonts w:asciiTheme="minorBidi" w:hAnsiTheme="minorBidi" w:cstheme="minorBidi"/>
                <w:color w:val="000000" w:themeColor="text1"/>
                <w:sz w:val="20"/>
                <w:szCs w:val="20"/>
                <w:lang w:val="en-GB" w:eastAsia="en-GB"/>
              </w:rPr>
              <w:instrText>ADDIN CSL_CITATION {"citationItems":[{"id":"ITEM-1","itemData":{"DOI":"10.1093/eurpub/ckx058","ISSN":"1101-1262","author":[{"dropping-particle":"","family":"Shivappa","given":"Nitin","non-dropping-particle":"","parse-names":false,"suffix":""},{"dropping-particle":"","family":"Tavani","given":"Alessandra","non-dropping-particle":"","parse-names":false,"suffix":""},{"dropping-particle":"","family":"Hébert","given":"James R","non-dropping-particle":"","parse-names":false,"suffix":""},{"dropping-particle":"","family":"Rosato","given":"Valentina","non-dropping-particle":"","parse-names":false,"suffix":""},{"dropping-particle":"","family":"Vecchia","given":"Carlo","non-dropping-particle":"La","parse-names":false,"suffix":""}],"container-title":"European Journal of Public Health","id":"ITEM-1","issue":"1","issued":{"date-parts":[["2018","2","1"]]},"page":"161-166","title":"Dietary inflammatory index and acute myocardial infarction in a large Italian case–control study","type":"article-journal","volume":"28"},"uris":["http://www.mendeley.com/documents/?uuid=f9a65111-47b2-3370-b12b-551a796fd2f1"]}],"mendeley":{"formattedCitation":"(13)","plainTextFormattedCitation":"(13)","previouslyFormattedCitation":"(12)"},"properties":{"noteIndex":0},"schema":"https://github.com/citation-style-language/schema/raw/master/csl-citation.json"}</w:instrText>
            </w:r>
            <w:r w:rsidRPr="003754B5">
              <w:rPr>
                <w:rFonts w:asciiTheme="minorBidi" w:hAnsiTheme="minorBidi" w:cstheme="minorBidi"/>
                <w:color w:val="000000" w:themeColor="text1"/>
                <w:sz w:val="20"/>
                <w:szCs w:val="20"/>
                <w:lang w:val="en-GB" w:eastAsia="en-GB"/>
              </w:rPr>
              <w:fldChar w:fldCharType="separate"/>
            </w:r>
            <w:r w:rsidR="004A7B72" w:rsidRPr="004A7B72">
              <w:rPr>
                <w:rFonts w:asciiTheme="minorBidi" w:hAnsiTheme="minorBidi" w:cstheme="minorBidi"/>
                <w:noProof/>
                <w:color w:val="000000" w:themeColor="text1"/>
                <w:sz w:val="20"/>
                <w:szCs w:val="20"/>
                <w:lang w:val="en-GB" w:eastAsia="en-GB"/>
              </w:rPr>
              <w:t>(13)</w:t>
            </w:r>
            <w:r w:rsidRPr="003754B5">
              <w:rPr>
                <w:rFonts w:asciiTheme="minorBidi" w:hAnsiTheme="minorBidi" w:cstheme="minorBidi"/>
                <w:color w:val="000000" w:themeColor="text1"/>
                <w:sz w:val="20"/>
                <w:szCs w:val="20"/>
                <w:lang w:val="en-GB" w:eastAsia="en-GB"/>
              </w:rPr>
              <w:fldChar w:fldCharType="end"/>
            </w:r>
          </w:p>
        </w:tc>
        <w:tc>
          <w:tcPr>
            <w:tcW w:w="1417" w:type="dxa"/>
          </w:tcPr>
          <w:p w14:paraId="09D85F1F" w14:textId="1FA96E1A"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lang w:val="en-GB" w:eastAsia="en-GB"/>
              </w:rPr>
              <w:t>Italy</w:t>
            </w:r>
          </w:p>
        </w:tc>
        <w:tc>
          <w:tcPr>
            <w:tcW w:w="1276" w:type="dxa"/>
          </w:tcPr>
          <w:p w14:paraId="4CC5E002" w14:textId="0D7CB1F8"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lang w:val="en-GB" w:eastAsia="en-GB"/>
              </w:rPr>
              <w:t>1442, adults       (16-79)</w:t>
            </w:r>
          </w:p>
        </w:tc>
        <w:tc>
          <w:tcPr>
            <w:tcW w:w="1559" w:type="dxa"/>
          </w:tcPr>
          <w:p w14:paraId="5E2F8BF5" w14:textId="70E9B66A"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lang w:val="en-GB" w:eastAsia="en-GB"/>
              </w:rPr>
              <w:t>FFQ             (78 item)</w:t>
            </w:r>
          </w:p>
        </w:tc>
        <w:tc>
          <w:tcPr>
            <w:tcW w:w="1559" w:type="dxa"/>
          </w:tcPr>
          <w:p w14:paraId="61193109" w14:textId="65C64E12"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lang w:val="en-GB" w:eastAsia="en-GB"/>
              </w:rPr>
              <w:t>DII</w:t>
            </w:r>
          </w:p>
        </w:tc>
        <w:tc>
          <w:tcPr>
            <w:tcW w:w="5305" w:type="dxa"/>
          </w:tcPr>
          <w:p w14:paraId="4F2D39B0" w14:textId="77777777" w:rsidR="00743B47" w:rsidRPr="005F4695" w:rsidRDefault="00743B47" w:rsidP="00743B47">
            <w:pPr>
              <w:rPr>
                <w:rFonts w:asciiTheme="minorBidi" w:hAnsiTheme="minorBidi" w:cstheme="minorBidi"/>
                <w:color w:val="000000" w:themeColor="text1"/>
                <w:sz w:val="20"/>
                <w:szCs w:val="20"/>
                <w:shd w:val="clear" w:color="auto" w:fill="FFFFFF"/>
              </w:rPr>
            </w:pPr>
            <w:r w:rsidRPr="005F4695">
              <w:rPr>
                <w:rFonts w:asciiTheme="minorBidi" w:hAnsiTheme="minorBidi" w:cstheme="minorBidi"/>
                <w:color w:val="000000" w:themeColor="text1"/>
                <w:sz w:val="20"/>
                <w:szCs w:val="20"/>
                <w:lang w:val="en-GB" w:eastAsia="en-GB"/>
              </w:rPr>
              <w:t xml:space="preserve">30 </w:t>
            </w:r>
            <w:r w:rsidRPr="005F4695">
              <w:rPr>
                <w:rFonts w:asciiTheme="minorBidi" w:hAnsiTheme="minorBidi" w:cstheme="minorBidi"/>
                <w:color w:val="000000" w:themeColor="text1"/>
                <w:sz w:val="20"/>
                <w:szCs w:val="20"/>
              </w:rPr>
              <w:t xml:space="preserve">(positive: pro-inflammatory food/nutrient, negative: anti-inflammatory food/nutrient), 1 to 4 based on global means, </w:t>
            </w:r>
            <w:r w:rsidRPr="005F4695">
              <w:rPr>
                <w:rFonts w:asciiTheme="minorBidi" w:hAnsiTheme="minorBidi" w:cstheme="minorBidi"/>
                <w:color w:val="000000" w:themeColor="text1"/>
                <w:sz w:val="20"/>
                <w:szCs w:val="20"/>
                <w:shd w:val="clear" w:color="auto" w:fill="FFFFFF"/>
              </w:rPr>
              <w:t>overall score ranged from-8.87 (maximally anti-inflammatory) to +7.98 (maximally pro-inflammatory)</w:t>
            </w:r>
          </w:p>
          <w:p w14:paraId="1E7B09DA" w14:textId="7522B2AB" w:rsidR="00743B47" w:rsidRPr="005F4695" w:rsidRDefault="00743B47" w:rsidP="00743B47">
            <w:pPr>
              <w:rPr>
                <w:rFonts w:asciiTheme="minorBidi" w:hAnsiTheme="minorBidi" w:cstheme="minorBidi"/>
                <w:color w:val="000000" w:themeColor="text1"/>
                <w:sz w:val="20"/>
                <w:szCs w:val="20"/>
                <w:lang w:val="en-GB" w:eastAsia="en-GB"/>
              </w:rPr>
            </w:pPr>
          </w:p>
        </w:tc>
      </w:tr>
      <w:tr w:rsidR="00743B47" w:rsidRPr="005F4695" w14:paraId="0FB536D4" w14:textId="77777777" w:rsidTr="00B20E43">
        <w:trPr>
          <w:trHeight w:val="388"/>
        </w:trPr>
        <w:tc>
          <w:tcPr>
            <w:tcW w:w="1555" w:type="dxa"/>
          </w:tcPr>
          <w:p w14:paraId="4B2BEB4C" w14:textId="076B95DC" w:rsidR="00743B47" w:rsidRPr="005F4695" w:rsidRDefault="00743B47" w:rsidP="00743B47">
            <w:pPr>
              <w:rPr>
                <w:rFonts w:asciiTheme="minorBidi" w:hAnsiTheme="minorBidi" w:cstheme="minorBidi"/>
                <w:color w:val="000000" w:themeColor="text1"/>
                <w:sz w:val="20"/>
                <w:szCs w:val="20"/>
                <w:lang w:val="en-GB" w:eastAsia="en-GB"/>
              </w:rPr>
            </w:pPr>
            <w:r w:rsidRPr="003754B5">
              <w:rPr>
                <w:rFonts w:asciiTheme="minorBidi" w:hAnsiTheme="minorBidi" w:cstheme="minorBidi"/>
                <w:color w:val="000000" w:themeColor="text1"/>
                <w:sz w:val="20"/>
                <w:szCs w:val="20"/>
              </w:rPr>
              <w:t>Verde et al</w:t>
            </w:r>
            <w:r>
              <w:rPr>
                <w:rFonts w:asciiTheme="minorBidi" w:hAnsiTheme="minorBidi" w:cstheme="minorBidi"/>
                <w:color w:val="000000" w:themeColor="text1"/>
                <w:sz w:val="20"/>
                <w:szCs w:val="20"/>
              </w:rPr>
              <w:t>, 2018</w:t>
            </w:r>
            <w:r w:rsidRPr="003754B5">
              <w:rPr>
                <w:rFonts w:asciiTheme="minorBidi" w:hAnsiTheme="minorBidi" w:cstheme="minorBidi"/>
                <w:color w:val="000000" w:themeColor="text1"/>
                <w:sz w:val="20"/>
                <w:szCs w:val="20"/>
              </w:rPr>
              <w:t xml:space="preserve"> </w:t>
            </w:r>
            <w:r w:rsidRPr="003754B5">
              <w:rPr>
                <w:rFonts w:asciiTheme="minorBidi" w:hAnsiTheme="minorBidi" w:cstheme="minorBidi"/>
                <w:color w:val="000000" w:themeColor="text1"/>
                <w:sz w:val="20"/>
                <w:szCs w:val="20"/>
              </w:rPr>
              <w:fldChar w:fldCharType="begin" w:fldLock="1"/>
            </w:r>
            <w:r w:rsidR="004A7B72">
              <w:rPr>
                <w:rFonts w:asciiTheme="minorBidi" w:hAnsiTheme="minorBidi" w:cstheme="minorBidi"/>
                <w:color w:val="000000" w:themeColor="text1"/>
                <w:sz w:val="20"/>
                <w:szCs w:val="20"/>
              </w:rPr>
              <w:instrText>ADDIN CSL_CITATION {"citationItems":[{"id":"ITEM-1","itemData":{"DOI":"10.1080/09637486.2017.1350941","ISSN":"0963-7486","PMID":"28705075","abstract":"Blood pressure (BP) is a major risk factor for population health worldwide and a preventable disease through lifestyle modification. The aim of this study was to assess the association between adherence to the Mediterranean diet (MD) and occurrence of hypertension in a Mediterranean cohort. Demographic and dietary data of 1937 adults were collected in 2014-2015 from the general population of Catania, Sicily (Italy). Food frequency questionnaires and a MD adherence score were used to assess exposure variables. Higher adherence to the MD was inversely associated with hypertension. However, this association was no more significant after adjustment for sodium and potassium intake. These results suggest that salt may exert a mediating effect of high adherence to the MD towards hypertension.","author":[{"dropping-particle":"","family":"Verde","given":"Melania","non-dropping-particle":"La","parse-names":false,"suffix":""},{"dropping-particle":"","family":"Mulè","given":"Serena","non-dropping-particle":"","parse-names":false,"suffix":""},{"dropping-particle":"","family":"Zappalà","given":"Gaetano","non-dropping-particle":"","parse-names":false,"suffix":""},{"dropping-particle":"","family":"Privitera","given":"Gaetano","non-dropping-particle":"","parse-names":false,"suffix":""},{"dropping-particle":"","family":"Maugeri","given":"Giuseppe","non-dropping-particle":"","parse-names":false,"suffix":""},{"dropping-particle":"","family":"Pecora","given":"Francesco","non-dropping-particle":"","parse-names":false,"suffix":""},{"dropping-particle":"","family":"Marranzano","given":"Marina","non-dropping-particle":"","parse-names":false,"suffix":""}],"container-title":"International Journal of Food Sciences and Nutrition","id":"ITEM-1","issue":"2","issued":{"date-parts":[["2018","2","17"]]},"page":"235-244","title":"Higher adherence to the Mediterranean diet is inversely associated with having hypertension: is low salt intake a mediating factor?","type":"article-journal","volume":"69"},"uris":["http://www.mendeley.com/documents/?uuid=93596550-110e-3dd3-bcd3-d7824bb53ab5"]}],"mendeley":{"formattedCitation":"(14)","plainTextFormattedCitation":"(14)","previouslyFormattedCitation":"(13)"},"properties":{"noteIndex":0},"schema":"https://github.com/citation-style-language/schema/raw/master/csl-citation.json"}</w:instrText>
            </w:r>
            <w:r w:rsidRPr="003754B5">
              <w:rPr>
                <w:rFonts w:asciiTheme="minorBidi" w:hAnsiTheme="minorBidi" w:cstheme="minorBidi"/>
                <w:color w:val="000000" w:themeColor="text1"/>
                <w:sz w:val="20"/>
                <w:szCs w:val="20"/>
              </w:rPr>
              <w:fldChar w:fldCharType="separate"/>
            </w:r>
            <w:r w:rsidR="004A7B72" w:rsidRPr="004A7B72">
              <w:rPr>
                <w:rFonts w:asciiTheme="minorBidi" w:hAnsiTheme="minorBidi" w:cstheme="minorBidi"/>
                <w:noProof/>
                <w:color w:val="000000" w:themeColor="text1"/>
                <w:sz w:val="20"/>
                <w:szCs w:val="20"/>
              </w:rPr>
              <w:t>(14)</w:t>
            </w:r>
            <w:r w:rsidRPr="003754B5">
              <w:rPr>
                <w:rFonts w:asciiTheme="minorBidi" w:hAnsiTheme="minorBidi" w:cstheme="minorBidi"/>
                <w:color w:val="000000" w:themeColor="text1"/>
                <w:sz w:val="20"/>
                <w:szCs w:val="20"/>
              </w:rPr>
              <w:fldChar w:fldCharType="end"/>
            </w:r>
          </w:p>
        </w:tc>
        <w:tc>
          <w:tcPr>
            <w:tcW w:w="1417" w:type="dxa"/>
          </w:tcPr>
          <w:p w14:paraId="6EEEA058" w14:textId="6A909439"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rPr>
              <w:t>Italy</w:t>
            </w:r>
          </w:p>
        </w:tc>
        <w:tc>
          <w:tcPr>
            <w:tcW w:w="1276" w:type="dxa"/>
          </w:tcPr>
          <w:p w14:paraId="538A32B9" w14:textId="66E19AB2"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rPr>
              <w:t>2044, adults       (</w:t>
            </w:r>
            <w:r w:rsidRPr="005F4695">
              <w:rPr>
                <w:rFonts w:asciiTheme="minorBidi" w:hAnsiTheme="minorBidi" w:cstheme="minorBidi"/>
                <w:color w:val="000000" w:themeColor="text1"/>
                <w:sz w:val="20"/>
                <w:szCs w:val="20"/>
                <w:shd w:val="clear" w:color="auto" w:fill="FFFFFF"/>
              </w:rPr>
              <w:t>39-79)</w:t>
            </w:r>
          </w:p>
        </w:tc>
        <w:tc>
          <w:tcPr>
            <w:tcW w:w="1559" w:type="dxa"/>
          </w:tcPr>
          <w:p w14:paraId="77DA02BD" w14:textId="2106D165" w:rsidR="00743B47" w:rsidRPr="005F4695" w:rsidRDefault="00743B47" w:rsidP="00743B47">
            <w:pPr>
              <w:autoSpaceDE w:val="0"/>
              <w:autoSpaceDN w:val="0"/>
              <w:adjustRightInd w:val="0"/>
              <w:rPr>
                <w:rFonts w:asciiTheme="minorBidi" w:eastAsiaTheme="minorHAnsi" w:hAnsiTheme="minorBidi" w:cstheme="minorBidi"/>
                <w:color w:val="000000" w:themeColor="text1"/>
                <w:sz w:val="20"/>
                <w:szCs w:val="20"/>
              </w:rPr>
            </w:pPr>
            <w:r w:rsidRPr="005F4695">
              <w:rPr>
                <w:rFonts w:asciiTheme="minorBidi" w:hAnsiTheme="minorBidi" w:cstheme="minorBidi"/>
                <w:color w:val="000000" w:themeColor="text1"/>
                <w:sz w:val="20"/>
                <w:szCs w:val="20"/>
              </w:rPr>
              <w:t xml:space="preserve">2 </w:t>
            </w:r>
            <w:r w:rsidRPr="005F4695">
              <w:rPr>
                <w:rFonts w:asciiTheme="minorBidi" w:hAnsiTheme="minorBidi" w:cstheme="minorBidi"/>
                <w:color w:val="000000" w:themeColor="text1"/>
                <w:sz w:val="20"/>
                <w:szCs w:val="20"/>
                <w:lang w:val="en-GB" w:eastAsia="en-GB"/>
              </w:rPr>
              <w:t xml:space="preserve">x </w:t>
            </w:r>
            <w:r w:rsidRPr="005F4695">
              <w:rPr>
                <w:rFonts w:asciiTheme="minorBidi" w:hAnsiTheme="minorBidi" w:cstheme="minorBidi"/>
                <w:color w:val="000000" w:themeColor="text1"/>
                <w:sz w:val="20"/>
                <w:szCs w:val="20"/>
              </w:rPr>
              <w:t xml:space="preserve">FFQs       </w:t>
            </w:r>
            <w:r w:rsidRPr="005F4695">
              <w:rPr>
                <w:rFonts w:asciiTheme="minorBidi" w:eastAsiaTheme="minorHAnsi" w:hAnsiTheme="minorBidi" w:cstheme="minorBidi"/>
                <w:color w:val="000000" w:themeColor="text1"/>
                <w:sz w:val="20"/>
                <w:szCs w:val="20"/>
              </w:rPr>
              <w:t>(a long</w:t>
            </w:r>
          </w:p>
          <w:p w14:paraId="77C8CCA1" w14:textId="01A7FEB5"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eastAsiaTheme="minorHAnsi" w:hAnsiTheme="minorBidi" w:cstheme="minorBidi"/>
                <w:color w:val="000000" w:themeColor="text1"/>
                <w:sz w:val="20"/>
                <w:szCs w:val="20"/>
              </w:rPr>
              <w:t>and a short version)</w:t>
            </w:r>
          </w:p>
        </w:tc>
        <w:tc>
          <w:tcPr>
            <w:tcW w:w="1559" w:type="dxa"/>
          </w:tcPr>
          <w:p w14:paraId="6D5F2C21" w14:textId="24E3048D"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rPr>
              <w:t>MDS</w:t>
            </w:r>
          </w:p>
        </w:tc>
        <w:tc>
          <w:tcPr>
            <w:tcW w:w="5305" w:type="dxa"/>
          </w:tcPr>
          <w:p w14:paraId="7D6695EF" w14:textId="1B0BDA6C" w:rsidR="00743B47" w:rsidRPr="005F4695" w:rsidRDefault="00743B47" w:rsidP="00743B47">
            <w:pPr>
              <w:autoSpaceDE w:val="0"/>
              <w:autoSpaceDN w:val="0"/>
              <w:adjustRightInd w:val="0"/>
              <w:rPr>
                <w:rFonts w:asciiTheme="minorBidi" w:eastAsiaTheme="minorHAnsi" w:hAnsiTheme="minorBidi" w:cstheme="minorBidi"/>
                <w:color w:val="000000" w:themeColor="text1"/>
                <w:sz w:val="20"/>
                <w:szCs w:val="20"/>
              </w:rPr>
            </w:pPr>
            <w:r w:rsidRPr="005F4695">
              <w:rPr>
                <w:rFonts w:asciiTheme="minorBidi" w:eastAsiaTheme="minorHAnsi" w:hAnsiTheme="minorBidi" w:cstheme="minorBidi"/>
                <w:color w:val="000000" w:themeColor="text1"/>
                <w:sz w:val="20"/>
                <w:szCs w:val="20"/>
              </w:rPr>
              <w:t>9, (fruit, vegetables, cereals, legumes and fish)</w:t>
            </w:r>
            <w:r w:rsidR="004449E9">
              <w:rPr>
                <w:rFonts w:asciiTheme="minorBidi" w:eastAsiaTheme="minorHAnsi" w:hAnsiTheme="minorBidi" w:cstheme="minorBidi"/>
                <w:color w:val="000000" w:themeColor="text1"/>
                <w:sz w:val="20"/>
                <w:szCs w:val="20"/>
              </w:rPr>
              <w:t>,</w:t>
            </w:r>
            <w:r w:rsidRPr="005F4695">
              <w:rPr>
                <w:rFonts w:asciiTheme="minorBidi" w:eastAsiaTheme="minorHAnsi" w:hAnsiTheme="minorBidi" w:cstheme="minorBidi"/>
                <w:color w:val="000000" w:themeColor="text1"/>
                <w:sz w:val="20"/>
                <w:szCs w:val="20"/>
              </w:rPr>
              <w:t xml:space="preserve"> 2 points were given to the highest category of consumption, 1 point for the middle category and 0 point for the lowest category and (meat and meat products, dairy products) points were reversed, weighted means used for the sample size, overall score ranged from 0 to 18 points</w:t>
            </w:r>
          </w:p>
          <w:p w14:paraId="772CE0B3" w14:textId="77777777" w:rsidR="00743B47" w:rsidRPr="005F4695" w:rsidRDefault="00743B47" w:rsidP="00743B47">
            <w:pPr>
              <w:rPr>
                <w:rFonts w:asciiTheme="minorBidi" w:hAnsiTheme="minorBidi" w:cstheme="minorBidi"/>
                <w:color w:val="000000" w:themeColor="text1"/>
                <w:sz w:val="20"/>
                <w:szCs w:val="20"/>
                <w:lang w:val="en-GB" w:eastAsia="en-GB"/>
              </w:rPr>
            </w:pPr>
          </w:p>
        </w:tc>
      </w:tr>
      <w:tr w:rsidR="00743B47" w:rsidRPr="005F4695" w14:paraId="004B4F64" w14:textId="77777777" w:rsidTr="00B20E43">
        <w:trPr>
          <w:trHeight w:val="388"/>
        </w:trPr>
        <w:tc>
          <w:tcPr>
            <w:tcW w:w="1555" w:type="dxa"/>
          </w:tcPr>
          <w:p w14:paraId="729A1B58" w14:textId="13557422" w:rsidR="00743B47" w:rsidRPr="005F4695" w:rsidRDefault="00743B47" w:rsidP="00743B47">
            <w:pPr>
              <w:rPr>
                <w:rFonts w:asciiTheme="minorBidi" w:hAnsiTheme="minorBidi" w:cstheme="minorBidi"/>
                <w:color w:val="000000" w:themeColor="text1"/>
                <w:sz w:val="20"/>
                <w:szCs w:val="20"/>
                <w:lang w:val="en-GB" w:eastAsia="en-GB"/>
              </w:rPr>
            </w:pPr>
            <w:r w:rsidRPr="003754B5">
              <w:rPr>
                <w:rFonts w:asciiTheme="minorBidi" w:hAnsiTheme="minorBidi" w:cstheme="minorBidi"/>
                <w:color w:val="000000" w:themeColor="text1"/>
                <w:sz w:val="20"/>
                <w:szCs w:val="20"/>
              </w:rPr>
              <w:t>Vitale et al</w:t>
            </w:r>
            <w:r>
              <w:rPr>
                <w:rFonts w:asciiTheme="minorBidi" w:hAnsiTheme="minorBidi" w:cstheme="minorBidi"/>
                <w:color w:val="000000" w:themeColor="text1"/>
                <w:sz w:val="20"/>
                <w:szCs w:val="20"/>
              </w:rPr>
              <w:t>, 2018</w:t>
            </w:r>
            <w:r w:rsidRPr="003754B5">
              <w:rPr>
                <w:rFonts w:asciiTheme="minorBidi" w:hAnsiTheme="minorBidi" w:cstheme="minorBidi"/>
                <w:color w:val="000000" w:themeColor="text1"/>
                <w:sz w:val="20"/>
                <w:szCs w:val="20"/>
              </w:rPr>
              <w:t xml:space="preserve"> </w:t>
            </w:r>
            <w:r w:rsidRPr="003754B5">
              <w:rPr>
                <w:rFonts w:asciiTheme="minorBidi" w:hAnsiTheme="minorBidi" w:cstheme="minorBidi"/>
                <w:color w:val="000000" w:themeColor="text1"/>
                <w:sz w:val="20"/>
                <w:szCs w:val="20"/>
              </w:rPr>
              <w:fldChar w:fldCharType="begin" w:fldLock="1"/>
            </w:r>
            <w:r w:rsidR="004A7B72">
              <w:rPr>
                <w:rFonts w:asciiTheme="minorBidi" w:hAnsiTheme="minorBidi" w:cstheme="minorBidi"/>
                <w:color w:val="000000" w:themeColor="text1"/>
                <w:sz w:val="20"/>
                <w:szCs w:val="20"/>
              </w:rPr>
              <w:instrText>ADDIN CSL_CITATION {"citationItems":[{"id":"ITEM-1","itemData":{"DOI":"10.3390/nu10081067","ISSN":"2072-6643","abstract":"This study evaluates the relation of a Mediterranean dietary pattern and its individual components with the cardiovascular risk factors profile, plasma glucose and body mass index (BMI) in people with type 2 diabetes. We studied 2568 participants at 57 diabetes clinics. Diet was assessed with the EPIC (European Prospective Investigation into Cancer and Nutrition) questionnaire, adherence to the Mediterranean diet was evaluated with the relative Mediterranean diet score (rMED). A high compared to a low score was associated with a better quality of diet and a greater adherence to the nutritional recommendations for diabetes. However, even in the group achieving a high score, only a small proportion of participants met the recommendations for fiber and saturated fat (respectively 17% and 30%). Nonetheless, a high score was associated with lower values of plasma lipids, blood pressure, glycated hemoglobin, and BMI. The relationship of the single food items components of the rMED score with the achievement of treatment targets for plasma lipids, blood pressure, glucose, and BMI were also explored. The study findings support the Mediterranean dietary model as a suitable model for type 2 diabetes and the concept that the beneficial health effects of the Mediterranean diet lie primarily in its synergy among various nutrients and foods rather than on any individual component.","author":[{"dropping-particle":"","family":"Vitale","given":"Marilena","non-dropping-particle":"","parse-names":false,"suffix":""},{"dropping-particle":"","family":"Masulli","given":"Maria","non-dropping-particle":"","parse-names":false,"suffix":""},{"dropping-particle":"","family":"Calabrese","given":"Ilaria","non-dropping-particle":"","parse-names":false,"suffix":""},{"dropping-particle":"","family":"Rivellese","given":"Angela","non-dropping-particle":"","parse-names":false,"suffix":""},{"dropping-particle":"","family":"Bonora","given":"Enzo","non-dropping-particle":"","parse-names":false,"suffix":""},{"dropping-particle":"","family":"Signorini","given":"Stefano","non-dropping-particle":"","parse-names":false,"suffix":""},{"dropping-particle":"","family":"Perriello","given":"Gabriele","non-dropping-particle":"","parse-names":false,"suffix":""},{"dropping-particle":"","family":"Squatrito","given":"Sebastiano","non-dropping-particle":"","parse-names":false,"suffix":""},{"dropping-particle":"","family":"Buzzetti","given":"Raffaella","non-dropping-particle":"","parse-names":false,"suffix":""},{"dropping-particle":"","family":"Sartore","given":"Giovanni","non-dropping-particle":"","parse-names":false,"suffix":""},{"dropping-particle":"","family":"Babini","given":"Anna","non-dropping-particle":"","parse-names":false,"suffix":""},{"dropping-particle":"","family":"Gregori","given":"Giovanna","non-dropping-particle":"","parse-names":false,"suffix":""},{"dropping-particle":"","family":"Giordano","given":"Carla","non-dropping-particle":"","parse-names":false,"suffix":""},{"dropping-particle":"","family":"Clemente","given":"Gennaro","non-dropping-particle":"","parse-names":false,"suffix":""},{"dropping-particle":"","family":"Grioni","given":"Sara","non-dropping-particle":"","parse-names":false,"suffix":""},{"dropping-particle":"","family":"Dolce","given":"Pasquale","non-dropping-particle":"","parse-names":false,"suffix":""},{"dropping-particle":"","family":"Riccardi","given":"Gabriele","non-dropping-particle":"","parse-names":false,"suffix":""},{"dropping-particle":"","family":"Vaccaro","given":"Olga","non-dropping-particle":"","parse-names":false,"suffix":""},{"dropping-particle":"","family":"Group","given":"on behalf of the TOSCA.IT Study","non-dropping-particle":"","parse-names":false,"suffix":""},{"dropping-particle":"","family":"Vitale","given":"Marilena","non-dropping-particle":"","parse-names":false,"suffix":""},{"dropping-particle":"","family":"Masulli","given":"Maria","non-dropping-particle":"","parse-names":false,"suffix":""},{"dropping-particle":"","family":"Calabrese","given":"Ilaria","non-dropping-particle":"","parse-names":false,"suffix":""},{"dropping-particle":"","family":"Rivellese","given":"Angela Albarosa","non-dropping-particle":"","parse-names":false,"suffix":""},{"dropping-particle":"","family":"Bonora","given":"Enzo","non-dropping-particle":"","parse-names":false,"suffix":""},{"dropping-particle":"","family":"Signorini","given":"Stefano","non-dropping-particle":"","parse-names":false,"suffix":""},{"dropping-particle":"","family":"Perriello","given":"Gabriele","non-dropping-particle":"","parse-names":false,"suffix":""},{"dropping-particle":"","family":"Squatrito","given":"Sebastiano","non-dropping-particle":"","parse-names":false,"suffix":""},{"dropping-particle":"","family":"Buzzetti","given":"Raffaella","non-dropping-particle":"","parse-names":false,"suffix":""},{"dropping-particle":"","family":"Sartore","given":"Giovanni","non-dropping-particle":"","parse-names":false,"suffix":""},{"dropping-particle":"","family":"Babini","given":"Anna Carla","non-dropping-particle":"","parse-names":false,"suffix":""},{"dropping-particle":"","family":"Gregori","given":"Giovanna","non-dropping-particle":"","parse-names":false,"suffix":""},{"dropping-particle":"","family":"Giordano","given":"Carla","non-dropping-particle":"","parse-names":false,"suffix":""},{"dropping-particle":"","family":"Clemente","given":"Gennaro","non-dropping-particle":"","parse-names":false,"suffix":""},{"dropping-particle":"","family":"Grioni","given":"Sara","non-dropping-particle":"","parse-names":false,"suffix":""},{"dropping-particle":"","family":"Dolce","given":"Pasquale","non-dropping-particle":"","parse-names":false,"suffix":""},{"dropping-particle":"","family":"Riccardi","given":"Gabriele","non-dropping-particle":"","parse-names":false,"suffix":""},{"dropping-particle":"","family":"Vaccaro","given":"Olga","non-dropping-particle":"","parse-names":false,"suffix":""},{"dropping-particle":"","family":"on behalf of the TOSCA.IT Study Group","given":"","non-dropping-particle":"","parse-names":false,"suffix":""}],"container-title":"Nutrients","id":"ITEM-1","issue":"8","issued":{"date-parts":[["2018","8","10"]]},"page":"1067","title":"Impact of a Mediterranean Dietary Pattern and Its Components on Cardiovascular Risk Factors, Glucose Control, and Body Weight in People with Type 2 Diabetes: A Real-Life Study","type":"article-journal","volume":"10"},"uris":["http://www.mendeley.com/documents/?uuid=9e8b07cd-201c-3cb5-b16b-52da9a37374e"]}],"mendeley":{"formattedCitation":"(15)","plainTextFormattedCitation":"(15)","previouslyFormattedCitation":"(14)"},"properties":{"noteIndex":0},"schema":"https://github.com/citation-style-language/schema/raw/master/csl-citation.json"}</w:instrText>
            </w:r>
            <w:r w:rsidRPr="003754B5">
              <w:rPr>
                <w:rFonts w:asciiTheme="minorBidi" w:hAnsiTheme="minorBidi" w:cstheme="minorBidi"/>
                <w:color w:val="000000" w:themeColor="text1"/>
                <w:sz w:val="20"/>
                <w:szCs w:val="20"/>
              </w:rPr>
              <w:fldChar w:fldCharType="separate"/>
            </w:r>
            <w:r w:rsidR="004A7B72" w:rsidRPr="004A7B72">
              <w:rPr>
                <w:rFonts w:asciiTheme="minorBidi" w:hAnsiTheme="minorBidi" w:cstheme="minorBidi"/>
                <w:noProof/>
                <w:color w:val="000000" w:themeColor="text1"/>
                <w:sz w:val="20"/>
                <w:szCs w:val="20"/>
              </w:rPr>
              <w:t>(15)</w:t>
            </w:r>
            <w:r w:rsidRPr="003754B5">
              <w:rPr>
                <w:rFonts w:asciiTheme="minorBidi" w:hAnsiTheme="minorBidi" w:cstheme="minorBidi"/>
                <w:color w:val="000000" w:themeColor="text1"/>
                <w:sz w:val="20"/>
                <w:szCs w:val="20"/>
              </w:rPr>
              <w:fldChar w:fldCharType="end"/>
            </w:r>
          </w:p>
        </w:tc>
        <w:tc>
          <w:tcPr>
            <w:tcW w:w="1417" w:type="dxa"/>
          </w:tcPr>
          <w:p w14:paraId="1D17FC40" w14:textId="173D99B0"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rPr>
              <w:t>Italy</w:t>
            </w:r>
          </w:p>
        </w:tc>
        <w:tc>
          <w:tcPr>
            <w:tcW w:w="1276" w:type="dxa"/>
          </w:tcPr>
          <w:p w14:paraId="3C34F1B3" w14:textId="1694CC1A"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rPr>
              <w:t>2568, diabetic adults    (50-75)</w:t>
            </w:r>
          </w:p>
        </w:tc>
        <w:tc>
          <w:tcPr>
            <w:tcW w:w="1559" w:type="dxa"/>
          </w:tcPr>
          <w:p w14:paraId="1D38F71F" w14:textId="77777777" w:rsidR="00743B47" w:rsidRDefault="00743B47" w:rsidP="00743B47">
            <w:pPr>
              <w:rPr>
                <w:rFonts w:asciiTheme="minorBidi" w:hAnsiTheme="minorBidi" w:cstheme="minorBidi"/>
                <w:color w:val="000000" w:themeColor="text1"/>
                <w:sz w:val="20"/>
                <w:szCs w:val="20"/>
              </w:rPr>
            </w:pPr>
            <w:r w:rsidRPr="005F4695">
              <w:rPr>
                <w:rFonts w:asciiTheme="minorBidi" w:hAnsiTheme="minorBidi" w:cstheme="minorBidi"/>
                <w:color w:val="000000" w:themeColor="text1"/>
                <w:sz w:val="20"/>
                <w:szCs w:val="20"/>
              </w:rPr>
              <w:t xml:space="preserve">FFQ </w:t>
            </w:r>
          </w:p>
          <w:p w14:paraId="562940AF" w14:textId="6DF64EC6"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rPr>
              <w:t>(EPIC)</w:t>
            </w:r>
          </w:p>
        </w:tc>
        <w:tc>
          <w:tcPr>
            <w:tcW w:w="1559" w:type="dxa"/>
          </w:tcPr>
          <w:p w14:paraId="07A35F8E" w14:textId="34FFAE96"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rPr>
              <w:t>Relative-MDS</w:t>
            </w:r>
          </w:p>
        </w:tc>
        <w:tc>
          <w:tcPr>
            <w:tcW w:w="5305" w:type="dxa"/>
          </w:tcPr>
          <w:p w14:paraId="012F1ACA" w14:textId="77777777" w:rsidR="00743B47" w:rsidRPr="005F4695" w:rsidRDefault="00743B47" w:rsidP="00743B47">
            <w:pPr>
              <w:rPr>
                <w:rFonts w:asciiTheme="minorBidi" w:hAnsiTheme="minorBidi" w:cstheme="minorBidi"/>
                <w:color w:val="000000" w:themeColor="text1"/>
                <w:spacing w:val="3"/>
                <w:sz w:val="20"/>
                <w:szCs w:val="20"/>
                <w:shd w:val="clear" w:color="auto" w:fill="FFFFFF"/>
              </w:rPr>
            </w:pPr>
            <w:r w:rsidRPr="005F4695">
              <w:rPr>
                <w:rFonts w:asciiTheme="minorBidi" w:hAnsiTheme="minorBidi" w:cstheme="minorBidi"/>
                <w:color w:val="000000" w:themeColor="text1"/>
                <w:sz w:val="20"/>
                <w:szCs w:val="20"/>
                <w:lang w:val="en-GB" w:eastAsia="en-GB"/>
              </w:rPr>
              <w:t xml:space="preserve">9 (positive: </w:t>
            </w:r>
            <w:r w:rsidRPr="005F4695">
              <w:rPr>
                <w:rFonts w:asciiTheme="minorBidi" w:hAnsiTheme="minorBidi" w:cstheme="minorBidi"/>
                <w:color w:val="000000" w:themeColor="text1"/>
                <w:spacing w:val="3"/>
                <w:sz w:val="20"/>
                <w:szCs w:val="20"/>
                <w:shd w:val="clear" w:color="auto" w:fill="FFFFFF"/>
              </w:rPr>
              <w:t>fruits, vegetables, legumes, cereals, fish, olive oil; negative: meat and meat products, dairy products, and alcohol), 0 to 2, overall score ranged from 0 to 18 points</w:t>
            </w:r>
          </w:p>
          <w:p w14:paraId="2195863B" w14:textId="423B8A22" w:rsidR="00743B47" w:rsidRPr="005F4695" w:rsidRDefault="00743B47" w:rsidP="00743B47">
            <w:pPr>
              <w:rPr>
                <w:rFonts w:asciiTheme="minorBidi" w:hAnsiTheme="minorBidi" w:cstheme="minorBidi"/>
                <w:color w:val="000000" w:themeColor="text1"/>
                <w:sz w:val="20"/>
                <w:szCs w:val="20"/>
                <w:lang w:val="en-GB" w:eastAsia="en-GB"/>
              </w:rPr>
            </w:pPr>
          </w:p>
        </w:tc>
      </w:tr>
      <w:tr w:rsidR="00743B47" w:rsidRPr="005F4695" w14:paraId="0CC7E27D" w14:textId="77777777" w:rsidTr="00B20E43">
        <w:trPr>
          <w:trHeight w:val="388"/>
        </w:trPr>
        <w:tc>
          <w:tcPr>
            <w:tcW w:w="1555" w:type="dxa"/>
          </w:tcPr>
          <w:p w14:paraId="53C2E738" w14:textId="6697B2BF" w:rsidR="00743B47" w:rsidRPr="005F4695" w:rsidRDefault="00743B47" w:rsidP="00743B47">
            <w:pPr>
              <w:rPr>
                <w:rFonts w:asciiTheme="minorBidi" w:hAnsiTheme="minorBidi" w:cstheme="minorBidi"/>
                <w:color w:val="000000" w:themeColor="text1"/>
                <w:sz w:val="20"/>
                <w:szCs w:val="20"/>
                <w:lang w:val="en-GB" w:eastAsia="en-GB"/>
              </w:rPr>
            </w:pPr>
            <w:r w:rsidRPr="003754B5">
              <w:rPr>
                <w:rFonts w:asciiTheme="minorBidi" w:hAnsiTheme="minorBidi" w:cstheme="minorBidi"/>
                <w:sz w:val="20"/>
                <w:szCs w:val="20"/>
              </w:rPr>
              <w:t>Bendinelli et al</w:t>
            </w:r>
            <w:r>
              <w:rPr>
                <w:rFonts w:asciiTheme="minorBidi" w:hAnsiTheme="minorBidi" w:cstheme="minorBidi"/>
                <w:sz w:val="20"/>
                <w:szCs w:val="20"/>
              </w:rPr>
              <w:t>, 2018</w:t>
            </w:r>
            <w:r w:rsidRPr="003754B5">
              <w:rPr>
                <w:rFonts w:asciiTheme="minorBidi" w:hAnsiTheme="minorBidi" w:cstheme="minorBidi"/>
                <w:sz w:val="20"/>
                <w:szCs w:val="20"/>
              </w:rPr>
              <w:t xml:space="preserve"> </w:t>
            </w:r>
            <w:r w:rsidRPr="003754B5">
              <w:rPr>
                <w:rFonts w:asciiTheme="minorBidi" w:hAnsiTheme="minorBidi" w:cstheme="minorBidi"/>
                <w:sz w:val="20"/>
                <w:szCs w:val="20"/>
              </w:rPr>
              <w:fldChar w:fldCharType="begin" w:fldLock="1"/>
            </w:r>
            <w:r w:rsidR="004A7B72">
              <w:rPr>
                <w:rFonts w:asciiTheme="minorBidi" w:hAnsiTheme="minorBidi" w:cstheme="minorBidi"/>
                <w:sz w:val="20"/>
                <w:szCs w:val="20"/>
              </w:rPr>
              <w:instrText>ADDIN CSL_CITATION {"citationItems":[{"id":"ITEM-1","itemData":{"DOI":"10.1007/s00394-018-1758-2","ISSN":"1436-6207","author":[{"dropping-particle":"","family":"Bendinelli","given":"B.","non-dropping-particle":"","parse-names":false,"suffix":""},{"dropping-particle":"","family":"Masala","given":"G.","non-dropping-particle":"","parse-names":false,"suffix":""},{"dropping-particle":"","family":"Bruno","given":"R. M.","non-dropping-particle":"","parse-names":false,"suffix":""},{"dropping-particle":"","family":"Caini","given":"S.","non-dropping-particle":"","parse-names":false,"suffix":""},{"dropping-particle":"","family":"Saieva","given":"C.","non-dropping-particle":"","parse-names":false,"suffix":""},{"dropping-particle":"","family":"Boninsegni","given":"A.","non-dropping-particle":"","parse-names":false,"suffix":""},{"dropping-particle":"","family":"Ungar","given":"A.","non-dropping-particle":"","parse-names":false,"suffix":""},{"dropping-particle":"","family":"Ghiadoni","given":"L.","non-dropping-particle":"","parse-names":false,"suffix":""},{"dropping-particle":"","family":"Palli","given":"D.","non-dropping-particle":"","parse-names":false,"suffix":""}],"container-title":"European Journal of Nutrition","id":"ITEM-1","issued":{"date-parts":[["2018","6","27"]]},"page":"1-12. http://doi: 10.1007/s00394-018-1758-2.","title":"A priori dietary patterns and blood pressure in the EPIC Florence cohort: a cross-sectional study","type":"article-journal"},"uris":["http://www.mendeley.com/documents/?uuid=87096b05-66fb-33f2-a2ec-d2ba59baee29"]}],"mendeley":{"formattedCitation":"(16)","plainTextFormattedCitation":"(16)","previouslyFormattedCitation":"(15)"},"properties":{"noteIndex":0},"schema":"https://github.com/citation-style-language/schema/raw/master/csl-citation.json"}</w:instrText>
            </w:r>
            <w:r w:rsidRPr="003754B5">
              <w:rPr>
                <w:rFonts w:asciiTheme="minorBidi" w:hAnsiTheme="minorBidi" w:cstheme="minorBidi"/>
                <w:sz w:val="20"/>
                <w:szCs w:val="20"/>
              </w:rPr>
              <w:fldChar w:fldCharType="separate"/>
            </w:r>
            <w:r w:rsidR="004A7B72" w:rsidRPr="004A7B72">
              <w:rPr>
                <w:rFonts w:asciiTheme="minorBidi" w:hAnsiTheme="minorBidi" w:cstheme="minorBidi"/>
                <w:noProof/>
                <w:sz w:val="20"/>
                <w:szCs w:val="20"/>
              </w:rPr>
              <w:t>(16)</w:t>
            </w:r>
            <w:r w:rsidRPr="003754B5">
              <w:rPr>
                <w:rFonts w:asciiTheme="minorBidi" w:hAnsiTheme="minorBidi" w:cstheme="minorBidi"/>
                <w:sz w:val="20"/>
                <w:szCs w:val="20"/>
              </w:rPr>
              <w:fldChar w:fldCharType="end"/>
            </w:r>
          </w:p>
        </w:tc>
        <w:tc>
          <w:tcPr>
            <w:tcW w:w="1417" w:type="dxa"/>
          </w:tcPr>
          <w:p w14:paraId="772D2895" w14:textId="64AB9963"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rPr>
              <w:t>Italy</w:t>
            </w:r>
          </w:p>
        </w:tc>
        <w:tc>
          <w:tcPr>
            <w:tcW w:w="1276" w:type="dxa"/>
          </w:tcPr>
          <w:p w14:paraId="1A7AC2C9" w14:textId="30C18D33"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rPr>
              <w:t>7551,         adults     (</w:t>
            </w:r>
            <w:r w:rsidRPr="005F4695">
              <w:rPr>
                <w:rFonts w:asciiTheme="minorBidi" w:eastAsiaTheme="minorHAnsi" w:hAnsiTheme="minorBidi" w:cstheme="minorBidi"/>
                <w:color w:val="000000" w:themeColor="text1"/>
                <w:sz w:val="20"/>
                <w:szCs w:val="20"/>
              </w:rPr>
              <w:t>35-64)</w:t>
            </w:r>
          </w:p>
        </w:tc>
        <w:tc>
          <w:tcPr>
            <w:tcW w:w="1559" w:type="dxa"/>
          </w:tcPr>
          <w:p w14:paraId="5EDF86DC" w14:textId="77777777" w:rsidR="00743B47" w:rsidRDefault="00743B47" w:rsidP="00743B47">
            <w:pPr>
              <w:rPr>
                <w:rFonts w:asciiTheme="minorBidi" w:hAnsiTheme="minorBidi" w:cstheme="minorBidi"/>
                <w:color w:val="000000" w:themeColor="text1"/>
                <w:sz w:val="20"/>
                <w:szCs w:val="20"/>
              </w:rPr>
            </w:pPr>
            <w:r w:rsidRPr="005F4695">
              <w:rPr>
                <w:rFonts w:asciiTheme="minorBidi" w:hAnsiTheme="minorBidi" w:cstheme="minorBidi"/>
                <w:color w:val="000000" w:themeColor="text1"/>
                <w:sz w:val="20"/>
                <w:szCs w:val="20"/>
              </w:rPr>
              <w:t xml:space="preserve">FFQ </w:t>
            </w:r>
          </w:p>
          <w:p w14:paraId="76792FBD" w14:textId="4B177B3C" w:rsidR="00743B47" w:rsidRPr="005F4695" w:rsidRDefault="00743B47" w:rsidP="00743B47">
            <w:pPr>
              <w:rPr>
                <w:rFonts w:asciiTheme="minorBidi" w:hAnsiTheme="minorBidi" w:cstheme="minorBidi"/>
                <w:color w:val="000000" w:themeColor="text1"/>
                <w:sz w:val="20"/>
                <w:szCs w:val="20"/>
              </w:rPr>
            </w:pPr>
            <w:r w:rsidRPr="005F4695">
              <w:rPr>
                <w:rFonts w:asciiTheme="minorBidi" w:hAnsiTheme="minorBidi" w:cstheme="minorBidi"/>
                <w:color w:val="000000" w:themeColor="text1"/>
                <w:sz w:val="20"/>
                <w:szCs w:val="20"/>
              </w:rPr>
              <w:t>(EPIC)</w:t>
            </w:r>
          </w:p>
          <w:p w14:paraId="728F46CC" w14:textId="77777777" w:rsidR="00743B47" w:rsidRPr="005F4695" w:rsidRDefault="00743B47" w:rsidP="00743B47">
            <w:pPr>
              <w:rPr>
                <w:rFonts w:asciiTheme="minorBidi" w:hAnsiTheme="minorBidi" w:cstheme="minorBidi"/>
                <w:color w:val="000000" w:themeColor="text1"/>
                <w:sz w:val="20"/>
                <w:szCs w:val="20"/>
                <w:lang w:val="en-GB" w:eastAsia="en-GB"/>
              </w:rPr>
            </w:pPr>
          </w:p>
        </w:tc>
        <w:tc>
          <w:tcPr>
            <w:tcW w:w="1559" w:type="dxa"/>
          </w:tcPr>
          <w:p w14:paraId="7D9BFFA2" w14:textId="1BD53BD4"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rPr>
              <w:t xml:space="preserve">Comparison: HEI, </w:t>
            </w:r>
            <w:r w:rsidR="00A940F3">
              <w:rPr>
                <w:rFonts w:asciiTheme="minorBidi" w:hAnsiTheme="minorBidi" w:cstheme="minorBidi"/>
                <w:color w:val="000000" w:themeColor="text1"/>
                <w:sz w:val="20"/>
                <w:szCs w:val="20"/>
              </w:rPr>
              <w:t xml:space="preserve">DASH </w:t>
            </w:r>
            <w:r w:rsidR="00A940F3">
              <w:rPr>
                <w:rFonts w:asciiTheme="minorBidi" w:hAnsiTheme="minorBidi" w:cstheme="minorBidi"/>
                <w:color w:val="000000" w:themeColor="text1"/>
                <w:sz w:val="20"/>
                <w:szCs w:val="20"/>
              </w:rPr>
              <w:lastRenderedPageBreak/>
              <w:t>score</w:t>
            </w:r>
            <w:r w:rsidRPr="005F4695">
              <w:rPr>
                <w:rFonts w:asciiTheme="minorBidi" w:hAnsiTheme="minorBidi" w:cstheme="minorBidi"/>
                <w:color w:val="000000" w:themeColor="text1"/>
                <w:sz w:val="20"/>
                <w:szCs w:val="20"/>
              </w:rPr>
              <w:t>, MDS, IMI</w:t>
            </w:r>
          </w:p>
        </w:tc>
        <w:tc>
          <w:tcPr>
            <w:tcW w:w="5305" w:type="dxa"/>
          </w:tcPr>
          <w:p w14:paraId="2A21566E" w14:textId="7C5058FA"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rPr>
              <w:lastRenderedPageBreak/>
              <w:t xml:space="preserve">HEI: </w:t>
            </w:r>
            <w:r w:rsidRPr="005F4695">
              <w:rPr>
                <w:rFonts w:asciiTheme="minorBidi" w:hAnsiTheme="minorBidi" w:cstheme="minorBidi"/>
                <w:color w:val="000000" w:themeColor="text1"/>
                <w:sz w:val="20"/>
                <w:szCs w:val="20"/>
                <w:lang w:val="en-GB" w:eastAsia="en-GB"/>
              </w:rPr>
              <w:fldChar w:fldCharType="begin" w:fldLock="1"/>
            </w:r>
            <w:r w:rsidR="004A7B72">
              <w:rPr>
                <w:rFonts w:asciiTheme="minorBidi" w:hAnsiTheme="minorBidi" w:cstheme="minorBidi"/>
                <w:color w:val="000000" w:themeColor="text1"/>
                <w:sz w:val="20"/>
                <w:szCs w:val="20"/>
                <w:lang w:val="en-GB" w:eastAsia="en-GB"/>
              </w:rPr>
              <w:instrText>ADDIN CSL_CITATION {"citationItems":[{"id":"ITEM-1","itemData":{"DOI":"10.1017/S0007114515000185","ISSN":"0007-1145","abstract":"The role that BMI plays in the association between dietary quality and CVD risk is not known. We aimed to better understand this relationship using statistical methods which correct for sex-specific underreporting of dietary intake. Overall, dietary quality was assessed using the Healthy Eating Index (HEI) on data from 9797 non-pregnant adults (aged &amp;gt;20 years) who participated in the National Health and Nutrition Examination Survey from 2005 to 2010. CVD risk factors included blood pressure, fasting glucose and insulin, homeostatic models of insulin resistance (HOMA-IR), HDL- and LDL-cholesterol (HDL-C and LDL-C), TAG and C-reactive protein (CRP). We controlled for demographic and lifestyle covariates, and we used the population ratio approach (which adjusts for the underreporting of intake) to compare mean HEI scores between the top and bottom quartiles of covariate-adjusted CVD risk factors. In women, the total HEI score was not associated with any CVD risk factors (all Q &amp;gt;0·11). In men, the total HEI score was associated with covariate-adjusted residuals for fasting insulin ( Q &amp;lt; 0·001), HOMA-IR ( Q &amp;lt; 0·001), HDL-C ( Q = 0·01), TAG ( Q = 0·03) and CRP ( Q &amp;lt; 0·001). When we additionally adjusted for BMI, the association with total HEI score was not significant (all P &amp;gt;0·10). In the present analyses, dietary quality was associated with five CVD risk factors in a sex-specific manner. Moreover, the association of BMI with CVD risk attenuated the relationship between CVD risk and diet, which suggests that BMI is an important factor in heart disease prevention.","author":[{"dropping-particle":"","family":"Frazier-Wood","given":"Alexis C.","non-dropping-particle":"","parse-names":false,"suffix":""},{"dropping-particle":"","family":"Kim","given":"Jihye","non-dropping-particle":"","parse-names":false,"suffix":""},{"dropping-particle":"","family":"Davis","given":"Jennifer S.","non-dropping-particle":"","parse-names":false,"suffix":""},{"dropping-particle":"","family":"Jung","given":"Su Yon","non-dropping-particle":"","parse-names":false,"suffix":""},{"dropping-particle":"","family":"Chang","given":"Shine","non-dropping-particle":"","parse-names":false,"suffix":""}],"container-title":"British Journal of Nutrition","id":"ITEM-1","issue":"08","issued":{"date-parts":[["2015","4","27"]]},"page":"1244-1253","title":"In cross-sectional observations, dietary quality is not associated with CVD risk in women; in men the positive association is accounted for by BMI","type":"article-journal","volume":"113"},"uris":["http://www.mendeley.com/documents/?uuid=fbc9117e-ec6d-3797-a24f-79f81b15f951"]}],"mendeley":{"formattedCitation":"(2)","plainTextFormattedCitation":"(2)","previouslyFormattedCitation":"(2)"},"properties":{"noteIndex":0},"schema":"https://github.com/citation-style-language/schema/raw/master/csl-citation.json"}</w:instrText>
            </w:r>
            <w:r w:rsidRPr="005F4695">
              <w:rPr>
                <w:rFonts w:asciiTheme="minorBidi" w:hAnsiTheme="minorBidi" w:cstheme="minorBidi"/>
                <w:color w:val="000000" w:themeColor="text1"/>
                <w:sz w:val="20"/>
                <w:szCs w:val="20"/>
                <w:lang w:val="en-GB" w:eastAsia="en-GB"/>
              </w:rPr>
              <w:fldChar w:fldCharType="separate"/>
            </w:r>
            <w:r w:rsidRPr="005F4695">
              <w:rPr>
                <w:rFonts w:asciiTheme="minorBidi" w:hAnsiTheme="minorBidi" w:cstheme="minorBidi"/>
                <w:noProof/>
                <w:color w:val="000000" w:themeColor="text1"/>
                <w:sz w:val="20"/>
                <w:szCs w:val="20"/>
                <w:lang w:val="en-GB" w:eastAsia="en-GB"/>
              </w:rPr>
              <w:t>(2)</w:t>
            </w:r>
            <w:r w:rsidRPr="005F4695">
              <w:rPr>
                <w:rFonts w:asciiTheme="minorBidi" w:hAnsiTheme="minorBidi" w:cstheme="minorBidi"/>
                <w:color w:val="000000" w:themeColor="text1"/>
                <w:sz w:val="20"/>
                <w:szCs w:val="20"/>
                <w:lang w:val="en-GB" w:eastAsia="en-GB"/>
              </w:rPr>
              <w:fldChar w:fldCharType="end"/>
            </w:r>
          </w:p>
          <w:p w14:paraId="5BFD7B4C" w14:textId="612FA193" w:rsidR="00743B47" w:rsidRPr="005F4695" w:rsidRDefault="00A940F3" w:rsidP="00743B47">
            <w:pPr>
              <w:rPr>
                <w:rFonts w:asciiTheme="minorBidi" w:hAnsiTheme="minorBidi" w:cstheme="minorBidi"/>
                <w:color w:val="000000" w:themeColor="text1"/>
                <w:sz w:val="20"/>
                <w:szCs w:val="20"/>
              </w:rPr>
            </w:pPr>
            <w:r>
              <w:rPr>
                <w:rFonts w:asciiTheme="minorBidi" w:hAnsiTheme="minorBidi" w:cstheme="minorBidi"/>
                <w:color w:val="000000" w:themeColor="text1"/>
                <w:sz w:val="20"/>
                <w:szCs w:val="20"/>
              </w:rPr>
              <w:t>DASH score</w:t>
            </w:r>
            <w:r w:rsidR="00743B47" w:rsidRPr="005F4695">
              <w:rPr>
                <w:rFonts w:asciiTheme="minorBidi" w:hAnsiTheme="minorBidi" w:cstheme="minorBidi"/>
                <w:color w:val="000000" w:themeColor="text1"/>
                <w:sz w:val="20"/>
                <w:szCs w:val="20"/>
              </w:rPr>
              <w:t xml:space="preserve">: </w:t>
            </w:r>
            <w:r w:rsidR="00743B47" w:rsidRPr="005F4695">
              <w:rPr>
                <w:rFonts w:asciiTheme="minorBidi" w:hAnsiTheme="minorBidi" w:cstheme="minorBidi"/>
                <w:color w:val="000000" w:themeColor="text1"/>
                <w:sz w:val="20"/>
                <w:szCs w:val="20"/>
                <w:lang w:val="en-GB" w:eastAsia="en-GB"/>
              </w:rPr>
              <w:fldChar w:fldCharType="begin" w:fldLock="1"/>
            </w:r>
            <w:r w:rsidR="00743B47" w:rsidRPr="005F4695">
              <w:rPr>
                <w:rFonts w:asciiTheme="minorBidi" w:hAnsiTheme="minorBidi" w:cstheme="minorBidi"/>
                <w:color w:val="000000" w:themeColor="text1"/>
                <w:sz w:val="20"/>
                <w:szCs w:val="20"/>
                <w:lang w:val="en-GB" w:eastAsia="en-GB"/>
              </w:rPr>
              <w:instrText>ADDIN CSL_CITATION {"citationItems":[{"id":"ITEM-1","itemData":{"DOI":"10.1007/s00394-017-1562-4","ISSN":"1436-6207","PMID":"29098424","abstract":"PURPOSE The aims of this study were to (1) determine the association between diet quality using the Dietary Approaches to Stop Hypertension (DASH) score and cardiometabolic risk in a British working population and (2) identify employee characteristics associated with reporting a poorer quality dietary pattern. METHODS British police employees enrolled (2007-2012) into the Airwave Health Monitoring Study (n = 5527) were included for sex-specific cross-sectional analyses. Dietary intakes were measured using 7-day food records. DASH score was calculated to determine diet quality. Logistic regression evaluated associations between (1) diet quality and increased cardiometabolic risk (defined as ≥ 3 risk markers: dyslipidaemia, elevated blood pressure, waist circumference, CRP or HbA1c), and (2) poor diet quality (lowest fifth of DASH score distribution) and employee characteristics. RESULTS Employees recording a poor diet quality had greater odds (OR) of increased cardiometabolic risk independent of established risk factors (demographic, lifestyle and occupational) and BMI: men OR 1.50 (95% CI 1.12-2.00), women: OR 1.84 (95% CI 1.19-2.97) compared to the healthiest diet group. Characteristics associated with reporting a poor quality diet were employment in Scotland vs. England: men OR 1.88 (95% CI 1.53-2.32), women: OR 1.49 (95% CI 1.11-2.00), longer working hours (≥ 49 vs. ≤40 h) men: OR 1.53 (95% CI 1.21-1.92) women: OR 1.53 (95% CI 1.12-2.09). For men, job strain (high vs. low) was associated with reporting a poor diet quality OR 1.66 (95% CI 1.30-2.12). CONCLUSIONS The general population disparities in diet quality between England and Scotland were reflected in British police employees. The association of longer working hours and job strain with diet quality supports the targeting of workplace nutritional interventions.","author":[{"dropping-particle":"","family":"Gibson","given":"Rachel","non-dropping-particle":"","parse-names":false,"suffix":""},{"dropping-particle":"","family":"Eriksen","given":"Rebeca","non-dropping-particle":"","parse-names":false,"suffix":""},{"dropping-particle":"","family":"Singh","given":"Deepa","non-dropping-particle":"","parse-names":false,"suffix":""},{"dropping-particle":"","family":"Vergnaud","given":"Anne-Claire","non-dropping-particle":"","parse-names":false,"suffix":""},{"dropping-particle":"","family":"Heard","given":"Andrew","non-dropping-particle":"","parse-names":false,"suffix":""},{"dropping-particle":"","family":"Chan","given":"Queenie","non-dropping-particle":"","parse-names":false,"suffix":""},{"dropping-particle":"","family":"Elliott","given":"Paul","non-dropping-particle":"","parse-names":false,"suffix":""},{"dropping-particle":"","family":"Frost","given":"Gary","non-dropping-particle":"","parse-names":false,"suffix":""}],"container-title":"European Journal of Nutrition","id":"ITEM-1","issue":"8","issued":{"date-parts":[["2018","12","2"]]},"page":"2913-2926","title":"A cross-sectional investigation into the occupational and socio-demographic characteristics of British police force employees reporting a dietary pattern associated with cardiometabolic risk: findings from the Airwave Health Monitoring Study","type":"article-journal","volume":"57"},"uris":["http://www.mendeley.com/documents/?uuid=308b59cf-d657-32ee-a72f-ff29a9cd74fd"]}],"mendeley":{"formattedCitation":"(4)","plainTextFormattedCitation":"(4)","previouslyFormattedCitation":"(4)"},"properties":{"noteIndex":0},"schema":"https://github.com/citation-style-language/schema/raw/master/csl-citation.json"}</w:instrText>
            </w:r>
            <w:r w:rsidR="00743B47" w:rsidRPr="005F4695">
              <w:rPr>
                <w:rFonts w:asciiTheme="minorBidi" w:hAnsiTheme="minorBidi" w:cstheme="minorBidi"/>
                <w:color w:val="000000" w:themeColor="text1"/>
                <w:sz w:val="20"/>
                <w:szCs w:val="20"/>
                <w:lang w:val="en-GB" w:eastAsia="en-GB"/>
              </w:rPr>
              <w:fldChar w:fldCharType="separate"/>
            </w:r>
            <w:r w:rsidR="00743B47" w:rsidRPr="005F4695">
              <w:rPr>
                <w:rFonts w:asciiTheme="minorBidi" w:hAnsiTheme="minorBidi" w:cstheme="minorBidi"/>
                <w:noProof/>
                <w:color w:val="000000" w:themeColor="text1"/>
                <w:sz w:val="20"/>
                <w:szCs w:val="20"/>
                <w:lang w:val="en-GB" w:eastAsia="en-GB"/>
              </w:rPr>
              <w:t>(4)</w:t>
            </w:r>
            <w:r w:rsidR="00743B47" w:rsidRPr="005F4695">
              <w:rPr>
                <w:rFonts w:asciiTheme="minorBidi" w:hAnsiTheme="minorBidi" w:cstheme="minorBidi"/>
                <w:color w:val="000000" w:themeColor="text1"/>
                <w:sz w:val="20"/>
                <w:szCs w:val="20"/>
                <w:lang w:val="en-GB" w:eastAsia="en-GB"/>
              </w:rPr>
              <w:fldChar w:fldCharType="end"/>
            </w:r>
          </w:p>
          <w:p w14:paraId="266FFB70" w14:textId="32C5CEE7" w:rsidR="00743B47" w:rsidRPr="005F4695" w:rsidRDefault="00743B47" w:rsidP="00743B47">
            <w:pPr>
              <w:rPr>
                <w:rFonts w:asciiTheme="minorBidi" w:hAnsiTheme="minorBidi" w:cstheme="minorBidi"/>
                <w:color w:val="000000" w:themeColor="text1"/>
                <w:sz w:val="20"/>
                <w:szCs w:val="20"/>
              </w:rPr>
            </w:pPr>
            <w:r w:rsidRPr="005F4695">
              <w:rPr>
                <w:rFonts w:asciiTheme="minorBidi" w:hAnsiTheme="minorBidi" w:cstheme="minorBidi"/>
                <w:color w:val="000000" w:themeColor="text1"/>
                <w:sz w:val="20"/>
                <w:szCs w:val="20"/>
              </w:rPr>
              <w:t xml:space="preserve">MDS: </w:t>
            </w:r>
            <w:r w:rsidRPr="005F4695">
              <w:rPr>
                <w:rFonts w:asciiTheme="minorBidi" w:hAnsiTheme="minorBidi" w:cstheme="minorBidi"/>
                <w:color w:val="000000" w:themeColor="text1"/>
                <w:sz w:val="20"/>
                <w:szCs w:val="20"/>
              </w:rPr>
              <w:fldChar w:fldCharType="begin" w:fldLock="1"/>
            </w:r>
            <w:r w:rsidRPr="005F4695">
              <w:rPr>
                <w:rFonts w:asciiTheme="minorBidi" w:hAnsiTheme="minorBidi" w:cstheme="minorBidi"/>
                <w:color w:val="000000" w:themeColor="text1"/>
                <w:sz w:val="20"/>
                <w:szCs w:val="20"/>
              </w:rPr>
              <w:instrText>ADDIN CSL_CITATION {"citationItems":[{"id":"ITEM-1","itemData":{"DOI":"10.1016/j.atherosclerosis.2018.06.877","ISSN":"00219150","PMID":"29980052","abstract":"BACKGROUND AND AIMS Guidelines recommend a healthy diet as a cornerstone of cardiovascular disease (CVD) prevention. Although the Mediterranean diet (MD) is the best studied dietary pattern for CV outcomes, data on association between MD and severity of CAD are limited. Therefore, we analysed dietary data in association with the SYNTAX score in coronary artery disease (CAD) patients from the INTERCATH study. METHODS The INTERCATH study is an observational study in patients undergoing coronary angiography at the University Heart Center Hamburg. Coronary morphology is assessed by the SYNTAX score. A lifestyle questionnaire collects dietary data with food frequency questions at baseline. Based on seven dietary characteristics, we calculated an established Mediterranean diet score (MDS) with a range of 0-28 points at which 28 points reflect maximal adherence to MD. To investigate the association of MD with severity of CAD, we performed logistic regression analysis after adjustment for confounding factors. RESULTS Of 1121 patients, 27% were women. The median age was 70.7 years (interquartile range (IQR) 61.1,77.0). CV risk factors were distributed as expected for a CAD cohort (31.3% diabetes, 81.1% arterial hypertension, 34.0% smoking, median BMI 26.6 kg/m2 (IQR 24.1, 30.3), median LDL-C 87 mg/dL (IQR 65.0,116,6). Of all variables included, the strongest correlation with MDS was found for log (hs-CRP) (r = -0.21, p &lt; 0.001). Adherence to MD represented by a higher MDS was significantly associated with a reduced probability for a medium/high risk SYNTAX score of ≥23 with an odds ratio (OR) of 0.923 per point increase of MDS (95% confidence interval 0.869-0.979; p = 0.0079). This association remained significant after adjustment for cardiovascular risk factors (OR 0.934, 95% CI 0.877-0.995, p = 0.035). After further adjustment for log (hs-CRP), the association remained no longer significant (OR 0.955 (0.893-1.022, p = 0.19). CONCLUSIONS In this contemporary data set, we found an independent association of adherence to MD with a less complex CAD. Hs-CRP correlated significantly with adherence to MD and may be a marker of the vasoprotective effects of MD. These results strengthen the evidence for the protective effect of an MD pattern in CVD prevention.","author":[{"dropping-particle":"","family":"Waldeyer","given":"Christoph","non-dropping-particle":"","parse-names":false,"suffix":""},{"dropping-particle":"","family":"Brunner","given":"Fabian J.","non-dropping-particle":"","parse-names":false,"suffix":""},{"dropping-particle":"","family":"Braetz","given":"Julian","non-dropping-particle":"","parse-names":false,"suffix":""},{"dropping-particle":"","family":"Ruebsamen","given":"Nicole","non-dropping-particle":"","parse-names":false,"suffix":""},{"dropping-particle":"","family":"Zyriax","given":"Birgit-Christiane","non-dropping-particle":"","parse-names":false,"suffix":""},{"dropping-particle":"","family":"Blaum","given":"Christopher","non-dropping-particle":"","parse-names":false,"suffix":""},{"dropping-particle":"","family":"Kroeger","given":"Friederike","non-dropping-particle":"","parse-names":false,"suffix":""},{"dropping-particle":"","family":"Kohsiack","given":"Rebecca","non-dropping-particle":"","parse-names":false,"suffix":""},{"dropping-particle":"","family":"Schrage","given":"Benedikt","non-dropping-particle":"","parse-names":false,"suffix":""},{"dropping-particle":"","family":"Sinning","given":"Christoph","non-dropping-particle":"","parse-names":false,"suffix":""},{"dropping-particle":"","family":"Becher","given":"Peter M.","non-dropping-particle":"","parse-names":false,"suffix":""},{"dropping-particle":"","family":"Karakas","given":"Mahir","non-dropping-particle":"","parse-names":false,"suffix":""},{"dropping-particle":"","family":"Zeller","given":"Tanja","non-dropping-particle":"","parse-names":false,"suffix":""},{"dropping-particle":"","family":"Westermann","given":"Dirk","non-dropping-particle":"","parse-names":false,"suffix":""},{"dropping-particle":"","family":"Sydow","given":"Karsten","non-dropping-particle":"","parse-names":false,"suffix":""},{"dropping-particle":"","family":"Blankenberg","given":"Stefan","non-dropping-particle":"","parse-names":false,"suffix":""},{"dropping-particle":"","family":"Seiffert","given":"Moritz","non-dropping-particle":"","parse-names":false,"suffix":""},{"dropping-particle":"","family":"Schnabel","given":"Renate B.","non-dropping-particle":"","parse-names":false,"suffix":""}],"container-title":"Atherosclerosis","id":"ITEM-1","issued":{"date-parts":[["2018","8"]]},"page":"256-261","title":"Adherence to Mediterranean diet, high-sensitive C-reactive protein, and severity of coronary artery disease: Contemporary data from the INTERCATH cohort","type":"article-journal","volume":"275"},"uris":["http://www.mendeley.com/documents/?uuid=496ba5d2-06df-371c-a532-789650eebfc5"]}],"mendeley":{"formattedCitation":"(17)","plainTextFormattedCitation":"(17)","previouslyFormattedCitation":"(17)"},"properties":{"noteIndex":0},"schema":"https://github.com/citation-style-language/schema/raw/master/csl-citation.json"}</w:instrText>
            </w:r>
            <w:r w:rsidRPr="005F4695">
              <w:rPr>
                <w:rFonts w:asciiTheme="minorBidi" w:hAnsiTheme="minorBidi" w:cstheme="minorBidi"/>
                <w:color w:val="000000" w:themeColor="text1"/>
                <w:sz w:val="20"/>
                <w:szCs w:val="20"/>
              </w:rPr>
              <w:fldChar w:fldCharType="separate"/>
            </w:r>
            <w:r w:rsidRPr="005F4695">
              <w:rPr>
                <w:rFonts w:asciiTheme="minorBidi" w:hAnsiTheme="minorBidi" w:cstheme="minorBidi"/>
                <w:noProof/>
                <w:color w:val="000000" w:themeColor="text1"/>
                <w:sz w:val="20"/>
                <w:szCs w:val="20"/>
              </w:rPr>
              <w:t>(17)</w:t>
            </w:r>
            <w:r w:rsidRPr="005F4695">
              <w:rPr>
                <w:rFonts w:asciiTheme="minorBidi" w:hAnsiTheme="minorBidi" w:cstheme="minorBidi"/>
                <w:color w:val="000000" w:themeColor="text1"/>
                <w:sz w:val="20"/>
                <w:szCs w:val="20"/>
              </w:rPr>
              <w:fldChar w:fldCharType="end"/>
            </w:r>
          </w:p>
          <w:p w14:paraId="7376FAB9" w14:textId="77777777" w:rsidR="00743B47" w:rsidRPr="005F4695" w:rsidRDefault="00743B47" w:rsidP="00743B47">
            <w:pPr>
              <w:rPr>
                <w:rFonts w:asciiTheme="minorBidi" w:hAnsiTheme="minorBidi" w:cstheme="minorBidi"/>
                <w:color w:val="000000" w:themeColor="text1"/>
                <w:spacing w:val="3"/>
                <w:sz w:val="20"/>
                <w:szCs w:val="20"/>
                <w:shd w:val="clear" w:color="auto" w:fill="FFFFFF"/>
              </w:rPr>
            </w:pPr>
            <w:r w:rsidRPr="005F4695">
              <w:rPr>
                <w:rFonts w:asciiTheme="minorBidi" w:hAnsiTheme="minorBidi" w:cstheme="minorBidi"/>
                <w:color w:val="000000" w:themeColor="text1"/>
                <w:sz w:val="20"/>
                <w:szCs w:val="20"/>
              </w:rPr>
              <w:lastRenderedPageBreak/>
              <w:t xml:space="preserve">IMD: 11 (pasta, vegetables, fruit, legumes, olive oil and fish, soft drinks, alcohol, butter, red meat and potatoes), 0 or 1 for consumption then sex-specific tertiles were assigned, </w:t>
            </w:r>
            <w:r w:rsidRPr="005F4695">
              <w:rPr>
                <w:rFonts w:asciiTheme="minorBidi" w:hAnsiTheme="minorBidi" w:cstheme="minorBidi"/>
                <w:color w:val="000000" w:themeColor="text1"/>
                <w:spacing w:val="3"/>
                <w:sz w:val="20"/>
                <w:szCs w:val="20"/>
                <w:shd w:val="clear" w:color="auto" w:fill="FFFFFF"/>
              </w:rPr>
              <w:t>overall score ranged from 0 to 11 points</w:t>
            </w:r>
          </w:p>
          <w:p w14:paraId="64AAF00C" w14:textId="07236219" w:rsidR="00743B47" w:rsidRPr="005F4695" w:rsidRDefault="00743B47" w:rsidP="00743B47">
            <w:pPr>
              <w:rPr>
                <w:rFonts w:asciiTheme="minorBidi" w:hAnsiTheme="minorBidi" w:cstheme="minorBidi"/>
                <w:color w:val="000000" w:themeColor="text1"/>
                <w:sz w:val="20"/>
                <w:szCs w:val="20"/>
                <w:lang w:val="en-GB" w:eastAsia="en-GB"/>
              </w:rPr>
            </w:pPr>
          </w:p>
        </w:tc>
      </w:tr>
      <w:tr w:rsidR="00743B47" w:rsidRPr="005F4695" w14:paraId="7FFC754E" w14:textId="77777777" w:rsidTr="00B20E43">
        <w:trPr>
          <w:trHeight w:val="388"/>
        </w:trPr>
        <w:tc>
          <w:tcPr>
            <w:tcW w:w="1555" w:type="dxa"/>
          </w:tcPr>
          <w:p w14:paraId="3F2DE2F8" w14:textId="0EC69ED9" w:rsidR="00743B47" w:rsidRPr="005F4695" w:rsidRDefault="00743B47" w:rsidP="00743B47">
            <w:pPr>
              <w:rPr>
                <w:rFonts w:asciiTheme="minorBidi" w:hAnsiTheme="minorBidi" w:cstheme="minorBidi"/>
                <w:color w:val="000000" w:themeColor="text1"/>
                <w:sz w:val="20"/>
                <w:szCs w:val="20"/>
                <w:lang w:val="en-GB" w:eastAsia="en-GB"/>
              </w:rPr>
            </w:pPr>
            <w:r w:rsidRPr="003754B5">
              <w:rPr>
                <w:rFonts w:asciiTheme="minorBidi" w:hAnsiTheme="minorBidi" w:cstheme="minorBidi"/>
                <w:sz w:val="20"/>
                <w:szCs w:val="20"/>
                <w:lang w:val="en-GB" w:eastAsia="en-GB"/>
              </w:rPr>
              <w:lastRenderedPageBreak/>
              <w:t>Bonaccio et al</w:t>
            </w:r>
            <w:r>
              <w:rPr>
                <w:rFonts w:asciiTheme="minorBidi" w:hAnsiTheme="minorBidi" w:cstheme="minorBidi"/>
                <w:sz w:val="20"/>
                <w:szCs w:val="20"/>
                <w:lang w:val="en-GB" w:eastAsia="en-GB"/>
              </w:rPr>
              <w:t>, 2017</w:t>
            </w:r>
            <w:r w:rsidRPr="003754B5">
              <w:rPr>
                <w:rFonts w:asciiTheme="minorBidi" w:hAnsiTheme="minorBidi" w:cstheme="minorBidi"/>
                <w:sz w:val="20"/>
                <w:szCs w:val="20"/>
                <w:lang w:val="en-GB" w:eastAsia="en-GB"/>
              </w:rPr>
              <w:t xml:space="preserve"> </w:t>
            </w:r>
            <w:r w:rsidRPr="003754B5">
              <w:rPr>
                <w:rFonts w:asciiTheme="minorBidi" w:hAnsiTheme="minorBidi" w:cstheme="minorBidi"/>
                <w:sz w:val="20"/>
                <w:szCs w:val="20"/>
                <w:lang w:val="en-GB" w:eastAsia="en-GB"/>
              </w:rPr>
              <w:fldChar w:fldCharType="begin" w:fldLock="1"/>
            </w:r>
            <w:r w:rsidR="004A7B72">
              <w:rPr>
                <w:rFonts w:asciiTheme="minorBidi" w:hAnsiTheme="minorBidi" w:cstheme="minorBidi"/>
                <w:sz w:val="20"/>
                <w:szCs w:val="20"/>
                <w:lang w:val="en-GB" w:eastAsia="en-GB"/>
              </w:rPr>
              <w:instrText>ADDIN CSL_CITATION {"citationItems":[{"id":"ITEM-1","itemData":{"DOI":"10.1093/ije/dyx145","ISSN":"0300-5771","author":[{"dropping-particle":"","family":"Bonaccio","given":"Marialaura","non-dropping-particle":"","parse-names":false,"suffix":""},{"dropping-particle":"","family":"Castelnuovo","given":"Augusto","non-dropping-particle":"Di","parse-names":false,"suffix":""},{"dropping-particle":"","family":"Pounis","given":"George","non-dropping-particle":"","parse-names":false,"suffix":""},{"dropping-particle":"","family":"Costanzo","given":"Simona","non-dropping-particle":"","parse-names":false,"suffix":""},{"dropping-particle":"","family":"Persichillo","given":"Mariarosaria","non-dropping-particle":"","parse-names":false,"suffix":""},{"dropping-particle":"","family":"Cerletti","given":"Chiara","non-dropping-particle":"","parse-names":false,"suffix":""},{"dropping-particle":"","family":"Donati","given":"Maria Benedetta","non-dropping-particle":"","parse-names":false,"suffix":""},{"dropping-particle":"","family":"Gaetano","given":"Giovanni","non-dropping-particle":"de","parse-names":false,"suffix":""},{"dropping-particle":"","family":"Iacoviello","given":"Licia","non-dropping-particle":"","parse-names":false,"suffix":""}],"container-title":"International Journal of Epidemiology","id":"ITEM-1","issue":"5","issued":{"date-parts":[["2017","10","1"]]},"page":"1478-1487","title":"High adherence to the Mediterranean diet is associated with cardiovascular protection in higher but not in lower socioeconomic groups: prospective findings from the Moli-sani study","type":"article-journal","volume":"46"},"uris":["http://www.mendeley.com/documents/?uuid=b5826ede-2f23-3d64-8027-95b022a799e4"]}],"mendeley":{"formattedCitation":"(18)","plainTextFormattedCitation":"(18)","previouslyFormattedCitation":"(16)"},"properties":{"noteIndex":0},"schema":"https://github.com/citation-style-language/schema/raw/master/csl-citation.json"}</w:instrText>
            </w:r>
            <w:r w:rsidRPr="003754B5">
              <w:rPr>
                <w:rFonts w:asciiTheme="minorBidi" w:hAnsiTheme="minorBidi" w:cstheme="minorBidi"/>
                <w:sz w:val="20"/>
                <w:szCs w:val="20"/>
                <w:lang w:val="en-GB" w:eastAsia="en-GB"/>
              </w:rPr>
              <w:fldChar w:fldCharType="separate"/>
            </w:r>
            <w:r w:rsidR="004A7B72" w:rsidRPr="004A7B72">
              <w:rPr>
                <w:rFonts w:asciiTheme="minorBidi" w:hAnsiTheme="minorBidi" w:cstheme="minorBidi"/>
                <w:noProof/>
                <w:sz w:val="20"/>
                <w:szCs w:val="20"/>
                <w:lang w:val="en-GB" w:eastAsia="en-GB"/>
              </w:rPr>
              <w:t>(18)</w:t>
            </w:r>
            <w:r w:rsidRPr="003754B5">
              <w:rPr>
                <w:rFonts w:asciiTheme="minorBidi" w:hAnsiTheme="minorBidi" w:cstheme="minorBidi"/>
                <w:sz w:val="20"/>
                <w:szCs w:val="20"/>
                <w:lang w:val="en-GB" w:eastAsia="en-GB"/>
              </w:rPr>
              <w:fldChar w:fldCharType="end"/>
            </w:r>
          </w:p>
        </w:tc>
        <w:tc>
          <w:tcPr>
            <w:tcW w:w="1417" w:type="dxa"/>
          </w:tcPr>
          <w:p w14:paraId="5E690B6D" w14:textId="617E5A66"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lang w:val="en-GB" w:eastAsia="en-GB"/>
              </w:rPr>
              <w:t>Italy</w:t>
            </w:r>
          </w:p>
        </w:tc>
        <w:tc>
          <w:tcPr>
            <w:tcW w:w="1276" w:type="dxa"/>
          </w:tcPr>
          <w:p w14:paraId="7EE82B70" w14:textId="4CD5D4BF"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lang w:val="en-GB" w:eastAsia="en-GB"/>
              </w:rPr>
              <w:t>18991, adults       (~54)</w:t>
            </w:r>
          </w:p>
        </w:tc>
        <w:tc>
          <w:tcPr>
            <w:tcW w:w="1559" w:type="dxa"/>
          </w:tcPr>
          <w:p w14:paraId="2BD75589" w14:textId="1DAC94C3"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lang w:val="en-GB" w:eastAsia="en-GB"/>
              </w:rPr>
              <w:t xml:space="preserve">FFQ   </w:t>
            </w:r>
          </w:p>
        </w:tc>
        <w:tc>
          <w:tcPr>
            <w:tcW w:w="1559" w:type="dxa"/>
          </w:tcPr>
          <w:p w14:paraId="00D3AE5F" w14:textId="77777777"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lang w:val="en-GB" w:eastAsia="en-GB"/>
              </w:rPr>
              <w:t>Comparison:</w:t>
            </w:r>
          </w:p>
          <w:p w14:paraId="7EF92755" w14:textId="7805794A"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lang w:val="en-GB" w:eastAsia="en-GB"/>
              </w:rPr>
              <w:t xml:space="preserve">MDS and </w:t>
            </w:r>
            <w:r w:rsidRPr="005F4695">
              <w:rPr>
                <w:rFonts w:asciiTheme="minorBidi" w:hAnsiTheme="minorBidi" w:cstheme="minorBidi"/>
                <w:sz w:val="20"/>
                <w:szCs w:val="20"/>
              </w:rPr>
              <w:t>Diet Diversity Score</w:t>
            </w:r>
          </w:p>
        </w:tc>
        <w:tc>
          <w:tcPr>
            <w:tcW w:w="5305" w:type="dxa"/>
          </w:tcPr>
          <w:p w14:paraId="7FAD59C4" w14:textId="77777777"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lang w:val="en-GB" w:eastAsia="en-GB"/>
              </w:rPr>
              <w:t>Details of score not provided</w:t>
            </w:r>
          </w:p>
          <w:p w14:paraId="3766DB6B" w14:textId="755D02B1" w:rsidR="00743B47" w:rsidRPr="005F4695" w:rsidRDefault="00743B47" w:rsidP="00743B47">
            <w:pPr>
              <w:rPr>
                <w:rFonts w:asciiTheme="minorBidi" w:hAnsiTheme="minorBidi" w:cstheme="minorBidi"/>
                <w:color w:val="000000" w:themeColor="text1"/>
                <w:sz w:val="20"/>
                <w:szCs w:val="20"/>
                <w:lang w:val="en-GB" w:eastAsia="en-GB"/>
              </w:rPr>
            </w:pPr>
          </w:p>
        </w:tc>
      </w:tr>
      <w:tr w:rsidR="00743B47" w:rsidRPr="005F4695" w14:paraId="34FAD79D" w14:textId="77777777" w:rsidTr="00B20E43">
        <w:trPr>
          <w:trHeight w:val="388"/>
        </w:trPr>
        <w:tc>
          <w:tcPr>
            <w:tcW w:w="1555" w:type="dxa"/>
          </w:tcPr>
          <w:p w14:paraId="308C525B" w14:textId="1BA561D2" w:rsidR="00743B47" w:rsidRPr="005F4695" w:rsidRDefault="00743B47" w:rsidP="00743B47">
            <w:pPr>
              <w:rPr>
                <w:rFonts w:asciiTheme="minorBidi" w:hAnsiTheme="minorBidi" w:cstheme="minorBidi"/>
                <w:color w:val="000000" w:themeColor="text1"/>
                <w:sz w:val="20"/>
                <w:szCs w:val="20"/>
                <w:lang w:val="en-GB" w:eastAsia="en-GB"/>
              </w:rPr>
            </w:pPr>
            <w:r w:rsidRPr="003754B5">
              <w:rPr>
                <w:rFonts w:asciiTheme="minorBidi" w:hAnsiTheme="minorBidi" w:cstheme="minorBidi"/>
                <w:sz w:val="20"/>
                <w:szCs w:val="20"/>
                <w:lang w:val="en-GB" w:eastAsia="en-GB"/>
              </w:rPr>
              <w:t>Alvarez-Alvarez et a</w:t>
            </w:r>
            <w:r>
              <w:rPr>
                <w:rFonts w:asciiTheme="minorBidi" w:hAnsiTheme="minorBidi" w:cstheme="minorBidi"/>
                <w:sz w:val="20"/>
                <w:szCs w:val="20"/>
                <w:lang w:val="en-GB" w:eastAsia="en-GB"/>
              </w:rPr>
              <w:t>l, 2018</w:t>
            </w:r>
            <w:r w:rsidRPr="003754B5">
              <w:rPr>
                <w:rFonts w:asciiTheme="minorBidi" w:hAnsiTheme="minorBidi" w:cstheme="minorBidi"/>
                <w:sz w:val="20"/>
                <w:szCs w:val="20"/>
                <w:lang w:val="en-GB" w:eastAsia="en-GB"/>
              </w:rPr>
              <w:t xml:space="preserve"> </w:t>
            </w:r>
            <w:r w:rsidRPr="003754B5">
              <w:rPr>
                <w:rFonts w:asciiTheme="minorBidi" w:hAnsiTheme="minorBidi" w:cstheme="minorBidi"/>
                <w:sz w:val="20"/>
                <w:szCs w:val="20"/>
                <w:lang w:val="en-GB" w:eastAsia="en-GB"/>
              </w:rPr>
              <w:fldChar w:fldCharType="begin" w:fldLock="1"/>
            </w:r>
            <w:r w:rsidR="004A7B72">
              <w:rPr>
                <w:rFonts w:asciiTheme="minorBidi" w:hAnsiTheme="minorBidi" w:cstheme="minorBidi"/>
                <w:sz w:val="20"/>
                <w:szCs w:val="20"/>
                <w:lang w:val="en-GB" w:eastAsia="en-GB"/>
              </w:rPr>
              <w:instrText>ADDIN CSL_CITATION {"citationItems":[{"id":"ITEM-1","itemData":{"DOI":"10.1177/2047487318783263","ISSN":"2047-4873","PMID":"29944010","abstract":"Background Inverse associations of the Mediterranean diet (MedDiet) and physical activity with cardiovascular disease have been previously reported. We investigated the individual and combined contributions of both to this inverse association in a Mediterranean cohort. Design We used data from 19,536 participants from a prospective cohort of Spanish university graduates, the 'Seguimiento Universidad de Navarra' (SUN) cohort, followed up between December 1999 and December 2016. Methods Adherence to the MedDiet was obtained from a 136-item validated food-frequency questionnaire and categorized in tertiles using four previously reported dietary scores. A validated questionnaire assessed the physical activity levels according to volume, intensity and frequency. Results Participants were followed up during a median time of 10.4 years. Compared with the lowest category of adherence to the MedDiet (≤3 in the Mediterranean Diet Score), higher adherence (6-9 points) was strongly inversely associated with cardiovascular disease (multivariable adjusted hazard ratio = 0.33; 95% confidence interval (CI) 0.20-0.55). Also, engaging in an active lifestyle (6-8 points in an eight-item score) compared with low activity (&lt;2 points) was associated with a reduced risk of incident cardiovascular disease (hazard ratio = 0.43; 95% CI 0.20-0.90). Greater adherence to the MedDiet and engaging in high levels of active lifestyle showed a 75% relatively reduced risk of cardiovascular disease (hazard ratio = 0.25; 95% CI 0.13-0.48). Conclusions The combined effect of adherence to the MedDiet and adopting an active lifestyle showed a synergistic inverse association with cardiovascular disease risk.","author":[{"dropping-particle":"","family":"Alvarez-Alvarez","given":"Ismael","non-dropping-particle":"","parse-names":false,"suffix":""},{"dropping-particle":"","family":"Rojas","given":"Javier Pérez","non-dropping-particle":"de","parse-names":false,"suffix":""},{"dropping-particle":"","family":"Fernandez-Montero","given":"Alejandro","non-dropping-particle":"","parse-names":false,"suffix":""},{"dropping-particle":"","family":"Zazpe","given":"Itziar","non-dropping-particle":"","parse-names":false,"suffix":""},{"dropping-particle":"","family":"Ruiz-Canela","given":"Miguel","non-dropping-particle":"","parse-names":false,"suffix":""},{"dropping-particle":"","family":"Hidalgo-Santamaría","given":"María","non-dropping-particle":"","parse-names":false,"suffix":""},{"dropping-particle":"","family":"Bes-Rastrollo","given":"Maira","non-dropping-particle":"","parse-names":false,"suffix":""},{"dropping-particle":"","family":"Martínez-González","given":"Miguel Á","non-dropping-particle":"","parse-names":false,"suffix":""}],"container-title":"European Journal of Preventive Cardiology","id":"ITEM-1","issue":"11","issued":{"date-parts":[["2018","7","26"]]},"page":"1186-1197","title":"Strong inverse associations of Mediterranean diet, physical activity and their combination with cardiovascular disease: The Seguimiento Universidad de Navarra (SUN) cohort","type":"article-journal","volume":"25"},"uris":["http://www.mendeley.com/documents/?uuid=72e2de1e-715b-3026-9f58-98b51a53520d"]}],"mendeley":{"formattedCitation":"(19)","plainTextFormattedCitation":"(19)","previouslyFormattedCitation":"(17)"},"properties":{"noteIndex":0},"schema":"https://github.com/citation-style-language/schema/raw/master/csl-citation.json"}</w:instrText>
            </w:r>
            <w:r w:rsidRPr="003754B5">
              <w:rPr>
                <w:rFonts w:asciiTheme="minorBidi" w:hAnsiTheme="minorBidi" w:cstheme="minorBidi"/>
                <w:sz w:val="20"/>
                <w:szCs w:val="20"/>
                <w:lang w:val="en-GB" w:eastAsia="en-GB"/>
              </w:rPr>
              <w:fldChar w:fldCharType="separate"/>
            </w:r>
            <w:r w:rsidR="004A7B72" w:rsidRPr="004A7B72">
              <w:rPr>
                <w:rFonts w:asciiTheme="minorBidi" w:hAnsiTheme="minorBidi" w:cstheme="minorBidi"/>
                <w:noProof/>
                <w:sz w:val="20"/>
                <w:szCs w:val="20"/>
                <w:lang w:val="en-GB" w:eastAsia="en-GB"/>
              </w:rPr>
              <w:t>(19)</w:t>
            </w:r>
            <w:r w:rsidRPr="003754B5">
              <w:rPr>
                <w:rFonts w:asciiTheme="minorBidi" w:hAnsiTheme="minorBidi" w:cstheme="minorBidi"/>
                <w:sz w:val="20"/>
                <w:szCs w:val="20"/>
                <w:lang w:val="en-GB" w:eastAsia="en-GB"/>
              </w:rPr>
              <w:fldChar w:fldCharType="end"/>
            </w:r>
          </w:p>
        </w:tc>
        <w:tc>
          <w:tcPr>
            <w:tcW w:w="1417" w:type="dxa"/>
          </w:tcPr>
          <w:p w14:paraId="124037D7" w14:textId="6BD738BD"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lang w:val="en-GB" w:eastAsia="en-GB"/>
              </w:rPr>
              <w:t>Spain</w:t>
            </w:r>
          </w:p>
        </w:tc>
        <w:tc>
          <w:tcPr>
            <w:tcW w:w="1276" w:type="dxa"/>
          </w:tcPr>
          <w:p w14:paraId="44AAF139" w14:textId="67C0C324"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lang w:val="en-GB" w:eastAsia="en-GB"/>
              </w:rPr>
              <w:t>19536, adults     (37</w:t>
            </w:r>
            <w:r w:rsidRPr="005F4695">
              <w:rPr>
                <w:rFonts w:asciiTheme="minorBidi" w:hAnsiTheme="minorBidi" w:cstheme="minorBidi"/>
                <w:color w:val="000000" w:themeColor="text1"/>
                <w:sz w:val="20"/>
                <w:szCs w:val="20"/>
              </w:rPr>
              <w:t>±12</w:t>
            </w:r>
            <w:r w:rsidRPr="005F4695">
              <w:rPr>
                <w:rFonts w:asciiTheme="minorBidi" w:hAnsiTheme="minorBidi" w:cstheme="minorBidi"/>
                <w:color w:val="000000" w:themeColor="text1"/>
                <w:sz w:val="20"/>
                <w:szCs w:val="20"/>
                <w:lang w:val="en-GB" w:eastAsia="en-GB"/>
              </w:rPr>
              <w:t>)</w:t>
            </w:r>
          </w:p>
        </w:tc>
        <w:tc>
          <w:tcPr>
            <w:tcW w:w="1559" w:type="dxa"/>
          </w:tcPr>
          <w:p w14:paraId="6CF4E16F" w14:textId="098C1451"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lang w:val="en-GB" w:eastAsia="en-GB"/>
              </w:rPr>
              <w:t>FFQ          (136 item)</w:t>
            </w:r>
          </w:p>
        </w:tc>
        <w:tc>
          <w:tcPr>
            <w:tcW w:w="1559" w:type="dxa"/>
          </w:tcPr>
          <w:p w14:paraId="09795557" w14:textId="4001ED4D"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lang w:val="en-GB" w:eastAsia="en-GB"/>
              </w:rPr>
              <w:t xml:space="preserve">MDS              (4 versions), </w:t>
            </w:r>
            <w:r w:rsidR="00A940F3">
              <w:rPr>
                <w:rFonts w:asciiTheme="minorBidi" w:hAnsiTheme="minorBidi" w:cstheme="minorBidi"/>
                <w:color w:val="000000" w:themeColor="text1"/>
                <w:sz w:val="20"/>
                <w:szCs w:val="20"/>
                <w:lang w:val="en-GB" w:eastAsia="en-GB"/>
              </w:rPr>
              <w:t>DASH score</w:t>
            </w:r>
          </w:p>
        </w:tc>
        <w:tc>
          <w:tcPr>
            <w:tcW w:w="5305" w:type="dxa"/>
          </w:tcPr>
          <w:p w14:paraId="5BA1545C" w14:textId="32514172"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lang w:val="en-GB" w:eastAsia="en-GB"/>
              </w:rPr>
              <w:t xml:space="preserve">MDS: </w:t>
            </w:r>
            <w:r w:rsidRPr="005F4695">
              <w:rPr>
                <w:rFonts w:asciiTheme="minorBidi" w:hAnsiTheme="minorBidi" w:cstheme="minorBidi"/>
                <w:color w:val="000000" w:themeColor="text1"/>
                <w:sz w:val="20"/>
                <w:szCs w:val="20"/>
                <w:lang w:val="en-GB" w:eastAsia="en-GB"/>
              </w:rPr>
              <w:fldChar w:fldCharType="begin" w:fldLock="1"/>
            </w:r>
            <w:r w:rsidRPr="005F4695">
              <w:rPr>
                <w:rFonts w:asciiTheme="minorBidi" w:hAnsiTheme="minorBidi" w:cstheme="minorBidi"/>
                <w:color w:val="000000" w:themeColor="text1"/>
                <w:sz w:val="20"/>
                <w:szCs w:val="20"/>
                <w:lang w:val="en-GB" w:eastAsia="en-GB"/>
              </w:rPr>
              <w:instrText>ADDIN CSL_CITATION {"citationItems":[{"id":"ITEM-1","itemData":{"DOI":"10.1177/2047487318783263","ISSN":"2047-4873","PMID":"29944010","abstract":"Background Inverse associations of the Mediterranean diet (MedDiet) and physical activity with cardiovascular disease have been previously reported. We investigated the individual and combined contributions of both to this inverse association in a Mediterranean cohort. Design We used data from 19,536 participants from a prospective cohort of Spanish university graduates, the 'Seguimiento Universidad de Navarra' (SUN) cohort, followed up between December 1999 and December 2016. Methods Adherence to the MedDiet was obtained from a 136-item validated food-frequency questionnaire and categorized in tertiles using four previously reported dietary scores. A validated questionnaire assessed the physical activity levels according to volume, intensity and frequency. Results Participants were followed up during a median time of 10.4 years. Compared with the lowest category of adherence to the MedDiet (≤3 in the Mediterranean Diet Score), higher adherence (6-9 points) was strongly inversely associated with cardiovascular disease (multivariable adjusted hazard ratio = 0.33; 95% confidence interval (CI) 0.20-0.55). Also, engaging in an active lifestyle (6-8 points in an eight-item score) compared with low activity (&lt;2 points) was associated with a reduced risk of incident cardiovascular disease (hazard ratio = 0.43; 95% CI 0.20-0.90). Greater adherence to the MedDiet and engaging in high levels of active lifestyle showed a 75% relatively reduced risk of cardiovascular disease (hazard ratio = 0.25; 95% CI 0.13-0.48). Conclusions The combined effect of adherence to the MedDiet and adopting an active lifestyle showed a synergistic inverse association with cardiovascular disease risk.","author":[{"dropping-particle":"","family":"Alvarez-Alvarez","given":"Ismael","non-dropping-particle":"","parse-names":false,"suffix":""},{"dropping-particle":"","family":"Rojas","given":"Javier Pérez","non-dropping-particle":"de","parse-names":false,"suffix":""},{"dropping-particle":"","family":"Fernandez-Montero","given":"Alejandro","non-dropping-particle":"","parse-names":false,"suffix":""},{"dropping-particle":"","family":"Zazpe","given":"Itziar","non-dropping-particle":"","parse-names":false,"suffix":""},{"dropping-particle":"","family":"Ruiz-Canela","given":"Miguel","non-dropping-particle":"","parse-names":false,"suffix":""},{"dropping-particle":"","family":"Hidalgo-Santamaría","given":"María","non-dropping-particle":"","parse-names":false,"suffix":""},{"dropping-particle":"","family":"Bes-Rastrollo","given":"Maira","non-dropping-particle":"","parse-names":false,"suffix":""},{"dropping-particle":"","family":"Martínez-González","given":"Miguel Á","non-dropping-particle":"","parse-names":false,"suffix":""}],"container-title":"European Journal of Preventive Cardiology","id":"ITEM-1","issue":"11","issued":{"date-parts":[["2018","7","26"]]},"page":"1186-1197","title":"Strong inverse associations of Mediterranean diet, physical activity and their combination with cardiovascular disease: The Seguimiento Universidad de Navarra (SUN) cohort","type":"article-journal","volume":"25"},"uris":["http://www.mendeley.com/documents/?uuid=72e2de1e-715b-3026-9f58-98b51a53520d"]}],"mendeley":{"formattedCitation":"(19)","plainTextFormattedCitation":"(19)","previouslyFormattedCitation":"(19)"},"properties":{"noteIndex":0},"schema":"https://github.com/citation-style-language/schema/raw/master/csl-citation.json"}</w:instrText>
            </w:r>
            <w:r w:rsidRPr="005F4695">
              <w:rPr>
                <w:rFonts w:asciiTheme="minorBidi" w:hAnsiTheme="minorBidi" w:cstheme="minorBidi"/>
                <w:color w:val="000000" w:themeColor="text1"/>
                <w:sz w:val="20"/>
                <w:szCs w:val="20"/>
                <w:lang w:val="en-GB" w:eastAsia="en-GB"/>
              </w:rPr>
              <w:fldChar w:fldCharType="separate"/>
            </w:r>
            <w:r w:rsidRPr="005F4695">
              <w:rPr>
                <w:rFonts w:asciiTheme="minorBidi" w:hAnsiTheme="minorBidi" w:cstheme="minorBidi"/>
                <w:noProof/>
                <w:color w:val="000000" w:themeColor="text1"/>
                <w:sz w:val="20"/>
                <w:szCs w:val="20"/>
                <w:lang w:val="en-GB" w:eastAsia="en-GB"/>
              </w:rPr>
              <w:t>(19)</w:t>
            </w:r>
            <w:r w:rsidRPr="005F4695">
              <w:rPr>
                <w:rFonts w:asciiTheme="minorBidi" w:hAnsiTheme="minorBidi" w:cstheme="minorBidi"/>
                <w:color w:val="000000" w:themeColor="text1"/>
                <w:sz w:val="20"/>
                <w:szCs w:val="20"/>
                <w:lang w:val="en-GB" w:eastAsia="en-GB"/>
              </w:rPr>
              <w:fldChar w:fldCharType="end"/>
            </w:r>
          </w:p>
          <w:p w14:paraId="572E2BFB" w14:textId="2DCC3617"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lang w:val="en-GB" w:eastAsia="en-GB"/>
              </w:rPr>
              <w:t>Modified MDS: 10 (</w:t>
            </w:r>
            <w:r w:rsidR="008A4B60" w:rsidRPr="005F4695">
              <w:rPr>
                <w:rFonts w:asciiTheme="minorBidi" w:hAnsiTheme="minorBidi" w:cstheme="minorBidi"/>
                <w:color w:val="000000" w:themeColor="text1"/>
                <w:sz w:val="20"/>
                <w:szCs w:val="20"/>
                <w:lang w:val="en-GB" w:eastAsia="en-GB"/>
              </w:rPr>
              <w:t>positive: vegetables</w:t>
            </w:r>
            <w:r w:rsidRPr="005F4695">
              <w:rPr>
                <w:rFonts w:asciiTheme="minorBidi" w:hAnsiTheme="minorBidi" w:cstheme="minorBidi"/>
                <w:color w:val="000000" w:themeColor="text1"/>
                <w:sz w:val="20"/>
                <w:szCs w:val="20"/>
                <w:lang w:val="en-GB" w:eastAsia="en-GB"/>
              </w:rPr>
              <w:t>, fruits, legumes, cereals, fish, olive oil, nuts, reversed: meat and dairy products, and wine), 1 to 3 with similar weights assigned, overall score ranged from 10 to 30</w:t>
            </w:r>
          </w:p>
          <w:p w14:paraId="215A1EDE" w14:textId="77777777"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lang w:val="en-GB" w:eastAsia="en-GB"/>
              </w:rPr>
              <w:t xml:space="preserve">MLDS: similar to modified MDS but with added: </w:t>
            </w:r>
            <w:r w:rsidRPr="005F4695">
              <w:rPr>
                <w:rFonts w:asciiTheme="minorBidi" w:hAnsiTheme="minorBidi" w:cstheme="minorBidi"/>
                <w:color w:val="000000" w:themeColor="text1"/>
                <w:sz w:val="20"/>
                <w:szCs w:val="20"/>
              </w:rPr>
              <w:t>sugar sweetened beverages, added sugars; pastries; and fast food</w:t>
            </w:r>
          </w:p>
          <w:p w14:paraId="195EE698" w14:textId="77777777"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lang w:val="en-GB" w:eastAsia="en-GB"/>
              </w:rPr>
              <w:t>MEDAS: 12 (olive oil, vegetables, fruit, red meat, animal fat, sugar sweetened beverages, red wine, pulses, fish, c</w:t>
            </w:r>
            <w:r w:rsidRPr="005F4695">
              <w:rPr>
                <w:rFonts w:asciiTheme="minorBidi" w:hAnsiTheme="minorBidi" w:cstheme="minorBidi"/>
                <w:color w:val="000000" w:themeColor="text1"/>
                <w:sz w:val="20"/>
                <w:szCs w:val="20"/>
                <w:shd w:val="clear" w:color="auto" w:fill="FFFFFF"/>
              </w:rPr>
              <w:t>ommercial pastries, nuts, dish with a traditional sauce of tomatoes</w:t>
            </w:r>
            <w:r w:rsidRPr="005F4695">
              <w:rPr>
                <w:rFonts w:asciiTheme="minorBidi" w:hAnsiTheme="minorBidi" w:cstheme="minorBidi"/>
                <w:color w:val="000000" w:themeColor="text1"/>
                <w:sz w:val="20"/>
                <w:szCs w:val="20"/>
                <w:lang w:val="en-GB" w:eastAsia="en-GB"/>
              </w:rPr>
              <w:t>), 0 or 1, overall score ranged from 0 to 14 points</w:t>
            </w:r>
          </w:p>
          <w:p w14:paraId="0886C65D" w14:textId="1286859E" w:rsidR="00743B47" w:rsidRPr="005F4695" w:rsidRDefault="00A940F3" w:rsidP="00743B47">
            <w:pPr>
              <w:rPr>
                <w:rFonts w:asciiTheme="minorBidi" w:hAnsiTheme="minorBidi" w:cstheme="minorBidi"/>
                <w:color w:val="000000" w:themeColor="text1"/>
                <w:sz w:val="20"/>
                <w:szCs w:val="20"/>
                <w:lang w:val="en-GB" w:eastAsia="en-GB"/>
              </w:rPr>
            </w:pPr>
            <w:r>
              <w:rPr>
                <w:rFonts w:asciiTheme="minorBidi" w:hAnsiTheme="minorBidi" w:cstheme="minorBidi"/>
                <w:color w:val="000000" w:themeColor="text1"/>
                <w:sz w:val="20"/>
                <w:szCs w:val="20"/>
                <w:lang w:val="en-GB" w:eastAsia="en-GB"/>
              </w:rPr>
              <w:t>DASH score</w:t>
            </w:r>
            <w:r w:rsidR="00743B47" w:rsidRPr="005F4695">
              <w:rPr>
                <w:rFonts w:asciiTheme="minorBidi" w:hAnsiTheme="minorBidi" w:cstheme="minorBidi"/>
                <w:color w:val="000000" w:themeColor="text1"/>
                <w:sz w:val="20"/>
                <w:szCs w:val="20"/>
                <w:lang w:val="en-GB" w:eastAsia="en-GB"/>
              </w:rPr>
              <w:t xml:space="preserve">: </w:t>
            </w:r>
            <w:r w:rsidR="00743B47" w:rsidRPr="005F4695">
              <w:rPr>
                <w:rFonts w:asciiTheme="minorBidi" w:hAnsiTheme="minorBidi" w:cstheme="minorBidi"/>
                <w:color w:val="000000" w:themeColor="text1"/>
                <w:sz w:val="20"/>
                <w:szCs w:val="20"/>
                <w:lang w:val="en-GB" w:eastAsia="en-GB"/>
              </w:rPr>
              <w:fldChar w:fldCharType="begin" w:fldLock="1"/>
            </w:r>
            <w:r w:rsidR="00743B47" w:rsidRPr="005F4695">
              <w:rPr>
                <w:rFonts w:asciiTheme="minorBidi" w:hAnsiTheme="minorBidi" w:cstheme="minorBidi"/>
                <w:color w:val="000000" w:themeColor="text1"/>
                <w:sz w:val="20"/>
                <w:szCs w:val="20"/>
                <w:lang w:val="en-GB" w:eastAsia="en-GB"/>
              </w:rPr>
              <w:instrText>ADDIN CSL_CITATION {"citationItems":[{"id":"ITEM-1","itemData":{"DOI":"10.1007/s00394-017-1562-4","ISSN":"1436-6207","PMID":"29098424","abstract":"PURPOSE The aims of this study were to (1) determine the association between diet quality using the Dietary Approaches to Stop Hypertension (DASH) score and cardiometabolic risk in a British working population and (2) identify employee characteristics associated with reporting a poorer quality dietary pattern. METHODS British police employees enrolled (2007-2012) into the Airwave Health Monitoring Study (n = 5527) were included for sex-specific cross-sectional analyses. Dietary intakes were measured using 7-day food records. DASH score was calculated to determine diet quality. Logistic regression evaluated associations between (1) diet quality and increased cardiometabolic risk (defined as ≥ 3 risk markers: dyslipidaemia, elevated blood pressure, waist circumference, CRP or HbA1c), and (2) poor diet quality (lowest fifth of DASH score distribution) and employee characteristics. RESULTS Employees recording a poor diet quality had greater odds (OR) of increased cardiometabolic risk independent of established risk factors (demographic, lifestyle and occupational) and BMI: men OR 1.50 (95% CI 1.12-2.00), women: OR 1.84 (95% CI 1.19-2.97) compared to the healthiest diet group. Characteristics associated with reporting a poor quality diet were employment in Scotland vs. England: men OR 1.88 (95% CI 1.53-2.32), women: OR 1.49 (95% CI 1.11-2.00), longer working hours (≥ 49 vs. ≤40 h) men: OR 1.53 (95% CI 1.21-1.92) women: OR 1.53 (95% CI 1.12-2.09). For men, job strain (high vs. low) was associated with reporting a poor diet quality OR 1.66 (95% CI 1.30-2.12). CONCLUSIONS The general population disparities in diet quality between England and Scotland were reflected in British police employees. The association of longer working hours and job strain with diet quality supports the targeting of workplace nutritional interventions.","author":[{"dropping-particle":"","family":"Gibson","given":"Rachel","non-dropping-particle":"","parse-names":false,"suffix":""},{"dropping-particle":"","family":"Eriksen","given":"Rebeca","non-dropping-particle":"","parse-names":false,"suffix":""},{"dropping-particle":"","family":"Singh","given":"Deepa","non-dropping-particle":"","parse-names":false,"suffix":""},{"dropping-particle":"","family":"Vergnaud","given":"Anne-Claire","non-dropping-particle":"","parse-names":false,"suffix":""},{"dropping-particle":"","family":"Heard","given":"Andrew","non-dropping-particle":"","parse-names":false,"suffix":""},{"dropping-particle":"","family":"Chan","given":"Queenie","non-dropping-particle":"","parse-names":false,"suffix":""},{"dropping-particle":"","family":"Elliott","given":"Paul","non-dropping-particle":"","parse-names":false,"suffix":""},{"dropping-particle":"","family":"Frost","given":"Gary","non-dropping-particle":"","parse-names":false,"suffix":""}],"container-title":"European Journal of Nutrition","id":"ITEM-1","issue":"8","issued":{"date-parts":[["2018","12","2"]]},"page":"2913-2926","title":"A cross-sectional investigation into the occupational and socio-demographic characteristics of British police force employees reporting a dietary pattern associated with cardiometabolic risk: findings from the Airwave Health Monitoring Study","type":"article-journal","volume":"57"},"uris":["http://www.mendeley.com/documents/?uuid=308b59cf-d657-32ee-a72f-ff29a9cd74fd"]}],"mendeley":{"formattedCitation":"(4)","plainTextFormattedCitation":"(4)","previouslyFormattedCitation":"(4)"},"properties":{"noteIndex":0},"schema":"https://github.com/citation-style-language/schema/raw/master/csl-citation.json"}</w:instrText>
            </w:r>
            <w:r w:rsidR="00743B47" w:rsidRPr="005F4695">
              <w:rPr>
                <w:rFonts w:asciiTheme="minorBidi" w:hAnsiTheme="minorBidi" w:cstheme="minorBidi"/>
                <w:color w:val="000000" w:themeColor="text1"/>
                <w:sz w:val="20"/>
                <w:szCs w:val="20"/>
                <w:lang w:val="en-GB" w:eastAsia="en-GB"/>
              </w:rPr>
              <w:fldChar w:fldCharType="separate"/>
            </w:r>
            <w:r w:rsidR="00743B47" w:rsidRPr="005F4695">
              <w:rPr>
                <w:rFonts w:asciiTheme="minorBidi" w:hAnsiTheme="minorBidi" w:cstheme="minorBidi"/>
                <w:noProof/>
                <w:color w:val="000000" w:themeColor="text1"/>
                <w:sz w:val="20"/>
                <w:szCs w:val="20"/>
                <w:lang w:val="en-GB" w:eastAsia="en-GB"/>
              </w:rPr>
              <w:t>(4)</w:t>
            </w:r>
            <w:r w:rsidR="00743B47" w:rsidRPr="005F4695">
              <w:rPr>
                <w:rFonts w:asciiTheme="minorBidi" w:hAnsiTheme="minorBidi" w:cstheme="minorBidi"/>
                <w:color w:val="000000" w:themeColor="text1"/>
                <w:sz w:val="20"/>
                <w:szCs w:val="20"/>
                <w:lang w:val="en-GB" w:eastAsia="en-GB"/>
              </w:rPr>
              <w:fldChar w:fldCharType="end"/>
            </w:r>
          </w:p>
          <w:p w14:paraId="0ECBA162" w14:textId="367D85E7" w:rsidR="00743B47" w:rsidRPr="005F4695" w:rsidRDefault="00743B47" w:rsidP="00743B47">
            <w:pPr>
              <w:rPr>
                <w:rFonts w:asciiTheme="minorBidi" w:hAnsiTheme="minorBidi" w:cstheme="minorBidi"/>
                <w:color w:val="000000" w:themeColor="text1"/>
                <w:sz w:val="20"/>
                <w:szCs w:val="20"/>
                <w:lang w:val="en-GB" w:eastAsia="en-GB"/>
              </w:rPr>
            </w:pPr>
          </w:p>
        </w:tc>
      </w:tr>
      <w:tr w:rsidR="00743B47" w:rsidRPr="005F4695" w14:paraId="3260609C" w14:textId="77777777" w:rsidTr="00B20E43">
        <w:trPr>
          <w:trHeight w:val="388"/>
        </w:trPr>
        <w:tc>
          <w:tcPr>
            <w:tcW w:w="1555" w:type="dxa"/>
          </w:tcPr>
          <w:p w14:paraId="15489D02" w14:textId="212691DC" w:rsidR="00743B47" w:rsidRPr="005F4695" w:rsidRDefault="00743B47" w:rsidP="00743B47">
            <w:pPr>
              <w:rPr>
                <w:rFonts w:asciiTheme="minorBidi" w:hAnsiTheme="minorBidi" w:cstheme="minorBidi"/>
                <w:color w:val="000000" w:themeColor="text1"/>
                <w:sz w:val="20"/>
                <w:szCs w:val="20"/>
                <w:lang w:val="en-GB" w:eastAsia="en-GB"/>
              </w:rPr>
            </w:pPr>
            <w:r w:rsidRPr="003754B5">
              <w:rPr>
                <w:rFonts w:asciiTheme="minorBidi" w:hAnsiTheme="minorBidi" w:cstheme="minorBidi"/>
                <w:color w:val="000000" w:themeColor="text1"/>
                <w:sz w:val="20"/>
                <w:szCs w:val="20"/>
                <w:lang w:val="en-GB" w:eastAsia="en-GB"/>
              </w:rPr>
              <w:t>Aleman et al</w:t>
            </w:r>
            <w:r>
              <w:rPr>
                <w:rFonts w:asciiTheme="minorBidi" w:hAnsiTheme="minorBidi" w:cstheme="minorBidi"/>
                <w:color w:val="000000" w:themeColor="text1"/>
                <w:sz w:val="20"/>
                <w:szCs w:val="20"/>
                <w:lang w:val="en-GB" w:eastAsia="en-GB"/>
              </w:rPr>
              <w:t>, 2016</w:t>
            </w:r>
            <w:r w:rsidRPr="003754B5">
              <w:rPr>
                <w:rFonts w:asciiTheme="minorBidi" w:hAnsiTheme="minorBidi" w:cstheme="minorBidi"/>
                <w:color w:val="000000" w:themeColor="text1"/>
                <w:sz w:val="20"/>
                <w:szCs w:val="20"/>
                <w:lang w:val="en-GB" w:eastAsia="en-GB"/>
              </w:rPr>
              <w:t xml:space="preserve"> </w:t>
            </w:r>
            <w:r w:rsidRPr="003754B5">
              <w:rPr>
                <w:rFonts w:asciiTheme="minorBidi" w:hAnsiTheme="minorBidi" w:cstheme="minorBidi"/>
                <w:color w:val="000000" w:themeColor="text1"/>
                <w:sz w:val="20"/>
                <w:szCs w:val="20"/>
                <w:lang w:val="en-GB" w:eastAsia="en-GB"/>
              </w:rPr>
              <w:fldChar w:fldCharType="begin" w:fldLock="1"/>
            </w:r>
            <w:r w:rsidR="004A7B72">
              <w:rPr>
                <w:rFonts w:asciiTheme="minorBidi" w:hAnsiTheme="minorBidi" w:cstheme="minorBidi"/>
                <w:color w:val="000000" w:themeColor="text1"/>
                <w:sz w:val="20"/>
                <w:szCs w:val="20"/>
                <w:lang w:val="en-GB" w:eastAsia="en-GB"/>
              </w:rPr>
              <w:instrText>ADDIN CSL_CITATION {"citationItems":[{"id":"ITEM-1","itemData":{"DOI":"10.3390/nu8110680","ISSN":"2072-6643","abstract":"Background: Nutritional studies focus on traditional cultural models and lifestyles in different countries. The aim of this study was to examine the adherence to the Mediterranean diet, life habits, and risk factors associated with cardiovascular diseases among people living in different geographical regions in Spain. Methods: A descriptive cross-sectional study was conducted in each region. The sampling scheme consisted of a random three-stage stratified sampling program according to geographic region, age, and gender. A total of 1732 subjects were asked to complete a questionnaire designed to assess their nutrient intake, dietary habits, and exercise. A diet score that assesses the adherence of participants to the Mediterranean diet (range 0–10) was also applied. Results: Southeastern Spain had the lowest score for adherence to the Mediterranean diet because of the low consumption of fish and plant products. A lower adherence score to the Mediterranean diet was strongly associated with the prevalence of hypertension (p = 0.018). Conclusions: A low level of adherence to the Mediterranean diet is accompanied by a high prevalence of hypertension and, therefore, a raised cardiovascular risk in the country. The adherence score could help identify individuals at greater cardiovascular risk.","author":[{"dropping-particle":"","family":"Abellán Alemán","given":"José","non-dropping-particle":"","parse-names":false,"suffix":""},{"dropping-particle":"","family":"Zafrilla Rentero","given":"María","non-dropping-particle":"","parse-names":false,"suffix":""},{"dropping-particle":"","family":"Montoro-García","given":"Silvia","non-dropping-particle":"","parse-names":false,"suffix":""},{"dropping-particle":"","family":"Mulero","given":"Juana","non-dropping-particle":"","parse-names":false,"suffix":""},{"dropping-particle":"","family":"Pérez Garrido","given":"Alfonso","non-dropping-particle":"","parse-names":false,"suffix":""},{"dropping-particle":"","family":"Leal","given":"Mariano","non-dropping-particle":"","parse-names":false,"suffix":""},{"dropping-particle":"","family":"Guerrero","given":"Lucía","non-dropping-particle":"","parse-names":false,"suffix":""},{"dropping-particle":"","family":"Ramos","given":"Elena","non-dropping-particle":"","parse-names":false,"suffix":""},{"dropping-particle":"","family":"Ruilope","given":"Luis","non-dropping-particle":"","parse-names":false,"suffix":""},{"dropping-particle":"","family":"Abellán Alemán","given":"José","non-dropping-particle":"","parse-names":false,"suffix":""},{"dropping-particle":"","family":"Zafrilla Rentero","given":"María Pilar","non-dropping-particle":"","parse-names":false,"suffix":""},{"dropping-particle":"","family":"Montoro-García","given":"Silvia","non-dropping-particle":"","parse-names":false,"suffix":""},{"dropping-particle":"","family":"Mulero","given":"Juana","non-dropping-particle":"","parse-names":false,"suffix":""},{"dropping-particle":"","family":"Pérez Garrido","given":"Alfonso","non-dropping-particle":"","parse-names":false,"suffix":""},{"dropping-particle":"","family":"Leal","given":"Mariano","non-dropping-particle":"","parse-names":false,"suffix":""},{"dropping-particle":"","family":"Guerrero","given":"Lucía","non-dropping-particle":"","parse-names":false,"suffix":""},{"dropping-particle":"","family":"Ramos","given":"Elena","non-dropping-particle":"","parse-names":false,"suffix":""},{"dropping-particle":"","family":"Ruilope","given":"Luis Miguel","non-dropping-particle":"","parse-names":false,"suffix":""}],"container-title":"Nutrients","id":"ITEM-1","issue":"11","issued":{"date-parts":[["2016","10","28"]]},"page":"680","title":"Adherence to the “Mediterranean Diet” in Spain and Its Relationship with Cardiovascular Risk (DIMERICA Study)","type":"article-journal","volume":"8"},"uris":["http://www.mendeley.com/documents/?uuid=3636adb4-3138-394f-acfd-d020e4e924dd"]}],"mendeley":{"formattedCitation":"(20)","plainTextFormattedCitation":"(20)","previouslyFormattedCitation":"(18)"},"properties":{"noteIndex":0},"schema":"https://github.com/citation-style-language/schema/raw/master/csl-citation.json"}</w:instrText>
            </w:r>
            <w:r w:rsidRPr="003754B5">
              <w:rPr>
                <w:rFonts w:asciiTheme="minorBidi" w:hAnsiTheme="minorBidi" w:cstheme="minorBidi"/>
                <w:color w:val="000000" w:themeColor="text1"/>
                <w:sz w:val="20"/>
                <w:szCs w:val="20"/>
                <w:lang w:val="en-GB" w:eastAsia="en-GB"/>
              </w:rPr>
              <w:fldChar w:fldCharType="separate"/>
            </w:r>
            <w:r w:rsidR="004A7B72" w:rsidRPr="004A7B72">
              <w:rPr>
                <w:rFonts w:asciiTheme="minorBidi" w:hAnsiTheme="minorBidi" w:cstheme="minorBidi"/>
                <w:noProof/>
                <w:color w:val="000000" w:themeColor="text1"/>
                <w:sz w:val="20"/>
                <w:szCs w:val="20"/>
                <w:lang w:val="en-GB" w:eastAsia="en-GB"/>
              </w:rPr>
              <w:t>(20)</w:t>
            </w:r>
            <w:r w:rsidRPr="003754B5">
              <w:rPr>
                <w:rFonts w:asciiTheme="minorBidi" w:hAnsiTheme="minorBidi" w:cstheme="minorBidi"/>
                <w:color w:val="000000" w:themeColor="text1"/>
                <w:sz w:val="20"/>
                <w:szCs w:val="20"/>
                <w:lang w:val="en-GB" w:eastAsia="en-GB"/>
              </w:rPr>
              <w:fldChar w:fldCharType="end"/>
            </w:r>
          </w:p>
        </w:tc>
        <w:tc>
          <w:tcPr>
            <w:tcW w:w="1417" w:type="dxa"/>
          </w:tcPr>
          <w:p w14:paraId="1DBC200F" w14:textId="43259785"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lang w:val="en-GB" w:eastAsia="en-GB"/>
              </w:rPr>
              <w:t>Spain</w:t>
            </w:r>
          </w:p>
        </w:tc>
        <w:tc>
          <w:tcPr>
            <w:tcW w:w="1276" w:type="dxa"/>
          </w:tcPr>
          <w:p w14:paraId="55269A1E" w14:textId="780A8FFD"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lang w:val="en-GB" w:eastAsia="en-GB"/>
              </w:rPr>
              <w:t>1732, adults      (~51)</w:t>
            </w:r>
          </w:p>
        </w:tc>
        <w:tc>
          <w:tcPr>
            <w:tcW w:w="1559" w:type="dxa"/>
          </w:tcPr>
          <w:p w14:paraId="44F3535B" w14:textId="0EB0C27B"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lang w:val="en-GB" w:eastAsia="en-GB"/>
              </w:rPr>
              <w:t xml:space="preserve">FFQ         </w:t>
            </w:r>
          </w:p>
        </w:tc>
        <w:tc>
          <w:tcPr>
            <w:tcW w:w="1559" w:type="dxa"/>
          </w:tcPr>
          <w:p w14:paraId="45D19776" w14:textId="072F9A58"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lang w:val="en-GB" w:eastAsia="en-GB"/>
              </w:rPr>
              <w:t xml:space="preserve">MDS  </w:t>
            </w:r>
          </w:p>
        </w:tc>
        <w:tc>
          <w:tcPr>
            <w:tcW w:w="5305" w:type="dxa"/>
          </w:tcPr>
          <w:p w14:paraId="53D02AB1" w14:textId="77777777" w:rsidR="00743B47" w:rsidRPr="005F4695" w:rsidRDefault="00743B47" w:rsidP="00743B47">
            <w:pPr>
              <w:rPr>
                <w:rFonts w:asciiTheme="minorBidi" w:hAnsiTheme="minorBidi" w:cstheme="minorBidi"/>
                <w:color w:val="000000" w:themeColor="text1"/>
                <w:spacing w:val="3"/>
                <w:sz w:val="20"/>
                <w:szCs w:val="20"/>
                <w:shd w:val="clear" w:color="auto" w:fill="FFFFFF"/>
              </w:rPr>
            </w:pPr>
            <w:r w:rsidRPr="005F4695">
              <w:rPr>
                <w:rFonts w:asciiTheme="minorBidi" w:hAnsiTheme="minorBidi" w:cstheme="minorBidi"/>
                <w:color w:val="000000" w:themeColor="text1"/>
                <w:sz w:val="20"/>
                <w:szCs w:val="20"/>
                <w:lang w:val="en-GB" w:eastAsia="en-GB"/>
              </w:rPr>
              <w:t xml:space="preserve">15 (cereals, fruits, legumes, veg, fish, poultry, red meat, dairy, oils, olive oil, nuts, factory baked goods, eggs, cold meat, red wine), a value of one given if predefined portions were met, </w:t>
            </w:r>
            <w:r w:rsidRPr="005F4695">
              <w:rPr>
                <w:rFonts w:asciiTheme="minorBidi" w:hAnsiTheme="minorBidi" w:cstheme="minorBidi"/>
                <w:color w:val="000000" w:themeColor="text1"/>
                <w:spacing w:val="3"/>
                <w:sz w:val="20"/>
                <w:szCs w:val="20"/>
                <w:shd w:val="clear" w:color="auto" w:fill="FFFFFF"/>
              </w:rPr>
              <w:t>total score was multiplied by 10 and divided by 15 to obtain a value out of 10</w:t>
            </w:r>
          </w:p>
          <w:p w14:paraId="14AC55B3" w14:textId="3574904A" w:rsidR="00743B47" w:rsidRPr="005F4695" w:rsidRDefault="00743B47" w:rsidP="00743B47">
            <w:pPr>
              <w:rPr>
                <w:rFonts w:asciiTheme="minorBidi" w:hAnsiTheme="minorBidi" w:cstheme="minorBidi"/>
                <w:color w:val="000000" w:themeColor="text1"/>
                <w:sz w:val="20"/>
                <w:szCs w:val="20"/>
                <w:lang w:val="en-GB" w:eastAsia="en-GB"/>
              </w:rPr>
            </w:pPr>
          </w:p>
        </w:tc>
      </w:tr>
      <w:tr w:rsidR="00743B47" w:rsidRPr="005F4695" w14:paraId="058A5D5F" w14:textId="77777777" w:rsidTr="00B20E43">
        <w:trPr>
          <w:trHeight w:val="388"/>
        </w:trPr>
        <w:tc>
          <w:tcPr>
            <w:tcW w:w="1555" w:type="dxa"/>
          </w:tcPr>
          <w:p w14:paraId="2BAD14CE" w14:textId="02872309" w:rsidR="00743B47" w:rsidRPr="005F4695" w:rsidRDefault="00743B47" w:rsidP="00743B47">
            <w:pPr>
              <w:rPr>
                <w:rFonts w:asciiTheme="minorBidi" w:hAnsiTheme="minorBidi" w:cstheme="minorBidi"/>
                <w:color w:val="000000" w:themeColor="text1"/>
                <w:sz w:val="20"/>
                <w:szCs w:val="20"/>
                <w:lang w:val="en-GB" w:eastAsia="en-GB"/>
              </w:rPr>
            </w:pPr>
            <w:r w:rsidRPr="003754B5">
              <w:rPr>
                <w:rFonts w:asciiTheme="minorBidi" w:hAnsiTheme="minorBidi" w:cstheme="minorBidi"/>
                <w:color w:val="000000" w:themeColor="text1"/>
                <w:sz w:val="20"/>
                <w:szCs w:val="20"/>
              </w:rPr>
              <w:t>Eguaras et al</w:t>
            </w:r>
            <w:r>
              <w:rPr>
                <w:rFonts w:asciiTheme="minorBidi" w:hAnsiTheme="minorBidi" w:cstheme="minorBidi"/>
                <w:color w:val="000000" w:themeColor="text1"/>
                <w:sz w:val="20"/>
                <w:szCs w:val="20"/>
              </w:rPr>
              <w:t>, 2015</w:t>
            </w:r>
            <w:r w:rsidRPr="003754B5">
              <w:rPr>
                <w:rFonts w:asciiTheme="minorBidi" w:hAnsiTheme="minorBidi" w:cstheme="minorBidi"/>
                <w:color w:val="000000" w:themeColor="text1"/>
                <w:sz w:val="20"/>
                <w:szCs w:val="20"/>
              </w:rPr>
              <w:t xml:space="preserve"> </w:t>
            </w:r>
            <w:r w:rsidRPr="003754B5">
              <w:rPr>
                <w:rFonts w:asciiTheme="minorBidi" w:hAnsiTheme="minorBidi" w:cstheme="minorBidi"/>
                <w:color w:val="000000" w:themeColor="text1"/>
                <w:sz w:val="20"/>
                <w:szCs w:val="20"/>
              </w:rPr>
              <w:fldChar w:fldCharType="begin" w:fldLock="1"/>
            </w:r>
            <w:r w:rsidR="004A7B72">
              <w:rPr>
                <w:rFonts w:asciiTheme="minorBidi" w:hAnsiTheme="minorBidi" w:cstheme="minorBidi"/>
                <w:color w:val="000000" w:themeColor="text1"/>
                <w:sz w:val="20"/>
                <w:szCs w:val="20"/>
              </w:rPr>
              <w:instrText>ADDIN CSL_CITATION {"citationItems":[{"id":"ITEM-1","itemData":{"DOI":"10.3390/nu7115457","ISSN":"2072-6643","PMID":"26556370","abstract":"Strong observational evidence supports the association between obesity and cardiovascular events. In elderly high-risk subjects, the Mediterranean diet (MedDiet) was reported to counteract the adverse cardiovascular effects of adiposity. Whether this same attenuation is also present in younger subjects is not known. We prospectively examined the association between obesity and cardiovascular clinical events (myocardial infarction, stroke or cardiovascular death) after 10.9 years follow-up in 19,065 middle-aged men and women (average age 38 year) according to their adherence to the MedDiet (&lt;6 points or ≥6 points in the Trichopoulou's Mediterranean Diet Score). We observed 152 incident cases of cardiovascular disease (CVD). An increased risk of CVD across categories of body mass index (BMI) was apparent if adherence to the MedDiet was low, with multivariable-adjusted hazard ratios (HRs): 1.44 (95% confidence interval: 0.93-2.25) for ≥25 - &lt;30 kg/m² of BMI and 2.00 (1.04-3.83) for ≥30 kg/m² of BMI, compared to a BMI &lt; 25 kg/m². In contrast, these estimates were 0.77 (0.35-1.67) and 1.15 (0.39-3.43) with good adherence to MedDiet. Better adherence to the MedDiet was associated with reduced CVD events (p for trend = 0.029). Our results suggest that the MedDiet could mitigate the harmful cardiovascular effect of overweight/obesity.","author":[{"dropping-particle":"","family":"Eguaras","given":"Sonia","non-dropping-particle":"","parse-names":false,"suffix":""},{"dropping-particle":"","family":"Toledo","given":"Estefanía","non-dropping-particle":"","parse-names":false,"suffix":""},{"dropping-particle":"","family":"Hernández-Hernández","given":"Aitor","non-dropping-particle":"","parse-names":false,"suffix":""},{"dropping-particle":"","family":"Cervantes","given":"Sebastián","non-dropping-particle":"","parse-names":false,"suffix":""},{"dropping-particle":"","family":"Martínez-González","given":"Miguel","non-dropping-particle":"","parse-names":false,"suffix":""}],"container-title":"Nutrients","id":"ITEM-1","issue":"11","issued":{"date-parts":[["2015","11","5"]]},"page":"9154-9162","title":"Better Adherence to the Mediterranean Diet Could Mitigate the Adverse Consequences of Obesity on Cardiovascular Disease: The SUN Prospective Cohort","type":"article-journal","volume":"7"},"uris":["http://www.mendeley.com/documents/?uuid=67568de0-a2ca-3951-b4be-6ef905ad5df7"]}],"mendeley":{"formattedCitation":"(21)","plainTextFormattedCitation":"(21)","previouslyFormattedCitation":"(19)"},"properties":{"noteIndex":0},"schema":"https://github.com/citation-style-language/schema/raw/master/csl-citation.json"}</w:instrText>
            </w:r>
            <w:r w:rsidRPr="003754B5">
              <w:rPr>
                <w:rFonts w:asciiTheme="minorBidi" w:hAnsiTheme="minorBidi" w:cstheme="minorBidi"/>
                <w:color w:val="000000" w:themeColor="text1"/>
                <w:sz w:val="20"/>
                <w:szCs w:val="20"/>
              </w:rPr>
              <w:fldChar w:fldCharType="separate"/>
            </w:r>
            <w:r w:rsidR="004A7B72" w:rsidRPr="004A7B72">
              <w:rPr>
                <w:rFonts w:asciiTheme="minorBidi" w:hAnsiTheme="minorBidi" w:cstheme="minorBidi"/>
                <w:noProof/>
                <w:color w:val="000000" w:themeColor="text1"/>
                <w:sz w:val="20"/>
                <w:szCs w:val="20"/>
              </w:rPr>
              <w:t>(21)</w:t>
            </w:r>
            <w:r w:rsidRPr="003754B5">
              <w:rPr>
                <w:rFonts w:asciiTheme="minorBidi" w:hAnsiTheme="minorBidi" w:cstheme="minorBidi"/>
                <w:color w:val="000000" w:themeColor="text1"/>
                <w:sz w:val="20"/>
                <w:szCs w:val="20"/>
              </w:rPr>
              <w:fldChar w:fldCharType="end"/>
            </w:r>
          </w:p>
        </w:tc>
        <w:tc>
          <w:tcPr>
            <w:tcW w:w="1417" w:type="dxa"/>
          </w:tcPr>
          <w:p w14:paraId="2A03F2F0" w14:textId="5055798C"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rPr>
              <w:t>Spain</w:t>
            </w:r>
          </w:p>
        </w:tc>
        <w:tc>
          <w:tcPr>
            <w:tcW w:w="1276" w:type="dxa"/>
          </w:tcPr>
          <w:p w14:paraId="748B9B54" w14:textId="7C79975C"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rPr>
              <w:t>19065, adults  (</w:t>
            </w:r>
            <w:r w:rsidRPr="005F4695">
              <w:rPr>
                <w:rFonts w:asciiTheme="minorBidi" w:hAnsiTheme="minorBidi" w:cstheme="minorBidi"/>
                <w:color w:val="000000" w:themeColor="text1"/>
                <w:sz w:val="20"/>
                <w:szCs w:val="20"/>
                <w:lang w:val="en-GB" w:eastAsia="en-GB"/>
              </w:rPr>
              <w:t>~</w:t>
            </w:r>
            <w:r w:rsidRPr="005F4695">
              <w:rPr>
                <w:rFonts w:asciiTheme="minorBidi" w:hAnsiTheme="minorBidi" w:cstheme="minorBidi"/>
                <w:color w:val="000000" w:themeColor="text1"/>
                <w:sz w:val="20"/>
                <w:szCs w:val="20"/>
              </w:rPr>
              <w:t>38)</w:t>
            </w:r>
          </w:p>
        </w:tc>
        <w:tc>
          <w:tcPr>
            <w:tcW w:w="1559" w:type="dxa"/>
          </w:tcPr>
          <w:p w14:paraId="2AD2E3EC" w14:textId="5A4EFAD0"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rPr>
              <w:t>FFQ           (136 items)</w:t>
            </w:r>
          </w:p>
        </w:tc>
        <w:tc>
          <w:tcPr>
            <w:tcW w:w="1559" w:type="dxa"/>
          </w:tcPr>
          <w:p w14:paraId="777E98B1" w14:textId="78F8AB2F"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rPr>
              <w:t>MDS</w:t>
            </w:r>
          </w:p>
        </w:tc>
        <w:tc>
          <w:tcPr>
            <w:tcW w:w="5305" w:type="dxa"/>
          </w:tcPr>
          <w:p w14:paraId="66A5EBAC" w14:textId="77777777" w:rsidR="00743B47" w:rsidRPr="005F4695" w:rsidRDefault="00743B47" w:rsidP="00743B47">
            <w:pPr>
              <w:rPr>
                <w:rFonts w:asciiTheme="minorBidi" w:hAnsiTheme="minorBidi" w:cstheme="minorBidi"/>
                <w:color w:val="000000" w:themeColor="text1"/>
                <w:sz w:val="20"/>
                <w:szCs w:val="20"/>
                <w:shd w:val="clear" w:color="auto" w:fill="FFFFFF"/>
              </w:rPr>
            </w:pPr>
            <w:r w:rsidRPr="005F4695">
              <w:rPr>
                <w:rFonts w:asciiTheme="minorBidi" w:hAnsiTheme="minorBidi" w:cstheme="minorBidi"/>
                <w:color w:val="000000" w:themeColor="text1"/>
                <w:sz w:val="20"/>
                <w:szCs w:val="20"/>
              </w:rPr>
              <w:t>10 (monounsaturated fat, legumes, fruits, vegetables, nuts, unrefined cereals, fish, low-to-moderate intake of dairy products, low intake of meat and poultry, and a moderate intake of ethanol), 0 to 9 with o</w:t>
            </w:r>
            <w:r w:rsidRPr="005F4695">
              <w:rPr>
                <w:rFonts w:asciiTheme="minorBidi" w:hAnsiTheme="minorBidi" w:cstheme="minorBidi"/>
                <w:color w:val="000000" w:themeColor="text1"/>
                <w:sz w:val="20"/>
                <w:szCs w:val="20"/>
                <w:shd w:val="clear" w:color="auto" w:fill="FFFFFF"/>
              </w:rPr>
              <w:t>ne point assigned if consumption was at or above the sex-specific median of components and below the median for (meat and dairy products), overall score was dichotomized into 2 categories (&lt;6 and ≥6)</w:t>
            </w:r>
          </w:p>
          <w:p w14:paraId="4EB4B4D6" w14:textId="26495746" w:rsidR="00743B47" w:rsidRPr="005F4695" w:rsidRDefault="00743B47" w:rsidP="00743B47">
            <w:pPr>
              <w:rPr>
                <w:rFonts w:asciiTheme="minorBidi" w:hAnsiTheme="minorBidi" w:cstheme="minorBidi"/>
                <w:color w:val="000000" w:themeColor="text1"/>
                <w:sz w:val="20"/>
                <w:szCs w:val="20"/>
                <w:lang w:val="en-GB" w:eastAsia="en-GB"/>
              </w:rPr>
            </w:pPr>
          </w:p>
        </w:tc>
      </w:tr>
      <w:tr w:rsidR="00743B47" w:rsidRPr="005F4695" w14:paraId="0E6F43D6" w14:textId="77777777" w:rsidTr="00B20E43">
        <w:trPr>
          <w:trHeight w:val="388"/>
        </w:trPr>
        <w:tc>
          <w:tcPr>
            <w:tcW w:w="1555" w:type="dxa"/>
          </w:tcPr>
          <w:p w14:paraId="05E26360" w14:textId="2A591818" w:rsidR="00743B47" w:rsidRPr="005F4695" w:rsidRDefault="00743B47" w:rsidP="00743B47">
            <w:pPr>
              <w:rPr>
                <w:rFonts w:asciiTheme="minorBidi" w:hAnsiTheme="minorBidi" w:cstheme="minorBidi"/>
                <w:color w:val="000000" w:themeColor="text1"/>
                <w:sz w:val="20"/>
                <w:szCs w:val="20"/>
                <w:lang w:val="en-GB" w:eastAsia="en-GB"/>
              </w:rPr>
            </w:pPr>
            <w:r w:rsidRPr="003754B5">
              <w:rPr>
                <w:rFonts w:asciiTheme="minorBidi" w:hAnsiTheme="minorBidi" w:cstheme="minorBidi"/>
                <w:color w:val="000000" w:themeColor="text1"/>
                <w:sz w:val="20"/>
                <w:szCs w:val="20"/>
                <w:lang w:val="en-GB" w:eastAsia="en-GB"/>
              </w:rPr>
              <w:lastRenderedPageBreak/>
              <w:t>Garcia-Arellano et al</w:t>
            </w:r>
            <w:r>
              <w:rPr>
                <w:rFonts w:asciiTheme="minorBidi" w:hAnsiTheme="minorBidi" w:cstheme="minorBidi"/>
                <w:color w:val="000000" w:themeColor="text1"/>
                <w:sz w:val="20"/>
                <w:szCs w:val="20"/>
                <w:lang w:val="en-GB" w:eastAsia="en-GB"/>
              </w:rPr>
              <w:t>, 2015</w:t>
            </w:r>
            <w:r w:rsidRPr="003754B5">
              <w:rPr>
                <w:rFonts w:asciiTheme="minorBidi" w:hAnsiTheme="minorBidi" w:cstheme="minorBidi"/>
                <w:color w:val="000000" w:themeColor="text1"/>
                <w:sz w:val="20"/>
                <w:szCs w:val="20"/>
                <w:lang w:val="en-GB" w:eastAsia="en-GB"/>
              </w:rPr>
              <w:t xml:space="preserve"> </w:t>
            </w:r>
            <w:r w:rsidRPr="003754B5">
              <w:rPr>
                <w:rFonts w:asciiTheme="minorBidi" w:hAnsiTheme="minorBidi" w:cstheme="minorBidi"/>
                <w:color w:val="000000" w:themeColor="text1"/>
                <w:sz w:val="20"/>
                <w:szCs w:val="20"/>
                <w:lang w:val="en-GB" w:eastAsia="en-GB"/>
              </w:rPr>
              <w:fldChar w:fldCharType="begin" w:fldLock="1"/>
            </w:r>
            <w:r w:rsidR="004A7B72">
              <w:rPr>
                <w:rFonts w:asciiTheme="minorBidi" w:hAnsiTheme="minorBidi" w:cstheme="minorBidi"/>
                <w:color w:val="000000" w:themeColor="text1"/>
                <w:sz w:val="20"/>
                <w:szCs w:val="20"/>
                <w:lang w:val="en-GB" w:eastAsia="en-GB"/>
              </w:rPr>
              <w:instrText>ADDIN CSL_CITATION {"citationItems":[{"id":"ITEM-1","itemData":{"DOI":"10.3390/nu7064124","ISSN":"2072-6643","abstract":"Previous studies have reported an association between a more pro-inflammatory diet profile and various chronic metabolic diseases. The Dietary Inflammatory Index (DII) was used to assess the inflammatory potential of nutrients and foods in the context of a dietary pattern. We prospectively examined the association between the DII and the incidence of cardiovascular disease (CVD: myocardial infarction, stroke or cardiovascular death) in the PREDIMED (Prevención con Dieta Mediterránea) study including 7216 high-risk participants. The DII was computed based on a validated 137-item food frequency questionnaire. Multivariate-adjusted hazard ratios (HR) and 95% confidence intervals of CVD risk were computed across quartiles of the DII where the lowest (most anti-inflammatory) quartile is the referent. Risk increased across the quartiles (i.e., with increasing inflammatory potential): HRquartile2 = 1.42 (95%CI = 0.97–2.09); HRquartile3 = 1.85 (1.27–2.71); and HRquartile4 = 1.73 (1.15–2.60). When fit as continuous the multiple-adjusted hazard ratio for each additional standard deviation of the DII was 1.22 (1.06–1.40). Our results provide direct prospective evidence that a pro-inflammatory diet is associated with a higher risk of cardiovascular clinical events.","author":[{"dropping-particle":"","family":"Garcia-Arellano","given":"Ana","non-dropping-particle":"","parse-names":false,"suffix":""},{"dropping-particle":"","family":"Ramallal","given":"Raul","non-dropping-particle":"","parse-names":false,"suffix":""},{"dropping-particle":"","family":"Ruiz-Canela","given":"Miguel","non-dropping-particle":"","parse-names":false,"suffix":""},{"dropping-particle":"","family":"Salas-Salvadó","given":"Jordi","non-dropping-particle":"","parse-names":false,"suffix":""},{"dropping-particle":"","family":"Corella","given":"Dolores","non-dropping-particle":"","parse-names":false,"suffix":""},{"dropping-particle":"","family":"Shivappa","given":"Nitin","non-dropping-particle":"","parse-names":false,"suffix":""},{"dropping-particle":"","family":"Schröder","given":"Helmut","non-dropping-particle":"","parse-names":false,"suffix":""},{"dropping-particle":"","family":"Hébert","given":"James","non-dropping-particle":"","parse-names":false,"suffix":""},{"dropping-particle":"","family":"Ros","given":"Emilio","non-dropping-particle":"","parse-names":false,"suffix":""},{"dropping-particle":"","family":"Gómez-Garcia","given":"Enrique","non-dropping-particle":"","parse-names":false,"suffix":""},{"dropping-particle":"","family":"Estruch","given":"Ramon","non-dropping-particle":"","parse-names":false,"suffix":""},{"dropping-particle":"","family":"Lapetra","given":"José","non-dropping-particle":"","parse-names":false,"suffix":""},{"dropping-particle":"","family":"Arós","given":"Fernando","non-dropping-particle":"","parse-names":false,"suffix":""},{"dropping-particle":"","family":"Fiol","given":"Miquel","non-dropping-particle":"","parse-names":false,"suffix":""},{"dropping-particle":"","family":"Serra-Majem","given":"Lluis","non-dropping-particle":"","parse-names":false,"suffix":""},{"dropping-particle":"","family":"Pintó","given":"Xavier","non-dropping-particle":"","parse-names":false,"suffix":""},{"dropping-particle":"","family":"Babio","given":"Nancy","non-dropping-particle":"","parse-names":false,"suffix":""},{"dropping-particle":"","family":"González","given":"José","non-dropping-particle":"","parse-names":false,"suffix":""},{"dropping-particle":"","family":"Fitó","given":"Montse","non-dropping-particle":"","parse-names":false,"suffix":""},{"dropping-particle":"","family":"Martínez","given":"J.","non-dropping-particle":"","parse-names":false,"suffix":""},{"dropping-particle":"","family":"Martínez-González","given":"Miguel","non-dropping-particle":"","parse-names":false,"suffix":""},{"dropping-particle":"","family":"Investigators","given":"The","non-dropping-particle":"","parse-names":false,"suffix":""},{"dropping-particle":"","family":"Garcia-Arellano","given":"Ana","non-dropping-particle":"","parse-names":false,"suffix":""},{"dropping-particle":"","family":"Ramallal","given":"Raul","non-dropping-particle":"","parse-names":false,"suffix":""},{"dropping-particle":"","family":"Ruiz-Canela","given":"Miguel","non-dropping-particle":"","parse-names":false,"suffix":""},{"dropping-particle":"","family":"Salas-Salvadó","given":"Jordi","non-dropping-particle":"","parse-names":false,"suffix":""},{"dropping-particle":"","family":"Corella","given":"Dolores","non-dropping-particle":"","parse-names":false,"suffix":""},{"dropping-particle":"","family":"Shivappa","given":"Nitin","non-dropping-particle":"","parse-names":false,"suffix":""},{"dropping-particle":"","family":"Schröder","given":"Helmut","non-dropping-particle":"","parse-names":false,"suffix":""},{"dropping-particle":"","family":"Hébert","given":"James R.","non-dropping-particle":"","parse-names":false,"suffix":""},{"dropping-particle":"","family":"Ros","given":"Emilio","non-dropping-particle":"","parse-names":false,"suffix":""},{"dropping-particle":"","family":"Gómez-Garcia","given":"Enrique","non-dropping-particle":"","parse-names":false,"suffix":""},{"dropping-particle":"","family":"Estruch","given":"Ramon","non-dropping-particle":"","parse-names":false,"suffix":""},{"dropping-particle":"","family":"Lapetra","given":"José","non-dropping-particle":"","parse-names":false,"suffix":""},{"dropping-particle":"","family":"Arós","given":"Fernando","non-dropping-particle":"","parse-names":false,"suffix":""},{"dropping-particle":"","family":"Fiol","given":"Miquel","non-dropping-particle":"","parse-names":false,"suffix":""},{"dropping-particle":"","family":"Serra-Majem","given":"Lluis","non-dropping-particle":"","parse-names":false,"suffix":""},{"dropping-particle":"","family":"Pintó","given":"Xavier","non-dropping-particle":"","parse-names":false,"suffix":""},{"dropping-particle":"","family":"Babio","given":"Nancy","non-dropping-particle":"","parse-names":false,"suffix":""},{"dropping-particle":"","family":"González","given":"José I.","non-dropping-particle":"","parse-names":false,"suffix":""},{"dropping-particle":"","family":"Fitó","given":"Montse","non-dropping-particle":"","parse-names":false,"suffix":""},{"dropping-particle":"","family":"Martínez","given":"J. Alfredo","non-dropping-particle":"","parse-names":false,"suffix":""},{"dropping-particle":"","family":"Martínez-González","given":"Miguel A.","non-dropping-particle":"","parse-names":false,"suffix":""},{"dropping-particle":"","family":"Investigators","given":"the PREDIMED","non-dropping-particle":"","parse-names":false,"suffix":""}],"container-title":"Nutrients","id":"ITEM-1","issue":"6","issued":{"date-parts":[["2015","5","29"]]},"page":"4124-4138","title":"Dietary Inflammatory Index and Incidence of Cardiovascular Disease in the PREDIMED Study","type":"article-journal","volume":"7"},"uris":["http://www.mendeley.com/documents/?uuid=965eb48d-e4eb-311b-9428-4b9cbc914848"]}],"mendeley":{"formattedCitation":"(22)","plainTextFormattedCitation":"(22)","previouslyFormattedCitation":"(20)"},"properties":{"noteIndex":0},"schema":"https://github.com/citation-style-language/schema/raw/master/csl-citation.json"}</w:instrText>
            </w:r>
            <w:r w:rsidRPr="003754B5">
              <w:rPr>
                <w:rFonts w:asciiTheme="minorBidi" w:hAnsiTheme="minorBidi" w:cstheme="minorBidi"/>
                <w:color w:val="000000" w:themeColor="text1"/>
                <w:sz w:val="20"/>
                <w:szCs w:val="20"/>
                <w:lang w:val="en-GB" w:eastAsia="en-GB"/>
              </w:rPr>
              <w:fldChar w:fldCharType="separate"/>
            </w:r>
            <w:r w:rsidR="004A7B72" w:rsidRPr="004A7B72">
              <w:rPr>
                <w:rFonts w:asciiTheme="minorBidi" w:hAnsiTheme="minorBidi" w:cstheme="minorBidi"/>
                <w:noProof/>
                <w:color w:val="000000" w:themeColor="text1"/>
                <w:sz w:val="20"/>
                <w:szCs w:val="20"/>
                <w:lang w:val="en-GB" w:eastAsia="en-GB"/>
              </w:rPr>
              <w:t>(22)</w:t>
            </w:r>
            <w:r w:rsidRPr="003754B5">
              <w:rPr>
                <w:rFonts w:asciiTheme="minorBidi" w:hAnsiTheme="minorBidi" w:cstheme="minorBidi"/>
                <w:color w:val="000000" w:themeColor="text1"/>
                <w:sz w:val="20"/>
                <w:szCs w:val="20"/>
                <w:lang w:val="en-GB" w:eastAsia="en-GB"/>
              </w:rPr>
              <w:fldChar w:fldCharType="end"/>
            </w:r>
          </w:p>
        </w:tc>
        <w:tc>
          <w:tcPr>
            <w:tcW w:w="1417" w:type="dxa"/>
          </w:tcPr>
          <w:p w14:paraId="590B0422" w14:textId="11EF0E33"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lang w:val="en-GB" w:eastAsia="en-GB"/>
              </w:rPr>
              <w:t>Spain</w:t>
            </w:r>
          </w:p>
        </w:tc>
        <w:tc>
          <w:tcPr>
            <w:tcW w:w="1276" w:type="dxa"/>
          </w:tcPr>
          <w:p w14:paraId="16AA7747" w14:textId="5D9A0090"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lang w:val="en-GB" w:eastAsia="en-GB"/>
              </w:rPr>
              <w:t>7216, adults     (55-80)</w:t>
            </w:r>
          </w:p>
        </w:tc>
        <w:tc>
          <w:tcPr>
            <w:tcW w:w="1559" w:type="dxa"/>
          </w:tcPr>
          <w:p w14:paraId="24AE99FD" w14:textId="7B2005E9"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lang w:val="en-GB" w:eastAsia="en-GB"/>
              </w:rPr>
              <w:t>FFQ          (137 items)</w:t>
            </w:r>
          </w:p>
        </w:tc>
        <w:tc>
          <w:tcPr>
            <w:tcW w:w="1559" w:type="dxa"/>
          </w:tcPr>
          <w:p w14:paraId="5956456B" w14:textId="7E259293"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lang w:val="en-GB" w:eastAsia="en-GB"/>
              </w:rPr>
              <w:t>DII</w:t>
            </w:r>
          </w:p>
        </w:tc>
        <w:tc>
          <w:tcPr>
            <w:tcW w:w="5305" w:type="dxa"/>
          </w:tcPr>
          <w:p w14:paraId="45544D1B" w14:textId="77777777" w:rsidR="00743B47" w:rsidRPr="005F4695" w:rsidRDefault="00743B47" w:rsidP="00743B47">
            <w:pPr>
              <w:rPr>
                <w:rFonts w:asciiTheme="minorBidi" w:hAnsiTheme="minorBidi" w:cstheme="minorBidi"/>
                <w:color w:val="000000" w:themeColor="text1"/>
                <w:sz w:val="20"/>
                <w:szCs w:val="20"/>
                <w:shd w:val="clear" w:color="auto" w:fill="FFFFFF"/>
              </w:rPr>
            </w:pPr>
            <w:r w:rsidRPr="005F4695">
              <w:rPr>
                <w:rFonts w:asciiTheme="minorBidi" w:hAnsiTheme="minorBidi" w:cstheme="minorBidi"/>
                <w:color w:val="000000" w:themeColor="text1"/>
                <w:sz w:val="20"/>
                <w:szCs w:val="20"/>
                <w:lang w:val="en-GB" w:eastAsia="en-GB"/>
              </w:rPr>
              <w:t xml:space="preserve">Not mentioned </w:t>
            </w:r>
            <w:r w:rsidRPr="005F4695">
              <w:rPr>
                <w:rFonts w:asciiTheme="minorBidi" w:hAnsiTheme="minorBidi" w:cstheme="minorBidi"/>
                <w:color w:val="000000" w:themeColor="text1"/>
                <w:sz w:val="20"/>
                <w:szCs w:val="20"/>
              </w:rPr>
              <w:t xml:space="preserve">(positive: pro-inflammatory food/nutrient, negative: anti-inflammatory food/nutrient), 1 to 4 based on global means, </w:t>
            </w:r>
            <w:r w:rsidRPr="005F4695">
              <w:rPr>
                <w:rFonts w:asciiTheme="minorBidi" w:hAnsiTheme="minorBidi" w:cstheme="minorBidi"/>
                <w:color w:val="000000" w:themeColor="text1"/>
                <w:sz w:val="20"/>
                <w:szCs w:val="20"/>
                <w:shd w:val="clear" w:color="auto" w:fill="FFFFFF"/>
              </w:rPr>
              <w:t>overall score ranged from-8.87 (maximally anti-inflammatory) to +7.98 (maximally pro-inflammatory)</w:t>
            </w:r>
          </w:p>
          <w:p w14:paraId="5DB1F0C9" w14:textId="24434FAC" w:rsidR="00743B47" w:rsidRPr="005F4695" w:rsidRDefault="00743B47" w:rsidP="00743B47">
            <w:pPr>
              <w:rPr>
                <w:rFonts w:asciiTheme="minorBidi" w:hAnsiTheme="minorBidi" w:cstheme="minorBidi"/>
                <w:color w:val="000000" w:themeColor="text1"/>
                <w:sz w:val="20"/>
                <w:szCs w:val="20"/>
                <w:lang w:val="en-GB" w:eastAsia="en-GB"/>
              </w:rPr>
            </w:pPr>
          </w:p>
        </w:tc>
      </w:tr>
      <w:tr w:rsidR="00743B47" w:rsidRPr="005F4695" w14:paraId="11B0F5BA" w14:textId="77777777" w:rsidTr="00B20E43">
        <w:trPr>
          <w:trHeight w:val="388"/>
        </w:trPr>
        <w:tc>
          <w:tcPr>
            <w:tcW w:w="1555" w:type="dxa"/>
          </w:tcPr>
          <w:p w14:paraId="0A6A859E" w14:textId="464AFBE1" w:rsidR="00743B47" w:rsidRPr="005F4695" w:rsidRDefault="00743B47" w:rsidP="00743B47">
            <w:pPr>
              <w:rPr>
                <w:rFonts w:asciiTheme="minorBidi" w:hAnsiTheme="minorBidi" w:cstheme="minorBidi"/>
                <w:color w:val="000000" w:themeColor="text1"/>
                <w:sz w:val="20"/>
                <w:szCs w:val="20"/>
                <w:lang w:val="en-GB" w:eastAsia="en-GB"/>
              </w:rPr>
            </w:pPr>
            <w:r w:rsidRPr="003754B5">
              <w:rPr>
                <w:rFonts w:asciiTheme="minorBidi" w:hAnsiTheme="minorBidi" w:cstheme="minorBidi"/>
                <w:sz w:val="20"/>
                <w:szCs w:val="20"/>
              </w:rPr>
              <w:t>Ramallal et al</w:t>
            </w:r>
            <w:r>
              <w:rPr>
                <w:rFonts w:asciiTheme="minorBidi" w:hAnsiTheme="minorBidi" w:cstheme="minorBidi"/>
                <w:sz w:val="20"/>
                <w:szCs w:val="20"/>
              </w:rPr>
              <w:t>, 2015</w:t>
            </w:r>
            <w:r w:rsidRPr="003754B5">
              <w:rPr>
                <w:rFonts w:asciiTheme="minorBidi" w:hAnsiTheme="minorBidi" w:cstheme="minorBidi"/>
                <w:sz w:val="20"/>
                <w:szCs w:val="20"/>
              </w:rPr>
              <w:t xml:space="preserve"> </w:t>
            </w:r>
            <w:r w:rsidRPr="003754B5">
              <w:rPr>
                <w:rFonts w:asciiTheme="minorBidi" w:hAnsiTheme="minorBidi" w:cstheme="minorBidi"/>
                <w:sz w:val="20"/>
                <w:szCs w:val="20"/>
              </w:rPr>
              <w:fldChar w:fldCharType="begin" w:fldLock="1"/>
            </w:r>
            <w:r w:rsidR="004A7B72">
              <w:rPr>
                <w:rFonts w:asciiTheme="minorBidi" w:hAnsiTheme="minorBidi" w:cstheme="minorBidi"/>
                <w:sz w:val="20"/>
                <w:szCs w:val="20"/>
              </w:rPr>
              <w:instrText>ADDIN CSL_CITATION {"citationItems":[{"id":"ITEM-1","itemData":{"DOI":"10.1371/journal.pone.0135221","ISSN":"1932-6203","abstract":"Background Diet is known to play a key role in atherogenesis and in the development of cardiovascular events. Dietary factors may mediate these processes acting as potential modulators of inflammation. Potential Links between inflammatory properties of diet and the occurrence of cardiovascular events have not been tested previously. Objective We aimed to assess the association between the dietary inflammatory index (DII), a method to assess the inflammatory potential of the diet, and incident cardiovascular disease. Methods In the prospective, dynamic SUN cohort, 18,794 middle-aged, Spanish university graduates were followed up for 8.9 years (median). A validated 136-item food-frequency questionnaire was used to calculate the DII. The DII is based on scientific evidence about the relationship between diet and inflammatory biomarkers (C-reactive protein, IL-1β, IL-4, IL-6, IL-10 and TNF-α). Cox proportional hazard models were used to estimate hazard ratios (HR) and 95% confidence intervals (CI) for the association between the DII and incident cardiovascular disease (myocardial infarction, stroke or cardiovascular death). Results The risk for cardiovascular events progressively increased with each increasing quartile of DII (ptrend = 0.017). The multivariable-adjusted HR for participants in the highest (most pro-inflammatory) vs. the lowest quartile of the DII was 2.03 (95% CI 1.06–3.88). Conclusions A pro-inflammatory diet was associated with a significantly higher risk for developing cardiovascular events.","author":[{"dropping-particle":"","family":"Ramallal","given":"Raúl","non-dropping-particle":"","parse-names":false,"suffix":""},{"dropping-particle":"","family":"Toledo","given":"Estefanía","non-dropping-particle":"","parse-names":false,"suffix":""},{"dropping-particle":"","family":"Martínez-González","given":"Miguel A.","non-dropping-particle":"","parse-names":false,"suffix":""},{"dropping-particle":"","family":"Hernández-Hernández","given":"Aitor","non-dropping-particle":"","parse-names":false,"suffix":""},{"dropping-particle":"","family":"García-Arellano","given":"Ana","non-dropping-particle":"","parse-names":false,"suffix":""},{"dropping-particle":"","family":"Shivappa","given":"Nitin","non-dropping-particle":"","parse-names":false,"suffix":""},{"dropping-particle":"","family":"Hébert","given":"James R.","non-dropping-particle":"","parse-names":false,"suffix":""},{"dropping-particle":"","family":"Ruiz-Canela","given":"Miguel","non-dropping-particle":"","parse-names":false,"suffix":""}],"container-title":"PLOS ONE","id":"ITEM-1","issue":"9","issued":{"date-parts":[["2015","9","4"]]},"page":"e0135221","title":"Dietary Inflammatory Index and Incidence of Cardiovascular Disease in the SUN Cohort","type":"article-journal","volume":"10"},"uris":["http://www.mendeley.com/documents/?uuid=0c4edb10-137a-3dc4-aa24-feab5d9308fe"]}],"mendeley":{"formattedCitation":"(23)","plainTextFormattedCitation":"(23)","previouslyFormattedCitation":"(21)"},"properties":{"noteIndex":0},"schema":"https://github.com/citation-style-language/schema/raw/master/csl-citation.json"}</w:instrText>
            </w:r>
            <w:r w:rsidRPr="003754B5">
              <w:rPr>
                <w:rFonts w:asciiTheme="minorBidi" w:hAnsiTheme="minorBidi" w:cstheme="minorBidi"/>
                <w:sz w:val="20"/>
                <w:szCs w:val="20"/>
              </w:rPr>
              <w:fldChar w:fldCharType="separate"/>
            </w:r>
            <w:r w:rsidR="004A7B72" w:rsidRPr="004A7B72">
              <w:rPr>
                <w:rFonts w:asciiTheme="minorBidi" w:hAnsiTheme="minorBidi" w:cstheme="minorBidi"/>
                <w:noProof/>
                <w:sz w:val="20"/>
                <w:szCs w:val="20"/>
              </w:rPr>
              <w:t>(23)</w:t>
            </w:r>
            <w:r w:rsidRPr="003754B5">
              <w:rPr>
                <w:rFonts w:asciiTheme="minorBidi" w:hAnsiTheme="minorBidi" w:cstheme="minorBidi"/>
                <w:sz w:val="20"/>
                <w:szCs w:val="20"/>
              </w:rPr>
              <w:fldChar w:fldCharType="end"/>
            </w:r>
          </w:p>
        </w:tc>
        <w:tc>
          <w:tcPr>
            <w:tcW w:w="1417" w:type="dxa"/>
          </w:tcPr>
          <w:p w14:paraId="3394B266" w14:textId="3DD02266"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lang w:val="en-GB" w:eastAsia="en-GB"/>
              </w:rPr>
              <w:t>Spain</w:t>
            </w:r>
          </w:p>
        </w:tc>
        <w:tc>
          <w:tcPr>
            <w:tcW w:w="1276" w:type="dxa"/>
          </w:tcPr>
          <w:p w14:paraId="6A8CCF24" w14:textId="234EC411" w:rsidR="00743B47" w:rsidRPr="005F4695" w:rsidRDefault="00743B47" w:rsidP="00743B47">
            <w:pPr>
              <w:rPr>
                <w:rFonts w:asciiTheme="minorBidi" w:hAnsiTheme="minorBidi" w:cstheme="minorBidi"/>
                <w:color w:val="000000" w:themeColor="text1"/>
                <w:sz w:val="20"/>
                <w:szCs w:val="20"/>
              </w:rPr>
            </w:pPr>
            <w:r w:rsidRPr="005F4695">
              <w:rPr>
                <w:rFonts w:asciiTheme="minorBidi" w:hAnsiTheme="minorBidi" w:cstheme="minorBidi"/>
                <w:color w:val="000000" w:themeColor="text1"/>
                <w:sz w:val="20"/>
                <w:szCs w:val="20"/>
                <w:shd w:val="clear" w:color="auto" w:fill="FFFFFF"/>
              </w:rPr>
              <w:t>18794</w:t>
            </w:r>
            <w:r w:rsidRPr="005F4695">
              <w:rPr>
                <w:rFonts w:asciiTheme="minorBidi" w:hAnsiTheme="minorBidi" w:cstheme="minorBidi"/>
                <w:color w:val="000000" w:themeColor="text1"/>
                <w:sz w:val="20"/>
                <w:szCs w:val="20"/>
              </w:rPr>
              <w:t>, adults (middle aged)</w:t>
            </w:r>
          </w:p>
        </w:tc>
        <w:tc>
          <w:tcPr>
            <w:tcW w:w="1559" w:type="dxa"/>
          </w:tcPr>
          <w:p w14:paraId="36F37AFC" w14:textId="6F048542"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lang w:val="en-GB" w:eastAsia="en-GB"/>
              </w:rPr>
              <w:t>FFQ          (136 items)</w:t>
            </w:r>
          </w:p>
        </w:tc>
        <w:tc>
          <w:tcPr>
            <w:tcW w:w="1559" w:type="dxa"/>
          </w:tcPr>
          <w:p w14:paraId="35C1E665" w14:textId="47AF3E39"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lang w:val="en-GB" w:eastAsia="en-GB"/>
              </w:rPr>
              <w:t>DII</w:t>
            </w:r>
          </w:p>
        </w:tc>
        <w:tc>
          <w:tcPr>
            <w:tcW w:w="5305" w:type="dxa"/>
          </w:tcPr>
          <w:p w14:paraId="1196B365" w14:textId="77777777" w:rsidR="00743B47" w:rsidRPr="005F4695" w:rsidRDefault="00743B47" w:rsidP="00743B47">
            <w:pPr>
              <w:rPr>
                <w:rFonts w:asciiTheme="minorBidi" w:hAnsiTheme="minorBidi" w:cstheme="minorBidi"/>
                <w:color w:val="000000" w:themeColor="text1"/>
                <w:sz w:val="20"/>
                <w:szCs w:val="20"/>
                <w:shd w:val="clear" w:color="auto" w:fill="FFFFFF"/>
              </w:rPr>
            </w:pPr>
            <w:r w:rsidRPr="005F4695">
              <w:rPr>
                <w:rFonts w:asciiTheme="minorBidi" w:hAnsiTheme="minorBidi" w:cstheme="minorBidi"/>
                <w:color w:val="000000" w:themeColor="text1"/>
                <w:sz w:val="20"/>
                <w:szCs w:val="20"/>
                <w:lang w:val="en-GB" w:eastAsia="en-GB"/>
              </w:rPr>
              <w:t xml:space="preserve">45 </w:t>
            </w:r>
            <w:r w:rsidRPr="005F4695">
              <w:rPr>
                <w:rFonts w:asciiTheme="minorBidi" w:hAnsiTheme="minorBidi" w:cstheme="minorBidi"/>
                <w:color w:val="000000" w:themeColor="text1"/>
                <w:sz w:val="20"/>
                <w:szCs w:val="20"/>
              </w:rPr>
              <w:t xml:space="preserve">(positive: pro-inflammatory food/nutrient, negative: anti-inflammatory food/nutrient), 1 to 4 based on global means, </w:t>
            </w:r>
            <w:r w:rsidRPr="005F4695">
              <w:rPr>
                <w:rFonts w:asciiTheme="minorBidi" w:hAnsiTheme="minorBidi" w:cstheme="minorBidi"/>
                <w:color w:val="000000" w:themeColor="text1"/>
                <w:sz w:val="20"/>
                <w:szCs w:val="20"/>
                <w:shd w:val="clear" w:color="auto" w:fill="FFFFFF"/>
              </w:rPr>
              <w:t>overall score ranged from-8.87 (maximally anti-inflammatory) to +7.98 (maximally pro-inflammatory)</w:t>
            </w:r>
          </w:p>
          <w:p w14:paraId="6AB08A27" w14:textId="0FA6EB1F" w:rsidR="00743B47" w:rsidRPr="005F4695" w:rsidRDefault="00743B47" w:rsidP="00743B47">
            <w:pPr>
              <w:rPr>
                <w:rFonts w:asciiTheme="minorBidi" w:hAnsiTheme="minorBidi" w:cstheme="minorBidi"/>
                <w:color w:val="000000" w:themeColor="text1"/>
                <w:sz w:val="20"/>
                <w:szCs w:val="20"/>
                <w:lang w:val="en-GB" w:eastAsia="en-GB"/>
              </w:rPr>
            </w:pPr>
          </w:p>
        </w:tc>
      </w:tr>
      <w:tr w:rsidR="00743B47" w:rsidRPr="005F4695" w14:paraId="426F00D5" w14:textId="77777777" w:rsidTr="00B20E43">
        <w:trPr>
          <w:trHeight w:val="388"/>
        </w:trPr>
        <w:tc>
          <w:tcPr>
            <w:tcW w:w="1555" w:type="dxa"/>
          </w:tcPr>
          <w:p w14:paraId="1FDE1C77" w14:textId="53553244" w:rsidR="00743B47" w:rsidRPr="005F4695" w:rsidRDefault="00743B47" w:rsidP="00743B47">
            <w:pPr>
              <w:rPr>
                <w:rFonts w:asciiTheme="minorBidi" w:hAnsiTheme="minorBidi" w:cstheme="minorBidi"/>
                <w:color w:val="000000" w:themeColor="text1"/>
                <w:sz w:val="20"/>
                <w:szCs w:val="20"/>
                <w:lang w:val="en-GB" w:eastAsia="en-GB"/>
              </w:rPr>
            </w:pPr>
            <w:r w:rsidRPr="003754B5">
              <w:rPr>
                <w:rFonts w:asciiTheme="minorBidi" w:hAnsiTheme="minorBidi" w:cstheme="minorBidi"/>
                <w:sz w:val="20"/>
                <w:szCs w:val="20"/>
                <w:lang w:val="en-GB" w:eastAsia="en-GB"/>
              </w:rPr>
              <w:t>Georgousopoulou et al</w:t>
            </w:r>
            <w:r>
              <w:rPr>
                <w:rFonts w:asciiTheme="minorBidi" w:hAnsiTheme="minorBidi" w:cstheme="minorBidi"/>
                <w:sz w:val="20"/>
                <w:szCs w:val="20"/>
                <w:lang w:val="en-GB" w:eastAsia="en-GB"/>
              </w:rPr>
              <w:t>, 2016</w:t>
            </w:r>
            <w:r w:rsidRPr="003754B5">
              <w:rPr>
                <w:rFonts w:asciiTheme="minorBidi" w:hAnsiTheme="minorBidi" w:cstheme="minorBidi"/>
                <w:sz w:val="20"/>
                <w:szCs w:val="20"/>
                <w:lang w:val="en-GB" w:eastAsia="en-GB"/>
              </w:rPr>
              <w:t xml:space="preserve"> </w:t>
            </w:r>
            <w:r w:rsidRPr="003754B5">
              <w:rPr>
                <w:rFonts w:asciiTheme="minorBidi" w:hAnsiTheme="minorBidi" w:cstheme="minorBidi"/>
                <w:sz w:val="20"/>
                <w:szCs w:val="20"/>
                <w:lang w:val="en-GB" w:eastAsia="en-GB"/>
              </w:rPr>
              <w:fldChar w:fldCharType="begin" w:fldLock="1"/>
            </w:r>
            <w:r w:rsidR="004A7B72">
              <w:rPr>
                <w:rFonts w:asciiTheme="minorBidi" w:hAnsiTheme="minorBidi" w:cstheme="minorBidi"/>
                <w:sz w:val="20"/>
                <w:szCs w:val="20"/>
                <w:lang w:val="en-GB" w:eastAsia="en-GB"/>
              </w:rPr>
              <w:instrText>ADDIN CSL_CITATION {"citationItems":[{"id":"ITEM-1","itemData":{"DOI":"10.1016/j.ijcard.2016.08.007","ISSN":"01675273","PMID":"27505336","abstract":"BACKGROUND/OBJECTIVES The aim of the present work was to evaluate the association between the inflammatory potential of the diet and the 10-year cardiovascular disease (CVD) incidence in the ATTICA Study, and whether this is modified by the baseline presence or absence of metabolic syndrome (MetS). METHODS During 2001-2002, 3042 healthy adults (1514 men and 1528 women) living in the greater area of Athens were voluntarily recruited to the ATTICA study. In 2011-2012, the 10-year follow-up was performed in 2583 participants (15% of the participants were lost to follow-up). Incidence of fatal or non-fatal CVD event was recorded using WHO-ICD-10 criteria and MetS was defined by the National Cholesterol Education Program Adult Treatment panel III (revised) definition. A proxy dietary anti-inflammatory index (D-AII) score computed using participants' diet records. RESULTS The 10-year fatal or non-fatal CVD event rate was 157 cases/1000 participants. After adjusting for several confounding factors, an anti-inflammatory diet, as expressed by higher DII scores, was borderline associated with 10-year CVD incidence (OR3rd tertile vs. 1st tertile=0.98, 95%CI: 0.96-1.01). This inverse association was also verified among participants without MetS at baseline (OR3rd tertile vs. 1st tertile=0.97, 95%CI: 0.94-0.99), but not among participants with the MetS. CONCLUSIONS Results of the present work verified the protective effect of an anti-inflammatory diet towards the 10-year CVD incidence among participants without MetS. In contrast, the presence of MetS already at baseline seemed to impede this anti-inflammatory diet protective effect, which underlines the independent importance of MetS on CVD risk.","author":[{"dropping-particle":"","family":"Georgousopoulou","given":"Ekavi N.","non-dropping-particle":"","parse-names":false,"suffix":""},{"dropping-particle":"","family":"Kouli","given":"Georgia-Maria","non-dropping-particle":"","parse-names":false,"suffix":""},{"dropping-particle":"","family":"Panagiotakos","given":"Demosthenes B.","non-dropping-particle":"","parse-names":false,"suffix":""},{"dropping-particle":"","family":"Kalogeropoulou","given":"Aikaterini","non-dropping-particle":"","parse-names":false,"suffix":""},{"dropping-particle":"","family":"Zana","given":"Adela","non-dropping-particle":"","parse-names":false,"suffix":""},{"dropping-particle":"","family":"Chrysohoou","given":"Christina","non-dropping-particle":"","parse-names":false,"suffix":""},{"dropping-particle":"","family":"Tsigos","given":"Constantine","non-dropping-particle":"","parse-names":false,"suffix":""},{"dropping-particle":"","family":"Tousoulis","given":"Dimitrios","non-dropping-particle":"","parse-names":false,"suffix":""},{"dropping-particle":"","family":"Stefanadis","given":"Christodoulos","non-dropping-particle":"","parse-names":false,"suffix":""},{"dropping-particle":"","family":"Pitsavos","given":"Christos","non-dropping-particle":"","parse-names":false,"suffix":""}],"container-title":"International Journal of Cardiology","id":"ITEM-1","issued":{"date-parts":[["2016","11","1"]]},"page":"473-478","title":"Anti-inflammatory diet and 10-year (2002–2012) cardiovascular disease incidence: The ATTICA study","type":"article-journal","volume":"222"},"uris":["http://www.mendeley.com/documents/?uuid=9b5303cc-4740-3527-a4b9-a5f3b248e793","http://www.mendeley.com/documents/?uuid=58d9a84c-daa6-49ce-aaaa-028fc7b95cc0"]}],"mendeley":{"formattedCitation":"(24)","plainTextFormattedCitation":"(24)","previouslyFormattedCitation":"(22)"},"properties":{"noteIndex":0},"schema":"https://github.com/citation-style-language/schema/raw/master/csl-citation.json"}</w:instrText>
            </w:r>
            <w:r w:rsidRPr="003754B5">
              <w:rPr>
                <w:rFonts w:asciiTheme="minorBidi" w:hAnsiTheme="minorBidi" w:cstheme="minorBidi"/>
                <w:sz w:val="20"/>
                <w:szCs w:val="20"/>
                <w:lang w:val="en-GB" w:eastAsia="en-GB"/>
              </w:rPr>
              <w:fldChar w:fldCharType="separate"/>
            </w:r>
            <w:r w:rsidR="004A7B72" w:rsidRPr="004A7B72">
              <w:rPr>
                <w:rFonts w:asciiTheme="minorBidi" w:hAnsiTheme="minorBidi" w:cstheme="minorBidi"/>
                <w:noProof/>
                <w:sz w:val="20"/>
                <w:szCs w:val="20"/>
                <w:lang w:val="en-GB" w:eastAsia="en-GB"/>
              </w:rPr>
              <w:t>(24)</w:t>
            </w:r>
            <w:r w:rsidRPr="003754B5">
              <w:rPr>
                <w:rFonts w:asciiTheme="minorBidi" w:hAnsiTheme="minorBidi" w:cstheme="minorBidi"/>
                <w:sz w:val="20"/>
                <w:szCs w:val="20"/>
                <w:lang w:val="en-GB" w:eastAsia="en-GB"/>
              </w:rPr>
              <w:fldChar w:fldCharType="end"/>
            </w:r>
          </w:p>
        </w:tc>
        <w:tc>
          <w:tcPr>
            <w:tcW w:w="1417" w:type="dxa"/>
          </w:tcPr>
          <w:p w14:paraId="26F6BBD4" w14:textId="1B526AA2"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lang w:val="en-GB" w:eastAsia="en-GB"/>
              </w:rPr>
              <w:t>Greece</w:t>
            </w:r>
          </w:p>
        </w:tc>
        <w:tc>
          <w:tcPr>
            <w:tcW w:w="1276" w:type="dxa"/>
          </w:tcPr>
          <w:p w14:paraId="62906923" w14:textId="4577E310"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lang w:val="en-GB" w:eastAsia="en-GB"/>
              </w:rPr>
              <w:t>2583, adults      (~45 )</w:t>
            </w:r>
          </w:p>
        </w:tc>
        <w:tc>
          <w:tcPr>
            <w:tcW w:w="1559" w:type="dxa"/>
          </w:tcPr>
          <w:p w14:paraId="591E5B99" w14:textId="3A26FE21"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lang w:val="en-GB" w:eastAsia="en-GB"/>
              </w:rPr>
              <w:t>FFQ        (EPIC Greek)</w:t>
            </w:r>
          </w:p>
        </w:tc>
        <w:tc>
          <w:tcPr>
            <w:tcW w:w="1559" w:type="dxa"/>
          </w:tcPr>
          <w:p w14:paraId="7CACEE65" w14:textId="24299D4B"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lang w:val="en-GB" w:eastAsia="en-GB"/>
              </w:rPr>
              <w:t>DII</w:t>
            </w:r>
          </w:p>
        </w:tc>
        <w:tc>
          <w:tcPr>
            <w:tcW w:w="5305" w:type="dxa"/>
          </w:tcPr>
          <w:p w14:paraId="35E05B9C" w14:textId="77777777" w:rsidR="00743B47" w:rsidRPr="005F4695" w:rsidRDefault="00743B47" w:rsidP="00743B47">
            <w:pPr>
              <w:rPr>
                <w:rFonts w:asciiTheme="minorBidi" w:hAnsiTheme="minorBidi" w:cstheme="minorBidi"/>
                <w:color w:val="000000" w:themeColor="text1"/>
                <w:sz w:val="20"/>
                <w:szCs w:val="20"/>
                <w:shd w:val="clear" w:color="auto" w:fill="FFFFFF"/>
              </w:rPr>
            </w:pPr>
            <w:r w:rsidRPr="005F4695">
              <w:rPr>
                <w:rFonts w:asciiTheme="minorBidi" w:hAnsiTheme="minorBidi" w:cstheme="minorBidi"/>
                <w:color w:val="000000" w:themeColor="text1"/>
                <w:sz w:val="20"/>
                <w:szCs w:val="20"/>
                <w:lang w:val="en-GB" w:eastAsia="en-GB"/>
              </w:rPr>
              <w:t xml:space="preserve">36 </w:t>
            </w:r>
            <w:r w:rsidRPr="005F4695">
              <w:rPr>
                <w:rFonts w:asciiTheme="minorBidi" w:hAnsiTheme="minorBidi" w:cstheme="minorBidi"/>
                <w:color w:val="000000" w:themeColor="text1"/>
                <w:sz w:val="20"/>
                <w:szCs w:val="20"/>
              </w:rPr>
              <w:t xml:space="preserve">(positive: pro-inflammatory food/nutrient, negative: anti-inflammatory food/nutrient), 1 to 4 based on global means, </w:t>
            </w:r>
            <w:r w:rsidRPr="005F4695">
              <w:rPr>
                <w:rFonts w:asciiTheme="minorBidi" w:hAnsiTheme="minorBidi" w:cstheme="minorBidi"/>
                <w:color w:val="000000" w:themeColor="text1"/>
                <w:sz w:val="20"/>
                <w:szCs w:val="20"/>
                <w:shd w:val="clear" w:color="auto" w:fill="FFFFFF"/>
              </w:rPr>
              <w:t>overall score ranged from-8.87 (maximally anti-inflammatory) to +7.98 (maximally pro-inflammatory)</w:t>
            </w:r>
          </w:p>
          <w:p w14:paraId="11429586" w14:textId="5D6CE6D5" w:rsidR="00743B47" w:rsidRPr="005F4695" w:rsidRDefault="00743B47" w:rsidP="00743B47">
            <w:pPr>
              <w:rPr>
                <w:rFonts w:asciiTheme="minorBidi" w:hAnsiTheme="minorBidi" w:cstheme="minorBidi"/>
                <w:color w:val="000000" w:themeColor="text1"/>
                <w:sz w:val="20"/>
                <w:szCs w:val="20"/>
                <w:lang w:val="en-GB" w:eastAsia="en-GB"/>
              </w:rPr>
            </w:pPr>
          </w:p>
        </w:tc>
      </w:tr>
      <w:tr w:rsidR="00743B47" w:rsidRPr="005F4695" w14:paraId="4B17F80D" w14:textId="77777777" w:rsidTr="00B20E43">
        <w:trPr>
          <w:trHeight w:val="388"/>
        </w:trPr>
        <w:tc>
          <w:tcPr>
            <w:tcW w:w="1555" w:type="dxa"/>
          </w:tcPr>
          <w:p w14:paraId="1CF33CC2" w14:textId="4896388E" w:rsidR="00743B47" w:rsidRPr="005F4695" w:rsidRDefault="00743B47" w:rsidP="00743B47">
            <w:pPr>
              <w:rPr>
                <w:rFonts w:asciiTheme="minorBidi" w:hAnsiTheme="minorBidi" w:cstheme="minorBidi"/>
                <w:color w:val="000000" w:themeColor="text1"/>
                <w:sz w:val="20"/>
                <w:szCs w:val="20"/>
                <w:lang w:val="en-GB" w:eastAsia="en-GB"/>
              </w:rPr>
            </w:pPr>
            <w:r w:rsidRPr="003754B5">
              <w:rPr>
                <w:rFonts w:asciiTheme="minorBidi" w:hAnsiTheme="minorBidi" w:cstheme="minorBidi"/>
                <w:color w:val="000000" w:themeColor="text1"/>
                <w:sz w:val="20"/>
                <w:szCs w:val="20"/>
                <w:lang w:val="en-GB" w:eastAsia="en-GB"/>
              </w:rPr>
              <w:t>Kastorini et al</w:t>
            </w:r>
            <w:r>
              <w:rPr>
                <w:rFonts w:asciiTheme="minorBidi" w:hAnsiTheme="minorBidi" w:cstheme="minorBidi"/>
                <w:color w:val="000000" w:themeColor="text1"/>
                <w:sz w:val="20"/>
                <w:szCs w:val="20"/>
                <w:lang w:val="en-GB" w:eastAsia="en-GB"/>
              </w:rPr>
              <w:t>, 2016</w:t>
            </w:r>
            <w:r w:rsidRPr="003754B5">
              <w:rPr>
                <w:rFonts w:asciiTheme="minorBidi" w:hAnsiTheme="minorBidi" w:cstheme="minorBidi"/>
                <w:color w:val="000000" w:themeColor="text1"/>
                <w:sz w:val="20"/>
                <w:szCs w:val="20"/>
                <w:lang w:val="en-GB" w:eastAsia="en-GB"/>
              </w:rPr>
              <w:t xml:space="preserve"> </w:t>
            </w:r>
            <w:r w:rsidRPr="003754B5">
              <w:rPr>
                <w:rFonts w:asciiTheme="minorBidi" w:hAnsiTheme="minorBidi" w:cstheme="minorBidi"/>
                <w:color w:val="000000" w:themeColor="text1"/>
                <w:sz w:val="20"/>
                <w:szCs w:val="20"/>
                <w:lang w:val="en-GB" w:eastAsia="en-GB"/>
              </w:rPr>
              <w:fldChar w:fldCharType="begin" w:fldLock="1"/>
            </w:r>
            <w:r w:rsidR="004A7B72">
              <w:rPr>
                <w:rFonts w:asciiTheme="minorBidi" w:hAnsiTheme="minorBidi" w:cstheme="minorBidi"/>
                <w:color w:val="000000" w:themeColor="text1"/>
                <w:sz w:val="20"/>
                <w:szCs w:val="20"/>
                <w:lang w:val="en-GB" w:eastAsia="en-GB"/>
              </w:rPr>
              <w:instrText>ADDIN CSL_CITATION {"citationItems":[{"id":"ITEM-1","itemData":{"DOI":"10.1016/j.atherosclerosis.2015.12.025","ISSN":"00219150","PMID":"26761772","abstract":"BACKGROUND AND AIMS To better understand the metabolic syndrome (MS) spectrum through principal components analysis and further evaluate the role of the Mediterranean diet on MS presence. METHODS During 2001-2002, 1514 men and 1528 women (&gt;18 y) without any clinical evidence of CVD or any other chronic disease, at baseline, living in greater Athens area, Greece, were enrolled. In 2011-2012, the 10-year follow-up was performed in 2583 participants (15% of the participants were lost to follow-up). Incidence of fatal or non-fatal CVD was defined according to WHO-ICD-10 criteria. MS was defined by the National Cholesterol Education Program Adult Treatment panel III (revised NCEP ATP III) definition. Adherence to the Mediterranean diet was assessed using the MedDietScore (range 0-55). RESULTS Five principal components were derived, explaining 73.8% of the total variation, characterized by the: a) body weight and lipid profile, b) blood pressure, c) lipid profile, d) glucose profile, e) inflammatory factors. All components were associated with higher likelihood of CVD incidence. After adjusting for various potential confounding factors, adherence to the Mediterranean dietary pattern for each 10% increase in the MedDietScore, was associated with 15% lower odds of CVD incidence (95%CI: 0.71-1.06). For the participants with low adherence to the Mediterranean diet all five components were significantly associated with increased likelihood of CVD incidence. However, for the ones following closely the Mediterranean pattern positive, yet not significant associations were observed. CONCLUSION Results of the present work propose a wider MS definition, while highlighting the beneficial role of the Mediterranean dietary pattern.","author":[{"dropping-particle":"","family":"Kastorini","given":"Christina-Maria","non-dropping-particle":"","parse-names":false,"suffix":""},{"dropping-particle":"","family":"Panagiotakos","given":"Demosthenes B.","non-dropping-particle":"","parse-names":false,"suffix":""},{"dropping-particle":"","family":"Chrysohoou","given":"Christina","non-dropping-particle":"","parse-names":false,"suffix":""},{"dropping-particle":"","family":"Georgousopoulou","given":"Ekavi","non-dropping-particle":"","parse-names":false,"suffix":""},{"dropping-particle":"","family":"Pitaraki","given":"Evangelia","non-dropping-particle":"","parse-names":false,"suffix":""},{"dropping-particle":"","family":"Puddu","given":"Paolo Emilio","non-dropping-particle":"","parse-names":false,"suffix":""},{"dropping-particle":"","family":"Tousoulis","given":"Dimitrios","non-dropping-particle":"","parse-names":false,"suffix":""},{"dropping-particle":"","family":"Stefanadis","given":"Christodoulos","non-dropping-particle":"","parse-names":false,"suffix":""},{"dropping-particle":"","family":"Pitsavos","given":"Christos","non-dropping-particle":"","parse-names":false,"suffix":""},{"dropping-particle":"","family":"ATTICA Study Group","given":"","non-dropping-particle":"","parse-names":false,"suffix":""}],"container-title":"Atherosclerosis","id":"ITEM-1","issued":{"date-parts":[["2016","3"]]},"page":"87-93","title":"Metabolic syndrome, adherence to the Mediterranean diet and 10-year cardiovascular disease incidence: The ATTICA study","type":"article-journal","volume":"246"},"uris":["http://www.mendeley.com/documents/?uuid=03f68381-640a-3f67-ae45-fdd39e550d44","http://www.mendeley.com/documents/?uuid=574584df-e030-4065-aff7-04eddeeba613"]}],"mendeley":{"formattedCitation":"(25)","plainTextFormattedCitation":"(25)","previouslyFormattedCitation":"(23)"},"properties":{"noteIndex":0},"schema":"https://github.com/citation-style-language/schema/raw/master/csl-citation.json"}</w:instrText>
            </w:r>
            <w:r w:rsidRPr="003754B5">
              <w:rPr>
                <w:rFonts w:asciiTheme="minorBidi" w:hAnsiTheme="minorBidi" w:cstheme="minorBidi"/>
                <w:color w:val="000000" w:themeColor="text1"/>
                <w:sz w:val="20"/>
                <w:szCs w:val="20"/>
                <w:lang w:val="en-GB" w:eastAsia="en-GB"/>
              </w:rPr>
              <w:fldChar w:fldCharType="separate"/>
            </w:r>
            <w:r w:rsidR="004A7B72" w:rsidRPr="004A7B72">
              <w:rPr>
                <w:rFonts w:asciiTheme="minorBidi" w:hAnsiTheme="minorBidi" w:cstheme="minorBidi"/>
                <w:noProof/>
                <w:color w:val="000000" w:themeColor="text1"/>
                <w:sz w:val="20"/>
                <w:szCs w:val="20"/>
                <w:lang w:val="en-GB" w:eastAsia="en-GB"/>
              </w:rPr>
              <w:t>(25)</w:t>
            </w:r>
            <w:r w:rsidRPr="003754B5">
              <w:rPr>
                <w:rFonts w:asciiTheme="minorBidi" w:hAnsiTheme="minorBidi" w:cstheme="minorBidi"/>
                <w:color w:val="000000" w:themeColor="text1"/>
                <w:sz w:val="20"/>
                <w:szCs w:val="20"/>
                <w:lang w:val="en-GB" w:eastAsia="en-GB"/>
              </w:rPr>
              <w:fldChar w:fldCharType="end"/>
            </w:r>
          </w:p>
        </w:tc>
        <w:tc>
          <w:tcPr>
            <w:tcW w:w="1417" w:type="dxa"/>
          </w:tcPr>
          <w:p w14:paraId="3A6E99E5" w14:textId="3C84AF5D"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lang w:val="en-GB" w:eastAsia="en-GB"/>
              </w:rPr>
              <w:t>Greece</w:t>
            </w:r>
          </w:p>
        </w:tc>
        <w:tc>
          <w:tcPr>
            <w:tcW w:w="1276" w:type="dxa"/>
          </w:tcPr>
          <w:p w14:paraId="4012C19B" w14:textId="076079DE"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lang w:val="en-GB" w:eastAsia="en-GB"/>
              </w:rPr>
              <w:t>3042, adults     (18-89)</w:t>
            </w:r>
          </w:p>
        </w:tc>
        <w:tc>
          <w:tcPr>
            <w:tcW w:w="1559" w:type="dxa"/>
          </w:tcPr>
          <w:p w14:paraId="2A9A21DD" w14:textId="535495D2"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lang w:val="en-GB" w:eastAsia="en-GB"/>
              </w:rPr>
              <w:t xml:space="preserve">FFQ        (EPIC Greek) </w:t>
            </w:r>
          </w:p>
        </w:tc>
        <w:tc>
          <w:tcPr>
            <w:tcW w:w="1559" w:type="dxa"/>
          </w:tcPr>
          <w:p w14:paraId="7611EADB" w14:textId="28D4918C"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lang w:val="en-GB" w:eastAsia="en-GB"/>
              </w:rPr>
              <w:t>MDS</w:t>
            </w:r>
          </w:p>
        </w:tc>
        <w:tc>
          <w:tcPr>
            <w:tcW w:w="5305" w:type="dxa"/>
          </w:tcPr>
          <w:p w14:paraId="286BD004" w14:textId="51510180"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lang w:val="en-GB" w:eastAsia="en-GB"/>
              </w:rPr>
              <w:t>Not detailed in main text</w:t>
            </w:r>
          </w:p>
        </w:tc>
      </w:tr>
      <w:tr w:rsidR="002E4603" w:rsidRPr="005F4695" w14:paraId="3A563362" w14:textId="77777777" w:rsidTr="00B20E43">
        <w:trPr>
          <w:trHeight w:val="388"/>
        </w:trPr>
        <w:tc>
          <w:tcPr>
            <w:tcW w:w="2972" w:type="dxa"/>
            <w:gridSpan w:val="2"/>
          </w:tcPr>
          <w:p w14:paraId="58CDEA5A" w14:textId="5E73CA65" w:rsidR="002E4603" w:rsidRPr="005F4695" w:rsidRDefault="002E4603" w:rsidP="00B20E43">
            <w:pPr>
              <w:rPr>
                <w:rFonts w:asciiTheme="minorBidi" w:hAnsiTheme="minorBidi" w:cstheme="minorBidi"/>
                <w:color w:val="000000" w:themeColor="text1"/>
                <w:sz w:val="20"/>
                <w:szCs w:val="20"/>
                <w:lang w:val="en-GB" w:eastAsia="en-GB"/>
              </w:rPr>
            </w:pPr>
            <w:r w:rsidRPr="005F4695">
              <w:rPr>
                <w:rFonts w:asciiTheme="minorBidi" w:hAnsiTheme="minorBidi" w:cstheme="minorBidi"/>
                <w:b/>
                <w:color w:val="000000" w:themeColor="text1"/>
                <w:sz w:val="20"/>
                <w:szCs w:val="20"/>
              </w:rPr>
              <w:t>Northern Europe</w:t>
            </w:r>
          </w:p>
        </w:tc>
        <w:tc>
          <w:tcPr>
            <w:tcW w:w="1276" w:type="dxa"/>
          </w:tcPr>
          <w:p w14:paraId="6EA4516A" w14:textId="77777777" w:rsidR="002E4603" w:rsidRPr="005F4695" w:rsidRDefault="002E4603" w:rsidP="00B20E43">
            <w:pPr>
              <w:rPr>
                <w:rFonts w:asciiTheme="minorBidi" w:hAnsiTheme="minorBidi" w:cstheme="minorBidi"/>
                <w:color w:val="000000" w:themeColor="text1"/>
                <w:sz w:val="20"/>
                <w:szCs w:val="20"/>
                <w:lang w:val="en-GB" w:eastAsia="en-GB"/>
              </w:rPr>
            </w:pPr>
          </w:p>
        </w:tc>
        <w:tc>
          <w:tcPr>
            <w:tcW w:w="1559" w:type="dxa"/>
          </w:tcPr>
          <w:p w14:paraId="30D43DBB" w14:textId="77777777" w:rsidR="002E4603" w:rsidRPr="005F4695" w:rsidRDefault="002E4603" w:rsidP="00B20E43">
            <w:pPr>
              <w:rPr>
                <w:rFonts w:asciiTheme="minorBidi" w:hAnsiTheme="minorBidi" w:cstheme="minorBidi"/>
                <w:color w:val="000000" w:themeColor="text1"/>
                <w:sz w:val="20"/>
                <w:szCs w:val="20"/>
                <w:lang w:val="en-GB" w:eastAsia="en-GB"/>
              </w:rPr>
            </w:pPr>
          </w:p>
        </w:tc>
        <w:tc>
          <w:tcPr>
            <w:tcW w:w="1559" w:type="dxa"/>
          </w:tcPr>
          <w:p w14:paraId="5950E9E7" w14:textId="77777777" w:rsidR="002E4603" w:rsidRPr="005F4695" w:rsidRDefault="002E4603" w:rsidP="00B20E43">
            <w:pPr>
              <w:rPr>
                <w:rFonts w:asciiTheme="minorBidi" w:hAnsiTheme="minorBidi" w:cstheme="minorBidi"/>
                <w:color w:val="000000" w:themeColor="text1"/>
                <w:sz w:val="20"/>
                <w:szCs w:val="20"/>
                <w:lang w:val="en-GB" w:eastAsia="en-GB"/>
              </w:rPr>
            </w:pPr>
          </w:p>
        </w:tc>
        <w:tc>
          <w:tcPr>
            <w:tcW w:w="5305" w:type="dxa"/>
          </w:tcPr>
          <w:p w14:paraId="102A1AE3" w14:textId="59860B2E" w:rsidR="002E4603" w:rsidRPr="005F4695" w:rsidRDefault="002E4603" w:rsidP="00B20E43">
            <w:pPr>
              <w:rPr>
                <w:rFonts w:asciiTheme="minorBidi" w:hAnsiTheme="minorBidi" w:cstheme="minorBidi"/>
                <w:color w:val="000000" w:themeColor="text1"/>
                <w:sz w:val="20"/>
                <w:szCs w:val="20"/>
                <w:lang w:val="en-GB" w:eastAsia="en-GB"/>
              </w:rPr>
            </w:pPr>
          </w:p>
        </w:tc>
      </w:tr>
      <w:tr w:rsidR="00743B47" w:rsidRPr="005F4695" w14:paraId="47588BEF" w14:textId="77777777" w:rsidTr="00B20E43">
        <w:trPr>
          <w:trHeight w:val="388"/>
        </w:trPr>
        <w:tc>
          <w:tcPr>
            <w:tcW w:w="1555" w:type="dxa"/>
          </w:tcPr>
          <w:p w14:paraId="123EF645" w14:textId="0150B989" w:rsidR="00743B47" w:rsidRPr="005F4695" w:rsidRDefault="00743B47" w:rsidP="00743B47">
            <w:pPr>
              <w:rPr>
                <w:rFonts w:asciiTheme="minorBidi" w:hAnsiTheme="minorBidi" w:cstheme="minorBidi"/>
                <w:color w:val="000000" w:themeColor="text1"/>
                <w:sz w:val="20"/>
                <w:szCs w:val="20"/>
                <w:lang w:val="en-GB" w:eastAsia="en-GB"/>
              </w:rPr>
            </w:pPr>
            <w:r w:rsidRPr="003754B5">
              <w:rPr>
                <w:rFonts w:asciiTheme="minorBidi" w:hAnsiTheme="minorBidi" w:cstheme="minorBidi"/>
                <w:sz w:val="20"/>
                <w:szCs w:val="20"/>
                <w:lang w:val="en-GB" w:eastAsia="en-GB"/>
              </w:rPr>
              <w:t>Adriouch et al</w:t>
            </w:r>
            <w:r>
              <w:rPr>
                <w:rFonts w:asciiTheme="minorBidi" w:hAnsiTheme="minorBidi" w:cstheme="minorBidi"/>
                <w:sz w:val="20"/>
                <w:szCs w:val="20"/>
                <w:lang w:val="en-GB" w:eastAsia="en-GB"/>
              </w:rPr>
              <w:t>, 2017</w:t>
            </w:r>
            <w:r w:rsidRPr="003754B5">
              <w:rPr>
                <w:rFonts w:asciiTheme="minorBidi" w:hAnsiTheme="minorBidi" w:cstheme="minorBidi"/>
                <w:sz w:val="20"/>
                <w:szCs w:val="20"/>
                <w:lang w:val="en-GB" w:eastAsia="en-GB"/>
              </w:rPr>
              <w:t xml:space="preserve"> </w:t>
            </w:r>
            <w:r w:rsidRPr="003754B5">
              <w:rPr>
                <w:rFonts w:asciiTheme="minorBidi" w:hAnsiTheme="minorBidi" w:cstheme="minorBidi"/>
                <w:sz w:val="20"/>
                <w:szCs w:val="20"/>
                <w:lang w:val="en-GB" w:eastAsia="en-GB"/>
              </w:rPr>
              <w:fldChar w:fldCharType="begin" w:fldLock="1"/>
            </w:r>
            <w:r w:rsidR="004A7B72">
              <w:rPr>
                <w:rFonts w:asciiTheme="minorBidi" w:hAnsiTheme="minorBidi" w:cstheme="minorBidi"/>
                <w:sz w:val="20"/>
                <w:szCs w:val="20"/>
                <w:lang w:val="en-GB" w:eastAsia="en-GB"/>
              </w:rPr>
              <w:instrText>ADDIN CSL_CITATION {"citationItems":[{"id":"ITEM-1","itemData":{"DOI":"10.1016/j.ijcard.2017.02.092","ISSN":"01675273","PMID":"28258849","abstract":"BACKGROUND In France, the implementation of a front-of-pack (FOP) nutrition label-the 5-Colour Nutrition Label (5-CNL) is currently under consideration as a strategic tool to allow consumers making healthier food choices. This FOP label is based on the British Food Standards Agency Nutrient Profiling System (FSA-NPS), reflecting the overall nutritional quality of foods. At the individual level, an energy-weighted mean of all FSA-NPS scores of foods usually consumed has been elaborated (FSA-NPS DI). Our objective was to investigate the prospective association between the FSA-NPS DI and cardiovascular disease (CVD) risk. METHODS 75,801 participants to the NutriNet-Santé cohort, who completed at least three 24h dietary records during the first 2y of the follow-up, were followed between 2009 and 2016. Multivariable Cox proportional hazards models were used to characterize the associations between FSA-NPS DI and the incidence of CVDs. RESULTS 509 major cardiovascular events were diagnosed (262 coronary heart diseases and 247 strokes). A higher FSA-NPS DI, characterizing lower dietary quality, was associated with increased CVD risk (HRfor a 1-point increment=1.08 (1.03-1.13); HRQ4vs.Q1=1.40 (1.06-1.84), Ptrend Q4-Q1=0.01). This association tended to be stronger in overweight subjects (HRfor a 1-point increment=1.12 (1.04-1.19); Pinteraction=0.003). CONCLUSIONS These results suggest that lower dietary quality, as reflected by a higher FSA-NPS DI, may be associated with a significant increase in cardiovascular risk, especially in at-risk individuals (overweight population). They support the public health relevance of developing a front-of-pack nutrition label based on this score.","author":[{"dropping-particle":"","family":"Adriouch","given":"Solia","non-dropping-particle":"","parse-names":false,"suffix":""},{"dropping-particle":"","family":"Julia","given":"Chantal","non-dropping-particle":"","parse-names":false,"suffix":""},{"dropping-particle":"","family":"Kesse-Guyot","given":"Emmanuelle","non-dropping-particle":"","parse-names":false,"suffix":""},{"dropping-particle":"","family":"Ducrot","given":"Pauline","non-dropping-particle":"","parse-names":false,"suffix":""},{"dropping-particle":"","family":"Péneau","given":"Sandrine","non-dropping-particle":"","parse-names":false,"suffix":""},{"dropping-particle":"","family":"Méjean","given":"Caroline","non-dropping-particle":"","parse-names":false,"suffix":""},{"dropping-particle":"","family":"Assmann","given":"Karen E.","non-dropping-particle":"","parse-names":false,"suffix":""},{"dropping-particle":"","family":"Deschasaux","given":"Mélanie","non-dropping-particle":"","parse-names":false,"suffix":""},{"dropping-particle":"","family":"Hercberg","given":"Serge","non-dropping-particle":"","parse-names":false,"suffix":""},{"dropping-particle":"","family":"Touvier","given":"Mathilde","non-dropping-particle":"","parse-names":false,"suffix":""},{"dropping-particle":"","family":"Fezeu","given":"Léopold K","non-dropping-particle":"","parse-names":false,"suffix":""}],"container-title":"International Journal of Cardiology","id":"ITEM-1","issued":{"date-parts":[["2017","5","1"]]},"page":"22-27","title":"Association between a dietary quality index based on the food standard agency nutrient profiling system and cardiovascular disease risk among French adults","type":"article-journal","volume":"234"},"uris":["http://www.mendeley.com/documents/?uuid=c3bdbcbe-dbc0-3d4b-8d56-8d8baaacd5f4","http://www.mendeley.com/documents/?uuid=58837655-e5a4-42b1-af78-a9f6ba88c749"]}],"mendeley":{"formattedCitation":"(26)","plainTextFormattedCitation":"(26)","previouslyFormattedCitation":"(24)"},"properties":{"noteIndex":0},"schema":"https://github.com/citation-style-language/schema/raw/master/csl-citation.json"}</w:instrText>
            </w:r>
            <w:r w:rsidRPr="003754B5">
              <w:rPr>
                <w:rFonts w:asciiTheme="minorBidi" w:hAnsiTheme="minorBidi" w:cstheme="minorBidi"/>
                <w:sz w:val="20"/>
                <w:szCs w:val="20"/>
                <w:lang w:val="en-GB" w:eastAsia="en-GB"/>
              </w:rPr>
              <w:fldChar w:fldCharType="separate"/>
            </w:r>
            <w:r w:rsidR="004A7B72" w:rsidRPr="004A7B72">
              <w:rPr>
                <w:rFonts w:asciiTheme="minorBidi" w:hAnsiTheme="minorBidi" w:cstheme="minorBidi"/>
                <w:noProof/>
                <w:sz w:val="20"/>
                <w:szCs w:val="20"/>
                <w:lang w:val="en-GB" w:eastAsia="en-GB"/>
              </w:rPr>
              <w:t>(26)</w:t>
            </w:r>
            <w:r w:rsidRPr="003754B5">
              <w:rPr>
                <w:rFonts w:asciiTheme="minorBidi" w:hAnsiTheme="minorBidi" w:cstheme="minorBidi"/>
                <w:sz w:val="20"/>
                <w:szCs w:val="20"/>
                <w:lang w:val="en-GB" w:eastAsia="en-GB"/>
              </w:rPr>
              <w:fldChar w:fldCharType="end"/>
            </w:r>
          </w:p>
        </w:tc>
        <w:tc>
          <w:tcPr>
            <w:tcW w:w="1417" w:type="dxa"/>
          </w:tcPr>
          <w:p w14:paraId="147A66BF" w14:textId="1396E933"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lang w:val="en-GB" w:eastAsia="en-GB"/>
              </w:rPr>
              <w:t>France</w:t>
            </w:r>
          </w:p>
        </w:tc>
        <w:tc>
          <w:tcPr>
            <w:tcW w:w="1276" w:type="dxa"/>
          </w:tcPr>
          <w:p w14:paraId="36C47146" w14:textId="7F09CA46"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lang w:val="en-GB" w:eastAsia="en-GB"/>
              </w:rPr>
              <w:t>75801, adults     (~44)</w:t>
            </w:r>
          </w:p>
        </w:tc>
        <w:tc>
          <w:tcPr>
            <w:tcW w:w="1559" w:type="dxa"/>
          </w:tcPr>
          <w:p w14:paraId="293A53A3" w14:textId="11140534"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lang w:val="en-GB" w:eastAsia="en-GB"/>
              </w:rPr>
              <w:t>3 or more x 24hr recalls</w:t>
            </w:r>
          </w:p>
        </w:tc>
        <w:tc>
          <w:tcPr>
            <w:tcW w:w="1559" w:type="dxa"/>
          </w:tcPr>
          <w:p w14:paraId="3DA75973" w14:textId="6449377F"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bCs/>
                <w:sz w:val="20"/>
                <w:szCs w:val="20"/>
              </w:rPr>
              <w:t xml:space="preserve">Food Standards Agency nutrient profile score       </w:t>
            </w:r>
            <w:r w:rsidRPr="005F4695">
              <w:rPr>
                <w:rFonts w:asciiTheme="minorBidi" w:hAnsiTheme="minorBidi" w:cstheme="minorBidi"/>
                <w:sz w:val="20"/>
                <w:szCs w:val="20"/>
              </w:rPr>
              <w:t xml:space="preserve"> (FSA-NPS)</w:t>
            </w:r>
          </w:p>
        </w:tc>
        <w:tc>
          <w:tcPr>
            <w:tcW w:w="5305" w:type="dxa"/>
          </w:tcPr>
          <w:p w14:paraId="073BA140" w14:textId="7737C304" w:rsidR="00743B47" w:rsidRPr="005F4695" w:rsidRDefault="00743B47" w:rsidP="00743B47">
            <w:pPr>
              <w:autoSpaceDE w:val="0"/>
              <w:autoSpaceDN w:val="0"/>
              <w:adjustRightInd w:val="0"/>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lang w:val="en-GB" w:eastAsia="en-GB"/>
              </w:rPr>
              <w:t xml:space="preserve">Based on nutrient content for 100 g, points (0−10) are allocated for content in energy (KJ), total sugar (g), saturated fatty acids (g) and sodium (mg), points (0–5) are subtracted from the previous sum, according to the content in fruits, vegetables (%), fibers (g) and proteins (g), energy-weighted means were calculated using an algorithm </w:t>
            </w:r>
          </w:p>
          <w:p w14:paraId="15A5CED9" w14:textId="77777777" w:rsidR="00743B47" w:rsidRPr="005F4695" w:rsidRDefault="00743B47" w:rsidP="00743B47">
            <w:pPr>
              <w:rPr>
                <w:rFonts w:asciiTheme="minorBidi" w:hAnsiTheme="minorBidi" w:cstheme="minorBidi"/>
                <w:color w:val="000000" w:themeColor="text1"/>
                <w:sz w:val="20"/>
                <w:szCs w:val="20"/>
                <w:lang w:val="en-GB" w:eastAsia="en-GB"/>
              </w:rPr>
            </w:pPr>
          </w:p>
          <w:p w14:paraId="14FD0FF6" w14:textId="77777777" w:rsidR="00743B47" w:rsidRPr="005F4695" w:rsidRDefault="00743B47" w:rsidP="00743B47">
            <w:pPr>
              <w:rPr>
                <w:rFonts w:asciiTheme="minorBidi" w:hAnsiTheme="minorBidi" w:cstheme="minorBidi"/>
                <w:color w:val="000000" w:themeColor="text1"/>
                <w:sz w:val="20"/>
                <w:szCs w:val="20"/>
                <w:lang w:val="en-GB" w:eastAsia="en-GB"/>
              </w:rPr>
            </w:pPr>
          </w:p>
          <w:p w14:paraId="4B59FB87" w14:textId="77777777" w:rsidR="00743B47" w:rsidRPr="005F4695" w:rsidRDefault="00743B47" w:rsidP="00743B47">
            <w:pPr>
              <w:rPr>
                <w:rFonts w:asciiTheme="minorBidi" w:hAnsiTheme="minorBidi" w:cstheme="minorBidi"/>
                <w:color w:val="000000" w:themeColor="text1"/>
                <w:sz w:val="20"/>
                <w:szCs w:val="20"/>
                <w:lang w:val="en-GB" w:eastAsia="en-GB"/>
              </w:rPr>
            </w:pPr>
          </w:p>
          <w:p w14:paraId="5613357F" w14:textId="77777777" w:rsidR="00743B47" w:rsidRPr="005F4695" w:rsidRDefault="00743B47" w:rsidP="00743B47">
            <w:pPr>
              <w:rPr>
                <w:rFonts w:asciiTheme="minorBidi" w:hAnsiTheme="minorBidi" w:cstheme="minorBidi"/>
                <w:color w:val="000000" w:themeColor="text1"/>
                <w:sz w:val="20"/>
                <w:szCs w:val="20"/>
                <w:lang w:val="en-GB" w:eastAsia="en-GB"/>
              </w:rPr>
            </w:pPr>
          </w:p>
          <w:p w14:paraId="39F81F9B" w14:textId="77777777" w:rsidR="00743B47" w:rsidRPr="005F4695" w:rsidRDefault="00743B47" w:rsidP="00743B47">
            <w:pPr>
              <w:rPr>
                <w:rFonts w:asciiTheme="minorBidi" w:hAnsiTheme="minorBidi" w:cstheme="minorBidi"/>
                <w:color w:val="000000" w:themeColor="text1"/>
                <w:sz w:val="20"/>
                <w:szCs w:val="20"/>
                <w:lang w:val="en-GB" w:eastAsia="en-GB"/>
              </w:rPr>
            </w:pPr>
          </w:p>
          <w:p w14:paraId="581F6452" w14:textId="77777777" w:rsidR="00743B47" w:rsidRPr="005F4695" w:rsidRDefault="00743B47" w:rsidP="00743B47">
            <w:pPr>
              <w:rPr>
                <w:rFonts w:asciiTheme="minorBidi" w:hAnsiTheme="minorBidi" w:cstheme="minorBidi"/>
                <w:color w:val="000000" w:themeColor="text1"/>
                <w:sz w:val="20"/>
                <w:szCs w:val="20"/>
                <w:lang w:val="en-GB" w:eastAsia="en-GB"/>
              </w:rPr>
            </w:pPr>
          </w:p>
        </w:tc>
      </w:tr>
      <w:tr w:rsidR="00743B47" w:rsidRPr="005F4695" w14:paraId="3366E4F0" w14:textId="77777777" w:rsidTr="00B20E43">
        <w:trPr>
          <w:trHeight w:val="388"/>
        </w:trPr>
        <w:tc>
          <w:tcPr>
            <w:tcW w:w="1555" w:type="dxa"/>
          </w:tcPr>
          <w:p w14:paraId="65095DC6" w14:textId="4DF920EB" w:rsidR="00743B47" w:rsidRPr="005F4695" w:rsidRDefault="00743B47" w:rsidP="00743B47">
            <w:pPr>
              <w:rPr>
                <w:rFonts w:asciiTheme="minorBidi" w:hAnsiTheme="minorBidi" w:cstheme="minorBidi"/>
                <w:color w:val="000000" w:themeColor="text1"/>
                <w:sz w:val="20"/>
                <w:szCs w:val="20"/>
                <w:lang w:val="en-GB" w:eastAsia="en-GB"/>
              </w:rPr>
            </w:pPr>
            <w:r w:rsidRPr="003754B5">
              <w:rPr>
                <w:rFonts w:asciiTheme="minorBidi" w:hAnsiTheme="minorBidi" w:cstheme="minorBidi"/>
                <w:sz w:val="20"/>
                <w:szCs w:val="20"/>
                <w:lang w:val="en-GB" w:eastAsia="en-GB"/>
              </w:rPr>
              <w:t>Lelong et al</w:t>
            </w:r>
            <w:r>
              <w:rPr>
                <w:rFonts w:asciiTheme="minorBidi" w:hAnsiTheme="minorBidi" w:cstheme="minorBidi"/>
                <w:sz w:val="20"/>
                <w:szCs w:val="20"/>
                <w:lang w:val="en-GB" w:eastAsia="en-GB"/>
              </w:rPr>
              <w:t>, 2016</w:t>
            </w:r>
            <w:r w:rsidRPr="003754B5">
              <w:rPr>
                <w:rFonts w:asciiTheme="minorBidi" w:hAnsiTheme="minorBidi" w:cstheme="minorBidi"/>
                <w:sz w:val="20"/>
                <w:szCs w:val="20"/>
                <w:lang w:val="en-GB" w:eastAsia="en-GB"/>
              </w:rPr>
              <w:t xml:space="preserve"> </w:t>
            </w:r>
            <w:r w:rsidRPr="003754B5">
              <w:rPr>
                <w:rFonts w:asciiTheme="minorBidi" w:hAnsiTheme="minorBidi" w:cstheme="minorBidi"/>
                <w:sz w:val="20"/>
                <w:szCs w:val="20"/>
                <w:lang w:val="en-GB" w:eastAsia="en-GB"/>
              </w:rPr>
              <w:fldChar w:fldCharType="begin" w:fldLock="1"/>
            </w:r>
            <w:r w:rsidR="004A7B72">
              <w:rPr>
                <w:rFonts w:asciiTheme="minorBidi" w:hAnsiTheme="minorBidi" w:cstheme="minorBidi"/>
                <w:sz w:val="20"/>
                <w:szCs w:val="20"/>
                <w:lang w:val="en-GB" w:eastAsia="en-GB"/>
              </w:rPr>
              <w:instrText>ADDIN CSL_CITATION {"citationItems":[{"id":"ITEM-1","itemData":{"DOI":"10.1093/ajh/hpw017","ISSN":"0895-7061","author":[{"dropping-particle":"","family":"Lelong","given":"Helene","non-dropping-particle":"","parse-names":false,"suffix":""},{"dropping-particle":"","family":"Blacher","given":"Jacques","non-dropping-particle":"","parse-names":false,"suffix":""},{"dropping-particle":"","family":"Menai","given":"Mehdi","non-dropping-particle":"","parse-names":false,"suffix":""},{"dropping-particle":"","family":"Galan","given":"Pilar","non-dropping-particle":"","parse-names":false,"suffix":""},{"dropping-particle":"","family":"Fezeu","given":"Leopold","non-dropping-particle":"","parse-names":false,"suffix":""},{"dropping-particle":"","family":"Hercberg","given":"Serge","non-dropping-particle":"","parse-names":false,"suffix":""},{"dropping-particle":"","family":"Kesse-Guyot","given":"Emmanuelle","non-dropping-particle":"","parse-names":false,"suffix":""}],"container-title":"American Journal of Hypertension","id":"ITEM-1","issue":"8","issued":{"date-parts":[["2016","8","1"]]},"page":"948-958","title":"Association Between Blood Pressure and Adherence to French Dietary Guidelines","type":"article-journal","volume":"29"},"uris":["http://www.mendeley.com/documents/?uuid=9aef6ecb-365e-3340-b8c7-d3e162fb9084","http://www.mendeley.com/documents/?uuid=cf76f562-7b00-4c5f-a836-21bb94b0b446"]}],"mendeley":{"formattedCitation":"(27)","plainTextFormattedCitation":"(27)","previouslyFormattedCitation":"(25)"},"properties":{"noteIndex":0},"schema":"https://github.com/citation-style-language/schema/raw/master/csl-citation.json"}</w:instrText>
            </w:r>
            <w:r w:rsidRPr="003754B5">
              <w:rPr>
                <w:rFonts w:asciiTheme="minorBidi" w:hAnsiTheme="minorBidi" w:cstheme="minorBidi"/>
                <w:sz w:val="20"/>
                <w:szCs w:val="20"/>
                <w:lang w:val="en-GB" w:eastAsia="en-GB"/>
              </w:rPr>
              <w:fldChar w:fldCharType="separate"/>
            </w:r>
            <w:r w:rsidR="004A7B72" w:rsidRPr="004A7B72">
              <w:rPr>
                <w:rFonts w:asciiTheme="minorBidi" w:hAnsiTheme="minorBidi" w:cstheme="minorBidi"/>
                <w:noProof/>
                <w:sz w:val="20"/>
                <w:szCs w:val="20"/>
                <w:lang w:val="en-GB" w:eastAsia="en-GB"/>
              </w:rPr>
              <w:t>(27)</w:t>
            </w:r>
            <w:r w:rsidRPr="003754B5">
              <w:rPr>
                <w:rFonts w:asciiTheme="minorBidi" w:hAnsiTheme="minorBidi" w:cstheme="minorBidi"/>
                <w:sz w:val="20"/>
                <w:szCs w:val="20"/>
                <w:lang w:val="en-GB" w:eastAsia="en-GB"/>
              </w:rPr>
              <w:fldChar w:fldCharType="end"/>
            </w:r>
          </w:p>
        </w:tc>
        <w:tc>
          <w:tcPr>
            <w:tcW w:w="1417" w:type="dxa"/>
          </w:tcPr>
          <w:p w14:paraId="335F6BFE" w14:textId="239FF816"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lang w:val="en-GB" w:eastAsia="en-GB"/>
              </w:rPr>
              <w:t>France</w:t>
            </w:r>
          </w:p>
        </w:tc>
        <w:tc>
          <w:tcPr>
            <w:tcW w:w="1276" w:type="dxa"/>
          </w:tcPr>
          <w:p w14:paraId="6EBEBACC" w14:textId="016F5D18"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lang w:val="en-GB" w:eastAsia="en-GB"/>
              </w:rPr>
              <w:t>11302, adults     (~52 )</w:t>
            </w:r>
          </w:p>
        </w:tc>
        <w:tc>
          <w:tcPr>
            <w:tcW w:w="1559" w:type="dxa"/>
          </w:tcPr>
          <w:p w14:paraId="261127E9" w14:textId="75E0FCF1"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lang w:val="en-GB" w:eastAsia="en-GB"/>
              </w:rPr>
              <w:t>3 x 24hr recalls</w:t>
            </w:r>
          </w:p>
        </w:tc>
        <w:tc>
          <w:tcPr>
            <w:tcW w:w="1559" w:type="dxa"/>
          </w:tcPr>
          <w:p w14:paraId="47B62BA9" w14:textId="52054721"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lang w:val="en-GB" w:eastAsia="en-GB"/>
              </w:rPr>
              <w:t>Comparison:</w:t>
            </w:r>
          </w:p>
          <w:p w14:paraId="2F868BBD" w14:textId="7457F156"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sz w:val="20"/>
                <w:szCs w:val="20"/>
              </w:rPr>
              <w:t xml:space="preserve">Program National Nutrition Santé score (PNNS), </w:t>
            </w:r>
            <w:r w:rsidR="00A940F3">
              <w:rPr>
                <w:rFonts w:asciiTheme="minorBidi" w:hAnsiTheme="minorBidi" w:cstheme="minorBidi"/>
                <w:sz w:val="20"/>
                <w:szCs w:val="20"/>
              </w:rPr>
              <w:t>DASH score</w:t>
            </w:r>
            <w:r w:rsidRPr="005F4695">
              <w:rPr>
                <w:rFonts w:asciiTheme="minorBidi" w:hAnsiTheme="minorBidi" w:cstheme="minorBidi"/>
                <w:sz w:val="20"/>
                <w:szCs w:val="20"/>
              </w:rPr>
              <w:t>, MDS</w:t>
            </w:r>
          </w:p>
          <w:p w14:paraId="7B34DC99" w14:textId="6F524582" w:rsidR="00743B47" w:rsidRPr="005F4695" w:rsidRDefault="00743B47" w:rsidP="00743B47">
            <w:pPr>
              <w:rPr>
                <w:rFonts w:asciiTheme="minorBidi" w:hAnsiTheme="minorBidi" w:cstheme="minorBidi"/>
                <w:color w:val="000000" w:themeColor="text1"/>
                <w:sz w:val="20"/>
                <w:szCs w:val="20"/>
                <w:lang w:val="en-GB" w:eastAsia="en-GB"/>
              </w:rPr>
            </w:pPr>
          </w:p>
        </w:tc>
        <w:tc>
          <w:tcPr>
            <w:tcW w:w="5305" w:type="dxa"/>
          </w:tcPr>
          <w:p w14:paraId="0357AC40" w14:textId="77777777" w:rsidR="00743B47" w:rsidRPr="005F4695" w:rsidRDefault="00743B47" w:rsidP="00743B47">
            <w:pPr>
              <w:rPr>
                <w:rFonts w:asciiTheme="minorBidi" w:hAnsiTheme="minorBidi" w:cstheme="minorBidi"/>
                <w:color w:val="000000" w:themeColor="text1"/>
                <w:sz w:val="20"/>
                <w:szCs w:val="20"/>
                <w:lang w:val="en-GB" w:eastAsia="en-GB"/>
              </w:rPr>
            </w:pPr>
            <w:r w:rsidRPr="00494DAA">
              <w:rPr>
                <w:rFonts w:asciiTheme="minorBidi" w:hAnsiTheme="minorBidi" w:cstheme="minorBidi"/>
                <w:color w:val="000000" w:themeColor="text1"/>
                <w:sz w:val="20"/>
                <w:szCs w:val="20"/>
                <w:lang w:val="en-GB" w:eastAsia="en-GB"/>
              </w:rPr>
              <w:lastRenderedPageBreak/>
              <w:t>PNNS</w:t>
            </w:r>
            <w:r w:rsidRPr="005F4695">
              <w:rPr>
                <w:rFonts w:asciiTheme="minorBidi" w:hAnsiTheme="minorBidi" w:cstheme="minorBidi"/>
                <w:color w:val="000000" w:themeColor="text1"/>
                <w:sz w:val="20"/>
                <w:szCs w:val="20"/>
                <w:lang w:val="en-GB" w:eastAsia="en-GB"/>
              </w:rPr>
              <w:t xml:space="preserve">: 12 (positive: </w:t>
            </w:r>
            <w:r w:rsidRPr="005F4695">
              <w:rPr>
                <w:rFonts w:asciiTheme="minorBidi" w:hAnsiTheme="minorBidi" w:cstheme="minorBidi"/>
                <w:color w:val="000000" w:themeColor="text1"/>
                <w:sz w:val="20"/>
                <w:szCs w:val="20"/>
              </w:rPr>
              <w:t>vegetables and fruits, bread/potato/cereal/legumes, whole grain, milk and dairy, meat/poultry, seafood, added fat, vegetable fat)</w:t>
            </w:r>
            <w:r w:rsidRPr="005F4695">
              <w:rPr>
                <w:rFonts w:asciiTheme="minorBidi" w:hAnsiTheme="minorBidi" w:cstheme="minorBidi"/>
                <w:color w:val="000000" w:themeColor="text1"/>
                <w:sz w:val="20"/>
                <w:szCs w:val="20"/>
                <w:shd w:val="clear" w:color="auto" w:fill="FFFFFF"/>
              </w:rPr>
              <w:t>,</w:t>
            </w:r>
            <w:r w:rsidRPr="005F4695">
              <w:rPr>
                <w:rFonts w:asciiTheme="minorBidi" w:hAnsiTheme="minorBidi" w:cstheme="minorBidi"/>
                <w:color w:val="000000" w:themeColor="text1"/>
                <w:sz w:val="20"/>
                <w:szCs w:val="20"/>
              </w:rPr>
              <w:t xml:space="preserve"> </w:t>
            </w:r>
            <w:r w:rsidRPr="005F4695">
              <w:rPr>
                <w:rFonts w:asciiTheme="minorBidi" w:hAnsiTheme="minorBidi" w:cstheme="minorBidi"/>
                <w:color w:val="000000" w:themeColor="text1"/>
                <w:sz w:val="20"/>
                <w:szCs w:val="20"/>
                <w:lang w:val="en-GB" w:eastAsia="en-GB"/>
              </w:rPr>
              <w:t>negative: salt and added sugars and when energy intake exceeds the energy requirement), -0.5 to 3, overall score ranged from 1 to 3 points</w:t>
            </w:r>
          </w:p>
          <w:p w14:paraId="5577B8A3" w14:textId="608C9305" w:rsidR="00743B47" w:rsidRPr="005F4695" w:rsidRDefault="00A940F3" w:rsidP="00743B47">
            <w:pPr>
              <w:rPr>
                <w:rFonts w:asciiTheme="minorBidi" w:hAnsiTheme="minorBidi" w:cstheme="minorBidi"/>
                <w:color w:val="000000" w:themeColor="text1"/>
                <w:sz w:val="20"/>
                <w:szCs w:val="20"/>
              </w:rPr>
            </w:pPr>
            <w:r>
              <w:rPr>
                <w:rFonts w:asciiTheme="minorBidi" w:hAnsiTheme="minorBidi" w:cstheme="minorBidi"/>
                <w:color w:val="000000" w:themeColor="text1"/>
                <w:sz w:val="20"/>
                <w:szCs w:val="20"/>
              </w:rPr>
              <w:t>DASH score</w:t>
            </w:r>
            <w:r w:rsidR="00743B47" w:rsidRPr="005F4695">
              <w:rPr>
                <w:rFonts w:asciiTheme="minorBidi" w:hAnsiTheme="minorBidi" w:cstheme="minorBidi"/>
                <w:color w:val="000000" w:themeColor="text1"/>
                <w:sz w:val="20"/>
                <w:szCs w:val="20"/>
              </w:rPr>
              <w:t xml:space="preserve">: </w:t>
            </w:r>
            <w:r w:rsidR="00743B47" w:rsidRPr="005F4695">
              <w:rPr>
                <w:rFonts w:asciiTheme="minorBidi" w:hAnsiTheme="minorBidi" w:cstheme="minorBidi"/>
                <w:color w:val="000000" w:themeColor="text1"/>
                <w:sz w:val="20"/>
                <w:szCs w:val="20"/>
                <w:lang w:val="en-GB" w:eastAsia="en-GB"/>
              </w:rPr>
              <w:fldChar w:fldCharType="begin" w:fldLock="1"/>
            </w:r>
            <w:r w:rsidR="00743B47" w:rsidRPr="005F4695">
              <w:rPr>
                <w:rFonts w:asciiTheme="minorBidi" w:hAnsiTheme="minorBidi" w:cstheme="minorBidi"/>
                <w:color w:val="000000" w:themeColor="text1"/>
                <w:sz w:val="20"/>
                <w:szCs w:val="20"/>
                <w:lang w:val="en-GB" w:eastAsia="en-GB"/>
              </w:rPr>
              <w:instrText>ADDIN CSL_CITATION {"citationItems":[{"id":"ITEM-1","itemData":{"DOI":"10.1007/s00394-017-1562-4","ISSN":"1436-6207","PMID":"29098424","abstract":"PURPOSE The aims of this study were to (1) determine the association between diet quality using the Dietary Approaches to Stop Hypertension (DASH) score and cardiometabolic risk in a British working population and (2) identify employee characteristics associated with reporting a poorer quality dietary pattern. METHODS British police employees enrolled (2007-2012) into the Airwave Health Monitoring Study (n = 5527) were included for sex-specific cross-sectional analyses. Dietary intakes were measured using 7-day food records. DASH score was calculated to determine diet quality. Logistic regression evaluated associations between (1) diet quality and increased cardiometabolic risk (defined as ≥ 3 risk markers: dyslipidaemia, elevated blood pressure, waist circumference, CRP or HbA1c), and (2) poor diet quality (lowest fifth of DASH score distribution) and employee characteristics. RESULTS Employees recording a poor diet quality had greater odds (OR) of increased cardiometabolic risk independent of established risk factors (demographic, lifestyle and occupational) and BMI: men OR 1.50 (95% CI 1.12-2.00), women: OR 1.84 (95% CI 1.19-2.97) compared to the healthiest diet group. Characteristics associated with reporting a poor quality diet were employment in Scotland vs. England: men OR 1.88 (95% CI 1.53-2.32), women: OR 1.49 (95% CI 1.11-2.00), longer working hours (≥ 49 vs. ≤40 h) men: OR 1.53 (95% CI 1.21-1.92) women: OR 1.53 (95% CI 1.12-2.09). For men, job strain (high vs. low) was associated with reporting a poor diet quality OR 1.66 (95% CI 1.30-2.12). CONCLUSIONS The general population disparities in diet quality between England and Scotland were reflected in British police employees. The association of longer working hours and job strain with diet quality supports the targeting of workplace nutritional interventions.","author":[{"dropping-particle":"","family":"Gibson","given":"Rachel","non-dropping-particle":"","parse-names":false,"suffix":""},{"dropping-particle":"","family":"Eriksen","given":"Rebeca","non-dropping-particle":"","parse-names":false,"suffix":""},{"dropping-particle":"","family":"Singh","given":"Deepa","non-dropping-particle":"","parse-names":false,"suffix":""},{"dropping-particle":"","family":"Vergnaud","given":"Anne-Claire","non-dropping-particle":"","parse-names":false,"suffix":""},{"dropping-particle":"","family":"Heard","given":"Andrew","non-dropping-particle":"","parse-names":false,"suffix":""},{"dropping-particle":"","family":"Chan","given":"Queenie","non-dropping-particle":"","parse-names":false,"suffix":""},{"dropping-particle":"","family":"Elliott","given":"Paul","non-dropping-particle":"","parse-names":false,"suffix":""},{"dropping-particle":"","family":"Frost","given":"Gary","non-dropping-particle":"","parse-names":false,"suffix":""}],"container-title":"European Journal of Nutrition","id":"ITEM-1","issue":"8","issued":{"date-parts":[["2018","12","2"]]},"page":"2913-2926","title":"A cross-sectional investigation into the occupational and socio-demographic characteristics of British police force employees reporting a dietary pattern associated with cardiometabolic risk: findings from the Airwave Health Monitoring Study","type":"article-journal","volume":"57"},"uris":["http://www.mendeley.com/documents/?uuid=308b59cf-d657-32ee-a72f-ff29a9cd74fd"]}],"mendeley":{"formattedCitation":"(4)","plainTextFormattedCitation":"(4)","previouslyFormattedCitation":"(4)"},"properties":{"noteIndex":0},"schema":"https://github.com/citation-style-language/schema/raw/master/csl-citation.json"}</w:instrText>
            </w:r>
            <w:r w:rsidR="00743B47" w:rsidRPr="005F4695">
              <w:rPr>
                <w:rFonts w:asciiTheme="minorBidi" w:hAnsiTheme="minorBidi" w:cstheme="minorBidi"/>
                <w:color w:val="000000" w:themeColor="text1"/>
                <w:sz w:val="20"/>
                <w:szCs w:val="20"/>
                <w:lang w:val="en-GB" w:eastAsia="en-GB"/>
              </w:rPr>
              <w:fldChar w:fldCharType="separate"/>
            </w:r>
            <w:r w:rsidR="00743B47" w:rsidRPr="005F4695">
              <w:rPr>
                <w:rFonts w:asciiTheme="minorBidi" w:hAnsiTheme="minorBidi" w:cstheme="minorBidi"/>
                <w:noProof/>
                <w:color w:val="000000" w:themeColor="text1"/>
                <w:sz w:val="20"/>
                <w:szCs w:val="20"/>
                <w:lang w:val="en-GB" w:eastAsia="en-GB"/>
              </w:rPr>
              <w:t>(4)</w:t>
            </w:r>
            <w:r w:rsidR="00743B47" w:rsidRPr="005F4695">
              <w:rPr>
                <w:rFonts w:asciiTheme="minorBidi" w:hAnsiTheme="minorBidi" w:cstheme="minorBidi"/>
                <w:color w:val="000000" w:themeColor="text1"/>
                <w:sz w:val="20"/>
                <w:szCs w:val="20"/>
                <w:lang w:val="en-GB" w:eastAsia="en-GB"/>
              </w:rPr>
              <w:fldChar w:fldCharType="end"/>
            </w:r>
          </w:p>
          <w:p w14:paraId="59774700" w14:textId="215456F9"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rPr>
              <w:lastRenderedPageBreak/>
              <w:t xml:space="preserve">MDS: </w:t>
            </w:r>
            <w:r w:rsidRPr="005F4695">
              <w:rPr>
                <w:rFonts w:asciiTheme="minorBidi" w:hAnsiTheme="minorBidi" w:cstheme="minorBidi"/>
                <w:color w:val="000000" w:themeColor="text1"/>
                <w:sz w:val="20"/>
                <w:szCs w:val="20"/>
              </w:rPr>
              <w:fldChar w:fldCharType="begin" w:fldLock="1"/>
            </w:r>
            <w:r w:rsidRPr="005F4695">
              <w:rPr>
                <w:rFonts w:asciiTheme="minorBidi" w:hAnsiTheme="minorBidi" w:cstheme="minorBidi"/>
                <w:color w:val="000000" w:themeColor="text1"/>
                <w:sz w:val="20"/>
                <w:szCs w:val="20"/>
              </w:rPr>
              <w:instrText>ADDIN CSL_CITATION {"citationItems":[{"id":"ITEM-1","itemData":{"DOI":"10.1016/j.atherosclerosis.2018.06.877","ISSN":"00219150","PMID":"29980052","abstract":"BACKGROUND AND AIMS Guidelines recommend a healthy diet as a cornerstone of cardiovascular disease (CVD) prevention. Although the Mediterranean diet (MD) is the best studied dietary pattern for CV outcomes, data on association between MD and severity of CAD are limited. Therefore, we analysed dietary data in association with the SYNTAX score in coronary artery disease (CAD) patients from the INTERCATH study. METHODS The INTERCATH study is an observational study in patients undergoing coronary angiography at the University Heart Center Hamburg. Coronary morphology is assessed by the SYNTAX score. A lifestyle questionnaire collects dietary data with food frequency questions at baseline. Based on seven dietary characteristics, we calculated an established Mediterranean diet score (MDS) with a range of 0-28 points at which 28 points reflect maximal adherence to MD. To investigate the association of MD with severity of CAD, we performed logistic regression analysis after adjustment for confounding factors. RESULTS Of 1121 patients, 27% were women. The median age was 70.7 years (interquartile range (IQR) 61.1,77.0). CV risk factors were distributed as expected for a CAD cohort (31.3% diabetes, 81.1% arterial hypertension, 34.0% smoking, median BMI 26.6 kg/m2 (IQR 24.1, 30.3), median LDL-C 87 mg/dL (IQR 65.0,116,6). Of all variables included, the strongest correlation with MDS was found for log (hs-CRP) (r = -0.21, p &lt; 0.001). Adherence to MD represented by a higher MDS was significantly associated with a reduced probability for a medium/high risk SYNTAX score of ≥23 with an odds ratio (OR) of 0.923 per point increase of MDS (95% confidence interval 0.869-0.979; p = 0.0079). This association remained significant after adjustment for cardiovascular risk factors (OR 0.934, 95% CI 0.877-0.995, p = 0.035). After further adjustment for log (hs-CRP), the association remained no longer significant (OR 0.955 (0.893-1.022, p = 0.19). CONCLUSIONS In this contemporary data set, we found an independent association of adherence to MD with a less complex CAD. Hs-CRP correlated significantly with adherence to MD and may be a marker of the vasoprotective effects of MD. These results strengthen the evidence for the protective effect of an MD pattern in CVD prevention.","author":[{"dropping-particle":"","family":"Waldeyer","given":"Christoph","non-dropping-particle":"","parse-names":false,"suffix":""},{"dropping-particle":"","family":"Brunner","given":"Fabian J.","non-dropping-particle":"","parse-names":false,"suffix":""},{"dropping-particle":"","family":"Braetz","given":"Julian","non-dropping-particle":"","parse-names":false,"suffix":""},{"dropping-particle":"","family":"Ruebsamen","given":"Nicole","non-dropping-particle":"","parse-names":false,"suffix":""},{"dropping-particle":"","family":"Zyriax","given":"Birgit-Christiane","non-dropping-particle":"","parse-names":false,"suffix":""},{"dropping-particle":"","family":"Blaum","given":"Christopher","non-dropping-particle":"","parse-names":false,"suffix":""},{"dropping-particle":"","family":"Kroeger","given":"Friederike","non-dropping-particle":"","parse-names":false,"suffix":""},{"dropping-particle":"","family":"Kohsiack","given":"Rebecca","non-dropping-particle":"","parse-names":false,"suffix":""},{"dropping-particle":"","family":"Schrage","given":"Benedikt","non-dropping-particle":"","parse-names":false,"suffix":""},{"dropping-particle":"","family":"Sinning","given":"Christoph","non-dropping-particle":"","parse-names":false,"suffix":""},{"dropping-particle":"","family":"Becher","given":"Peter M.","non-dropping-particle":"","parse-names":false,"suffix":""},{"dropping-particle":"","family":"Karakas","given":"Mahir","non-dropping-particle":"","parse-names":false,"suffix":""},{"dropping-particle":"","family":"Zeller","given":"Tanja","non-dropping-particle":"","parse-names":false,"suffix":""},{"dropping-particle":"","family":"Westermann","given":"Dirk","non-dropping-particle":"","parse-names":false,"suffix":""},{"dropping-particle":"","family":"Sydow","given":"Karsten","non-dropping-particle":"","parse-names":false,"suffix":""},{"dropping-particle":"","family":"Blankenberg","given":"Stefan","non-dropping-particle":"","parse-names":false,"suffix":""},{"dropping-particle":"","family":"Seiffert","given":"Moritz","non-dropping-particle":"","parse-names":false,"suffix":""},{"dropping-particle":"","family":"Schnabel","given":"Renate B.","non-dropping-particle":"","parse-names":false,"suffix":""}],"container-title":"Atherosclerosis","id":"ITEM-1","issued":{"date-parts":[["2018","8"]]},"page":"256-261","title":"Adherence to Mediterranean diet, high-sensitive C-reactive protein, and severity of coronary artery disease: Contemporary data from the INTERCATH cohort","type":"article-journal","volume":"275"},"uris":["http://www.mendeley.com/documents/?uuid=496ba5d2-06df-371c-a532-789650eebfc5"]}],"mendeley":{"formattedCitation":"(17)","plainTextFormattedCitation":"(17)","previouslyFormattedCitation":"(17)"},"properties":{"noteIndex":0},"schema":"https://github.com/citation-style-language/schema/raw/master/csl-citation.json"}</w:instrText>
            </w:r>
            <w:r w:rsidRPr="005F4695">
              <w:rPr>
                <w:rFonts w:asciiTheme="minorBidi" w:hAnsiTheme="minorBidi" w:cstheme="minorBidi"/>
                <w:color w:val="000000" w:themeColor="text1"/>
                <w:sz w:val="20"/>
                <w:szCs w:val="20"/>
              </w:rPr>
              <w:fldChar w:fldCharType="separate"/>
            </w:r>
            <w:r w:rsidRPr="005F4695">
              <w:rPr>
                <w:rFonts w:asciiTheme="minorBidi" w:hAnsiTheme="minorBidi" w:cstheme="minorBidi"/>
                <w:noProof/>
                <w:color w:val="000000" w:themeColor="text1"/>
                <w:sz w:val="20"/>
                <w:szCs w:val="20"/>
              </w:rPr>
              <w:t>(17)</w:t>
            </w:r>
            <w:r w:rsidRPr="005F4695">
              <w:rPr>
                <w:rFonts w:asciiTheme="minorBidi" w:hAnsiTheme="minorBidi" w:cstheme="minorBidi"/>
                <w:color w:val="000000" w:themeColor="text1"/>
                <w:sz w:val="20"/>
                <w:szCs w:val="20"/>
              </w:rPr>
              <w:fldChar w:fldCharType="end"/>
            </w:r>
            <w:r w:rsidRPr="005F4695">
              <w:rPr>
                <w:rFonts w:asciiTheme="minorBidi" w:hAnsiTheme="minorBidi" w:cstheme="minorBidi"/>
                <w:color w:val="000000" w:themeColor="text1"/>
                <w:sz w:val="20"/>
                <w:szCs w:val="20"/>
              </w:rPr>
              <w:t xml:space="preserve"> </w:t>
            </w:r>
          </w:p>
          <w:p w14:paraId="35FFDA4F" w14:textId="12B20605" w:rsidR="00743B47" w:rsidRPr="005F4695" w:rsidRDefault="00743B47" w:rsidP="00743B47">
            <w:pPr>
              <w:rPr>
                <w:rFonts w:asciiTheme="minorBidi" w:hAnsiTheme="minorBidi" w:cstheme="minorBidi"/>
                <w:color w:val="000000" w:themeColor="text1"/>
                <w:sz w:val="20"/>
                <w:szCs w:val="20"/>
                <w:lang w:val="en-GB" w:eastAsia="en-GB"/>
              </w:rPr>
            </w:pPr>
          </w:p>
        </w:tc>
      </w:tr>
      <w:tr w:rsidR="00743B47" w:rsidRPr="005F4695" w14:paraId="03A11613" w14:textId="77777777" w:rsidTr="00B20E43">
        <w:trPr>
          <w:trHeight w:val="388"/>
        </w:trPr>
        <w:tc>
          <w:tcPr>
            <w:tcW w:w="1555" w:type="dxa"/>
          </w:tcPr>
          <w:p w14:paraId="486D2955" w14:textId="4355B060" w:rsidR="00743B47" w:rsidRPr="005F4695" w:rsidRDefault="00743B47" w:rsidP="00743B47">
            <w:pPr>
              <w:rPr>
                <w:rFonts w:asciiTheme="minorBidi" w:hAnsiTheme="minorBidi" w:cstheme="minorBidi"/>
                <w:color w:val="000000" w:themeColor="text1"/>
                <w:sz w:val="20"/>
                <w:szCs w:val="20"/>
                <w:lang w:val="en-GB" w:eastAsia="en-GB"/>
              </w:rPr>
            </w:pPr>
            <w:r w:rsidRPr="003754B5">
              <w:rPr>
                <w:rFonts w:asciiTheme="minorBidi" w:hAnsiTheme="minorBidi" w:cstheme="minorBidi"/>
                <w:color w:val="000000" w:themeColor="text1"/>
                <w:sz w:val="20"/>
                <w:szCs w:val="20"/>
                <w:lang w:val="en-GB" w:eastAsia="en-GB"/>
              </w:rPr>
              <w:lastRenderedPageBreak/>
              <w:t>Neufcourt et al</w:t>
            </w:r>
            <w:r>
              <w:rPr>
                <w:rFonts w:asciiTheme="minorBidi" w:hAnsiTheme="minorBidi" w:cstheme="minorBidi"/>
                <w:color w:val="000000" w:themeColor="text1"/>
                <w:sz w:val="20"/>
                <w:szCs w:val="20"/>
                <w:lang w:val="en-GB" w:eastAsia="en-GB"/>
              </w:rPr>
              <w:t>, 2016</w:t>
            </w:r>
            <w:r w:rsidRPr="003754B5">
              <w:rPr>
                <w:rFonts w:asciiTheme="minorBidi" w:hAnsiTheme="minorBidi" w:cstheme="minorBidi"/>
                <w:color w:val="000000" w:themeColor="text1"/>
                <w:sz w:val="20"/>
                <w:szCs w:val="20"/>
                <w:lang w:val="en-GB" w:eastAsia="en-GB"/>
              </w:rPr>
              <w:t xml:space="preserve"> </w:t>
            </w:r>
            <w:r w:rsidRPr="003754B5">
              <w:rPr>
                <w:rFonts w:asciiTheme="minorBidi" w:hAnsiTheme="minorBidi" w:cstheme="minorBidi"/>
                <w:color w:val="000000" w:themeColor="text1"/>
                <w:sz w:val="20"/>
                <w:szCs w:val="20"/>
                <w:lang w:val="en-GB" w:eastAsia="en-GB"/>
              </w:rPr>
              <w:fldChar w:fldCharType="begin" w:fldLock="1"/>
            </w:r>
            <w:r w:rsidR="004A7B72">
              <w:rPr>
                <w:rFonts w:asciiTheme="minorBidi" w:hAnsiTheme="minorBidi" w:cstheme="minorBidi"/>
                <w:color w:val="000000" w:themeColor="text1"/>
                <w:sz w:val="20"/>
                <w:szCs w:val="20"/>
                <w:lang w:val="en-GB" w:eastAsia="en-GB"/>
              </w:rPr>
              <w:instrText>ADDIN CSL_CITATION {"citationItems":[{"id":"ITEM-1","itemData":{"DOI":"10.1161/JAHA.115.002735","ISSN":"2047-9980","PMID":"27068628","abstract":"BACKGROUND Cardiovascular diseases (CVD) are the leading cause of death in the world, and diet plays a major role in CVD incidence, especially through lipid oxidation mechanisms. This, in turn, leads to tissue inflammation and formation of atheromatous plaques. METHODS AND RESULTS Our objective was to evaluate the association between the inflammatory potential of the diet and the incidence of overall CVD or its subclasses. We included 7743 participants from the Supplémentation en Vitamines et Minéraux AntioXydants (SU.VI.MAX) cohort. All cardiovascular events were recorded using self-reported information or clinical visits, and were validated. The dietary inflammatory index (DII) was computed using repeated 24-hour dietary records (mean=9.5±3.4 records/subject). Hazard ratio and 95% CI for outcomes (CVD and subclasses) were estimated across sex-specific quartiles of the DII using Cox proportional hazard models. A total of 292 cardiovascular events were recorded and validated during an average of 11.4 years of follow-up: 93 myocardial infarctions, 58 strokes, 128 angina pectoris and revascularization interventions, and 13 sudden deaths. When considering CVD subclasses, a diet with pro-inflammatory properties, as expressed by higher DII scores, was significantly associated with a higher risk of myocardial infarction (hazard ratioQuartile 4 versus Quartile 1=2.24, 95% CI: 1.08-4.67). No significant association was observed between the DII score and stroke or both angina pectoris and revascularization intervention. CONCLUSIONS A pro-inflammatory diet, as measured by a higher DII score, was prospectively associated with a higher risk of myocardial infarction. Promotion of a diet exhibiting anti-inflammatory properties may help prevent myocardial infarctions.","author":[{"dropping-particle":"","family":"Neufcourt","given":"Lola","non-dropping-particle":"","parse-names":false,"suffix":""},{"dropping-particle":"","family":"Assmann","given":"Karen E.","non-dropping-particle":"","parse-names":false,"suffix":""},{"dropping-particle":"","family":"Fezeu","given":"Léopold K.","non-dropping-particle":"","parse-names":false,"suffix":""},{"dropping-particle":"","family":"Touvier","given":"Mathilde","non-dropping-particle":"","parse-names":false,"suffix":""},{"dropping-particle":"","family":"Graffouillère","given":"Laurie","non-dropping-particle":"","parse-names":false,"suffix":""},{"dropping-particle":"","family":"Shivappa","given":"Nitin","non-dropping-particle":"","parse-names":false,"suffix":""},{"dropping-particle":"","family":"Hébert","given":"James R.","non-dropping-particle":"","parse-names":false,"suffix":""},{"dropping-particle":"","family":"Wirth","given":"Michael D.","non-dropping-particle":"","parse-names":false,"suffix":""},{"dropping-particle":"","family":"Hercberg","given":"Serge","non-dropping-particle":"","parse-names":false,"suffix":""},{"dropping-particle":"","family":"Galan","given":"Pilar","non-dropping-particle":"","parse-names":false,"suffix":""},{"dropping-particle":"","family":"Julia","given":"Chantal","non-dropping-particle":"","parse-names":false,"suffix":""},{"dropping-particle":"","family":"Kesse</w:instrText>
            </w:r>
            <w:r w:rsidR="004A7B72">
              <w:rPr>
                <w:rFonts w:ascii="Cambria Math" w:hAnsi="Cambria Math" w:cs="Cambria Math"/>
                <w:color w:val="000000" w:themeColor="text1"/>
                <w:sz w:val="20"/>
                <w:szCs w:val="20"/>
                <w:lang w:val="en-GB" w:eastAsia="en-GB"/>
              </w:rPr>
              <w:instrText>‐</w:instrText>
            </w:r>
            <w:r w:rsidR="004A7B72">
              <w:rPr>
                <w:rFonts w:asciiTheme="minorBidi" w:hAnsiTheme="minorBidi" w:cstheme="minorBidi"/>
                <w:color w:val="000000" w:themeColor="text1"/>
                <w:sz w:val="20"/>
                <w:szCs w:val="20"/>
                <w:lang w:val="en-GB" w:eastAsia="en-GB"/>
              </w:rPr>
              <w:instrText>Guyot","given":"Emmanuelle","non-dropping-particle":"","parse-names":false,"suffix":""}],"container-title":"Journal of the American Heart Association","id":"ITEM-1","issue":"3","issued":{"date-parts":[["2016","3","9"]]},"page":"e002735","title":"Prospective Association Between the Dietary Inflammatory Index and Cardiovascular Diseases in the SUpplémentation en VItamines et Minéraux AntioXydants (SU.VI.MAX) Cohort","type":"article-journal","volume":"5"},"uris":["http://www.mendeley.com/documents/?uuid=c8b8f412-1686-36ce-a0bf-0fe176c2fb6e","http://www.mendeley.com/documents/?uuid=efb3aa43-a717-4509-b56e-d08a68a55af6"]}],"mendeley":{"formattedCitation":"(28)","plainTextFormattedCitation":"(28)","previouslyFormattedCitation":"(26)"},"properties":{"noteIndex":0},"schema":"https://github.com/citation-style-language/schema/raw/master/csl-citation.json"}</w:instrText>
            </w:r>
            <w:r w:rsidRPr="003754B5">
              <w:rPr>
                <w:rFonts w:asciiTheme="minorBidi" w:hAnsiTheme="minorBidi" w:cstheme="minorBidi"/>
                <w:color w:val="000000" w:themeColor="text1"/>
                <w:sz w:val="20"/>
                <w:szCs w:val="20"/>
                <w:lang w:val="en-GB" w:eastAsia="en-GB"/>
              </w:rPr>
              <w:fldChar w:fldCharType="separate"/>
            </w:r>
            <w:r w:rsidR="004A7B72" w:rsidRPr="004A7B72">
              <w:rPr>
                <w:rFonts w:asciiTheme="minorBidi" w:hAnsiTheme="minorBidi" w:cstheme="minorBidi"/>
                <w:noProof/>
                <w:color w:val="000000" w:themeColor="text1"/>
                <w:sz w:val="20"/>
                <w:szCs w:val="20"/>
                <w:lang w:val="en-GB" w:eastAsia="en-GB"/>
              </w:rPr>
              <w:t>(28)</w:t>
            </w:r>
            <w:r w:rsidRPr="003754B5">
              <w:rPr>
                <w:rFonts w:asciiTheme="minorBidi" w:hAnsiTheme="minorBidi" w:cstheme="minorBidi"/>
                <w:color w:val="000000" w:themeColor="text1"/>
                <w:sz w:val="20"/>
                <w:szCs w:val="20"/>
                <w:lang w:val="en-GB" w:eastAsia="en-GB"/>
              </w:rPr>
              <w:fldChar w:fldCharType="end"/>
            </w:r>
          </w:p>
        </w:tc>
        <w:tc>
          <w:tcPr>
            <w:tcW w:w="1417" w:type="dxa"/>
          </w:tcPr>
          <w:p w14:paraId="1ED77341" w14:textId="2C088730"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lang w:val="en-GB" w:eastAsia="en-GB"/>
              </w:rPr>
              <w:t>France</w:t>
            </w:r>
          </w:p>
        </w:tc>
        <w:tc>
          <w:tcPr>
            <w:tcW w:w="1276" w:type="dxa"/>
          </w:tcPr>
          <w:p w14:paraId="4A6D4221" w14:textId="4E43D405"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lang w:val="en-GB" w:eastAsia="en-GB"/>
              </w:rPr>
              <w:t>7743, adults      (45-60 )</w:t>
            </w:r>
          </w:p>
        </w:tc>
        <w:tc>
          <w:tcPr>
            <w:tcW w:w="1559" w:type="dxa"/>
          </w:tcPr>
          <w:p w14:paraId="5C8ECAB2" w14:textId="28A5CFC8"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lang w:val="en-GB" w:eastAsia="en-GB"/>
              </w:rPr>
              <w:t>2 x 24hr recalls</w:t>
            </w:r>
          </w:p>
        </w:tc>
        <w:tc>
          <w:tcPr>
            <w:tcW w:w="1559" w:type="dxa"/>
          </w:tcPr>
          <w:p w14:paraId="6D02FF47" w14:textId="6CADC392"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lang w:val="en-GB" w:eastAsia="en-GB"/>
              </w:rPr>
              <w:t>DII</w:t>
            </w:r>
          </w:p>
        </w:tc>
        <w:tc>
          <w:tcPr>
            <w:tcW w:w="5305" w:type="dxa"/>
          </w:tcPr>
          <w:p w14:paraId="2DFC8F99" w14:textId="77777777" w:rsidR="00743B47" w:rsidRPr="005F4695" w:rsidRDefault="00743B47" w:rsidP="00743B47">
            <w:pPr>
              <w:rPr>
                <w:rFonts w:asciiTheme="minorBidi" w:hAnsiTheme="minorBidi" w:cstheme="minorBidi"/>
                <w:color w:val="000000" w:themeColor="text1"/>
                <w:sz w:val="20"/>
                <w:szCs w:val="20"/>
                <w:shd w:val="clear" w:color="auto" w:fill="FFFFFF"/>
              </w:rPr>
            </w:pPr>
            <w:r w:rsidRPr="005F4695">
              <w:rPr>
                <w:rFonts w:asciiTheme="minorBidi" w:hAnsiTheme="minorBidi" w:cstheme="minorBidi"/>
                <w:color w:val="000000" w:themeColor="text1"/>
                <w:sz w:val="20"/>
                <w:szCs w:val="20"/>
                <w:lang w:val="en-GB" w:eastAsia="en-GB"/>
              </w:rPr>
              <w:t xml:space="preserve">36 </w:t>
            </w:r>
            <w:r w:rsidRPr="005F4695">
              <w:rPr>
                <w:rFonts w:asciiTheme="minorBidi" w:hAnsiTheme="minorBidi" w:cstheme="minorBidi"/>
                <w:color w:val="000000" w:themeColor="text1"/>
                <w:sz w:val="20"/>
                <w:szCs w:val="20"/>
              </w:rPr>
              <w:t xml:space="preserve">(positive: pro-inflammatory food/nutrient, negative: anti-inflammatory food/nutrient), 1 to 4 based on global means, </w:t>
            </w:r>
            <w:r w:rsidRPr="005F4695">
              <w:rPr>
                <w:rFonts w:asciiTheme="minorBidi" w:hAnsiTheme="minorBidi" w:cstheme="minorBidi"/>
                <w:color w:val="000000" w:themeColor="text1"/>
                <w:sz w:val="20"/>
                <w:szCs w:val="20"/>
                <w:shd w:val="clear" w:color="auto" w:fill="FFFFFF"/>
              </w:rPr>
              <w:t>overall score ranged from-8.87 (maximally anti-inflammatory) to +7.98 (maximally pro-inflammatory)</w:t>
            </w:r>
          </w:p>
          <w:p w14:paraId="27084739" w14:textId="7B274E87" w:rsidR="00743B47" w:rsidRPr="005F4695" w:rsidRDefault="00743B47" w:rsidP="00743B47">
            <w:pPr>
              <w:rPr>
                <w:rFonts w:asciiTheme="minorBidi" w:hAnsiTheme="minorBidi" w:cstheme="minorBidi"/>
                <w:color w:val="000000" w:themeColor="text1"/>
                <w:sz w:val="20"/>
                <w:szCs w:val="20"/>
                <w:lang w:val="en-GB" w:eastAsia="en-GB"/>
              </w:rPr>
            </w:pPr>
          </w:p>
        </w:tc>
      </w:tr>
      <w:tr w:rsidR="00743B47" w:rsidRPr="005F4695" w14:paraId="3733A2C2" w14:textId="77777777" w:rsidTr="00B20E43">
        <w:trPr>
          <w:trHeight w:val="388"/>
        </w:trPr>
        <w:tc>
          <w:tcPr>
            <w:tcW w:w="1555" w:type="dxa"/>
          </w:tcPr>
          <w:p w14:paraId="1D94C7F6" w14:textId="52ACBF30" w:rsidR="00743B47" w:rsidRPr="005F4695" w:rsidRDefault="00743B47" w:rsidP="00743B47">
            <w:pPr>
              <w:rPr>
                <w:rFonts w:asciiTheme="minorBidi" w:hAnsiTheme="minorBidi" w:cstheme="minorBidi"/>
                <w:color w:val="000000" w:themeColor="text1"/>
                <w:sz w:val="20"/>
                <w:szCs w:val="20"/>
                <w:lang w:val="en-GB" w:eastAsia="en-GB"/>
              </w:rPr>
            </w:pPr>
            <w:r w:rsidRPr="003754B5">
              <w:rPr>
                <w:rFonts w:asciiTheme="minorBidi" w:hAnsiTheme="minorBidi" w:cstheme="minorBidi"/>
                <w:sz w:val="20"/>
                <w:szCs w:val="20"/>
              </w:rPr>
              <w:t>Alkerwi et al</w:t>
            </w:r>
            <w:r>
              <w:rPr>
                <w:rFonts w:asciiTheme="minorBidi" w:hAnsiTheme="minorBidi" w:cstheme="minorBidi"/>
                <w:sz w:val="20"/>
                <w:szCs w:val="20"/>
              </w:rPr>
              <w:t>, 2015</w:t>
            </w:r>
            <w:r w:rsidRPr="003754B5">
              <w:rPr>
                <w:rFonts w:asciiTheme="minorBidi" w:hAnsiTheme="minorBidi" w:cstheme="minorBidi"/>
                <w:sz w:val="20"/>
                <w:szCs w:val="20"/>
              </w:rPr>
              <w:t xml:space="preserve"> </w:t>
            </w:r>
            <w:r w:rsidRPr="003754B5">
              <w:rPr>
                <w:rFonts w:asciiTheme="minorBidi" w:hAnsiTheme="minorBidi" w:cstheme="minorBidi"/>
                <w:sz w:val="20"/>
                <w:szCs w:val="20"/>
              </w:rPr>
              <w:fldChar w:fldCharType="begin" w:fldLock="1"/>
            </w:r>
            <w:r w:rsidR="004A7B72">
              <w:rPr>
                <w:rFonts w:asciiTheme="minorBidi" w:hAnsiTheme="minorBidi" w:cstheme="minorBidi"/>
                <w:sz w:val="20"/>
                <w:szCs w:val="20"/>
              </w:rPr>
              <w:instrText>ADDIN CSL_CITATION {"citationItems":[{"id":"ITEM-1","itemData":{"DOI":"10.1017/S0007114514003456","ISBN":"0007114514003","ISSN":"14752662","PMID":"25475010","abstract":"The scientific community has become increasingly interested in the overall quality of diets rather than in single food-based or single nutrientbased approaches to examine diet–disease relationships. Despite the plethora of indices used to measure diet quality, there still exist questions as to which of these can best predict health outcomes. The present study aimed to compare the ability of five diet quality indices, namely the Recommendation Compliance Index (RCI), Diet Quality Index-International (DQI-I), Dietary Approaches to Stop Hypertension (DASH), Mediterranean Diet Score (MDS), and Dietary Inflammatory Index (DII), to detect changes in chronic disease risk biomarkers. Nutritional data from 1352 participants, aged 18–69 years, of the Luxembourg nationwide cross-sectional ORISCAV-LUX (Observation of Cardiovascular Risk Factors in Luxembourg) study, 2007–8, were used to calculate adherence to the diet quality index. General linear modelling was performed to assess trends in biomarkers according to adherence to different dietary patterns, after adjustment for age, sex, education level, smoking status, physical activity and energy intake. Among the five selected diet quality indices, the MDS exhibited the best ability to detect changes in numerous risk markers and was significantly associated with lower levels of LDL-cholesterol, apo B, diastolic blood pressure, renal function indicators (creatinine and uric acid) and liver enzymes (serum g-glutamyl-transpeptidase and glutamate-pyruvate transaminase). Compared with other dietary patterns, higher adherence to the Mediterranean diet is associated with a favourable cardiometabolic, hepatic and renal risk profile. Diets congruent with current universally accepted guidelines may be insufficient to prevent chronic diseases. Clinicians and public health decision makers should be aware of needs to improve the current dietary guidelines.","author":[{"dropping-particle":"","family":"Alkerwi","given":"Ala'a","non-dropping-particle":"","parse-names":false,"suffix":""},{"dropping-particle":"","family":"Vernier","given":"Cédric","non-dropping-particle":"","parse-names":false,"suffix":""},{"dropping-particle":"","family":"Crichton","given":"Georgina E.","non-dropping-particle":"","parse-names":false,"suffix":""},{"dropping-particle":"","family":"Sauvageot","given":"Nicolas","non-dropping-particle":"","parse-names":false,"suffix":""},{"dropping-particle":"","family":"Shivappa","given":"Nitin","non-dropping-particle":"","parse-names":false,"suffix":""},{"dropping-particle":"","family":"Hébert","given":"James R.","non-dropping-particle":"","parse-names":false,"suffix":""}],"container-title":"British Journal of Nutrition","id":"ITEM-1","issue":"2","issued":{"date-parts":[["2015","1","28"]]},"page":"259-269","title":"Cross-comparison of diet quality indices for predicting chronic disease risk: Findings from the Observation of Cardiovascular Risk Factors in Luxembourg (ORISCAV-LUX) study","type":"article-journal","volume":"113"},"uris":["http://www.mendeley.com/documents/?uuid=7021c9b1-10ce-4ad0-acbc-9d4b12c599cc"]}],"mendeley":{"formattedCitation":"(29)","plainTextFormattedCitation":"(29)","previouslyFormattedCitation":"(27)"},"properties":{"noteIndex":0},"schema":"https://github.com/citation-style-language/schema/raw/master/csl-citation.json"}</w:instrText>
            </w:r>
            <w:r w:rsidRPr="003754B5">
              <w:rPr>
                <w:rFonts w:asciiTheme="minorBidi" w:hAnsiTheme="minorBidi" w:cstheme="minorBidi"/>
                <w:sz w:val="20"/>
                <w:szCs w:val="20"/>
              </w:rPr>
              <w:fldChar w:fldCharType="separate"/>
            </w:r>
            <w:r w:rsidR="004A7B72" w:rsidRPr="004A7B72">
              <w:rPr>
                <w:rFonts w:asciiTheme="minorBidi" w:hAnsiTheme="minorBidi" w:cstheme="minorBidi"/>
                <w:noProof/>
                <w:sz w:val="20"/>
                <w:szCs w:val="20"/>
              </w:rPr>
              <w:t>(29)</w:t>
            </w:r>
            <w:r w:rsidRPr="003754B5">
              <w:rPr>
                <w:rFonts w:asciiTheme="minorBidi" w:hAnsiTheme="minorBidi" w:cstheme="minorBidi"/>
                <w:sz w:val="20"/>
                <w:szCs w:val="20"/>
              </w:rPr>
              <w:fldChar w:fldCharType="end"/>
            </w:r>
          </w:p>
        </w:tc>
        <w:tc>
          <w:tcPr>
            <w:tcW w:w="1417" w:type="dxa"/>
          </w:tcPr>
          <w:p w14:paraId="6FC7EF66" w14:textId="39F0DC0E"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rPr>
              <w:t>Luxembourg </w:t>
            </w:r>
          </w:p>
        </w:tc>
        <w:tc>
          <w:tcPr>
            <w:tcW w:w="1276" w:type="dxa"/>
          </w:tcPr>
          <w:p w14:paraId="6437FD62" w14:textId="4B89341E"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rPr>
              <w:t>1352, adults    (</w:t>
            </w:r>
            <w:r w:rsidRPr="005F4695">
              <w:rPr>
                <w:rFonts w:asciiTheme="minorBidi" w:eastAsiaTheme="minorHAnsi" w:hAnsiTheme="minorBidi" w:cstheme="minorBidi"/>
                <w:color w:val="000000" w:themeColor="text1"/>
                <w:sz w:val="20"/>
                <w:szCs w:val="20"/>
              </w:rPr>
              <w:t>18-69 )</w:t>
            </w:r>
          </w:p>
        </w:tc>
        <w:tc>
          <w:tcPr>
            <w:tcW w:w="1559" w:type="dxa"/>
          </w:tcPr>
          <w:p w14:paraId="53009701" w14:textId="69DB3A3D"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rPr>
              <w:t>FFQ          (134 items)</w:t>
            </w:r>
          </w:p>
        </w:tc>
        <w:tc>
          <w:tcPr>
            <w:tcW w:w="1559" w:type="dxa"/>
          </w:tcPr>
          <w:p w14:paraId="58ADEB9C" w14:textId="3BEBCE14"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rPr>
              <w:t xml:space="preserve">Comparison: </w:t>
            </w:r>
            <w:r w:rsidRPr="005F4695">
              <w:rPr>
                <w:rFonts w:asciiTheme="minorBidi" w:hAnsiTheme="minorBidi" w:cstheme="minorBidi"/>
                <w:sz w:val="20"/>
                <w:szCs w:val="20"/>
              </w:rPr>
              <w:t xml:space="preserve">Diet Quality Index-International (DQI-I), </w:t>
            </w:r>
            <w:r w:rsidR="00A940F3">
              <w:rPr>
                <w:rFonts w:asciiTheme="minorBidi" w:hAnsiTheme="minorBidi" w:cstheme="minorBidi"/>
                <w:sz w:val="20"/>
                <w:szCs w:val="20"/>
              </w:rPr>
              <w:t>DASH score</w:t>
            </w:r>
            <w:r w:rsidRPr="005F4695">
              <w:rPr>
                <w:rFonts w:asciiTheme="minorBidi" w:hAnsiTheme="minorBidi" w:cstheme="minorBidi"/>
                <w:sz w:val="20"/>
                <w:szCs w:val="20"/>
              </w:rPr>
              <w:t>, MDS, DII</w:t>
            </w:r>
          </w:p>
        </w:tc>
        <w:tc>
          <w:tcPr>
            <w:tcW w:w="5305" w:type="dxa"/>
          </w:tcPr>
          <w:p w14:paraId="6FF76C5D" w14:textId="77777777" w:rsidR="00743B47" w:rsidRPr="005F4695" w:rsidRDefault="00743B47" w:rsidP="00743B47">
            <w:pPr>
              <w:rPr>
                <w:rFonts w:asciiTheme="minorBidi" w:hAnsiTheme="minorBidi" w:cstheme="minorBidi"/>
                <w:color w:val="000000" w:themeColor="text1"/>
                <w:sz w:val="20"/>
                <w:szCs w:val="20"/>
              </w:rPr>
            </w:pPr>
            <w:r w:rsidRPr="005F4695">
              <w:rPr>
                <w:rFonts w:asciiTheme="minorBidi" w:hAnsiTheme="minorBidi" w:cstheme="minorBidi"/>
                <w:color w:val="000000" w:themeColor="text1"/>
                <w:sz w:val="20"/>
                <w:szCs w:val="20"/>
              </w:rPr>
              <w:t>RCI: 13 (grain products, dairy products, meat-poultry-fish-eggs, with values ranging from -0.5 (for excessive salt) to 14, with similar weights assigned to each food/nutrient</w:t>
            </w:r>
          </w:p>
          <w:p w14:paraId="0754E09E" w14:textId="77777777" w:rsidR="00743B47" w:rsidRPr="005F4695" w:rsidRDefault="00743B47" w:rsidP="00743B47">
            <w:pPr>
              <w:rPr>
                <w:rFonts w:asciiTheme="minorBidi" w:hAnsiTheme="minorBidi" w:cstheme="minorBidi"/>
                <w:color w:val="000000" w:themeColor="text1"/>
                <w:sz w:val="20"/>
                <w:szCs w:val="20"/>
              </w:rPr>
            </w:pPr>
            <w:r w:rsidRPr="005F4695">
              <w:rPr>
                <w:rFonts w:asciiTheme="minorBidi" w:hAnsiTheme="minorBidi" w:cstheme="minorBidi"/>
                <w:color w:val="000000" w:themeColor="text1"/>
                <w:sz w:val="20"/>
                <w:szCs w:val="20"/>
              </w:rPr>
              <w:t xml:space="preserve">DQI: </w:t>
            </w:r>
            <w:r w:rsidRPr="005F4695">
              <w:rPr>
                <w:rFonts w:asciiTheme="minorBidi" w:eastAsiaTheme="minorHAnsi" w:hAnsiTheme="minorBidi" w:cstheme="minorBidi"/>
                <w:color w:val="000000" w:themeColor="text1"/>
                <w:sz w:val="20"/>
                <w:szCs w:val="20"/>
              </w:rPr>
              <w:t>focuses on four major components: variety; adequacy; moderation; overall balance and incorporates both nutrients and foods from the assessed diet</w:t>
            </w:r>
            <w:r w:rsidRPr="005F4695">
              <w:rPr>
                <w:rFonts w:asciiTheme="minorBidi" w:hAnsiTheme="minorBidi" w:cstheme="minorBidi"/>
                <w:color w:val="000000" w:themeColor="text1"/>
                <w:sz w:val="20"/>
                <w:szCs w:val="20"/>
              </w:rPr>
              <w:t>, total score ranges from 0 to 100, with ‘100’ indicating a high-quality diet</w:t>
            </w:r>
          </w:p>
          <w:p w14:paraId="2334AF3E" w14:textId="4D1DB27A" w:rsidR="00743B47" w:rsidRPr="005F4695" w:rsidRDefault="00743B47" w:rsidP="00743B47">
            <w:pPr>
              <w:rPr>
                <w:rFonts w:asciiTheme="minorBidi" w:hAnsiTheme="minorBidi" w:cstheme="minorBidi"/>
                <w:color w:val="000000" w:themeColor="text1"/>
                <w:sz w:val="20"/>
                <w:szCs w:val="20"/>
                <w:lang w:val="en-GB" w:eastAsia="en-GB"/>
              </w:rPr>
            </w:pPr>
          </w:p>
        </w:tc>
      </w:tr>
      <w:tr w:rsidR="00743B47" w:rsidRPr="005F4695" w14:paraId="3C1A6CF3" w14:textId="77777777" w:rsidTr="00B20E43">
        <w:trPr>
          <w:trHeight w:val="388"/>
        </w:trPr>
        <w:tc>
          <w:tcPr>
            <w:tcW w:w="1555" w:type="dxa"/>
          </w:tcPr>
          <w:p w14:paraId="5C50BA30" w14:textId="53A37929" w:rsidR="00743B47" w:rsidRPr="005F4695" w:rsidRDefault="00743B47" w:rsidP="00743B47">
            <w:pPr>
              <w:rPr>
                <w:rFonts w:asciiTheme="minorBidi" w:hAnsiTheme="minorBidi" w:cstheme="minorBidi"/>
                <w:color w:val="000000" w:themeColor="text1"/>
                <w:sz w:val="20"/>
                <w:szCs w:val="20"/>
                <w:lang w:val="en-GB" w:eastAsia="en-GB"/>
              </w:rPr>
            </w:pPr>
            <w:r w:rsidRPr="003754B5">
              <w:rPr>
                <w:rFonts w:asciiTheme="minorBidi" w:hAnsiTheme="minorBidi" w:cstheme="minorBidi"/>
                <w:color w:val="000000" w:themeColor="text1"/>
                <w:sz w:val="20"/>
                <w:szCs w:val="20"/>
              </w:rPr>
              <w:t>Sijtsma et al</w:t>
            </w:r>
            <w:r>
              <w:rPr>
                <w:rFonts w:asciiTheme="minorBidi" w:hAnsiTheme="minorBidi" w:cstheme="minorBidi"/>
                <w:color w:val="000000" w:themeColor="text1"/>
                <w:sz w:val="20"/>
                <w:szCs w:val="20"/>
              </w:rPr>
              <w:t>, 2015</w:t>
            </w:r>
            <w:r w:rsidRPr="003754B5">
              <w:rPr>
                <w:rFonts w:asciiTheme="minorBidi" w:hAnsiTheme="minorBidi" w:cstheme="minorBidi"/>
                <w:color w:val="000000" w:themeColor="text1"/>
                <w:sz w:val="20"/>
                <w:szCs w:val="20"/>
              </w:rPr>
              <w:t xml:space="preserve"> </w:t>
            </w:r>
            <w:r w:rsidRPr="003754B5">
              <w:rPr>
                <w:rFonts w:asciiTheme="minorBidi" w:hAnsiTheme="minorBidi" w:cstheme="minorBidi"/>
                <w:color w:val="000000" w:themeColor="text1"/>
                <w:sz w:val="20"/>
                <w:szCs w:val="20"/>
              </w:rPr>
              <w:fldChar w:fldCharType="begin" w:fldLock="1"/>
            </w:r>
            <w:r w:rsidR="004A7B72">
              <w:rPr>
                <w:rFonts w:asciiTheme="minorBidi" w:hAnsiTheme="minorBidi" w:cstheme="minorBidi"/>
                <w:color w:val="000000" w:themeColor="text1"/>
                <w:sz w:val="20"/>
                <w:szCs w:val="20"/>
              </w:rPr>
              <w:instrText>ADDIN CSL_CITATION {"citationItems":[{"id":"ITEM-1","itemData":{"DOI":"10.3945/ajcn.115.112276","PMID":"26490494","abstract":"BACKGROUND Little is known about dietary scores and mortality risk in cardiac patients who are well treated with drugs with attendant relatively low risk of cardiovascular diseases (CVDs). OBJECTIVE We assessed whether healthy eating lowers the risk of CVD and all-cause mortality in cardiac patients. DESIGN We included 4307 patients from the Alpha Omega Trial aged 60-80 y with a clinically diagnosed myocardial infarction and monitored mortality for 10 y. Diet was assessed at baseline (2002-2006) with a validated 203-item food-frequency questionnaire. We created 2 dietary scores on the basis of nonoverlapping sets of foods: the Dutch Healthy Nutrient and Food Score (DHNaFS) and the Dutch Undesirable Nutrient and Food Score (DUNaFS). The associations of both dietary scores with CVD and all-cause mortality were assessed by using multivariable-adjusted Cox regression models. RESULTS The median time after myocardial infarction at baseline was 3.7 y (IQR: 1.7-6.3 y). During a median of 6.5 y of follow-up (IQR: 5.3-7.6 y), 801 patients died; 342 of those died of CVD. One patient was lost to follow-up. A substantially higher average amount of DHNaFS foods (</w:instrText>
            </w:r>
            <w:r w:rsidR="004A7B72">
              <w:rPr>
                <w:rFonts w:ascii="Cambria Math" w:hAnsi="Cambria Math" w:cs="Cambria Math"/>
                <w:color w:val="000000" w:themeColor="text1"/>
                <w:sz w:val="20"/>
                <w:szCs w:val="20"/>
              </w:rPr>
              <w:instrText>∼</w:instrText>
            </w:r>
            <w:r w:rsidR="004A7B72">
              <w:rPr>
                <w:rFonts w:asciiTheme="minorBidi" w:hAnsiTheme="minorBidi" w:cstheme="minorBidi"/>
                <w:color w:val="000000" w:themeColor="text1"/>
                <w:sz w:val="20"/>
                <w:szCs w:val="20"/>
              </w:rPr>
              <w:instrText>1750 g/d) than DUNaFS foods (</w:instrText>
            </w:r>
            <w:r w:rsidR="004A7B72">
              <w:rPr>
                <w:rFonts w:ascii="Cambria Math" w:hAnsi="Cambria Math" w:cs="Cambria Math"/>
                <w:color w:val="000000" w:themeColor="text1"/>
                <w:sz w:val="20"/>
                <w:szCs w:val="20"/>
              </w:rPr>
              <w:instrText>∼</w:instrText>
            </w:r>
            <w:r w:rsidR="004A7B72">
              <w:rPr>
                <w:rFonts w:asciiTheme="minorBidi" w:hAnsiTheme="minorBidi" w:cstheme="minorBidi"/>
                <w:color w:val="000000" w:themeColor="text1"/>
                <w:sz w:val="20"/>
                <w:szCs w:val="20"/>
              </w:rPr>
              <w:instrText>650 g/d) was consumed. Almost all patients received drug treatment: 86% used statins, 90% used antihypertensive medication, and 98% used antithrombotic medication. Patients in the fifth quintile of the DHNaFS had a 30% (HR: 0.70; 95% CI: 0.55, 0.91) lower CVD risk and a 32% (HR: 0.68; 95% CI: 0.47, 0.99) lower all-cause mortality risk than did patients in the first quintile. The DUNaFS was unrelated to both CVD and all-cause mortality. CONCLUSION Beyond state-of-the-art drug treatment, healthy eating was associated with a lower risk of CVD and all-cause mortality in cardiac patients. This trial was registered at clinicaltrials.gov as NCT00127452.","author":[{"dropping-particle":"","family":"Sijtsma","given":"Femke PC C","non-dropping-particle":"","parse-names":false,"suffix":""},{"dropping-particle":"","family":"Soedamah-Muthu","given":"Sabita S","non-dropping-particle":"","parse-names":false,"suffix":""},{"dropping-particle":"","family":"Goede","given":"Janette","non-dropping-particle":"de","parse-names":false,"suffix":""},{"dropping-particle":"","family":"Oude Griep","given":"Linda M","non-dropping-particle":"","parse-names":false,"suffix":""},{"dropping-particle":"","family":"Geleijnse","given":"Johanna M","non-dropping-particle":"","parse-names":false,"suffix":""},{"dropping-particle":"","family":"Giltay","given":"Erik J","non-dropping-particle":"","parse-names":false,"suffix":""},{"dropping-particle":"","family":"Boer","given":"Menko Jan","non-dropping-particle":"de","parse-names":false,"suffix":""},{"dropping-particle":"","family":"Jacobs","given":"David R","non-dropping-particle":"","parse-names":false,"suffix":""},{"dropping-particle":"","family":"Kromhout","given":"Daan","non-dropping-particle":"","parse-names":false,"suffix":""},{"dropping-particle":"","family":"Kromhout","given":"Daan","non-dropping-particle":"","parse-names":false,"suffix":""}],"id":"ITEM-1","issue":"6","issued":{"date-parts":[["2015","12","1"]]},"page":"1527-33","title":"Healthy eating and lower mortality risk in a large cohort of cardiac patients who received state-of-the-art drug treatment","type":"article-journal","volume":"102"},"uris":["http://www.mendeley.com/documents/?uuid=1aa28cd7-6ba1-4a07-a5ac-d6f3c53804f6"]}],"mendeley":{"formattedCitation":"(30)","plainTextFormattedCitation":"(30)","previouslyFormattedCitation":"(28)"},"properties":{"noteIndex":0},"schema":"https://github.com/citation-style-language/schema/raw/master/csl-citation.json"}</w:instrText>
            </w:r>
            <w:r w:rsidRPr="003754B5">
              <w:rPr>
                <w:rFonts w:asciiTheme="minorBidi" w:hAnsiTheme="minorBidi" w:cstheme="minorBidi"/>
                <w:color w:val="000000" w:themeColor="text1"/>
                <w:sz w:val="20"/>
                <w:szCs w:val="20"/>
              </w:rPr>
              <w:fldChar w:fldCharType="separate"/>
            </w:r>
            <w:r w:rsidR="004A7B72" w:rsidRPr="004A7B72">
              <w:rPr>
                <w:rFonts w:asciiTheme="minorBidi" w:hAnsiTheme="minorBidi" w:cstheme="minorBidi"/>
                <w:noProof/>
                <w:color w:val="000000" w:themeColor="text1"/>
                <w:sz w:val="20"/>
                <w:szCs w:val="20"/>
              </w:rPr>
              <w:t>(30)</w:t>
            </w:r>
            <w:r w:rsidRPr="003754B5">
              <w:rPr>
                <w:rFonts w:asciiTheme="minorBidi" w:hAnsiTheme="minorBidi" w:cstheme="minorBidi"/>
                <w:color w:val="000000" w:themeColor="text1"/>
                <w:sz w:val="20"/>
                <w:szCs w:val="20"/>
              </w:rPr>
              <w:fldChar w:fldCharType="end"/>
            </w:r>
          </w:p>
        </w:tc>
        <w:tc>
          <w:tcPr>
            <w:tcW w:w="1417" w:type="dxa"/>
          </w:tcPr>
          <w:p w14:paraId="2003B508" w14:textId="07DBCA3B"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rPr>
              <w:t xml:space="preserve">Netherlands </w:t>
            </w:r>
          </w:p>
        </w:tc>
        <w:tc>
          <w:tcPr>
            <w:tcW w:w="1276" w:type="dxa"/>
          </w:tcPr>
          <w:p w14:paraId="4944B578" w14:textId="4D739386"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rPr>
              <w:t>4307, adults     (</w:t>
            </w:r>
            <w:r w:rsidRPr="005F4695">
              <w:rPr>
                <w:rFonts w:asciiTheme="minorBidi" w:eastAsiaTheme="minorHAnsi" w:hAnsiTheme="minorBidi" w:cstheme="minorBidi"/>
                <w:color w:val="000000" w:themeColor="text1"/>
                <w:sz w:val="20"/>
                <w:szCs w:val="20"/>
              </w:rPr>
              <w:t>60–80)</w:t>
            </w:r>
          </w:p>
        </w:tc>
        <w:tc>
          <w:tcPr>
            <w:tcW w:w="1559" w:type="dxa"/>
          </w:tcPr>
          <w:p w14:paraId="6BF293F5" w14:textId="7776889C" w:rsidR="00743B47" w:rsidRPr="005F4695" w:rsidRDefault="00743B47" w:rsidP="00743B47">
            <w:pPr>
              <w:autoSpaceDE w:val="0"/>
              <w:autoSpaceDN w:val="0"/>
              <w:adjustRightInd w:val="0"/>
              <w:rPr>
                <w:rFonts w:asciiTheme="minorBidi" w:eastAsiaTheme="minorHAnsi" w:hAnsiTheme="minorBidi" w:cstheme="minorBidi"/>
                <w:color w:val="000000" w:themeColor="text1"/>
                <w:sz w:val="20"/>
                <w:szCs w:val="20"/>
              </w:rPr>
            </w:pPr>
            <w:r w:rsidRPr="005F4695">
              <w:rPr>
                <w:rFonts w:asciiTheme="minorBidi" w:hAnsiTheme="minorBidi" w:cstheme="minorBidi"/>
                <w:color w:val="000000" w:themeColor="text1"/>
                <w:sz w:val="20"/>
                <w:szCs w:val="20"/>
              </w:rPr>
              <w:t>FFQ              (203 items)</w:t>
            </w:r>
          </w:p>
        </w:tc>
        <w:tc>
          <w:tcPr>
            <w:tcW w:w="1559" w:type="dxa"/>
          </w:tcPr>
          <w:p w14:paraId="54231643" w14:textId="7B2A5075"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sz w:val="20"/>
                <w:szCs w:val="20"/>
              </w:rPr>
              <w:t>Dutch Healthy/Unhealthy Eating Nutrient Score (DHNaFS, DUNaFS)</w:t>
            </w:r>
          </w:p>
        </w:tc>
        <w:tc>
          <w:tcPr>
            <w:tcW w:w="5305" w:type="dxa"/>
          </w:tcPr>
          <w:p w14:paraId="6AD10A37" w14:textId="77777777" w:rsidR="00743B47" w:rsidRPr="005F4695" w:rsidRDefault="00743B47" w:rsidP="00743B47">
            <w:pPr>
              <w:rPr>
                <w:rFonts w:asciiTheme="minorBidi" w:eastAsiaTheme="minorHAnsi" w:hAnsiTheme="minorBidi" w:cstheme="minorBidi"/>
                <w:color w:val="000000" w:themeColor="text1"/>
                <w:sz w:val="20"/>
                <w:szCs w:val="20"/>
              </w:rPr>
            </w:pPr>
            <w:r w:rsidRPr="005F4695">
              <w:rPr>
                <w:rFonts w:asciiTheme="minorBidi" w:hAnsiTheme="minorBidi" w:cstheme="minorBidi"/>
                <w:color w:val="000000" w:themeColor="text1"/>
                <w:sz w:val="20"/>
                <w:szCs w:val="20"/>
              </w:rPr>
              <w:t xml:space="preserve">DUNaFS: 11 (lean meat, fish, eggs, vegetables, fruit, whole grains, legumes, potatoes, low-fat dairy, oils, and non-caloric drinks) DHNaFS: 13 (solid fats, sodium, and/or added sugar: high-fat meat, processed meat, processed food, full-fat milk, cheese, refined grains, butter and margarines, soups, spreads, ready-to-eat meals, savory and sweet snacks, , and sugar-sweetened beverages), 0 to 4, </w:t>
            </w:r>
            <w:r w:rsidRPr="005F4695">
              <w:rPr>
                <w:rFonts w:asciiTheme="minorBidi" w:eastAsiaTheme="minorHAnsi" w:hAnsiTheme="minorBidi" w:cstheme="minorBidi"/>
                <w:color w:val="000000" w:themeColor="text1"/>
                <w:sz w:val="20"/>
                <w:szCs w:val="20"/>
              </w:rPr>
              <w:t>overall maximum score for the DHNaFS was 44 and for the DUNaFS was 52</w:t>
            </w:r>
          </w:p>
          <w:p w14:paraId="6119F6B5" w14:textId="5E39CF42" w:rsidR="00743B47" w:rsidRPr="005F4695" w:rsidRDefault="00743B47" w:rsidP="00743B47">
            <w:pPr>
              <w:rPr>
                <w:rFonts w:asciiTheme="minorBidi" w:hAnsiTheme="minorBidi" w:cstheme="minorBidi"/>
                <w:color w:val="000000" w:themeColor="text1"/>
                <w:sz w:val="20"/>
                <w:szCs w:val="20"/>
                <w:lang w:val="en-GB" w:eastAsia="en-GB"/>
              </w:rPr>
            </w:pPr>
          </w:p>
        </w:tc>
      </w:tr>
      <w:tr w:rsidR="00743B47" w:rsidRPr="005F4695" w14:paraId="29E3C3E9" w14:textId="77777777" w:rsidTr="00B20E43">
        <w:trPr>
          <w:trHeight w:val="388"/>
        </w:trPr>
        <w:tc>
          <w:tcPr>
            <w:tcW w:w="1555" w:type="dxa"/>
          </w:tcPr>
          <w:p w14:paraId="5B16DF6A" w14:textId="2BCC8384" w:rsidR="00743B47" w:rsidRPr="005F4695" w:rsidRDefault="00743B47" w:rsidP="00743B47">
            <w:pPr>
              <w:rPr>
                <w:rFonts w:asciiTheme="minorBidi" w:hAnsiTheme="minorBidi" w:cstheme="minorBidi"/>
                <w:color w:val="000000" w:themeColor="text1"/>
                <w:sz w:val="20"/>
                <w:szCs w:val="20"/>
                <w:lang w:val="en-GB" w:eastAsia="en-GB"/>
              </w:rPr>
            </w:pPr>
            <w:r w:rsidRPr="003754B5">
              <w:rPr>
                <w:rFonts w:asciiTheme="minorBidi" w:hAnsiTheme="minorBidi" w:cstheme="minorBidi"/>
                <w:sz w:val="20"/>
                <w:szCs w:val="20"/>
                <w:lang w:val="en-GB" w:eastAsia="en-GB"/>
              </w:rPr>
              <w:t>Lemming et al</w:t>
            </w:r>
            <w:r>
              <w:rPr>
                <w:rFonts w:asciiTheme="minorBidi" w:hAnsiTheme="minorBidi" w:cstheme="minorBidi"/>
                <w:sz w:val="20"/>
                <w:szCs w:val="20"/>
                <w:lang w:val="en-GB" w:eastAsia="en-GB"/>
              </w:rPr>
              <w:t>, 2018</w:t>
            </w:r>
            <w:r w:rsidRPr="003754B5">
              <w:rPr>
                <w:rFonts w:asciiTheme="minorBidi" w:hAnsiTheme="minorBidi" w:cstheme="minorBidi"/>
                <w:sz w:val="20"/>
                <w:szCs w:val="20"/>
                <w:lang w:val="en-GB" w:eastAsia="en-GB"/>
              </w:rPr>
              <w:t xml:space="preserve"> </w:t>
            </w:r>
            <w:r w:rsidRPr="003754B5">
              <w:rPr>
                <w:rFonts w:asciiTheme="minorBidi" w:hAnsiTheme="minorBidi" w:cstheme="minorBidi"/>
                <w:sz w:val="20"/>
                <w:szCs w:val="20"/>
                <w:lang w:val="en-GB" w:eastAsia="en-GB"/>
              </w:rPr>
              <w:fldChar w:fldCharType="begin" w:fldLock="1"/>
            </w:r>
            <w:r w:rsidR="004A7B72">
              <w:rPr>
                <w:rFonts w:asciiTheme="minorBidi" w:hAnsiTheme="minorBidi" w:cstheme="minorBidi"/>
                <w:sz w:val="20"/>
                <w:szCs w:val="20"/>
                <w:lang w:val="en-GB" w:eastAsia="en-GB"/>
              </w:rPr>
              <w:instrText>ADDIN CSL_CITATION {"citationItems":[{"id":"ITEM-1","itemData":{"DOI":"10.1017/S0007114518000387","ISSN":"14752662","PMID":"29569544","abstract":"&lt;p&gt;High adherence to healthy diets has the potential to prevent disease and prolong life span, and healthy dietary pattern scores have each been associated with disease and mortality. We studied two commonly promoted healthy diet scores (modified Mediterranean diet score (mMED) and the Healthy Nordic Food Index (HNFI)) and the combined effect of the two scores in association with all-cause and cause-specific mortality (cancer, CVD and ischaemic heart disease). The study included 38 428 women (median age of 61 years) from the Swedish Mammography Cohort. Diet and covariate data were collected in a questionnaire. mMED and HNFI were generated and categorised into low-, medium- and high-adherence groups, and in nine combinations of these. Multivariable-adjusted hazard ratios (HR) of register-ascertained mortality and 95 % CI were calculated in Cox proportional hazards regression analysis. During follow-up (median: 17 years), 10 478 women died. In the high-adherence categories compared with low-adherence categories, the HR for all-cause mortality was 0·76 (95 % CI 0·70, 0·81) for mMED and 0·89 (95 % CI 0·83, 0·96) for HNFI. Higher adherence to mMED was associated with lower mortality in each stratum of HNFI in the combined analysis. In general, mMED, compared with HNFI, was more strongly associated with a lower cause-specific mortality. In Swedish women, both mMED and HNFI were inversely associated with all-cause and cardiovascular mortality. The combined analysis, however, indicated an advantage to be adherent to the mMED. The present version of HNFI did not associate with mortality independent of mMED score.&lt;/p&gt;","author":[{"dropping-particle":"","family":"Warensjö Lemming","given":"Eva","non-dropping-particle":"","parse-names":false,"suffix":""},{"dropping-particle":"","family":"Byberg","given":"Liisa","non-dropping-particle":"","parse-names":false,"suffix":""},{"dropping-particle":"","family":"Wolk","given":"Alicja","non-dropping-particle":"","parse-names":false,"suffix":""},{"dropping-particle":"","family":"Michaëlsson","given":"Karl","non-dropping-particle":"","parse-names":false,"suffix":""},{"dropping-particle":"","family":"Lemming","given":"Eva Warensjö","non-dropping-particle":"","parse-names":false,"suffix":""},{"dropping-particle":"","family":"Byberg","given":"Liisa","non-dropping-particle":"","parse-names":false,"suffix":""},{"dropping-particle":"","family":"Wolk","given":"Alicja","non-dropping-particle":"","parse-names":false,"suffix":""},{"dropping-particle":"","family":"Michaëlsson","given":"Karl","non-dropping-particle":"","parse-names":false,"suffix":""},{"dropping-particle":"","family":"Warensjö Lemming","given":"Eva","non-dropping-particle":"","parse-names":false,"suffix":""},{"dropping-particle":"","family":"Byberg","given":"Liisa","non-dropping-particle":"","parse-names":false,"suffix":""},{"dropping-particle":"","family":"Wolk","given":"Alicja","non-dropping-particle":"","parse-names":false,"suffix":""},{"dropping-particle":"","family":"Michaëlsson","given":"Karl","non-dropping-particle":"","parse-names":false,"suffix":""}],"container-title":"British Journal of Nutrition","id":"ITEM-1","issue":"7","issued":{"date-parts":[["2018","4","23"]]},"page":"836-846","title":"A comparison between two healthy diet scores, the modified Mediterranean diet score and the Healthy Nordic Food Index, in relation to all-cause and cause-specific mortality","type":"article-journal","volume":"119"},"uris":["http://www.mendeley.com/documents/?uuid=3b17f6f4-0c10-4d9b-a746-20a082d4676f"]}],"mendeley":{"formattedCitation":"(31)","plainTextFormattedCitation":"(31)","previouslyFormattedCitation":"(29)"},"properties":{"noteIndex":0},"schema":"https://github.com/citation-style-language/schema/raw/master/csl-citation.json"}</w:instrText>
            </w:r>
            <w:r w:rsidRPr="003754B5">
              <w:rPr>
                <w:rFonts w:asciiTheme="minorBidi" w:hAnsiTheme="minorBidi" w:cstheme="minorBidi"/>
                <w:sz w:val="20"/>
                <w:szCs w:val="20"/>
                <w:lang w:val="en-GB" w:eastAsia="en-GB"/>
              </w:rPr>
              <w:fldChar w:fldCharType="separate"/>
            </w:r>
            <w:r w:rsidR="004A7B72" w:rsidRPr="004A7B72">
              <w:rPr>
                <w:rFonts w:asciiTheme="minorBidi" w:hAnsiTheme="minorBidi" w:cstheme="minorBidi"/>
                <w:noProof/>
                <w:sz w:val="20"/>
                <w:szCs w:val="20"/>
                <w:lang w:val="en-GB" w:eastAsia="en-GB"/>
              </w:rPr>
              <w:t>(31)</w:t>
            </w:r>
            <w:r w:rsidRPr="003754B5">
              <w:rPr>
                <w:rFonts w:asciiTheme="minorBidi" w:hAnsiTheme="minorBidi" w:cstheme="minorBidi"/>
                <w:sz w:val="20"/>
                <w:szCs w:val="20"/>
                <w:lang w:val="en-GB" w:eastAsia="en-GB"/>
              </w:rPr>
              <w:fldChar w:fldCharType="end"/>
            </w:r>
          </w:p>
        </w:tc>
        <w:tc>
          <w:tcPr>
            <w:tcW w:w="1417" w:type="dxa"/>
          </w:tcPr>
          <w:p w14:paraId="1785C319" w14:textId="3B6FCCC4"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lang w:val="en-GB" w:eastAsia="en-GB"/>
              </w:rPr>
              <w:t>Sweden</w:t>
            </w:r>
          </w:p>
        </w:tc>
        <w:tc>
          <w:tcPr>
            <w:tcW w:w="1276" w:type="dxa"/>
          </w:tcPr>
          <w:p w14:paraId="019A448B" w14:textId="4CE219FA"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lang w:val="en-GB" w:eastAsia="en-GB"/>
              </w:rPr>
              <w:t>38428, adults (~61)</w:t>
            </w:r>
          </w:p>
        </w:tc>
        <w:tc>
          <w:tcPr>
            <w:tcW w:w="1559" w:type="dxa"/>
          </w:tcPr>
          <w:p w14:paraId="16442D4A" w14:textId="5325310F"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lang w:val="en-GB" w:eastAsia="en-GB"/>
              </w:rPr>
              <w:t>FFQ            (96 items)</w:t>
            </w:r>
          </w:p>
        </w:tc>
        <w:tc>
          <w:tcPr>
            <w:tcW w:w="1559" w:type="dxa"/>
          </w:tcPr>
          <w:p w14:paraId="6ABEF88F" w14:textId="77777777"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lang w:val="en-GB" w:eastAsia="en-GB"/>
              </w:rPr>
              <w:t>Comparison:</w:t>
            </w:r>
          </w:p>
          <w:p w14:paraId="508A2A7A" w14:textId="66F7981C"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sz w:val="20"/>
                <w:szCs w:val="20"/>
              </w:rPr>
              <w:t>Modified MDS, Healthy Nordic food index (HNFI)</w:t>
            </w:r>
          </w:p>
        </w:tc>
        <w:tc>
          <w:tcPr>
            <w:tcW w:w="5305" w:type="dxa"/>
          </w:tcPr>
          <w:p w14:paraId="64098AC2" w14:textId="7081C7C1"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bCs/>
                <w:color w:val="000000" w:themeColor="text1"/>
                <w:sz w:val="20"/>
                <w:szCs w:val="20"/>
                <w:lang w:val="en-GB" w:eastAsia="en-GB"/>
              </w:rPr>
              <w:t>Modified MDS</w:t>
            </w:r>
            <w:r w:rsidRPr="005F4695">
              <w:rPr>
                <w:rFonts w:asciiTheme="minorBidi" w:hAnsiTheme="minorBidi" w:cstheme="minorBidi"/>
                <w:color w:val="000000" w:themeColor="text1"/>
                <w:sz w:val="20"/>
                <w:szCs w:val="20"/>
                <w:lang w:val="en-GB" w:eastAsia="en-GB"/>
              </w:rPr>
              <w:t xml:space="preserve">: </w:t>
            </w:r>
            <w:r w:rsidRPr="005F4695">
              <w:rPr>
                <w:rFonts w:asciiTheme="minorBidi" w:hAnsiTheme="minorBidi" w:cstheme="minorBidi"/>
                <w:color w:val="000000" w:themeColor="text1"/>
                <w:sz w:val="20"/>
                <w:szCs w:val="20"/>
              </w:rPr>
              <w:fldChar w:fldCharType="begin" w:fldLock="1"/>
            </w:r>
            <w:r w:rsidRPr="005F4695">
              <w:rPr>
                <w:rFonts w:asciiTheme="minorBidi" w:hAnsiTheme="minorBidi" w:cstheme="minorBidi"/>
                <w:color w:val="000000" w:themeColor="text1"/>
                <w:sz w:val="20"/>
                <w:szCs w:val="20"/>
              </w:rPr>
              <w:instrText>ADDIN CSL_CITATION {"citationItems":[{"id":"ITEM-1","itemData":{"DOI":"10.1016/j.atherosclerosis.2015.08.039","ISSN":"00219150","PMID":"26363438","abstract":"BACKGROUND AND AIMS The Mediterranean diet, which is palatable and easily achievable, has been associated with lower all-cause and cardiovascular disease (CVD) incidence and mortality. Data on heart failure (HF) and stroke types are lacking. The aim was to examine a Mediterranean diet in relation to incidence of myocardial infarction (MI), HF and stroke types in a Swedish prospective cohort. METHODS In a population-based cohort of 32,921 women, diet was assessed through a self-administered questionnaire. The modified Mediterranean diet (mMED) score was created based on high consumption of vegetables, fruits, legumes, nuts, whole grains, fermented dairy products, fish and monounsaturated fat, moderate intakes of alcohol and low consumption of red meat, on a 0-8 scale. Relative risks (RR) with 95% confidence intervals (CI), adjusted for potential confounders, were estimated by Cox proportional hazards regression models. RESULTS During 10 y of follow-up (1998-2008), 1109 MIs, 1648 HFs, 1270 ischemic strokes and 262 total hemorrhagic strokes were ascertained. A high adherence to the mMED score (6-8), compared to low, was associated with a lower risk of MI (RR: 0.74, 95% CI: 0.61-0.90, p = 0.003), HF (RR: 0.79, 95% CI: 0.68-0.93, p = 0.004) and ischemic stroke (RR: 0.78, 95% CI: 0.65-0.93, p = 0.007), but not hemorrhagic stroke (RR: 0.88, 95% CI: 0.61-1.29, p = 0.53). CONCLUSIONS Better adherence to a Mediterranean diet was associated with lower risk of MI, HF and ischemic stroke. The Mediterranean diet is most likely to be beneficial in primary prevention of all major types of atherosclerosis-related CVD.","author":[{"dropping-particle":"","family":"Tektonidis","given":"Thanasis G.","non-dropping-particle":"","parse-names":false,"suffix":""},{"dropping-particle":"","family":"Åkesson","given":"Agneta","non-dropping-particle":"","parse-names":false,"suffix":""},{"dropping-particle":"","family":"Gigante","given":"Bruna","non-dropping-particle":"","parse-names":false,"suffix":""},{"dropping-particle":"","family":"Wolk","given":"Alicja","non-dropping-particle":"","parse-names":false,"suffix":""},{"dropping-particle":"","family":"Larsson","given":"Susanna C.","non-dropping-particle":"","parse-names":false,"suffix":""}],"container-title":"Atherosclerosis","id":"ITEM-1","issue":"1","issued":{"date-parts":[["2015","11"]]},"page":"93-98","title":"A Mediterranean diet and risk of myocardial infarction, heart failure and stroke: A population-based cohort study","type":"article-journal","volume":"243"},"uris":["http://www.mendeley.com/documents/?uuid=235f69cd-329e-3e86-9e09-c559ebdb91de"]}],"mendeley":{"formattedCitation":"(32)","plainTextFormattedCitation":"(32)","previouslyFormattedCitation":"(32)"},"properties":{"noteIndex":0},"schema":"https://github.com/citation-style-language/schema/raw/master/csl-citation.json"}</w:instrText>
            </w:r>
            <w:r w:rsidRPr="005F4695">
              <w:rPr>
                <w:rFonts w:asciiTheme="minorBidi" w:hAnsiTheme="minorBidi" w:cstheme="minorBidi"/>
                <w:color w:val="000000" w:themeColor="text1"/>
                <w:sz w:val="20"/>
                <w:szCs w:val="20"/>
              </w:rPr>
              <w:fldChar w:fldCharType="separate"/>
            </w:r>
            <w:r w:rsidRPr="005F4695">
              <w:rPr>
                <w:rFonts w:asciiTheme="minorBidi" w:hAnsiTheme="minorBidi" w:cstheme="minorBidi"/>
                <w:noProof/>
                <w:color w:val="000000" w:themeColor="text1"/>
                <w:sz w:val="20"/>
                <w:szCs w:val="20"/>
              </w:rPr>
              <w:t>(32)</w:t>
            </w:r>
            <w:r w:rsidRPr="005F4695">
              <w:rPr>
                <w:rFonts w:asciiTheme="minorBidi" w:hAnsiTheme="minorBidi" w:cstheme="minorBidi"/>
                <w:color w:val="000000" w:themeColor="text1"/>
                <w:sz w:val="20"/>
                <w:szCs w:val="20"/>
              </w:rPr>
              <w:fldChar w:fldCharType="end"/>
            </w:r>
          </w:p>
          <w:p w14:paraId="2A2CEAC0" w14:textId="7341027D"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sz w:val="20"/>
                <w:szCs w:val="20"/>
              </w:rPr>
              <w:t>HNFI:</w:t>
            </w:r>
            <w:r w:rsidRPr="005F4695">
              <w:rPr>
                <w:rFonts w:asciiTheme="minorBidi" w:hAnsiTheme="minorBidi" w:cstheme="minorBidi"/>
                <w:b/>
                <w:bCs/>
                <w:color w:val="000000" w:themeColor="text1"/>
                <w:sz w:val="20"/>
                <w:szCs w:val="20"/>
                <w:lang w:val="en-GB" w:eastAsia="en-GB"/>
              </w:rPr>
              <w:t xml:space="preserve"> </w:t>
            </w:r>
            <w:r w:rsidRPr="005F4695">
              <w:rPr>
                <w:rFonts w:asciiTheme="minorBidi" w:hAnsiTheme="minorBidi" w:cstheme="minorBidi"/>
                <w:color w:val="000000" w:themeColor="text1"/>
                <w:sz w:val="20"/>
                <w:szCs w:val="20"/>
                <w:lang w:val="en-GB" w:eastAsia="en-GB"/>
              </w:rPr>
              <w:fldChar w:fldCharType="begin" w:fldLock="1"/>
            </w:r>
            <w:r w:rsidRPr="005F4695">
              <w:rPr>
                <w:rFonts w:asciiTheme="minorBidi" w:hAnsiTheme="minorBidi" w:cstheme="minorBidi"/>
                <w:color w:val="000000" w:themeColor="text1"/>
                <w:sz w:val="20"/>
                <w:szCs w:val="20"/>
                <w:lang w:val="en-GB" w:eastAsia="en-GB"/>
              </w:rPr>
              <w:instrText>ADDIN CSL_CITATION {"citationItems":[{"id":"ITEM-1","itemData":{"DOI":"10.1111/joim.12378","ISSN":"09546820","PMID":"25991078","abstract":"BACKGROUND In several intervention trials, a healthy Nordic diet showed beneficial effects on markers of cardiovascular disease. We investigated the association between a healthy Nordic diet and clinical diagnosis of cardiovascular disease. OBJECTIVE Our aim was first to examine the association between a healthy Nordic food index (wholegrain bread, oatmeal, apples/pears, root vegetables, cabbages and fish) and the incidence of overall cardiovascular disease (ischaemic heart disease, stroke, arrhythmia, thrombosis and hypertensive disease), and secondly to test for possible effect modification by smoking, body mass index (BMI), alcohol consumption and age. METHODS We conducted an analysis of data from the prospective Swedish Women's Lifestyle and Health cohort, including 43 310 women who completed a food frequency questionnaire in 1991-1992, and followed up until 31 December 2012 through Swedish registries. Hazard ratios (HRs) and 95% confidence intervals (CIs) were calculated using Cox proportional hazards models. RESULTS During follow-up, 8383 women developed cardiovascular disease. We found no association between the healthy Nordic food index and overall cardiovascular disease risk or any of the subgroups investigated. There was a statistically significant interaction with smoking status (P = 0.02), with a beneficial effect only amongst former smokers (HR 0.96, 95% CI 0.94-0.99 per 1-point increment). CONCLUSION The present results do not support an association between a healthy Nordic food index and risk of cardiovascular disease in Swedish women. There was also no effect modification by alcohol intake, BMI or age. Our finding of an interaction with smoking status requires reproduction.","author":[{"dropping-particle":"","family":"Roswall","given":"N.","non-dropping-particle":"","parse-names":false,"suffix":""},{"dropping-particle":"","family":"Sandin","given":"S.","non-dropping-particle":"","parse-names":false,"suffix":""},{"dropping-particle":"","family":"Scragg","given":"R.","non-dropping-particle":"","parse-names":false,"suffix":""},{"dropping-particle":"","family":"Löf","given":"M.","non-dropping-particle":"","parse-names":false,"suffix":""},{"dropping-particle":"","family":"Skeie","given":"G.","non-dropping-particle":"","parse-names":false,"suffix":""},{"dropping-particle":"","family":"Olsen","given":"A.","non-dropping-particle":"","parse-names":false,"suffix":""},{"dropping-particle":"","family":"Adami","given":"H.-O.","non-dropping-particle":"","parse-names":false,"suffix":""},{"dropping-particle":"","family":"Weiderpass","given":"E.","non-dropping-particle":"","parse-names":false,"suffix":""}],"container-title":"Journal of Internal Medicine","id":"ITEM-1","issue":"5","issued":{"date-parts":[["2015","11"]]},"page":"531-541","title":"No association between adherence to the healthy Nordic food index and cardiovascular disease amongst Swedish women: a cohort study","type":"article-journal","volume":"278"},"uris":["http://www.mendeley.com/documents/?uuid=c9cc7655-cf42-398e-8739-1148b5b5bbad"]}],"mendeley":{"formattedCitation":"(33)","plainTextFormattedCitation":"(33)","previouslyFormattedCitation":"(33)"},"properties":{"noteIndex":0},"schema":"https://github.com/citation-style-language/schema/raw/master/csl-citation.json"}</w:instrText>
            </w:r>
            <w:r w:rsidRPr="005F4695">
              <w:rPr>
                <w:rFonts w:asciiTheme="minorBidi" w:hAnsiTheme="minorBidi" w:cstheme="minorBidi"/>
                <w:color w:val="000000" w:themeColor="text1"/>
                <w:sz w:val="20"/>
                <w:szCs w:val="20"/>
                <w:lang w:val="en-GB" w:eastAsia="en-GB"/>
              </w:rPr>
              <w:fldChar w:fldCharType="separate"/>
            </w:r>
            <w:r w:rsidRPr="005F4695">
              <w:rPr>
                <w:rFonts w:asciiTheme="minorBidi" w:hAnsiTheme="minorBidi" w:cstheme="minorBidi"/>
                <w:noProof/>
                <w:color w:val="000000" w:themeColor="text1"/>
                <w:sz w:val="20"/>
                <w:szCs w:val="20"/>
                <w:lang w:val="en-GB" w:eastAsia="en-GB"/>
              </w:rPr>
              <w:t>(33)</w:t>
            </w:r>
            <w:r w:rsidRPr="005F4695">
              <w:rPr>
                <w:rFonts w:asciiTheme="minorBidi" w:hAnsiTheme="minorBidi" w:cstheme="minorBidi"/>
                <w:color w:val="000000" w:themeColor="text1"/>
                <w:sz w:val="20"/>
                <w:szCs w:val="20"/>
                <w:lang w:val="en-GB" w:eastAsia="en-GB"/>
              </w:rPr>
              <w:fldChar w:fldCharType="end"/>
            </w:r>
          </w:p>
          <w:p w14:paraId="5F8C714F" w14:textId="1A4AE31C"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rPr>
              <w:t xml:space="preserve"> </w:t>
            </w:r>
          </w:p>
        </w:tc>
      </w:tr>
      <w:tr w:rsidR="00743B47" w:rsidRPr="005F4695" w14:paraId="2B35EBAE" w14:textId="77777777" w:rsidTr="00B20E43">
        <w:trPr>
          <w:trHeight w:val="388"/>
        </w:trPr>
        <w:tc>
          <w:tcPr>
            <w:tcW w:w="1555" w:type="dxa"/>
          </w:tcPr>
          <w:p w14:paraId="52A7F525" w14:textId="394965AC" w:rsidR="00743B47" w:rsidRPr="005F4695" w:rsidRDefault="00743B47" w:rsidP="00743B47">
            <w:pPr>
              <w:rPr>
                <w:rFonts w:asciiTheme="minorBidi" w:hAnsiTheme="minorBidi" w:cstheme="minorBidi"/>
                <w:color w:val="000000" w:themeColor="text1"/>
                <w:sz w:val="20"/>
                <w:szCs w:val="20"/>
                <w:lang w:val="en-GB" w:eastAsia="en-GB"/>
              </w:rPr>
            </w:pPr>
            <w:r w:rsidRPr="003754B5">
              <w:rPr>
                <w:rFonts w:asciiTheme="minorBidi" w:hAnsiTheme="minorBidi" w:cstheme="minorBidi"/>
                <w:color w:val="000000" w:themeColor="text1"/>
                <w:sz w:val="20"/>
                <w:szCs w:val="20"/>
                <w:lang w:val="en-GB" w:eastAsia="en-GB"/>
              </w:rPr>
              <w:t>Boden et al</w:t>
            </w:r>
            <w:r>
              <w:rPr>
                <w:rFonts w:asciiTheme="minorBidi" w:hAnsiTheme="minorBidi" w:cstheme="minorBidi"/>
                <w:color w:val="000000" w:themeColor="text1"/>
                <w:sz w:val="20"/>
                <w:szCs w:val="20"/>
                <w:lang w:val="en-GB" w:eastAsia="en-GB"/>
              </w:rPr>
              <w:t>, 2017</w:t>
            </w:r>
            <w:r w:rsidRPr="003754B5">
              <w:rPr>
                <w:rFonts w:asciiTheme="minorBidi" w:hAnsiTheme="minorBidi" w:cstheme="minorBidi"/>
                <w:color w:val="000000" w:themeColor="text1"/>
                <w:sz w:val="20"/>
                <w:szCs w:val="20"/>
                <w:lang w:val="en-GB" w:eastAsia="en-GB"/>
              </w:rPr>
              <w:t xml:space="preserve"> </w:t>
            </w:r>
            <w:r w:rsidRPr="003754B5">
              <w:rPr>
                <w:rFonts w:asciiTheme="minorBidi" w:hAnsiTheme="minorBidi" w:cstheme="minorBidi"/>
                <w:color w:val="000000" w:themeColor="text1"/>
                <w:sz w:val="20"/>
                <w:szCs w:val="20"/>
                <w:lang w:val="en-GB" w:eastAsia="en-GB"/>
              </w:rPr>
              <w:fldChar w:fldCharType="begin" w:fldLock="1"/>
            </w:r>
            <w:r w:rsidR="004A7B72">
              <w:rPr>
                <w:rFonts w:asciiTheme="minorBidi" w:hAnsiTheme="minorBidi" w:cstheme="minorBidi"/>
                <w:color w:val="000000" w:themeColor="text1"/>
                <w:sz w:val="20"/>
                <w:szCs w:val="20"/>
                <w:lang w:val="en-GB" w:eastAsia="en-GB"/>
              </w:rPr>
              <w:instrText>ADDIN CSL_CITATION {"citationItems":[{"id":"ITEM-1","itemData":{"DOI":"10.1186/s12937-017-0243-8","ISSN":"1475-2891","abstract":"Chronic, low-grade inflammation is an established risk factor for cardiovascular disease. The inflammatory impact of diet can be reflected by concentrations of inflammatory markers in the bloodstream and the inflammatory potential of diet can be estimated by the dietary inflammatory index (DIITM), which has been associated with cardiovascular disease risk in some previous studies. We aimed to examine the association between the DII and the risk of first myocardial infarction (MI) in a population-based study with long follow-up. We conducted a prospective case–control study of 1389 verified cases of first MI and 5555 matched controls nested within the population-based cohorts of the Northern Sweden Health and Disease Study (NSHDS), of which the largest is the ongoing Västerbotten Intervention Programme (VIP) with nearly 100 000 participants during the study period. Median follow-up from recruitment to MI diagnosis was 6.4 years (6.2 for men and 7.2 for women). DII scores were derived from a validated food frequency questionnaire (FFQ) administered in 1986–2006. Multivariable conditional logistic regression models were used to estimate odds ratios (OR) and 95% confidence intervals (CI), using quartile 1 (most anti-inflammatory diet) as the reference category. For validation, general linear models were used to estimate the association between the DII scores and two inflammatory markers, high-sensitivity C-reactive protein (hsCRP) and interleukin 6 (IL-6) in a subset (n = 605) of the study population. Male participants with the most pro-inflammatory DII scores had an increased risk of MI [ORQ4vsQ1 = 1.57 (95% CI 1.21–2.02) P trend = 0.02], which was essentially unchanged after adjustment for potential confounders, including cardiovascular risk factors [ORQ4vsQ1 = 1.50 (95% CI 1.14–1.99), P trend = 0.10]. No association was found between DII and MI in women. An increase of one DII score unit was associated with 9% higher hsCRP (95% CI 0.03–0.14) and 6% higher IL-6 (95% CI 0.02–0.11) in 605 controls with biomarker data available. A pro-inflammatory diet was associated with an elevated risk of first myocardial infarction in men; whereas for women the relationship was null. Consideration of the inflammatory impact of diet could improve prevention of cardiovascular disease.","author":[{"dropping-particle":"","family":"Bodén","given":"Stina","non-dropping-particle":"","parse-names":false,"suffix":""},{"dropping-particle":"","family":"Wennberg","given":"Maria","non-dropping-particle":"","parse-names":false,"suffix":""},{"dropping-particle":"","family":"Guelpen","given":"Bethany","non-dropping-particle":"Van","parse-names":false,"suffix":""},{"dropping-particle":"","family":"Johansson","given":"Ingegerd","non-dropping-particle":"","parse-names":false,"suffix":""},{"dropping-particle":"","family":"Lindahl","given":"Bernt","non-dropping-particle":"","parse-names":false,"suffix":""},{"dropping-particle":"","family":"Andersson","given":"Jonas","non-dropping-particle":"","parse-names":false,"suffix":""},{"dropping-particle":"","family":"Shivappa","given":"Nitin","non-dropping-particle":"","parse-names":false,"suffix":""},{"dropping-particle":"","family":"Hebert","given":"James R.","non-dropping-particle":"","parse-names":false,"suffix":""},{"dropping-particle":"","family":"Nilsson","given":"Lena Maria","non-dropping-particle":"","parse-names":false,"suffix":""}],"container-title":"Nutrition Journal","id":"ITEM-1","issue":"1","issued":{"date-parts":[["2017","12","4"]]},"page":"21","title":"Dietary inflammatory index and risk of first myocardial infarction; a prospective population-based study","type":"article-journal","volume":"16"},"uris":["http://www.mendeley.com/documents/?uuid=572bcc3a-3260-3f82-869b-5da9dfefb7e2"]}],"mendeley":{"formattedCitation":"(34)","plainTextFormattedCitation":"(34)","previouslyFormattedCitation":"(30)"},"properties":{"noteIndex":0},"schema":"https://github.com/citation-style-language/schema/raw/master/csl-citation.json"}</w:instrText>
            </w:r>
            <w:r w:rsidRPr="003754B5">
              <w:rPr>
                <w:rFonts w:asciiTheme="minorBidi" w:hAnsiTheme="minorBidi" w:cstheme="minorBidi"/>
                <w:color w:val="000000" w:themeColor="text1"/>
                <w:sz w:val="20"/>
                <w:szCs w:val="20"/>
                <w:lang w:val="en-GB" w:eastAsia="en-GB"/>
              </w:rPr>
              <w:fldChar w:fldCharType="separate"/>
            </w:r>
            <w:r w:rsidR="004A7B72" w:rsidRPr="004A7B72">
              <w:rPr>
                <w:rFonts w:asciiTheme="minorBidi" w:hAnsiTheme="minorBidi" w:cstheme="minorBidi"/>
                <w:noProof/>
                <w:color w:val="000000" w:themeColor="text1"/>
                <w:sz w:val="20"/>
                <w:szCs w:val="20"/>
                <w:lang w:val="en-GB" w:eastAsia="en-GB"/>
              </w:rPr>
              <w:t>(34)</w:t>
            </w:r>
            <w:r w:rsidRPr="003754B5">
              <w:rPr>
                <w:rFonts w:asciiTheme="minorBidi" w:hAnsiTheme="minorBidi" w:cstheme="minorBidi"/>
                <w:color w:val="000000" w:themeColor="text1"/>
                <w:sz w:val="20"/>
                <w:szCs w:val="20"/>
                <w:lang w:val="en-GB" w:eastAsia="en-GB"/>
              </w:rPr>
              <w:fldChar w:fldCharType="end"/>
            </w:r>
          </w:p>
        </w:tc>
        <w:tc>
          <w:tcPr>
            <w:tcW w:w="1417" w:type="dxa"/>
          </w:tcPr>
          <w:p w14:paraId="107460AA" w14:textId="713499C2"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lang w:val="en-GB" w:eastAsia="en-GB"/>
              </w:rPr>
              <w:t>Sweden</w:t>
            </w:r>
          </w:p>
        </w:tc>
        <w:tc>
          <w:tcPr>
            <w:tcW w:w="1276" w:type="dxa"/>
          </w:tcPr>
          <w:p w14:paraId="5BAD1387" w14:textId="2DBF65ED"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lang w:val="en-GB" w:eastAsia="en-GB"/>
              </w:rPr>
              <w:t>6944, adults   (~54)</w:t>
            </w:r>
          </w:p>
        </w:tc>
        <w:tc>
          <w:tcPr>
            <w:tcW w:w="1559" w:type="dxa"/>
          </w:tcPr>
          <w:p w14:paraId="19D2FD9C" w14:textId="23264595"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lang w:val="en-GB" w:eastAsia="en-GB"/>
              </w:rPr>
              <w:t>FFQ            (64 or 84 items)</w:t>
            </w:r>
          </w:p>
        </w:tc>
        <w:tc>
          <w:tcPr>
            <w:tcW w:w="1559" w:type="dxa"/>
          </w:tcPr>
          <w:p w14:paraId="4E57FBCC" w14:textId="048FC895"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lang w:val="en-GB" w:eastAsia="en-GB"/>
              </w:rPr>
              <w:t>DII</w:t>
            </w:r>
          </w:p>
        </w:tc>
        <w:tc>
          <w:tcPr>
            <w:tcW w:w="5305" w:type="dxa"/>
          </w:tcPr>
          <w:p w14:paraId="4EB94C5D" w14:textId="77777777" w:rsidR="00743B47" w:rsidRPr="005F4695" w:rsidRDefault="00743B47" w:rsidP="00743B47">
            <w:pPr>
              <w:rPr>
                <w:rFonts w:asciiTheme="minorBidi" w:hAnsiTheme="minorBidi" w:cstheme="minorBidi"/>
                <w:color w:val="000000" w:themeColor="text1"/>
                <w:sz w:val="20"/>
                <w:szCs w:val="20"/>
                <w:shd w:val="clear" w:color="auto" w:fill="FFFFFF"/>
              </w:rPr>
            </w:pPr>
            <w:r w:rsidRPr="005F4695">
              <w:rPr>
                <w:rFonts w:asciiTheme="minorBidi" w:hAnsiTheme="minorBidi" w:cstheme="minorBidi"/>
                <w:color w:val="000000" w:themeColor="text1"/>
                <w:sz w:val="20"/>
                <w:szCs w:val="20"/>
                <w:lang w:val="en-GB" w:eastAsia="en-GB"/>
              </w:rPr>
              <w:t xml:space="preserve">30 </w:t>
            </w:r>
            <w:r w:rsidRPr="005F4695">
              <w:rPr>
                <w:rFonts w:asciiTheme="minorBidi" w:hAnsiTheme="minorBidi" w:cstheme="minorBidi"/>
                <w:color w:val="000000" w:themeColor="text1"/>
                <w:sz w:val="20"/>
                <w:szCs w:val="20"/>
              </w:rPr>
              <w:t xml:space="preserve">(positive: pro-inflammatory food/nutrient, negative: anti-inflammatory food/nutrient), 1 to 4 based on global means, </w:t>
            </w:r>
            <w:r w:rsidRPr="005F4695">
              <w:rPr>
                <w:rFonts w:asciiTheme="minorBidi" w:hAnsiTheme="minorBidi" w:cstheme="minorBidi"/>
                <w:color w:val="000000" w:themeColor="text1"/>
                <w:sz w:val="20"/>
                <w:szCs w:val="20"/>
                <w:shd w:val="clear" w:color="auto" w:fill="FFFFFF"/>
              </w:rPr>
              <w:t>overall score ranged from-8.87 (maximally anti-inflammatory) to +7.98 (maximally pro-inflammatory)</w:t>
            </w:r>
          </w:p>
          <w:p w14:paraId="2063AECF" w14:textId="3DD926FB" w:rsidR="00743B47" w:rsidRPr="005F4695" w:rsidRDefault="00743B47" w:rsidP="00743B47">
            <w:pPr>
              <w:rPr>
                <w:rFonts w:asciiTheme="minorBidi" w:hAnsiTheme="minorBidi" w:cstheme="minorBidi"/>
                <w:color w:val="000000" w:themeColor="text1"/>
                <w:sz w:val="20"/>
                <w:szCs w:val="20"/>
                <w:lang w:val="en-GB" w:eastAsia="en-GB"/>
              </w:rPr>
            </w:pPr>
          </w:p>
        </w:tc>
      </w:tr>
      <w:tr w:rsidR="00743B47" w:rsidRPr="005F4695" w14:paraId="077F27A3" w14:textId="77777777" w:rsidTr="00B20E43">
        <w:trPr>
          <w:trHeight w:val="388"/>
        </w:trPr>
        <w:tc>
          <w:tcPr>
            <w:tcW w:w="1555" w:type="dxa"/>
          </w:tcPr>
          <w:p w14:paraId="053696A9" w14:textId="0600CC20" w:rsidR="00743B47" w:rsidRPr="005F4695" w:rsidRDefault="00743B47" w:rsidP="00743B47">
            <w:pPr>
              <w:rPr>
                <w:rFonts w:asciiTheme="minorBidi" w:hAnsiTheme="minorBidi" w:cstheme="minorBidi"/>
                <w:color w:val="000000" w:themeColor="text1"/>
                <w:sz w:val="20"/>
                <w:szCs w:val="20"/>
                <w:lang w:val="en-GB" w:eastAsia="en-GB"/>
              </w:rPr>
            </w:pPr>
            <w:r w:rsidRPr="003754B5">
              <w:rPr>
                <w:rFonts w:asciiTheme="minorBidi" w:hAnsiTheme="minorBidi" w:cstheme="minorBidi"/>
                <w:color w:val="000000" w:themeColor="text1"/>
                <w:sz w:val="20"/>
                <w:szCs w:val="20"/>
                <w:lang w:val="en-GB" w:eastAsia="en-GB"/>
              </w:rPr>
              <w:t>Roswall et al</w:t>
            </w:r>
            <w:r>
              <w:rPr>
                <w:rFonts w:asciiTheme="minorBidi" w:hAnsiTheme="minorBidi" w:cstheme="minorBidi"/>
                <w:color w:val="000000" w:themeColor="text1"/>
                <w:sz w:val="20"/>
                <w:szCs w:val="20"/>
                <w:lang w:val="en-GB" w:eastAsia="en-GB"/>
              </w:rPr>
              <w:t>, 2015</w:t>
            </w:r>
            <w:r w:rsidRPr="003754B5">
              <w:rPr>
                <w:rFonts w:asciiTheme="minorBidi" w:hAnsiTheme="minorBidi" w:cstheme="minorBidi"/>
                <w:color w:val="000000" w:themeColor="text1"/>
                <w:sz w:val="20"/>
                <w:szCs w:val="20"/>
                <w:lang w:val="en-GB" w:eastAsia="en-GB"/>
              </w:rPr>
              <w:t xml:space="preserve"> </w:t>
            </w:r>
            <w:r w:rsidRPr="003754B5">
              <w:rPr>
                <w:rFonts w:asciiTheme="minorBidi" w:hAnsiTheme="minorBidi" w:cstheme="minorBidi"/>
                <w:color w:val="000000" w:themeColor="text1"/>
                <w:sz w:val="20"/>
                <w:szCs w:val="20"/>
                <w:lang w:val="en-GB" w:eastAsia="en-GB"/>
              </w:rPr>
              <w:fldChar w:fldCharType="begin" w:fldLock="1"/>
            </w:r>
            <w:r w:rsidR="004A7B72">
              <w:rPr>
                <w:rFonts w:asciiTheme="minorBidi" w:hAnsiTheme="minorBidi" w:cstheme="minorBidi"/>
                <w:color w:val="000000" w:themeColor="text1"/>
                <w:sz w:val="20"/>
                <w:szCs w:val="20"/>
                <w:lang w:val="en-GB" w:eastAsia="en-GB"/>
              </w:rPr>
              <w:instrText>ADDIN CSL_CITATION {"citationItems":[{"id":"ITEM-1","itemData":{"DOI":"10.1111/joim.12378","ISSN":"09546820","PMID":"25991078","abstract":"BACKGROUND In several intervention trials, a healthy Nordic diet showed beneficial effects on markers of cardiovascular disease. We investigated the association between a healthy Nordic diet and clinical diagnosis of cardiovascular disease. OBJECTIVE Our aim was first to examine the association between a healthy Nordic food index (wholegrain bread, oatmeal, apples/pears, root vegetables, cabbages and fish) and the incidence of overall cardiovascular disease (ischaemic heart disease, stroke, arrhythmia, thrombosis and hypertensive disease), and secondly to test for possible effect modification by smoking, body mass index (BMI), alcohol consumption and age. METHODS We conducted an analysis of data from the prospective Swedish Women's Lifestyle and Health cohort, including 43 310 women who completed a food frequency questionnaire in 1991-1992, and followed up until 31 December 2012 through Swedish registries. Hazard ratios (HRs) and 95% confidence intervals (CIs) were calculated using Cox proportional hazards models. RESULTS During follow-up, 8383 women developed cardiovascular disease. We found no association between the healthy Nordic food index and overall cardiovascular disease risk or any of the subgroups investigated. There was a statistically significant interaction with smoking status (P = 0.02), with a beneficial effect only amongst former smokers (HR 0.96, 95% CI 0.94-0.99 per 1-point increment). CONCLUSION The present results do not support an association between a healthy Nordic food index and risk of cardiovascular disease in Swedish women. There was also no effect modification by alcohol intake, BMI or age. Our finding of an interaction with smoking status requires reproduction.","author":[{"dropping-particle":"","family":"Roswall","given":"N.","non-dropping-particle":"","parse-names":false,"suffix":""},{"dropping-particle":"","family":"Sandin","given":"S.","non-dropping-particle":"","parse-names":false,"suffix":""},{"dropping-particle":"","family":"Scragg","given":"R.","non-dropping-particle":"","parse-names":false,"suffix":""},{"dropping-particle":"","family":"Löf","given":"M.","non-dropping-particle":"","parse-names":false,"suffix":""},{"dropping-particle":"","family":"Skeie","given":"G.","non-dropping-particle":"","parse-names":false,"suffix":""},{"dropping-particle":"","family":"Olsen","given":"A.","non-dropping-particle":"","parse-names":false,"suffix":""},{"dropping-particle":"","family":"Adami","given":"H.-O.","non-dropping-particle":"","parse-names":false,"suffix":""},{"dropping-particle":"","family":"Weiderpass","given":"E.","non-dropping-particle":"","parse-names":false,"suffix":""}],"container-title":"Journal of Internal Medicine","id":"ITEM-1","issue":"5","issued":{"date-parts":[["2015","11"]]},"page":"531-541","title":"No association between adherence to the healthy Nordic food index and cardiovascular disease amongst Swedish women: a cohort study","type":"article-journal","volume":"278"},"uris":["http://www.mendeley.com/documents/?uuid=c9cc7655-cf42-398e-8739-1148b5b5bbad"]}],"mendeley":{"formattedCitation":"(33)","plainTextFormattedCitation":"(33)","previouslyFormattedCitation":"(31)"},"properties":{"noteIndex":0},"schema":"https://github.com/citation-style-language/schema/raw/master/csl-citation.json"}</w:instrText>
            </w:r>
            <w:r w:rsidRPr="003754B5">
              <w:rPr>
                <w:rFonts w:asciiTheme="minorBidi" w:hAnsiTheme="minorBidi" w:cstheme="minorBidi"/>
                <w:color w:val="000000" w:themeColor="text1"/>
                <w:sz w:val="20"/>
                <w:szCs w:val="20"/>
                <w:lang w:val="en-GB" w:eastAsia="en-GB"/>
              </w:rPr>
              <w:fldChar w:fldCharType="separate"/>
            </w:r>
            <w:r w:rsidR="004A7B72" w:rsidRPr="004A7B72">
              <w:rPr>
                <w:rFonts w:asciiTheme="minorBidi" w:hAnsiTheme="minorBidi" w:cstheme="minorBidi"/>
                <w:noProof/>
                <w:color w:val="000000" w:themeColor="text1"/>
                <w:sz w:val="20"/>
                <w:szCs w:val="20"/>
                <w:lang w:val="en-GB" w:eastAsia="en-GB"/>
              </w:rPr>
              <w:t>(33)</w:t>
            </w:r>
            <w:r w:rsidRPr="003754B5">
              <w:rPr>
                <w:rFonts w:asciiTheme="minorBidi" w:hAnsiTheme="minorBidi" w:cstheme="minorBidi"/>
                <w:color w:val="000000" w:themeColor="text1"/>
                <w:sz w:val="20"/>
                <w:szCs w:val="20"/>
                <w:lang w:val="en-GB" w:eastAsia="en-GB"/>
              </w:rPr>
              <w:fldChar w:fldCharType="end"/>
            </w:r>
          </w:p>
        </w:tc>
        <w:tc>
          <w:tcPr>
            <w:tcW w:w="1417" w:type="dxa"/>
          </w:tcPr>
          <w:p w14:paraId="1A3E7583" w14:textId="4299375A"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lang w:val="en-GB" w:eastAsia="en-GB"/>
              </w:rPr>
              <w:t>Sweden</w:t>
            </w:r>
          </w:p>
        </w:tc>
        <w:tc>
          <w:tcPr>
            <w:tcW w:w="1276" w:type="dxa"/>
          </w:tcPr>
          <w:p w14:paraId="692EEB31" w14:textId="5147F230"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lang w:val="en-GB" w:eastAsia="en-GB"/>
              </w:rPr>
              <w:t>43310, adults        (29-49)</w:t>
            </w:r>
          </w:p>
        </w:tc>
        <w:tc>
          <w:tcPr>
            <w:tcW w:w="1559" w:type="dxa"/>
          </w:tcPr>
          <w:p w14:paraId="4801B761" w14:textId="55E90B9D"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lang w:val="en-GB" w:eastAsia="en-GB"/>
              </w:rPr>
              <w:t>FFQ              (80 items)</w:t>
            </w:r>
          </w:p>
        </w:tc>
        <w:tc>
          <w:tcPr>
            <w:tcW w:w="1559" w:type="dxa"/>
          </w:tcPr>
          <w:p w14:paraId="04E4D264" w14:textId="6080274D"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lang w:val="en-GB" w:eastAsia="en-GB"/>
              </w:rPr>
              <w:t xml:space="preserve">Nordic food index </w:t>
            </w:r>
          </w:p>
        </w:tc>
        <w:tc>
          <w:tcPr>
            <w:tcW w:w="5305" w:type="dxa"/>
          </w:tcPr>
          <w:p w14:paraId="59680B1C" w14:textId="4DA9AF1A" w:rsidR="00743B47" w:rsidRPr="005F4695" w:rsidRDefault="00743B47" w:rsidP="00743B47">
            <w:pPr>
              <w:rPr>
                <w:rFonts w:asciiTheme="minorBidi" w:hAnsiTheme="minorBidi" w:cstheme="minorBidi"/>
                <w:color w:val="000000" w:themeColor="text1"/>
                <w:sz w:val="20"/>
                <w:szCs w:val="20"/>
                <w:shd w:val="clear" w:color="auto" w:fill="FFFFFF"/>
              </w:rPr>
            </w:pPr>
            <w:r w:rsidRPr="005F4695">
              <w:rPr>
                <w:rFonts w:asciiTheme="minorBidi" w:hAnsiTheme="minorBidi" w:cstheme="minorBidi"/>
                <w:color w:val="000000" w:themeColor="text1"/>
                <w:sz w:val="20"/>
                <w:szCs w:val="20"/>
                <w:lang w:val="en-GB" w:eastAsia="en-GB"/>
              </w:rPr>
              <w:t>6 (</w:t>
            </w:r>
            <w:r w:rsidRPr="005F4695">
              <w:rPr>
                <w:rFonts w:asciiTheme="minorBidi" w:hAnsiTheme="minorBidi" w:cstheme="minorBidi"/>
                <w:bCs/>
                <w:color w:val="000000" w:themeColor="text1"/>
                <w:sz w:val="20"/>
                <w:szCs w:val="20"/>
                <w:lang w:val="en-GB" w:eastAsia="en-GB"/>
              </w:rPr>
              <w:t xml:space="preserve">rye bread, oatmeal, apples/pears, cabbages, root vegetables and fish/shellfish, </w:t>
            </w:r>
            <w:r w:rsidRPr="005F4695">
              <w:rPr>
                <w:rFonts w:asciiTheme="minorBidi" w:hAnsiTheme="minorBidi" w:cstheme="minorBidi"/>
                <w:color w:val="000000" w:themeColor="text1"/>
                <w:sz w:val="20"/>
                <w:szCs w:val="20"/>
                <w:lang w:val="en-GB" w:eastAsia="en-GB"/>
              </w:rPr>
              <w:t xml:space="preserve">‘wholegrain bread’ instead of ‘rye bread’), </w:t>
            </w:r>
            <w:r w:rsidRPr="005F4695">
              <w:rPr>
                <w:rFonts w:asciiTheme="minorBidi" w:hAnsiTheme="minorBidi" w:cstheme="minorBidi"/>
                <w:color w:val="000000" w:themeColor="text1"/>
                <w:sz w:val="20"/>
                <w:szCs w:val="20"/>
                <w:shd w:val="clear" w:color="auto" w:fill="FFFFFF"/>
              </w:rPr>
              <w:t>one point given for above</w:t>
            </w:r>
            <w:r w:rsidRPr="005F4695">
              <w:rPr>
                <w:rFonts w:ascii="Cambria Math" w:hAnsi="Cambria Math" w:cs="Cambria Math"/>
                <w:color w:val="000000" w:themeColor="text1"/>
                <w:sz w:val="20"/>
                <w:szCs w:val="20"/>
                <w:shd w:val="clear" w:color="auto" w:fill="FFFFFF"/>
              </w:rPr>
              <w:t>‐</w:t>
            </w:r>
            <w:r w:rsidRPr="005F4695">
              <w:rPr>
                <w:rFonts w:asciiTheme="minorBidi" w:hAnsiTheme="minorBidi" w:cstheme="minorBidi"/>
                <w:color w:val="000000" w:themeColor="text1"/>
                <w:sz w:val="20"/>
                <w:szCs w:val="20"/>
                <w:shd w:val="clear" w:color="auto" w:fill="FFFFFF"/>
              </w:rPr>
              <w:t xml:space="preserve">median intake </w:t>
            </w:r>
            <w:r w:rsidRPr="005F4695">
              <w:rPr>
                <w:rFonts w:asciiTheme="minorBidi" w:hAnsiTheme="minorBidi" w:cstheme="minorBidi"/>
                <w:color w:val="000000" w:themeColor="text1"/>
                <w:sz w:val="20"/>
                <w:szCs w:val="20"/>
                <w:shd w:val="clear" w:color="auto" w:fill="FFFFFF"/>
              </w:rPr>
              <w:lastRenderedPageBreak/>
              <w:t>and no points for below</w:t>
            </w:r>
            <w:r w:rsidRPr="005F4695">
              <w:rPr>
                <w:rFonts w:ascii="Cambria Math" w:hAnsi="Cambria Math" w:cs="Cambria Math"/>
                <w:color w:val="000000" w:themeColor="text1"/>
                <w:sz w:val="20"/>
                <w:szCs w:val="20"/>
                <w:shd w:val="clear" w:color="auto" w:fill="FFFFFF"/>
              </w:rPr>
              <w:t>‐</w:t>
            </w:r>
            <w:r w:rsidRPr="005F4695">
              <w:rPr>
                <w:rFonts w:asciiTheme="minorBidi" w:hAnsiTheme="minorBidi" w:cstheme="minorBidi"/>
                <w:color w:val="000000" w:themeColor="text1"/>
                <w:sz w:val="20"/>
                <w:szCs w:val="20"/>
                <w:shd w:val="clear" w:color="auto" w:fill="FFFFFF"/>
              </w:rPr>
              <w:t>median intake, overall score from 0 to 6 points</w:t>
            </w:r>
          </w:p>
        </w:tc>
      </w:tr>
      <w:tr w:rsidR="00743B47" w:rsidRPr="005F4695" w14:paraId="29A60A47" w14:textId="77777777" w:rsidTr="00B20E43">
        <w:trPr>
          <w:trHeight w:val="388"/>
        </w:trPr>
        <w:tc>
          <w:tcPr>
            <w:tcW w:w="1555" w:type="dxa"/>
          </w:tcPr>
          <w:p w14:paraId="3420525C" w14:textId="5246D6E2" w:rsidR="00743B47" w:rsidRPr="005F4695" w:rsidRDefault="00743B47" w:rsidP="00743B47">
            <w:pPr>
              <w:rPr>
                <w:rFonts w:asciiTheme="minorBidi" w:hAnsiTheme="minorBidi" w:cstheme="minorBidi"/>
                <w:color w:val="000000" w:themeColor="text1"/>
                <w:sz w:val="20"/>
                <w:szCs w:val="20"/>
                <w:lang w:val="en-GB" w:eastAsia="en-GB"/>
              </w:rPr>
            </w:pPr>
            <w:r w:rsidRPr="003754B5">
              <w:rPr>
                <w:rFonts w:asciiTheme="minorBidi" w:hAnsiTheme="minorBidi" w:cstheme="minorBidi"/>
                <w:color w:val="000000" w:themeColor="text1"/>
                <w:sz w:val="20"/>
                <w:szCs w:val="20"/>
              </w:rPr>
              <w:lastRenderedPageBreak/>
              <w:t>Tektonidis et al</w:t>
            </w:r>
            <w:r>
              <w:rPr>
                <w:rFonts w:asciiTheme="minorBidi" w:hAnsiTheme="minorBidi" w:cstheme="minorBidi"/>
                <w:color w:val="000000" w:themeColor="text1"/>
                <w:sz w:val="20"/>
                <w:szCs w:val="20"/>
              </w:rPr>
              <w:t>, 2015</w:t>
            </w:r>
            <w:r w:rsidRPr="003754B5">
              <w:rPr>
                <w:rFonts w:asciiTheme="minorBidi" w:hAnsiTheme="minorBidi" w:cstheme="minorBidi"/>
                <w:color w:val="000000" w:themeColor="text1"/>
                <w:sz w:val="20"/>
                <w:szCs w:val="20"/>
              </w:rPr>
              <w:t xml:space="preserve"> </w:t>
            </w:r>
            <w:r w:rsidRPr="003754B5">
              <w:rPr>
                <w:rFonts w:asciiTheme="minorBidi" w:hAnsiTheme="minorBidi" w:cstheme="minorBidi"/>
                <w:color w:val="000000" w:themeColor="text1"/>
                <w:sz w:val="20"/>
                <w:szCs w:val="20"/>
              </w:rPr>
              <w:fldChar w:fldCharType="begin" w:fldLock="1"/>
            </w:r>
            <w:r>
              <w:rPr>
                <w:rFonts w:asciiTheme="minorBidi" w:hAnsiTheme="minorBidi" w:cstheme="minorBidi"/>
                <w:color w:val="000000" w:themeColor="text1"/>
                <w:sz w:val="20"/>
                <w:szCs w:val="20"/>
              </w:rPr>
              <w:instrText>ADDIN CSL_CITATION {"citationItems":[{"id":"ITEM-1","itemData":{"DOI":"10.1016/j.atherosclerosis.2015.08.039","ISSN":"00219150","PMID":"26363438","abstract":"BACKGROUND AND AIMS The Mediterranean diet, which is palatable and easily achievable, has been associated with lower all-cause and cardiovascular disease (CVD) incidence and mortality. Data on heart failure (HF) and stroke types are lacking. The aim was to examine a Mediterranean diet in relation to incidence of myocardial infarction (MI), HF and stroke types in a Swedish prospective cohort. METHODS In a population-based cohort of 32,921 women, diet was assessed through a self-administered questionnaire. The modified Mediterranean diet (mMED) score was created based on high consumption of vegetables, fruits, legumes, nuts, whole grains, fermented dairy products, fish and monounsaturated fat, moderate intakes of alcohol and low consumption of red meat, on a 0-8 scale. Relative risks (RR) with 95% confidence intervals (CI), adjusted for potential confounders, were estimated by Cox proportional hazards regression models. RESULTS During 10 y of follow-up (1998-2008), 1109 MIs, 1648 HFs, 1270 ischemic strokes and 262 total hemorrhagic strokes were ascertained. A high adherence to the mMED score (6-8), compared to low, was associated with a lower risk of MI (RR: 0.74, 95% CI: 0.61-0.90, p = 0.003), HF (RR: 0.79, 95% CI: 0.68-0.93, p = 0.004) and ischemic stroke (RR: 0.78, 95% CI: 0.65-0.93, p = 0.007), but not hemorrhagic stroke (RR: 0.88, 95% CI: 0.61-1.29, p = 0.53). CONCLUSIONS Better adherence to a Mediterranean diet was associated with lower risk of MI, HF and ischemic stroke. The Mediterranean diet is most likely to be beneficial in primary prevention of all major types of atherosclerosis-related CVD.","author":[{"dropping-particle":"","family":"Tektonidis","given":"Thanasis G.","non-dropping-particle":"","parse-names":false,"suffix":""},{"dropping-particle":"","family":"Åkesson","given":"Agneta","non-dropping-particle":"","parse-names":false,"suffix":""},{"dropping-particle":"","family":"Gigante","given":"Bruna","non-dropping-particle":"","parse-names":false,"suffix":""},{"dropping-particle":"","family":"Wolk","given":"Alicja","non-dropping-particle":"","parse-names":false,"suffix":""},{"dropping-particle":"","family":"Larsson","given":"Susanna C.","non-dropping-particle":"","parse-names":false,"suffix":""}],"container-title":"Atherosclerosis","id":"ITEM-1","issue":"1","issued":{"date-parts":[["2015","11"]]},"page":"93-98","title":"A Mediterranean diet and risk of myocardial infarction, heart failure and stroke: A population-based cohort study","type":"article-journal","volume":"243"},"uris":["http://www.mendeley.com/documents/?uuid=235f69cd-329e-3e86-9e09-c559ebdb91de"]}],"mendeley":{"formattedCitation":"(32)","plainTextFormattedCitation":"(32)","previouslyFormattedCitation":"(32)"},"properties":{"noteIndex":0},"schema":"https://github.com/citation-style-language/schema/raw/master/csl-citation.json"}</w:instrText>
            </w:r>
            <w:r w:rsidRPr="003754B5">
              <w:rPr>
                <w:rFonts w:asciiTheme="minorBidi" w:hAnsiTheme="minorBidi" w:cstheme="minorBidi"/>
                <w:color w:val="000000" w:themeColor="text1"/>
                <w:sz w:val="20"/>
                <w:szCs w:val="20"/>
              </w:rPr>
              <w:fldChar w:fldCharType="separate"/>
            </w:r>
            <w:r w:rsidRPr="003754B5">
              <w:rPr>
                <w:rFonts w:asciiTheme="minorBidi" w:hAnsiTheme="minorBidi" w:cstheme="minorBidi"/>
                <w:noProof/>
                <w:color w:val="000000" w:themeColor="text1"/>
                <w:sz w:val="20"/>
                <w:szCs w:val="20"/>
              </w:rPr>
              <w:t>(32)</w:t>
            </w:r>
            <w:r w:rsidRPr="003754B5">
              <w:rPr>
                <w:rFonts w:asciiTheme="minorBidi" w:hAnsiTheme="minorBidi" w:cstheme="minorBidi"/>
                <w:color w:val="000000" w:themeColor="text1"/>
                <w:sz w:val="20"/>
                <w:szCs w:val="20"/>
              </w:rPr>
              <w:fldChar w:fldCharType="end"/>
            </w:r>
          </w:p>
        </w:tc>
        <w:tc>
          <w:tcPr>
            <w:tcW w:w="1417" w:type="dxa"/>
          </w:tcPr>
          <w:p w14:paraId="57046B76" w14:textId="41D55571"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rPr>
              <w:t>Sweden</w:t>
            </w:r>
          </w:p>
        </w:tc>
        <w:tc>
          <w:tcPr>
            <w:tcW w:w="1276" w:type="dxa"/>
          </w:tcPr>
          <w:p w14:paraId="5F9B781D" w14:textId="69D4C331"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rPr>
              <w:t>32921, women  (48-83)</w:t>
            </w:r>
          </w:p>
        </w:tc>
        <w:tc>
          <w:tcPr>
            <w:tcW w:w="1559" w:type="dxa"/>
          </w:tcPr>
          <w:p w14:paraId="6A5BE01A" w14:textId="396C2459"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rPr>
              <w:t xml:space="preserve">A single FFQ and </w:t>
            </w:r>
            <w:r w:rsidRPr="005F4695">
              <w:rPr>
                <w:rFonts w:asciiTheme="minorBidi" w:eastAsiaTheme="minorHAnsi" w:hAnsiTheme="minorBidi" w:cstheme="minorBidi"/>
                <w:color w:val="000000" w:themeColor="text1"/>
                <w:sz w:val="20"/>
                <w:szCs w:val="20"/>
              </w:rPr>
              <w:t xml:space="preserve">14 </w:t>
            </w:r>
            <w:r w:rsidRPr="005F4695">
              <w:rPr>
                <w:rFonts w:asciiTheme="minorBidi" w:hAnsiTheme="minorBidi" w:cstheme="minorBidi"/>
                <w:color w:val="000000" w:themeColor="text1"/>
                <w:sz w:val="20"/>
                <w:szCs w:val="20"/>
                <w:lang w:val="en-GB" w:eastAsia="en-GB"/>
              </w:rPr>
              <w:t>x 24hr recalls</w:t>
            </w:r>
          </w:p>
        </w:tc>
        <w:tc>
          <w:tcPr>
            <w:tcW w:w="1559" w:type="dxa"/>
          </w:tcPr>
          <w:p w14:paraId="61B1310A" w14:textId="68DCE788"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rPr>
              <w:t>Modified-MDS</w:t>
            </w:r>
          </w:p>
        </w:tc>
        <w:tc>
          <w:tcPr>
            <w:tcW w:w="5305" w:type="dxa"/>
          </w:tcPr>
          <w:p w14:paraId="034025A5" w14:textId="0F67672E" w:rsidR="00743B47" w:rsidRPr="005F4695" w:rsidRDefault="00743B47" w:rsidP="00743B47">
            <w:pPr>
              <w:rPr>
                <w:rFonts w:asciiTheme="minorBidi" w:hAnsiTheme="minorBidi" w:cstheme="minorBidi"/>
                <w:color w:val="000000" w:themeColor="text1"/>
                <w:sz w:val="20"/>
                <w:szCs w:val="20"/>
              </w:rPr>
            </w:pPr>
            <w:r w:rsidRPr="005F4695">
              <w:rPr>
                <w:rFonts w:asciiTheme="minorBidi" w:hAnsiTheme="minorBidi" w:cstheme="minorBidi"/>
                <w:color w:val="000000" w:themeColor="text1"/>
                <w:sz w:val="20"/>
                <w:szCs w:val="20"/>
                <w:lang w:val="en-GB" w:eastAsia="en-GB"/>
              </w:rPr>
              <w:t>8 (</w:t>
            </w:r>
            <w:r w:rsidRPr="005F4695">
              <w:rPr>
                <w:rFonts w:asciiTheme="minorBidi" w:hAnsiTheme="minorBidi" w:cstheme="minorBidi"/>
                <w:color w:val="000000" w:themeColor="text1"/>
                <w:sz w:val="20"/>
                <w:szCs w:val="20"/>
              </w:rPr>
              <w:t>vegetables and fruits (excluding fruit juices and potatoes), legumes and nuts, non-refined/high fiber grains (whole meal bread, crisp bread, oatmeal and bran of wheat), fermented dairy products (cultured milk, yogurt, and cheese), fish, red and processed meat, use of olive oil and/or rapeseed oil, alcohol), one point for intake &gt; the median for beneficial components and zero for &lt; the median with reversed score for red and processed meat, overall score ranged from 0 to 8 points</w:t>
            </w:r>
          </w:p>
          <w:p w14:paraId="65B3468A" w14:textId="355B1BA4" w:rsidR="00743B47" w:rsidRPr="005F4695" w:rsidRDefault="00743B47" w:rsidP="00743B47">
            <w:pPr>
              <w:rPr>
                <w:rFonts w:asciiTheme="minorBidi" w:hAnsiTheme="minorBidi" w:cstheme="minorBidi"/>
                <w:color w:val="000000" w:themeColor="text1"/>
                <w:sz w:val="20"/>
                <w:szCs w:val="20"/>
                <w:lang w:val="en-GB" w:eastAsia="en-GB"/>
              </w:rPr>
            </w:pPr>
          </w:p>
        </w:tc>
      </w:tr>
      <w:tr w:rsidR="00743B47" w:rsidRPr="005F4695" w14:paraId="6F2531A1" w14:textId="77777777" w:rsidTr="00B20E43">
        <w:trPr>
          <w:trHeight w:val="388"/>
        </w:trPr>
        <w:tc>
          <w:tcPr>
            <w:tcW w:w="1555" w:type="dxa"/>
          </w:tcPr>
          <w:p w14:paraId="4E901FDD" w14:textId="55B51769" w:rsidR="00743B47" w:rsidRPr="005F4695" w:rsidRDefault="00743B47" w:rsidP="00743B47">
            <w:pPr>
              <w:rPr>
                <w:rFonts w:asciiTheme="minorBidi" w:hAnsiTheme="minorBidi" w:cstheme="minorBidi"/>
                <w:color w:val="000000" w:themeColor="text1"/>
                <w:sz w:val="20"/>
                <w:szCs w:val="20"/>
                <w:lang w:val="en-GB" w:eastAsia="en-GB"/>
              </w:rPr>
            </w:pPr>
            <w:r w:rsidRPr="003754B5">
              <w:rPr>
                <w:rFonts w:asciiTheme="minorBidi" w:hAnsiTheme="minorBidi" w:cstheme="minorBidi"/>
                <w:color w:val="000000" w:themeColor="text1"/>
                <w:sz w:val="20"/>
                <w:szCs w:val="20"/>
              </w:rPr>
              <w:t>Galbete et al</w:t>
            </w:r>
            <w:r>
              <w:rPr>
                <w:rFonts w:asciiTheme="minorBidi" w:hAnsiTheme="minorBidi" w:cstheme="minorBidi"/>
                <w:color w:val="000000" w:themeColor="text1"/>
                <w:sz w:val="20"/>
                <w:szCs w:val="20"/>
              </w:rPr>
              <w:t>, 2018</w:t>
            </w:r>
            <w:r w:rsidRPr="003754B5">
              <w:rPr>
                <w:rFonts w:asciiTheme="minorBidi" w:hAnsiTheme="minorBidi" w:cstheme="minorBidi"/>
                <w:color w:val="000000" w:themeColor="text1"/>
                <w:sz w:val="20"/>
                <w:szCs w:val="20"/>
              </w:rPr>
              <w:t xml:space="preserve"> </w:t>
            </w:r>
            <w:r w:rsidRPr="003754B5">
              <w:rPr>
                <w:rFonts w:asciiTheme="minorBidi" w:hAnsiTheme="minorBidi" w:cstheme="minorBidi"/>
                <w:color w:val="000000" w:themeColor="text1"/>
                <w:sz w:val="20"/>
                <w:szCs w:val="20"/>
              </w:rPr>
              <w:fldChar w:fldCharType="begin" w:fldLock="1"/>
            </w:r>
            <w:r w:rsidR="004A7B72">
              <w:rPr>
                <w:rFonts w:asciiTheme="minorBidi" w:hAnsiTheme="minorBidi" w:cstheme="minorBidi"/>
                <w:color w:val="000000" w:themeColor="text1"/>
                <w:sz w:val="20"/>
                <w:szCs w:val="20"/>
              </w:rPr>
              <w:instrText>ADDIN CSL_CITATION {"citationItems":[{"id":"ITEM-1","itemData":{"DOI":"10.1186/s12916-018-1082-y","ISSN":"1741-7015","abstract":"The Mediterranean Diet (MedDiet) has been acknowledged as a healthy diet. However, its relation with risk of major chronic diseases in non-Mediterranean countries is inconclusive. The Nordic diet is proposed as an alternative across Northern Europe, although its associations with the risk of chronic diseases remain controversial. We aimed to investigate the association between the Nordic diet and the MedDiet with the risk of chronic disease (type 2 diabetes (T2D), myocardial infarction (MI), stroke, and cancer) in the EPIC-Potsdam cohort. The EPIC-Potsdam cohort recruited 27,548 participants between 1994 and 1998. After exclusion of prevalent cases, we evaluated baseline adherence to a score reflecting the Nordic diet and two MedDiet scores (tMDS, reflecting the traditional MedDiet score, and the MedPyr score, reflecting the MedDiet Pyramid). Cox regression models were applied to examine the association between the diet scores and the incidence of major chronic diseases. During a follow-up of 10.6 years, 1376 cases of T2D, 312 of MI, 321 of stroke, and 1618 of cancer were identified. The Nordic diet showed a statistically non-significant inverse association with incidence of MI in the overall population and of stroke in men. Adherence to the MedDiet was associated with lower incidence of T2D (HR per 1 SD 0.93, 95% CI 0.88–0.98 for the tMDS score and 0.92, 0.87–0.97 for the MedPyr score). In women, the MedPyr score was also inversely associated with MI. No association was observed for any of the scores with cancer. In the EPIC-Potsdam cohort, the Nordic diet showed a possible beneficial effect on MI in the overall population and for stroke in men, while both scores reflecting the MedDiet conferred lower risk of T2D in the overall population and of MI in women.","author":[{"dropping-particle":"","family":"Galbete","given":"Cecilia","non-dropping-particle":"","parse-names":false,"suffix":""},{"dropping-particle":"","family":"Kröger","given":"Janine","non-dropping-particle":"","parse-names":false,"suffix":""},{"dropping-particle":"","family":"Jannasch","given":"Franziska","non-dropping-particle":"","parse-names":false,"suffix":""},{"dropping-particle":"","family":"Iqbal","given":"Khalid","non-dropping-particle":"","parse-names":false,"suffix":""},{"dropping-particle":"","family":"Schwingshackl","given":"Lukas","non-dropping-particle":"","parse-names":false,"suffix":""},{"dropping-particle":"","family":"Schwedhelm","given":"Carolina","non-dropping-particle":"","parse-names":false,"suffix":""},{"dropping-particle":"","family":"Weikert","given":"Cornelia","non-dropping-particle":"","parse-names":false,"suffix":""},{"dropping-particle":"","family":"Boeing","given":"Heiner","non-dropping-particle":"","parse-names":false,"suffix":""},{"dropping-particle":"","family":"Schulze","given":"Matthias B.","non-dropping-particle":"","parse-names":false,"suffix":""}],"container-title":"BMC Medicine","id":"ITEM-1","issue":"1","issued":{"date-parts":[["2018","12","27"]]},"page":"99","title":"Nordic diet, Mediterranean diet, and the risk of chronic diseases: the EPIC-Potsdam study","type":"article-journal","volume":"16"},"uris":["http://www.mendeley.com/documents/?uuid=2b9ea5d5-a64b-33f2-94d9-9104667ace16"]}],"mendeley":{"formattedCitation":"(35)","plainTextFormattedCitation":"(35)","previouslyFormattedCitation":"(33)"},"properties":{"noteIndex":0},"schema":"https://github.com/citation-style-language/schema/raw/master/csl-citation.json"}</w:instrText>
            </w:r>
            <w:r w:rsidRPr="003754B5">
              <w:rPr>
                <w:rFonts w:asciiTheme="minorBidi" w:hAnsiTheme="minorBidi" w:cstheme="minorBidi"/>
                <w:color w:val="000000" w:themeColor="text1"/>
                <w:sz w:val="20"/>
                <w:szCs w:val="20"/>
              </w:rPr>
              <w:fldChar w:fldCharType="separate"/>
            </w:r>
            <w:r w:rsidR="004A7B72" w:rsidRPr="004A7B72">
              <w:rPr>
                <w:rFonts w:asciiTheme="minorBidi" w:hAnsiTheme="minorBidi" w:cstheme="minorBidi"/>
                <w:noProof/>
                <w:color w:val="000000" w:themeColor="text1"/>
                <w:sz w:val="20"/>
                <w:szCs w:val="20"/>
              </w:rPr>
              <w:t>(35)</w:t>
            </w:r>
            <w:r w:rsidRPr="003754B5">
              <w:rPr>
                <w:rFonts w:asciiTheme="minorBidi" w:hAnsiTheme="minorBidi" w:cstheme="minorBidi"/>
                <w:color w:val="000000" w:themeColor="text1"/>
                <w:sz w:val="20"/>
                <w:szCs w:val="20"/>
              </w:rPr>
              <w:fldChar w:fldCharType="end"/>
            </w:r>
            <w:r w:rsidRPr="003754B5">
              <w:rPr>
                <w:rFonts w:asciiTheme="minorBidi" w:hAnsiTheme="minorBidi" w:cstheme="minorBidi"/>
                <w:color w:val="000000" w:themeColor="text1"/>
                <w:sz w:val="20"/>
                <w:szCs w:val="20"/>
              </w:rPr>
              <w:t xml:space="preserve"> </w:t>
            </w:r>
          </w:p>
        </w:tc>
        <w:tc>
          <w:tcPr>
            <w:tcW w:w="1417" w:type="dxa"/>
          </w:tcPr>
          <w:p w14:paraId="0A233B21" w14:textId="29814C57"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rPr>
              <w:t>Germany</w:t>
            </w:r>
          </w:p>
        </w:tc>
        <w:tc>
          <w:tcPr>
            <w:tcW w:w="1276" w:type="dxa"/>
          </w:tcPr>
          <w:p w14:paraId="04A00C4D" w14:textId="18320976"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rPr>
              <w:t>27548, adults        (35-65)</w:t>
            </w:r>
          </w:p>
        </w:tc>
        <w:tc>
          <w:tcPr>
            <w:tcW w:w="1559" w:type="dxa"/>
          </w:tcPr>
          <w:p w14:paraId="0B049901" w14:textId="50D2F6BA"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rPr>
              <w:t>FFQ       (EPIC)</w:t>
            </w:r>
          </w:p>
        </w:tc>
        <w:tc>
          <w:tcPr>
            <w:tcW w:w="1559" w:type="dxa"/>
          </w:tcPr>
          <w:p w14:paraId="4A6E633A" w14:textId="40355541"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rPr>
              <w:t xml:space="preserve">Comparison: Nordic food index, MDS </w:t>
            </w:r>
          </w:p>
        </w:tc>
        <w:tc>
          <w:tcPr>
            <w:tcW w:w="5305" w:type="dxa"/>
          </w:tcPr>
          <w:p w14:paraId="21AC9DBC" w14:textId="77777777" w:rsidR="00743B47" w:rsidRPr="005F4695" w:rsidRDefault="00743B47" w:rsidP="00743B47">
            <w:pPr>
              <w:autoSpaceDE w:val="0"/>
              <w:autoSpaceDN w:val="0"/>
              <w:adjustRightInd w:val="0"/>
              <w:rPr>
                <w:rFonts w:asciiTheme="minorBidi" w:eastAsiaTheme="minorHAnsi" w:hAnsiTheme="minorBidi" w:cstheme="minorBidi"/>
                <w:color w:val="000000" w:themeColor="text1"/>
                <w:sz w:val="20"/>
                <w:szCs w:val="20"/>
              </w:rPr>
            </w:pPr>
            <w:r w:rsidRPr="005F4695">
              <w:rPr>
                <w:rFonts w:asciiTheme="minorBidi" w:hAnsiTheme="minorBidi" w:cstheme="minorBidi"/>
                <w:color w:val="000000" w:themeColor="text1"/>
                <w:sz w:val="20"/>
                <w:szCs w:val="20"/>
              </w:rPr>
              <w:t xml:space="preserve">Nordic: 9 (whole grain and rye bread, berries, apples and pears, fish, cabbage and cruciferous vegetables, root vegetables, low-fat dairy products, potatoes, and vegetable fats (excluding olive oil), </w:t>
            </w:r>
            <w:r w:rsidRPr="005F4695">
              <w:rPr>
                <w:rFonts w:asciiTheme="minorBidi" w:eastAsiaTheme="minorHAnsi" w:hAnsiTheme="minorBidi" w:cstheme="minorBidi"/>
                <w:color w:val="000000" w:themeColor="text1"/>
                <w:sz w:val="20"/>
                <w:szCs w:val="20"/>
              </w:rPr>
              <w:t>each component divided into sex-specific tertiles, a score of 0 to 2 points according to tertiles, overall score was the sum of all scores</w:t>
            </w:r>
          </w:p>
          <w:p w14:paraId="07E173D4" w14:textId="0CEE0118" w:rsidR="00743B47" w:rsidRPr="005F4695" w:rsidRDefault="00743B47" w:rsidP="00743B47">
            <w:pPr>
              <w:autoSpaceDE w:val="0"/>
              <w:autoSpaceDN w:val="0"/>
              <w:adjustRightInd w:val="0"/>
              <w:rPr>
                <w:rFonts w:asciiTheme="minorBidi" w:hAnsiTheme="minorBidi" w:cstheme="minorBidi"/>
                <w:color w:val="000000" w:themeColor="text1"/>
                <w:sz w:val="20"/>
                <w:szCs w:val="20"/>
              </w:rPr>
            </w:pPr>
          </w:p>
        </w:tc>
      </w:tr>
      <w:tr w:rsidR="00743B47" w:rsidRPr="005F4695" w14:paraId="66475FD7" w14:textId="77777777" w:rsidTr="00B20E43">
        <w:trPr>
          <w:trHeight w:val="388"/>
        </w:trPr>
        <w:tc>
          <w:tcPr>
            <w:tcW w:w="1555" w:type="dxa"/>
          </w:tcPr>
          <w:p w14:paraId="00EDCE60" w14:textId="48614239" w:rsidR="00743B47" w:rsidRPr="005F4695" w:rsidRDefault="00743B47" w:rsidP="00743B47">
            <w:pPr>
              <w:rPr>
                <w:rFonts w:asciiTheme="minorBidi" w:hAnsiTheme="minorBidi" w:cstheme="minorBidi"/>
                <w:color w:val="000000" w:themeColor="text1"/>
                <w:sz w:val="20"/>
                <w:szCs w:val="20"/>
                <w:lang w:val="en-GB" w:eastAsia="en-GB"/>
              </w:rPr>
            </w:pPr>
            <w:r w:rsidRPr="003754B5">
              <w:rPr>
                <w:rFonts w:asciiTheme="minorBidi" w:hAnsiTheme="minorBidi" w:cstheme="minorBidi"/>
                <w:color w:val="000000" w:themeColor="text1"/>
                <w:sz w:val="20"/>
                <w:szCs w:val="20"/>
              </w:rPr>
              <w:t>Waldeyer et al</w:t>
            </w:r>
            <w:r>
              <w:rPr>
                <w:rFonts w:asciiTheme="minorBidi" w:hAnsiTheme="minorBidi" w:cstheme="minorBidi"/>
                <w:color w:val="000000" w:themeColor="text1"/>
                <w:sz w:val="20"/>
                <w:szCs w:val="20"/>
              </w:rPr>
              <w:t>, 2018</w:t>
            </w:r>
            <w:r w:rsidRPr="003754B5">
              <w:rPr>
                <w:rFonts w:asciiTheme="minorBidi" w:hAnsiTheme="minorBidi" w:cstheme="minorBidi"/>
                <w:color w:val="000000" w:themeColor="text1"/>
                <w:sz w:val="20"/>
                <w:szCs w:val="20"/>
              </w:rPr>
              <w:t xml:space="preserve"> </w:t>
            </w:r>
            <w:r w:rsidRPr="003754B5">
              <w:rPr>
                <w:rFonts w:asciiTheme="minorBidi" w:hAnsiTheme="minorBidi" w:cstheme="minorBidi"/>
                <w:color w:val="000000" w:themeColor="text1"/>
                <w:sz w:val="20"/>
                <w:szCs w:val="20"/>
              </w:rPr>
              <w:fldChar w:fldCharType="begin" w:fldLock="1"/>
            </w:r>
            <w:r w:rsidR="004A7B72">
              <w:rPr>
                <w:rFonts w:asciiTheme="minorBidi" w:hAnsiTheme="minorBidi" w:cstheme="minorBidi"/>
                <w:color w:val="000000" w:themeColor="text1"/>
                <w:sz w:val="20"/>
                <w:szCs w:val="20"/>
              </w:rPr>
              <w:instrText>ADDIN CSL_CITATION {"citationItems":[{"id":"ITEM-1","itemData":{"DOI":"10.1016/j.atherosclerosis.2018.06.877","ISSN":"00219150","PMID":"29980052","abstract":"BACKGROUND AND AIMS Guidelines recommend a healthy diet as a cornerstone of cardiovascular disease (CVD) prevention. Although the Mediterranean diet (MD) is the best studied dietary pattern for CV outcomes, data on association between MD and severity of CAD are limited. Therefore, we analysed dietary data in association with the SYNTAX score in coronary artery disease (CAD) patients from the INTERCATH study. METHODS The INTERCATH study is an observational study in patients undergoing coronary angiography at the University Heart Center Hamburg. Coronary morphology is assessed by the SYNTAX score. A lifestyle questionnaire collects dietary data with food frequency questions at baseline. Based on seven dietary characteristics, we calculated an established Mediterranean diet score (MDS) with a range of 0-28 points at which 28 points reflect maximal adherence to MD. To investigate the association of MD with severity of CAD, we performed logistic regression analysis after adjustment for confounding factors. RESULTS Of 1121 patients, 27% were women. The median age was 70.7 years (interquartile range (IQR) 61.1,77.0). CV risk factors were distributed as expected for a CAD cohort (31.3% diabetes, 81.1% arterial hypertension, 34.0% smoking, median BMI 26.6 kg/m2 (IQR 24.1, 30.3), median LDL-C 87 mg/dL (IQR 65.0,116,6). Of all variables included, the strongest correlation with MDS was found for log (hs-CRP) (r = -0.21, p &lt; 0.001). Adherence to MD represented by a higher MDS was significantly associated with a reduced probability for a medium/high risk SYNTAX score of ≥23 with an odds ratio (OR) of 0.923 per point increase of MDS (95% confidence interval 0.869-0.979; p = 0.0079). This association remained significant after adjustment for cardiovascular risk factors (OR 0.934, 95% CI 0.877-0.995, p = 0.035). After further adjustment for log (hs-CRP), the association remained no longer significant (OR 0.955 (0.893-1.022, p = 0.19). CONCLUSIONS In this contemporary data set, we found an independent association of adherence to MD with a less complex CAD. Hs-CRP correlated significantly with adherence to MD and may be a marker of the vasoprotective effects of MD. These results strengthen the evidence for the protective effect of an MD pattern in CVD prevention.","author":[{"dropping-particle":"","family":"Waldeyer","given":"Christoph","non-dropping-particle":"","parse-names":false,"suffix":""},{"dropping-particle":"","family":"Brunner","given":"Fabian J.","non-dropping-particle":"","parse-names":false,"suffix":""},{"dropping-particle":"","family":"Braetz","given":"Julian","non-dropping-particle":"","parse-names":false,"suffix":""},{"dropping-particle":"","family":"Ruebsamen","given":"Nicole","non-dropping-particle":"","parse-names":false,"suffix":""},{"dropping-particle":"","family":"Zyriax","given":"Birgit-Christiane","non-dropping-particle":"","parse-names":false,"suffix":""},{"dropping-particle":"","family":"Blaum","given":"Christopher","non-dropping-particle":"","parse-names":false,"suffix":""},{"dropping-particle":"","family":"Kroeger","given":"Friederike","non-dropping-particle":"","parse-names":false,"suffix":""},{"dropping-particle":"","family":"Kohsiack","given":"Rebecca","non-dropping-particle":"","parse-names":false,"suffix":""},{"dropping-particle":"","family":"Schrage","given":"Benedikt","non-dropping-particle":"","parse-names":false,"suffix":""},{"dropping-particle":"","family":"Sinning","given":"Christoph","non-dropping-particle":"","parse-names":false,"suffix":""},{"dropping-particle":"","family":"Becher","given":"Peter M.","non-dropping-particle":"","parse-names":false,"suffix":""},{"dropping-particle":"","family":"Karakas","given":"Mahir","non-dropping-particle":"","parse-names":false,"suffix":""},{"dropping-particle":"","family":"Zeller","given":"Tanja","non-dropping-particle":"","parse-names":false,"suffix":""},{"dropping-particle":"","family":"Westermann","given":"Dirk","non-dropping-particle":"","parse-names":false,"suffix":""},{"dropping-particle":"","family":"Sydow","given":"Karsten","non-dropping-particle":"","parse-names":false,"suffix":""},{"dropping-particle":"","family":"Blankenberg","given":"Stefan","non-dropping-particle":"","parse-names":false,"suffix":""},{"dropping-particle":"","family":"Seiffert","given":"Moritz","non-dropping-particle":"","parse-names":false,"suffix":""},{"dropping-particle":"","family":"Schnabel","given":"Renate B.","non-dropping-particle":"","parse-names":false,"suffix":""}],"container-title":"Atherosclerosis","id":"ITEM-1","issued":{"date-parts":[["2018","8"]]},"page":"256-261","title":"Adherence to Mediterranean diet, high-sensitive C-reactive protein, and severity of coronary artery disease: Contemporary data from the INTERCATH cohort","type":"article-journal","volume":"275"},"uris":["http://www.mendeley.com/documents/?uuid=496ba5d2-06df-371c-a532-789650eebfc5"]}],"mendeley":{"formattedCitation":"(17)","plainTextFormattedCitation":"(17)","previouslyFormattedCitation":"(34)"},"properties":{"noteIndex":0},"schema":"https://github.com/citation-style-language/schema/raw/master/csl-citation.json"}</w:instrText>
            </w:r>
            <w:r w:rsidRPr="003754B5">
              <w:rPr>
                <w:rFonts w:asciiTheme="minorBidi" w:hAnsiTheme="minorBidi" w:cstheme="minorBidi"/>
                <w:color w:val="000000" w:themeColor="text1"/>
                <w:sz w:val="20"/>
                <w:szCs w:val="20"/>
              </w:rPr>
              <w:fldChar w:fldCharType="separate"/>
            </w:r>
            <w:r w:rsidR="004A7B72" w:rsidRPr="004A7B72">
              <w:rPr>
                <w:rFonts w:asciiTheme="minorBidi" w:hAnsiTheme="minorBidi" w:cstheme="minorBidi"/>
                <w:noProof/>
                <w:color w:val="000000" w:themeColor="text1"/>
                <w:sz w:val="20"/>
                <w:szCs w:val="20"/>
              </w:rPr>
              <w:t>(17)</w:t>
            </w:r>
            <w:r w:rsidRPr="003754B5">
              <w:rPr>
                <w:rFonts w:asciiTheme="minorBidi" w:hAnsiTheme="minorBidi" w:cstheme="minorBidi"/>
                <w:color w:val="000000" w:themeColor="text1"/>
                <w:sz w:val="20"/>
                <w:szCs w:val="20"/>
              </w:rPr>
              <w:fldChar w:fldCharType="end"/>
            </w:r>
          </w:p>
        </w:tc>
        <w:tc>
          <w:tcPr>
            <w:tcW w:w="1417" w:type="dxa"/>
          </w:tcPr>
          <w:p w14:paraId="3E12E71B" w14:textId="5D0DE3FB"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rPr>
              <w:t>Germany</w:t>
            </w:r>
          </w:p>
        </w:tc>
        <w:tc>
          <w:tcPr>
            <w:tcW w:w="1276" w:type="dxa"/>
          </w:tcPr>
          <w:p w14:paraId="7638D36B" w14:textId="2DA4E70D"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rPr>
              <w:t>1121, adults   (70.7-IQR 61.1, 77.0)</w:t>
            </w:r>
          </w:p>
        </w:tc>
        <w:tc>
          <w:tcPr>
            <w:tcW w:w="1559" w:type="dxa"/>
          </w:tcPr>
          <w:p w14:paraId="7D13A8A7" w14:textId="27CD4AE1"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rPr>
              <w:t xml:space="preserve">FFQ </w:t>
            </w:r>
            <w:r w:rsidRPr="005F4695">
              <w:rPr>
                <w:rFonts w:asciiTheme="minorBidi" w:hAnsiTheme="minorBidi" w:cstheme="minorBidi"/>
                <w:color w:val="000000" w:themeColor="text1"/>
                <w:sz w:val="18"/>
                <w:szCs w:val="18"/>
              </w:rPr>
              <w:t>(INTERHEART)</w:t>
            </w:r>
          </w:p>
        </w:tc>
        <w:tc>
          <w:tcPr>
            <w:tcW w:w="1559" w:type="dxa"/>
          </w:tcPr>
          <w:p w14:paraId="763A0760" w14:textId="09BE6126"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rPr>
              <w:t>MDS</w:t>
            </w:r>
          </w:p>
        </w:tc>
        <w:tc>
          <w:tcPr>
            <w:tcW w:w="5305" w:type="dxa"/>
          </w:tcPr>
          <w:p w14:paraId="2B39DFB1" w14:textId="67A1A640"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lang w:val="en-GB" w:eastAsia="en-GB"/>
              </w:rPr>
              <w:t>6 (</w:t>
            </w:r>
            <w:r w:rsidRPr="005F4695">
              <w:rPr>
                <w:rFonts w:asciiTheme="minorBidi" w:eastAsiaTheme="minorHAnsi" w:hAnsiTheme="minorBidi" w:cstheme="minorBidi"/>
                <w:color w:val="000000" w:themeColor="text1"/>
                <w:sz w:val="20"/>
                <w:szCs w:val="20"/>
              </w:rPr>
              <w:t>whole grains, nuts/legumes, fruits, fish, meat, alcohol</w:t>
            </w:r>
            <w:r w:rsidRPr="005F4695">
              <w:rPr>
                <w:rFonts w:asciiTheme="minorBidi" w:hAnsiTheme="minorBidi" w:cstheme="minorBidi"/>
                <w:color w:val="000000" w:themeColor="text1"/>
                <w:sz w:val="20"/>
                <w:szCs w:val="20"/>
                <w:lang w:val="en-GB" w:eastAsia="en-GB"/>
              </w:rPr>
              <w:t>), 0 to 4, overall score ranged from 0 to 28 points</w:t>
            </w:r>
          </w:p>
        </w:tc>
      </w:tr>
      <w:tr w:rsidR="00743B47" w:rsidRPr="005F4695" w14:paraId="40CA5059" w14:textId="77777777" w:rsidTr="00B20E43">
        <w:trPr>
          <w:trHeight w:val="388"/>
        </w:trPr>
        <w:tc>
          <w:tcPr>
            <w:tcW w:w="1555" w:type="dxa"/>
          </w:tcPr>
          <w:p w14:paraId="06295C37" w14:textId="5F8CE0C7" w:rsidR="00743B47" w:rsidRPr="005F4695" w:rsidRDefault="00743B47" w:rsidP="00743B47">
            <w:pPr>
              <w:rPr>
                <w:rFonts w:asciiTheme="minorBidi" w:hAnsiTheme="minorBidi" w:cstheme="minorBidi"/>
                <w:color w:val="000000" w:themeColor="text1"/>
                <w:sz w:val="20"/>
                <w:szCs w:val="20"/>
                <w:lang w:val="en-GB" w:eastAsia="en-GB"/>
              </w:rPr>
            </w:pPr>
            <w:r w:rsidRPr="003754B5">
              <w:rPr>
                <w:rFonts w:asciiTheme="minorBidi" w:hAnsiTheme="minorBidi" w:cstheme="minorBidi"/>
                <w:color w:val="000000" w:themeColor="text1"/>
                <w:sz w:val="20"/>
                <w:szCs w:val="20"/>
              </w:rPr>
              <w:t>Phillips et al</w:t>
            </w:r>
            <w:r>
              <w:rPr>
                <w:rFonts w:asciiTheme="minorBidi" w:hAnsiTheme="minorBidi" w:cstheme="minorBidi"/>
                <w:color w:val="000000" w:themeColor="text1"/>
                <w:sz w:val="20"/>
                <w:szCs w:val="20"/>
              </w:rPr>
              <w:t>, 2018</w:t>
            </w:r>
            <w:r w:rsidRPr="003754B5">
              <w:rPr>
                <w:rFonts w:asciiTheme="minorBidi" w:hAnsiTheme="minorBidi" w:cstheme="minorBidi"/>
                <w:color w:val="000000" w:themeColor="text1"/>
                <w:sz w:val="20"/>
                <w:szCs w:val="20"/>
              </w:rPr>
              <w:t xml:space="preserve"> </w:t>
            </w:r>
            <w:r w:rsidRPr="003754B5">
              <w:rPr>
                <w:rFonts w:asciiTheme="minorBidi" w:hAnsiTheme="minorBidi" w:cstheme="minorBidi"/>
                <w:color w:val="000000" w:themeColor="text1"/>
                <w:sz w:val="20"/>
                <w:szCs w:val="20"/>
              </w:rPr>
              <w:fldChar w:fldCharType="begin" w:fldLock="1"/>
            </w:r>
            <w:r w:rsidR="004A7B72">
              <w:rPr>
                <w:rFonts w:asciiTheme="minorBidi" w:hAnsiTheme="minorBidi" w:cstheme="minorBidi"/>
                <w:color w:val="000000" w:themeColor="text1"/>
                <w:sz w:val="20"/>
                <w:szCs w:val="20"/>
              </w:rPr>
              <w:instrText>ADDIN CSL_CITATION {"citationItems":[{"id":"ITEM-1","itemData":{"DOI":"10.1016/j.clnu.2018.08.028","ISSN":"02615614","PMID":"30219609","abstract":"BACKGROUND AND AIMS The relationship between dietary patterns and cardiometabolic disease is of increasing interest. However, limited data regarding the association between dietary quality and biomarkers of cardiometabolic health exist. Therefore the aim of this work was to examine potential associations between dietary quality, assessed using the Dietary Approaches to Stop Hypertension (DASH) dietary quality score, adiposity and biomarkers of glucose homeostasis, lipoprotein metabolism and inflammation in a cross-sectional sample of 1493 men and women. METHODS Anthropometric measurements included BMI, hip and waist circumference (WC). Serum acute-phase reactants, adipocytokines, pro-inflammatory cytokines and white blood cell (WBC) counts were determined. Lipoprotein particle size and subclass concentrations were measured using nuclear magnetic resonance (NMR) spectroscopy. Insulin resistance was calculated by homeostasis model assessment (HOMA-IR). RESULTS Higher dietary quality was associated with lower BMI (P &lt; 0.05), WC (P &lt; 0.001), tumour necrosis factor α (TNF-α), interleukin 6 (IL-6), WBC and plasminogen activator inhibitor-1 (PAI-1) concentrations (P &lt; 0.01) and reduced insulin resistance (P &lt; 0.05). In addition less small low density lipoprotein (LDL) and small high density lipoprotein (HDL) particles and less large very low density lipoprotein (VLDL) particles were observed among those with better dietary quality (P &lt; 0.001). Individuals in the top DASH quartile had a 54% and 48% lower likelihood of central obesity and metabolic syndrome (MetS), respectively, than those in the lowest DASH quartile (P &lt; 0.05). CONCLUSIONS Our data suggest that higher quality diet is associated with improved adiposity measures and a less insulin resistant, pro-inflammatory, pro-thrombotic and pro-atherogenic cardiometabolic profile which may impact on central obesity and MetS risk. These findings, which may be of clinical and public health significance in terms of dietary approaches to promote cardiometabolic health, warrant further examination.","author":[{"dropping-particle":"","family":"Phillips","given":"Catherine M.","non-dropping-particle":"","parse-names":false,"suffix":""},{"dropping-particle":"","family":"Harrington","given":"Janas M.","non-dropping-particle":"","parse-names":false,"suffix":""},{"dropping-particle":"","family":"Perry","given":"Ivan J.","non-dropping-particle":"","parse-names":false,"suffix":""}],"container-title":"Clinical Nutrition","id":"ITEM-1","issued":{"date-parts":[["2018","9","1"]]},"title":"Relationship between dietary quality, determined by DASH score, and cardiometabolic health biomarkers: A cross-sectional analysis in adults","type":"article-journal","volume":"pii: S0261"},"uris":["http://www.mendeley.com/documents/?uuid=3bf797b8-143f-3c34-930a-b5c1c9b26466"]}],"mendeley":{"formattedCitation":"(36)","plainTextFormattedCitation":"(36)","previouslyFormattedCitation":"(35)"},"properties":{"noteIndex":0},"schema":"https://github.com/citation-style-language/schema/raw/master/csl-citation.json"}</w:instrText>
            </w:r>
            <w:r w:rsidRPr="003754B5">
              <w:rPr>
                <w:rFonts w:asciiTheme="minorBidi" w:hAnsiTheme="minorBidi" w:cstheme="minorBidi"/>
                <w:color w:val="000000" w:themeColor="text1"/>
                <w:sz w:val="20"/>
                <w:szCs w:val="20"/>
              </w:rPr>
              <w:fldChar w:fldCharType="separate"/>
            </w:r>
            <w:r w:rsidR="004A7B72" w:rsidRPr="004A7B72">
              <w:rPr>
                <w:rFonts w:asciiTheme="minorBidi" w:hAnsiTheme="minorBidi" w:cstheme="minorBidi"/>
                <w:noProof/>
                <w:color w:val="000000" w:themeColor="text1"/>
                <w:sz w:val="20"/>
                <w:szCs w:val="20"/>
              </w:rPr>
              <w:t>(36)</w:t>
            </w:r>
            <w:r w:rsidRPr="003754B5">
              <w:rPr>
                <w:rFonts w:asciiTheme="minorBidi" w:hAnsiTheme="minorBidi" w:cstheme="minorBidi"/>
                <w:color w:val="000000" w:themeColor="text1"/>
                <w:sz w:val="20"/>
                <w:szCs w:val="20"/>
              </w:rPr>
              <w:fldChar w:fldCharType="end"/>
            </w:r>
            <w:r w:rsidRPr="003754B5">
              <w:rPr>
                <w:rFonts w:asciiTheme="minorBidi" w:hAnsiTheme="minorBidi" w:cstheme="minorBidi"/>
                <w:color w:val="000000" w:themeColor="text1"/>
                <w:sz w:val="20"/>
                <w:szCs w:val="20"/>
              </w:rPr>
              <w:t xml:space="preserve"> </w:t>
            </w:r>
          </w:p>
        </w:tc>
        <w:tc>
          <w:tcPr>
            <w:tcW w:w="1417" w:type="dxa"/>
          </w:tcPr>
          <w:p w14:paraId="7BC369AB" w14:textId="475D1A5C"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rPr>
              <w:t>Ireland</w:t>
            </w:r>
          </w:p>
        </w:tc>
        <w:tc>
          <w:tcPr>
            <w:tcW w:w="1276" w:type="dxa"/>
          </w:tcPr>
          <w:p w14:paraId="12B9AE19" w14:textId="09BCB617"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rPr>
              <w:t>1493, adults (59±14)</w:t>
            </w:r>
          </w:p>
        </w:tc>
        <w:tc>
          <w:tcPr>
            <w:tcW w:w="1559" w:type="dxa"/>
          </w:tcPr>
          <w:p w14:paraId="7858BAFD" w14:textId="16DF4887"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rPr>
              <w:t>FFQ         (EPIC)</w:t>
            </w:r>
          </w:p>
        </w:tc>
        <w:tc>
          <w:tcPr>
            <w:tcW w:w="1559" w:type="dxa"/>
          </w:tcPr>
          <w:p w14:paraId="7F0A67CE" w14:textId="2A9277CF"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rPr>
              <w:t>DASH score</w:t>
            </w:r>
          </w:p>
        </w:tc>
        <w:tc>
          <w:tcPr>
            <w:tcW w:w="5305" w:type="dxa"/>
          </w:tcPr>
          <w:p w14:paraId="0D8805DD" w14:textId="77777777" w:rsidR="00743B47" w:rsidRPr="005F4695" w:rsidRDefault="00743B47" w:rsidP="00743B47">
            <w:pPr>
              <w:rPr>
                <w:rFonts w:asciiTheme="minorBidi" w:eastAsiaTheme="minorHAnsi" w:hAnsiTheme="minorBidi" w:cstheme="minorBidi"/>
                <w:color w:val="000000" w:themeColor="text1"/>
                <w:sz w:val="20"/>
                <w:szCs w:val="20"/>
              </w:rPr>
            </w:pPr>
            <w:r w:rsidRPr="005F4695">
              <w:rPr>
                <w:rFonts w:asciiTheme="minorBidi" w:hAnsiTheme="minorBidi" w:cstheme="minorBidi"/>
                <w:color w:val="000000" w:themeColor="text1"/>
                <w:sz w:val="20"/>
                <w:szCs w:val="20"/>
              </w:rPr>
              <w:t xml:space="preserve">8 (fruits, vegetables, nuts, legumes, and low-fat dairy, lower intake of low-sodium, sweetened beverages, and red or processed meat), 1 to 5 with equal weight assigned to each item, </w:t>
            </w:r>
            <w:r w:rsidRPr="005F4695">
              <w:rPr>
                <w:rFonts w:asciiTheme="minorBidi" w:eastAsiaTheme="minorHAnsi" w:hAnsiTheme="minorBidi" w:cstheme="minorBidi"/>
                <w:color w:val="000000" w:themeColor="text1"/>
                <w:sz w:val="20"/>
                <w:szCs w:val="20"/>
              </w:rPr>
              <w:t>overall score was the sum of all scores</w:t>
            </w:r>
          </w:p>
          <w:p w14:paraId="4D3D3941" w14:textId="762BE89F" w:rsidR="00743B47" w:rsidRPr="005F4695" w:rsidRDefault="00743B47" w:rsidP="00743B47">
            <w:pPr>
              <w:rPr>
                <w:rFonts w:asciiTheme="minorBidi" w:hAnsiTheme="minorBidi" w:cstheme="minorBidi"/>
                <w:color w:val="000000" w:themeColor="text1"/>
                <w:sz w:val="20"/>
                <w:szCs w:val="20"/>
                <w:lang w:val="en-GB" w:eastAsia="en-GB"/>
              </w:rPr>
            </w:pPr>
          </w:p>
        </w:tc>
      </w:tr>
      <w:tr w:rsidR="00743B47" w:rsidRPr="005F4695" w14:paraId="02BAE498" w14:textId="77777777" w:rsidTr="00B20E43">
        <w:trPr>
          <w:trHeight w:val="388"/>
        </w:trPr>
        <w:tc>
          <w:tcPr>
            <w:tcW w:w="1555" w:type="dxa"/>
          </w:tcPr>
          <w:p w14:paraId="1E79914D" w14:textId="6839B93E" w:rsidR="00743B47" w:rsidRPr="005F4695" w:rsidRDefault="00743B47" w:rsidP="00743B47">
            <w:pPr>
              <w:rPr>
                <w:rFonts w:asciiTheme="minorBidi" w:hAnsiTheme="minorBidi" w:cstheme="minorBidi"/>
                <w:color w:val="000000" w:themeColor="text1"/>
                <w:sz w:val="20"/>
                <w:szCs w:val="20"/>
                <w:lang w:val="en-GB" w:eastAsia="en-GB"/>
              </w:rPr>
            </w:pPr>
            <w:proofErr w:type="spellStart"/>
            <w:r w:rsidRPr="003754B5">
              <w:rPr>
                <w:rFonts w:asciiTheme="minorBidi" w:hAnsiTheme="minorBidi" w:cstheme="minorBidi"/>
                <w:sz w:val="20"/>
                <w:szCs w:val="20"/>
                <w:lang w:val="en-GB" w:eastAsia="en-GB"/>
              </w:rPr>
              <w:t>Arentoft</w:t>
            </w:r>
            <w:proofErr w:type="spellEnd"/>
            <w:r w:rsidRPr="003754B5">
              <w:rPr>
                <w:rFonts w:asciiTheme="minorBidi" w:hAnsiTheme="minorBidi" w:cstheme="minorBidi"/>
                <w:sz w:val="20"/>
                <w:szCs w:val="20"/>
                <w:lang w:val="en-GB" w:eastAsia="en-GB"/>
              </w:rPr>
              <w:t xml:space="preserve"> et al</w:t>
            </w:r>
            <w:r>
              <w:rPr>
                <w:rFonts w:asciiTheme="minorBidi" w:hAnsiTheme="minorBidi" w:cstheme="minorBidi"/>
                <w:sz w:val="20"/>
                <w:szCs w:val="20"/>
                <w:lang w:val="en-GB" w:eastAsia="en-GB"/>
              </w:rPr>
              <w:t>, 2018</w:t>
            </w:r>
            <w:r w:rsidRPr="003754B5">
              <w:rPr>
                <w:rFonts w:asciiTheme="minorBidi" w:hAnsiTheme="minorBidi" w:cstheme="minorBidi"/>
                <w:sz w:val="20"/>
                <w:szCs w:val="20"/>
                <w:lang w:val="en-GB" w:eastAsia="en-GB"/>
              </w:rPr>
              <w:t xml:space="preserve"> </w:t>
            </w:r>
            <w:r w:rsidRPr="003754B5">
              <w:rPr>
                <w:rFonts w:asciiTheme="minorBidi" w:hAnsiTheme="minorBidi" w:cstheme="minorBidi"/>
                <w:sz w:val="20"/>
                <w:szCs w:val="20"/>
                <w:lang w:val="en-GB" w:eastAsia="en-GB"/>
              </w:rPr>
              <w:fldChar w:fldCharType="begin" w:fldLock="1"/>
            </w:r>
            <w:r w:rsidR="004A7B72">
              <w:rPr>
                <w:rFonts w:asciiTheme="minorBidi" w:hAnsiTheme="minorBidi" w:cstheme="minorBidi"/>
                <w:sz w:val="20"/>
                <w:szCs w:val="20"/>
                <w:lang w:val="en-GB" w:eastAsia="en-GB"/>
              </w:rPr>
              <w:instrText>ADDIN CSL_CITATION {"citationItems":[{"id":"ITEM-1","itemData":{"DOI":"10.1017/S0007114517003695","ISSN":"0007-1145","abstract":"Diet is recognised as one modifiable lifestyle factor for ischaemic heart disease (IHD). We aimed at investigating the associations between adherence to the Danish Food-Based Dietary Guidelines (FBDG) indicated by a Dietary Quality Index (DQI) and selected cardiometabolic risk factors in a cross-sectional study with 219 Danish adult participants (59 %women; age 31–65years) with a minimum of one self-rated risk marker of IHD. Information regarding diet was obtained using web-based dietary assessment software and adherence to the Danish FBDG was expressed by a DQI calculated from 5 food and nutrient indicators (whole grain, fish, fruit and vegetables, energy from saturated fat and from added sugar). Background information, blood samples and anthropometrics were collected and blood pressure was measured. Linear regression analyses were used to evaluate the association between DQI and cardiometabolic risk factors. DQI was inversely associated with LDL:HDL ratio and TAG (−0·089 per unit; 95 % CI −0·177, −0·002 and −5 % per unit; 95 % CI −9, 0, respectively) and positively associated with HDL-cholesterol (0·047 mmol/l per unit; 95 % CI 0·007, 0·088). For men, DQI was inversely associated with BMI (−3 %per unit; 95 % CI −5, −1), trunk fat (−1 % per unit; 95 % CI −2, −1), high-sensitivity C-reactive protein (−30 % per unit; 95 % CI −41, −16 %), HbA 1c (−0·09 % per unit; 95 % CI −0·14, −0·04), insulin (−13 % per unit; 95 % CI −19, −7) and homoeostatic model assessment-insulin resistance (−14 % per unit; 95 % CI −21, −7). In women, DQI was positively associated with systolic blood pressure (2·6 mmHg per unit; 95 % CI 0·6, 4·6). In conclusion, higher adherence to the current Danish FBDG was associated with a more beneficial cardiometabolic risk profile in a Danish adult population with a minimum of one self-rated risk factor for IHD.","author":[{"dropping-particle":"","family":"Arentoft","given":"Johanne L.","non-dropping-particle":"","parse-names":false,"suffix":""},{"dropping-particle":"","family":"Hoppe","given":"Camilla","non-dropping-particle":"","parse-names":false,"suffix":""},{"dropping-particle":"","family":"Andersen","given":"Elisabeth W.","non-dropping-particle":"","parse-names":false,"suffix":""},{"dropping-particle":"","family":"Overvad","given":"Kim","non-dropping-particle":"","parse-names":false,"suffix":""},{"dropping-particle":"","family":"Tetens","given":"Inge","non-dropping-particle":"","parse-names":false,"suffix":""}],"container-title":"British Journal of Nutrition","id":"ITEM-1","issue":"6","issued":{"date-parts":[["2018","3","28"]]},"page":"664-673","title":"Associations between adherence to the Danish Food-Based Dietary Guidelines and cardiometabolic risk factors in a Danish adult population: the DIPI study","type":"article-journal","volume":"119"},"uris":["http://www.mendeley.com/documents/?uuid=2f75767b-0227-34fa-9ba7-dcd2d9867917","http://www.mendeley.com/documents/?uuid=7b0ae432-ec32-4ec0-a302-812f7e13105d"]}],"mendeley":{"formattedCitation":"(37)","plainTextFormattedCitation":"(37)","previouslyFormattedCitation":"(36)"},"properties":{"noteIndex":0},"schema":"https://github.com/citation-style-language/schema/raw/master/csl-citation.json"}</w:instrText>
            </w:r>
            <w:r w:rsidRPr="003754B5">
              <w:rPr>
                <w:rFonts w:asciiTheme="minorBidi" w:hAnsiTheme="minorBidi" w:cstheme="minorBidi"/>
                <w:sz w:val="20"/>
                <w:szCs w:val="20"/>
                <w:lang w:val="en-GB" w:eastAsia="en-GB"/>
              </w:rPr>
              <w:fldChar w:fldCharType="separate"/>
            </w:r>
            <w:r w:rsidR="004A7B72" w:rsidRPr="004A7B72">
              <w:rPr>
                <w:rFonts w:asciiTheme="minorBidi" w:hAnsiTheme="minorBidi" w:cstheme="minorBidi"/>
                <w:noProof/>
                <w:sz w:val="20"/>
                <w:szCs w:val="20"/>
                <w:lang w:val="en-GB" w:eastAsia="en-GB"/>
              </w:rPr>
              <w:t>(37)</w:t>
            </w:r>
            <w:r w:rsidRPr="003754B5">
              <w:rPr>
                <w:rFonts w:asciiTheme="minorBidi" w:hAnsiTheme="minorBidi" w:cstheme="minorBidi"/>
                <w:sz w:val="20"/>
                <w:szCs w:val="20"/>
                <w:lang w:val="en-GB" w:eastAsia="en-GB"/>
              </w:rPr>
              <w:fldChar w:fldCharType="end"/>
            </w:r>
          </w:p>
        </w:tc>
        <w:tc>
          <w:tcPr>
            <w:tcW w:w="1417" w:type="dxa"/>
          </w:tcPr>
          <w:p w14:paraId="38C7FB15" w14:textId="49F75442"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lang w:val="en-GB" w:eastAsia="en-GB"/>
              </w:rPr>
              <w:t>Denmark</w:t>
            </w:r>
          </w:p>
        </w:tc>
        <w:tc>
          <w:tcPr>
            <w:tcW w:w="1276" w:type="dxa"/>
          </w:tcPr>
          <w:p w14:paraId="6AF832BD" w14:textId="6F5EF32D"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lang w:val="en-GB" w:eastAsia="en-GB"/>
              </w:rPr>
              <w:t>2019, adults       (31-65)</w:t>
            </w:r>
          </w:p>
        </w:tc>
        <w:tc>
          <w:tcPr>
            <w:tcW w:w="1559" w:type="dxa"/>
          </w:tcPr>
          <w:p w14:paraId="4EBF5BE5" w14:textId="2A175FA9"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lang w:val="en-GB" w:eastAsia="en-GB"/>
              </w:rPr>
              <w:t>7 days online record</w:t>
            </w:r>
          </w:p>
        </w:tc>
        <w:tc>
          <w:tcPr>
            <w:tcW w:w="1559" w:type="dxa"/>
          </w:tcPr>
          <w:p w14:paraId="1E3534F0" w14:textId="7E6EC003"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lang w:val="en-GB" w:eastAsia="en-GB"/>
              </w:rPr>
              <w:t>Danish Dietary Guidelines Index score</w:t>
            </w:r>
          </w:p>
        </w:tc>
        <w:tc>
          <w:tcPr>
            <w:tcW w:w="5305" w:type="dxa"/>
          </w:tcPr>
          <w:p w14:paraId="79C92833" w14:textId="00DC2B80"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lang w:val="en-GB" w:eastAsia="en-GB"/>
              </w:rPr>
              <w:t>5 (whole grain, fish, fruit and vegetables, energy from saturated fat and from added sugar)</w:t>
            </w:r>
            <w:r w:rsidRPr="005F4695">
              <w:rPr>
                <w:rFonts w:asciiTheme="minorBidi" w:hAnsiTheme="minorBidi" w:cstheme="minorBidi"/>
                <w:bCs/>
                <w:color w:val="000000" w:themeColor="text1"/>
                <w:sz w:val="20"/>
                <w:szCs w:val="20"/>
                <w:lang w:val="en-GB" w:eastAsia="en-GB"/>
              </w:rPr>
              <w:t>, 0 to 1 based on</w:t>
            </w:r>
            <w:r w:rsidRPr="005F4695">
              <w:rPr>
                <w:rFonts w:asciiTheme="minorBidi" w:eastAsiaTheme="minorHAnsi" w:hAnsiTheme="minorBidi" w:cstheme="minorBidi"/>
                <w:color w:val="000000" w:themeColor="text1"/>
                <w:sz w:val="20"/>
                <w:szCs w:val="20"/>
              </w:rPr>
              <w:t xml:space="preserve"> recommended intake, </w:t>
            </w:r>
            <w:r w:rsidRPr="005F4695">
              <w:rPr>
                <w:rFonts w:asciiTheme="minorBidi" w:hAnsiTheme="minorBidi" w:cstheme="minorBidi"/>
                <w:color w:val="000000" w:themeColor="text1"/>
                <w:sz w:val="20"/>
                <w:szCs w:val="20"/>
                <w:lang w:val="en-GB" w:eastAsia="en-GB"/>
              </w:rPr>
              <w:t>overall score ranged from 0 to 5 points</w:t>
            </w:r>
          </w:p>
          <w:p w14:paraId="35182922" w14:textId="77777777" w:rsidR="00743B47" w:rsidRPr="005F4695" w:rsidRDefault="00743B47" w:rsidP="00743B47">
            <w:pPr>
              <w:rPr>
                <w:rFonts w:asciiTheme="minorBidi" w:hAnsiTheme="minorBidi" w:cstheme="minorBidi"/>
                <w:color w:val="000000" w:themeColor="text1"/>
                <w:sz w:val="20"/>
                <w:szCs w:val="20"/>
                <w:lang w:val="en-GB" w:eastAsia="en-GB"/>
              </w:rPr>
            </w:pPr>
          </w:p>
          <w:p w14:paraId="7A3C9F5E" w14:textId="77777777" w:rsidR="00743B47" w:rsidRPr="005F4695" w:rsidRDefault="00743B47" w:rsidP="00743B47">
            <w:pPr>
              <w:rPr>
                <w:rFonts w:asciiTheme="minorBidi" w:hAnsiTheme="minorBidi" w:cstheme="minorBidi"/>
                <w:color w:val="000000" w:themeColor="text1"/>
                <w:sz w:val="20"/>
                <w:szCs w:val="20"/>
                <w:lang w:val="en-GB" w:eastAsia="en-GB"/>
              </w:rPr>
            </w:pPr>
          </w:p>
        </w:tc>
      </w:tr>
      <w:tr w:rsidR="00743B47" w:rsidRPr="005F4695" w14:paraId="25551EAB" w14:textId="77777777" w:rsidTr="00B20E43">
        <w:trPr>
          <w:trHeight w:val="388"/>
        </w:trPr>
        <w:tc>
          <w:tcPr>
            <w:tcW w:w="1555" w:type="dxa"/>
          </w:tcPr>
          <w:p w14:paraId="2C794917" w14:textId="35CC3875" w:rsidR="00743B47" w:rsidRPr="005F4695" w:rsidRDefault="00743B47" w:rsidP="00743B47">
            <w:pPr>
              <w:rPr>
                <w:rFonts w:asciiTheme="minorBidi" w:hAnsiTheme="minorBidi" w:cstheme="minorBidi"/>
                <w:color w:val="000000" w:themeColor="text1"/>
                <w:sz w:val="20"/>
                <w:szCs w:val="20"/>
                <w:lang w:val="en-GB" w:eastAsia="en-GB"/>
              </w:rPr>
            </w:pPr>
            <w:r w:rsidRPr="003754B5">
              <w:rPr>
                <w:rFonts w:asciiTheme="minorBidi" w:hAnsiTheme="minorBidi" w:cstheme="minorBidi"/>
                <w:color w:val="000000" w:themeColor="text1"/>
                <w:sz w:val="20"/>
                <w:szCs w:val="20"/>
                <w:lang w:val="en-GB" w:eastAsia="en-GB"/>
              </w:rPr>
              <w:t>Hansen et al</w:t>
            </w:r>
            <w:r>
              <w:rPr>
                <w:rFonts w:asciiTheme="minorBidi" w:hAnsiTheme="minorBidi" w:cstheme="minorBidi"/>
                <w:color w:val="000000" w:themeColor="text1"/>
                <w:sz w:val="20"/>
                <w:szCs w:val="20"/>
                <w:lang w:val="en-GB" w:eastAsia="en-GB"/>
              </w:rPr>
              <w:t>, 2018</w:t>
            </w:r>
            <w:r w:rsidRPr="003754B5">
              <w:rPr>
                <w:rFonts w:asciiTheme="minorBidi" w:hAnsiTheme="minorBidi" w:cstheme="minorBidi"/>
                <w:color w:val="000000" w:themeColor="text1"/>
                <w:sz w:val="20"/>
                <w:szCs w:val="20"/>
                <w:lang w:val="en-GB" w:eastAsia="en-GB"/>
              </w:rPr>
              <w:t xml:space="preserve"> </w:t>
            </w:r>
            <w:r w:rsidRPr="003754B5">
              <w:rPr>
                <w:rFonts w:asciiTheme="minorBidi" w:hAnsiTheme="minorBidi" w:cstheme="minorBidi"/>
                <w:color w:val="000000" w:themeColor="text1"/>
                <w:sz w:val="20"/>
                <w:szCs w:val="20"/>
                <w:lang w:val="en-GB" w:eastAsia="en-GB"/>
              </w:rPr>
              <w:fldChar w:fldCharType="begin" w:fldLock="1"/>
            </w:r>
            <w:r w:rsidR="004A7B72">
              <w:rPr>
                <w:rFonts w:asciiTheme="minorBidi" w:hAnsiTheme="minorBidi" w:cstheme="minorBidi"/>
                <w:color w:val="000000" w:themeColor="text1"/>
                <w:sz w:val="20"/>
                <w:szCs w:val="20"/>
                <w:lang w:val="en-GB" w:eastAsia="en-GB"/>
              </w:rPr>
              <w:instrText>ADDIN CSL_CITATION {"citationItems":[{"id":"ITEM-1","itemData":{"DOI":"10.1371/journal.pone.0206242","ISSN":"1932-6203","PMID":"30356304","abstract":"BACKGROUND AND PURPOSE National dietary guidelines are intended to promote primary prevention of lifestyle-related diseases, but little is known about their effectiveness in prevention of stroke. METHODS We used the Danish cohort Diet, Cancer and Health (n = 57 053) to investigate whether adherence to the Danish food-based dietary guidelines was associated with risk of stroke. Adherence was assessed by the Danish Dietary Guidelines Index, score 0 [no adherence] to 6 [complete adherence]. Cox proportional hazards models were used to estimate adjusted hazard ratios and 95% confidence intervals for stroke and subtypes of stroke in men and women separately. RESULTS Incident stroke was determined in 1357 men and 900 women during follow-up (median 12.5 years and 13.0 years, respectively). A higher Danish Dietary Guidelines Index score was inversely associated with total stroke in men but not in women. In men, a high Index score (≥4) was also inversely associated with total ischemic stroke (hazard ratio 0.75, 95% confidence interval 0.65-0.86), large-artery atherosclerosis (hazard ratio 0.63, 95% confidence interval 0.44-0.92) and small artery occlusion (hazard ratio 0.68, 95% confidence interval 0.54-0.84) compared to a low Index score (&lt;4). In women, inverse associations were found for total ischemic stroke (hazard ratio 0.84, 95% confidence interval 0.72-0.98) and intracerebral hemorrhage (hazard ratio 0.64, 95% confidence interval 0.43-0.96). CONCLUSIONS Our findings suggest that adherence to the Danish Dietary Guidelines is associated with a lower rate of stroke, and thus may be useful in primary prevention of disease.","author":[{"dropping-particle":"","family":"Hansen","given":"Sine Hammer","non-dropping-particle":"","parse-names":false,"suffix":""},{"dropping-particle":"","family":"Overvad","given":"Kim","non-dropping-particle":"","parse-names":false,"suffix":""},{"dropping-particle":"","family":"Hansen","given":"Camilla Plambeck","non-dropping-particle":"","parse-names":false,"suffix":""},{"dropping-particle":"","family":"Dahm","given":"Christina Catherine","non-dropping-particle":"","parse-names":false,"suffix":""}],"container-title":"PLOS ONE","id":"ITEM-1","issue":"10","issued":{"date-parts":[["2018","10","24"]]},"page":"e0206242","title":"Adherence to national food-based dietary guidelines and incidence of stroke: A cohort study of Danish men and women","type":"article-journal","volume":"13"},"uris":["http://www.mendeley.com/documents/?uuid=fcb7fe1d-cd3c-309e-a646-e4283126e474"]}],"mendeley":{"formattedCitation":"(38)","plainTextFormattedCitation":"(38)","previouslyFormattedCitation":"(37)"},"properties":{"noteIndex":0},"schema":"https://github.com/citation-style-language/schema/raw/master/csl-citation.json"}</w:instrText>
            </w:r>
            <w:r w:rsidRPr="003754B5">
              <w:rPr>
                <w:rFonts w:asciiTheme="minorBidi" w:hAnsiTheme="minorBidi" w:cstheme="minorBidi"/>
                <w:color w:val="000000" w:themeColor="text1"/>
                <w:sz w:val="20"/>
                <w:szCs w:val="20"/>
                <w:lang w:val="en-GB" w:eastAsia="en-GB"/>
              </w:rPr>
              <w:fldChar w:fldCharType="separate"/>
            </w:r>
            <w:r w:rsidR="004A7B72" w:rsidRPr="004A7B72">
              <w:rPr>
                <w:rFonts w:asciiTheme="minorBidi" w:hAnsiTheme="minorBidi" w:cstheme="minorBidi"/>
                <w:noProof/>
                <w:color w:val="000000" w:themeColor="text1"/>
                <w:sz w:val="20"/>
                <w:szCs w:val="20"/>
                <w:lang w:val="en-GB" w:eastAsia="en-GB"/>
              </w:rPr>
              <w:t>(38)</w:t>
            </w:r>
            <w:r w:rsidRPr="003754B5">
              <w:rPr>
                <w:rFonts w:asciiTheme="minorBidi" w:hAnsiTheme="minorBidi" w:cstheme="minorBidi"/>
                <w:color w:val="000000" w:themeColor="text1"/>
                <w:sz w:val="20"/>
                <w:szCs w:val="20"/>
                <w:lang w:val="en-GB" w:eastAsia="en-GB"/>
              </w:rPr>
              <w:fldChar w:fldCharType="end"/>
            </w:r>
          </w:p>
        </w:tc>
        <w:tc>
          <w:tcPr>
            <w:tcW w:w="1417" w:type="dxa"/>
          </w:tcPr>
          <w:p w14:paraId="43F5BA44" w14:textId="3829BFD1"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lang w:val="en-GB" w:eastAsia="en-GB"/>
              </w:rPr>
              <w:t>Denmark</w:t>
            </w:r>
          </w:p>
        </w:tc>
        <w:tc>
          <w:tcPr>
            <w:tcW w:w="1276" w:type="dxa"/>
          </w:tcPr>
          <w:p w14:paraId="44F7A469" w14:textId="47977838"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lang w:val="en-GB" w:eastAsia="en-GB"/>
              </w:rPr>
              <w:t>57053, adults      (~56)</w:t>
            </w:r>
          </w:p>
        </w:tc>
        <w:tc>
          <w:tcPr>
            <w:tcW w:w="1559" w:type="dxa"/>
          </w:tcPr>
          <w:p w14:paraId="6B6B2496" w14:textId="7519BE98"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lang w:val="en-GB" w:eastAsia="en-GB"/>
              </w:rPr>
              <w:t>FFQ</w:t>
            </w:r>
          </w:p>
        </w:tc>
        <w:tc>
          <w:tcPr>
            <w:tcW w:w="1559" w:type="dxa"/>
          </w:tcPr>
          <w:p w14:paraId="08678389" w14:textId="77B1D1C4"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lang w:val="en-GB" w:eastAsia="en-GB"/>
              </w:rPr>
              <w:t>Danish Dietary Guidelines Index</w:t>
            </w:r>
          </w:p>
        </w:tc>
        <w:tc>
          <w:tcPr>
            <w:tcW w:w="5305" w:type="dxa"/>
          </w:tcPr>
          <w:p w14:paraId="0F7CD711" w14:textId="77777777"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bCs/>
                <w:color w:val="000000" w:themeColor="text1"/>
                <w:sz w:val="20"/>
                <w:szCs w:val="20"/>
                <w:lang w:val="en-GB" w:eastAsia="en-GB"/>
              </w:rPr>
              <w:t>6 (fish, fruits and vegetables, whole grains, lean meat and cold-meat, saturated fat, and sugar), 0 to 1 based on</w:t>
            </w:r>
            <w:r w:rsidRPr="005F4695">
              <w:rPr>
                <w:rFonts w:asciiTheme="minorBidi" w:eastAsiaTheme="minorHAnsi" w:hAnsiTheme="minorBidi" w:cstheme="minorBidi"/>
                <w:color w:val="000000" w:themeColor="text1"/>
                <w:sz w:val="20"/>
                <w:szCs w:val="20"/>
              </w:rPr>
              <w:t xml:space="preserve"> recommended intake, </w:t>
            </w:r>
            <w:r w:rsidRPr="005F4695">
              <w:rPr>
                <w:rFonts w:asciiTheme="minorBidi" w:hAnsiTheme="minorBidi" w:cstheme="minorBidi"/>
                <w:color w:val="000000" w:themeColor="text1"/>
                <w:sz w:val="20"/>
                <w:szCs w:val="20"/>
                <w:lang w:val="en-GB" w:eastAsia="en-GB"/>
              </w:rPr>
              <w:t>overall score ranged from 0 to 6 points</w:t>
            </w:r>
          </w:p>
          <w:p w14:paraId="062DC7C2" w14:textId="3655AA8E" w:rsidR="00743B47" w:rsidRPr="005F4695" w:rsidRDefault="00743B47" w:rsidP="00743B47">
            <w:pPr>
              <w:rPr>
                <w:rFonts w:asciiTheme="minorBidi" w:hAnsiTheme="minorBidi" w:cstheme="minorBidi"/>
                <w:color w:val="000000" w:themeColor="text1"/>
                <w:sz w:val="20"/>
                <w:szCs w:val="20"/>
                <w:lang w:val="en-GB" w:eastAsia="en-GB"/>
              </w:rPr>
            </w:pPr>
          </w:p>
        </w:tc>
      </w:tr>
      <w:tr w:rsidR="00743B47" w:rsidRPr="005F4695" w14:paraId="043CAD69" w14:textId="77777777" w:rsidTr="00B20E43">
        <w:trPr>
          <w:trHeight w:val="388"/>
        </w:trPr>
        <w:tc>
          <w:tcPr>
            <w:tcW w:w="1555" w:type="dxa"/>
          </w:tcPr>
          <w:p w14:paraId="52F3ACF9" w14:textId="2C3BA079" w:rsidR="00743B47" w:rsidRPr="005F4695" w:rsidRDefault="00743B47" w:rsidP="00743B47">
            <w:pPr>
              <w:rPr>
                <w:rFonts w:asciiTheme="minorBidi" w:hAnsiTheme="minorBidi" w:cstheme="minorBidi"/>
                <w:color w:val="000000" w:themeColor="text1"/>
                <w:sz w:val="20"/>
                <w:szCs w:val="20"/>
                <w:lang w:val="en-GB" w:eastAsia="en-GB"/>
              </w:rPr>
            </w:pPr>
            <w:r w:rsidRPr="003754B5">
              <w:rPr>
                <w:rFonts w:asciiTheme="minorBidi" w:hAnsiTheme="minorBidi" w:cstheme="minorBidi"/>
                <w:color w:val="000000" w:themeColor="text1"/>
                <w:sz w:val="20"/>
                <w:szCs w:val="20"/>
              </w:rPr>
              <w:lastRenderedPageBreak/>
              <w:t>Stefler et al</w:t>
            </w:r>
            <w:r>
              <w:rPr>
                <w:rFonts w:asciiTheme="minorBidi" w:hAnsiTheme="minorBidi" w:cstheme="minorBidi"/>
                <w:color w:val="000000" w:themeColor="text1"/>
                <w:sz w:val="20"/>
                <w:szCs w:val="20"/>
              </w:rPr>
              <w:t>, 2017</w:t>
            </w:r>
            <w:r w:rsidRPr="003754B5">
              <w:rPr>
                <w:rFonts w:asciiTheme="minorBidi" w:hAnsiTheme="minorBidi" w:cstheme="minorBidi"/>
                <w:color w:val="000000" w:themeColor="text1"/>
                <w:sz w:val="20"/>
                <w:szCs w:val="20"/>
              </w:rPr>
              <w:t xml:space="preserve"> </w:t>
            </w:r>
            <w:r w:rsidRPr="003754B5">
              <w:rPr>
                <w:rFonts w:asciiTheme="minorBidi" w:hAnsiTheme="minorBidi" w:cstheme="minorBidi"/>
                <w:color w:val="000000" w:themeColor="text1"/>
                <w:sz w:val="20"/>
                <w:szCs w:val="20"/>
              </w:rPr>
              <w:fldChar w:fldCharType="begin" w:fldLock="1"/>
            </w:r>
            <w:r w:rsidR="004A7B72">
              <w:rPr>
                <w:rFonts w:asciiTheme="minorBidi" w:hAnsiTheme="minorBidi" w:cstheme="minorBidi"/>
                <w:color w:val="000000" w:themeColor="text1"/>
                <w:sz w:val="20"/>
                <w:szCs w:val="20"/>
              </w:rPr>
              <w:instrText>ADDIN CSL_CITATION {"citationItems":[{"id":"ITEM-1","itemData":{"DOI":"10.1007/s00394-015-1092-x","ISSN":"1436-6207","PMID":"26578528","abstract":"PURPOSE Mediterranean-type dietary pattern has been associated with lower risk of cardiovascular (CVD) and other chronic diseases, primarily in Southern European populations. We examined whether Mediterranean diet score (MDS) is associated with total, CVD, coronary heart disease (CHD) and stroke mortality in a prospective cohort study in three Eastern European populations. METHODS A total of 19,333 male and female participants of the Health Alcohol and Psychosocial factors in Eastern Europe (HAPIEE) study in the Czech Republic, Poland and the Russian Federation were included in the analysis. Diet was assessed by food frequency questionnaire, and MDS was derived from consumption of nine groups of food using absolute cut-offs. Mortality was ascertained by linkage with death registers. RESULTS Over the median follow-up time of 7 years, 1314 participants died. The proportion of participants with high adherence to Mediterranean diet was low (25 %). One standard deviation (SD) increase in the MDS (equivalent to 2.2 point increase in the score) was found to be inversely associated with death from all causes (HR, 95 % CI 0.93, 0.88-0.98) and CVD (0.90, 0.81-0.99) even after multivariable adjustment. Inverse but statistically not significant link was found for CHD (0.90, 0.78-1.03) and stroke (0.87, 0.71-1.07). The MDS effects were similar in each country cohort. CONCLUSION Higher adherence to the Mediterranean diet was associated with reduced risk of total and CVD deaths in these large Eastern European urban populations. The application of MDS with absolute cut-offs appears suitable for non-Mediterranean populations.","author":[{"dropping-particle":"","family":"Stefler","given":"Denes","non-dropping-particle":"","parse-names":false,"suffix":""},{"dropping-particle":"","family":"Malyutina","given":"Sofia","non-dropping-particle":"","parse-names":false,"suffix":""},{"dropping-particle":"","family":"Kubinova","given":"Ruzena","non-dropping-particle":"","parse-names":false,"suffix":""},{"dropping-particle":"","family":"Pajak","given":"Andrzej","non-dropping-particle":"","parse-names":false,"suffix":""},{"dropping-particle":"","family":"Peasey","given":"Anne","non-dropping-particle":"","parse-names":false,"suffix":""},{"dropping-particle":"","family":"Pikhart","given":"Hynek","non-dropping-particle":"","parse-names":false,"suffix":""},{"dropping-particle":"","family":"Brunner","given":"Eric J.","non-dropping-particle":"","parse-names":false,"suffix":""},{"dropping-particle":"","family":"Bobak","given":"Martin","non-dropping-particle":"","parse-names":false,"suffix":""}],"container-title":"European Journal of Nutrition","id":"ITEM-1","issue":"1","issued":{"date-parts":[["2017","2","17"]]},"page":"421-429","title":"Mediterranean diet score and total and cardiovascular mortality in Eastern Europe: the HAPIEE study","type":"article-journal","volume":"56"},"uris":["http://www.mendeley.com/documents/?uuid=042ba4c6-7af7-34a7-bf30-e4e11c2d6f01"]}],"mendeley":{"formattedCitation":"(39)","plainTextFormattedCitation":"(39)","previouslyFormattedCitation":"(38)"},"properties":{"noteIndex":0},"schema":"https://github.com/citation-style-language/schema/raw/master/csl-citation.json"}</w:instrText>
            </w:r>
            <w:r w:rsidRPr="003754B5">
              <w:rPr>
                <w:rFonts w:asciiTheme="minorBidi" w:hAnsiTheme="minorBidi" w:cstheme="minorBidi"/>
                <w:color w:val="000000" w:themeColor="text1"/>
                <w:sz w:val="20"/>
                <w:szCs w:val="20"/>
              </w:rPr>
              <w:fldChar w:fldCharType="separate"/>
            </w:r>
            <w:r w:rsidR="004A7B72" w:rsidRPr="004A7B72">
              <w:rPr>
                <w:rFonts w:asciiTheme="minorBidi" w:hAnsiTheme="minorBidi" w:cstheme="minorBidi"/>
                <w:noProof/>
                <w:color w:val="000000" w:themeColor="text1"/>
                <w:sz w:val="20"/>
                <w:szCs w:val="20"/>
              </w:rPr>
              <w:t>(39)</w:t>
            </w:r>
            <w:r w:rsidRPr="003754B5">
              <w:rPr>
                <w:rFonts w:asciiTheme="minorBidi" w:hAnsiTheme="minorBidi" w:cstheme="minorBidi"/>
                <w:color w:val="000000" w:themeColor="text1"/>
                <w:sz w:val="20"/>
                <w:szCs w:val="20"/>
              </w:rPr>
              <w:fldChar w:fldCharType="end"/>
            </w:r>
            <w:r w:rsidRPr="003754B5">
              <w:rPr>
                <w:rFonts w:asciiTheme="minorBidi" w:hAnsiTheme="minorBidi" w:cstheme="minorBidi"/>
                <w:color w:val="000000" w:themeColor="text1"/>
                <w:sz w:val="20"/>
                <w:szCs w:val="20"/>
              </w:rPr>
              <w:t xml:space="preserve"> </w:t>
            </w:r>
          </w:p>
        </w:tc>
        <w:tc>
          <w:tcPr>
            <w:tcW w:w="1417" w:type="dxa"/>
          </w:tcPr>
          <w:p w14:paraId="693FABC3" w14:textId="6878BF4E"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rPr>
              <w:t>Czech Republic, Poland and the Russian Federation</w:t>
            </w:r>
          </w:p>
        </w:tc>
        <w:tc>
          <w:tcPr>
            <w:tcW w:w="1276" w:type="dxa"/>
          </w:tcPr>
          <w:p w14:paraId="4AAD59D7" w14:textId="706B54FC"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rPr>
              <w:t>19333, adults           (</w:t>
            </w:r>
            <w:r w:rsidRPr="005F4695">
              <w:rPr>
                <w:rFonts w:asciiTheme="minorBidi" w:hAnsiTheme="minorBidi" w:cstheme="minorBidi"/>
                <w:color w:val="000000" w:themeColor="text1"/>
                <w:sz w:val="20"/>
                <w:szCs w:val="20"/>
                <w:shd w:val="clear" w:color="auto" w:fill="FFFFFF"/>
              </w:rPr>
              <w:t>45-69)</w:t>
            </w:r>
          </w:p>
        </w:tc>
        <w:tc>
          <w:tcPr>
            <w:tcW w:w="1559" w:type="dxa"/>
          </w:tcPr>
          <w:p w14:paraId="775C6C90" w14:textId="0D116C10"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rPr>
              <w:t>FFQ          (</w:t>
            </w:r>
            <w:r w:rsidRPr="005F4695">
              <w:rPr>
                <w:rFonts w:asciiTheme="minorBidi" w:eastAsiaTheme="minorHAnsi" w:hAnsiTheme="minorBidi" w:cstheme="minorBidi"/>
                <w:color w:val="000000" w:themeColor="text1"/>
                <w:sz w:val="20"/>
                <w:szCs w:val="20"/>
              </w:rPr>
              <w:t>136, 148 and 147 items)</w:t>
            </w:r>
          </w:p>
        </w:tc>
        <w:tc>
          <w:tcPr>
            <w:tcW w:w="1559" w:type="dxa"/>
          </w:tcPr>
          <w:p w14:paraId="2FBDB9E3" w14:textId="00AD6DFF"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rPr>
              <w:t>MDS</w:t>
            </w:r>
          </w:p>
        </w:tc>
        <w:tc>
          <w:tcPr>
            <w:tcW w:w="5305" w:type="dxa"/>
          </w:tcPr>
          <w:p w14:paraId="16F39BE2" w14:textId="1B4005E1" w:rsidR="00743B47" w:rsidRPr="005F4695" w:rsidRDefault="00743B47" w:rsidP="00743B47">
            <w:pPr>
              <w:autoSpaceDE w:val="0"/>
              <w:autoSpaceDN w:val="0"/>
              <w:adjustRightInd w:val="0"/>
              <w:rPr>
                <w:rFonts w:asciiTheme="minorBidi" w:eastAsiaTheme="minorHAnsi" w:hAnsiTheme="minorBidi" w:cstheme="minorBidi"/>
                <w:color w:val="000000" w:themeColor="text1"/>
                <w:sz w:val="20"/>
                <w:szCs w:val="20"/>
              </w:rPr>
            </w:pPr>
            <w:r w:rsidRPr="005F4695">
              <w:rPr>
                <w:rFonts w:asciiTheme="minorBidi" w:eastAsiaTheme="minorHAnsi" w:hAnsiTheme="minorBidi" w:cstheme="minorBidi"/>
                <w:color w:val="000000" w:themeColor="text1"/>
                <w:sz w:val="20"/>
                <w:szCs w:val="20"/>
              </w:rPr>
              <w:t>9, (fruit, vegetables, cereals, legumes and fish) 2 points were given to the highest category of consumption, 1 point for the middle category and 0 point for the lowest category and (meat and meat products, dairy products) points were reversed, weighted means used for the sample size, overall score ranged from 0 to 17 points</w:t>
            </w:r>
          </w:p>
          <w:p w14:paraId="1C9110C2" w14:textId="77777777" w:rsidR="00743B47" w:rsidRPr="005F4695" w:rsidRDefault="00743B47" w:rsidP="00743B47">
            <w:pPr>
              <w:rPr>
                <w:rFonts w:asciiTheme="minorBidi" w:hAnsiTheme="minorBidi" w:cstheme="minorBidi"/>
                <w:color w:val="000000" w:themeColor="text1"/>
                <w:sz w:val="20"/>
                <w:szCs w:val="20"/>
                <w:lang w:val="en-GB" w:eastAsia="en-GB"/>
              </w:rPr>
            </w:pPr>
          </w:p>
        </w:tc>
      </w:tr>
      <w:tr w:rsidR="00743B47" w:rsidRPr="005F4695" w14:paraId="0096C313" w14:textId="77777777" w:rsidTr="00B20E43">
        <w:trPr>
          <w:trHeight w:val="388"/>
        </w:trPr>
        <w:tc>
          <w:tcPr>
            <w:tcW w:w="1555" w:type="dxa"/>
          </w:tcPr>
          <w:p w14:paraId="16ABF823" w14:textId="1C6504AC" w:rsidR="00743B47" w:rsidRPr="005F4695" w:rsidRDefault="00743B47" w:rsidP="00743B47">
            <w:pPr>
              <w:rPr>
                <w:rFonts w:asciiTheme="minorBidi" w:hAnsiTheme="minorBidi" w:cstheme="minorBidi"/>
                <w:color w:val="000000" w:themeColor="text1"/>
                <w:sz w:val="20"/>
                <w:szCs w:val="20"/>
              </w:rPr>
            </w:pPr>
            <w:r w:rsidRPr="003754B5">
              <w:rPr>
                <w:rFonts w:asciiTheme="minorBidi" w:hAnsiTheme="minorBidi" w:cstheme="minorBidi"/>
                <w:color w:val="000000" w:themeColor="text1"/>
                <w:sz w:val="20"/>
                <w:szCs w:val="20"/>
                <w:lang w:val="en-GB" w:eastAsia="en-GB"/>
              </w:rPr>
              <w:t>Eriksen et al</w:t>
            </w:r>
            <w:r>
              <w:rPr>
                <w:rFonts w:asciiTheme="minorBidi" w:hAnsiTheme="minorBidi" w:cstheme="minorBidi"/>
                <w:color w:val="000000" w:themeColor="text1"/>
                <w:sz w:val="20"/>
                <w:szCs w:val="20"/>
                <w:lang w:val="en-GB" w:eastAsia="en-GB"/>
              </w:rPr>
              <w:t>, 2018</w:t>
            </w:r>
            <w:r w:rsidRPr="003754B5">
              <w:rPr>
                <w:rFonts w:asciiTheme="minorBidi" w:hAnsiTheme="minorBidi" w:cstheme="minorBidi"/>
                <w:color w:val="000000" w:themeColor="text1"/>
                <w:sz w:val="20"/>
                <w:szCs w:val="20"/>
                <w:lang w:val="en-GB" w:eastAsia="en-GB"/>
              </w:rPr>
              <w:t xml:space="preserve"> </w:t>
            </w:r>
            <w:r w:rsidRPr="003754B5">
              <w:rPr>
                <w:rFonts w:asciiTheme="minorBidi" w:hAnsiTheme="minorBidi" w:cstheme="minorBidi"/>
                <w:color w:val="000000" w:themeColor="text1"/>
                <w:sz w:val="20"/>
                <w:szCs w:val="20"/>
                <w:lang w:val="en-GB" w:eastAsia="en-GB"/>
              </w:rPr>
              <w:fldChar w:fldCharType="begin" w:fldLock="1"/>
            </w:r>
            <w:r w:rsidR="004A7B72">
              <w:rPr>
                <w:rFonts w:asciiTheme="minorBidi" w:hAnsiTheme="minorBidi" w:cstheme="minorBidi"/>
                <w:color w:val="000000" w:themeColor="text1"/>
                <w:sz w:val="20"/>
                <w:szCs w:val="20"/>
                <w:lang w:val="en-GB" w:eastAsia="en-GB"/>
              </w:rPr>
              <w:instrText>ADDIN CSL_CITATION {"citationItems":[{"id":"ITEM-1","itemData":{"DOI":"10.1017/S0007114518000016","ISSN":"0007-1145","abstract":"CVD is the leading cause of death worldwide. Diet is a key modifiable component in the development of CVD. No official UK diet quality index exists for use in UK nutritional epidemiological studies. The aims of this study are to: (i) develop a diet quality index based on components of UK dietary reference values (DRV) and (ii) determine the association between the index, the existing UK nutrient profile (NP) model and a comprehensive range of cardiometabolic risk markers among a British adult population. A cross-sectional analysis was conducted using data from the Airwave Health Monitoring Study ( n 5848). Dietary intake was measured by 7-d food diary and metabolic risk using waist circumference, BMI, blood lipid profile, glycated Hb (HbA1c) and blood pressure measurements. Diet quality was assessed using the novel DRV index and NP model. Associations between diet and cardiometabolic risk were analysed via multivariate linear models and logistic regression. A two-point increase in NP score was associated with total cholesterol ( β −0·33 mmol/l, P &lt;0·0001) and HbA1c ( β −0·01 %, P &lt;0·0001). A two-point increase in DRV score was associated with waist circumference ( β −0·56 cm, P &lt;0·0001), BMI ( β −0·15 kg/m 2 , P &lt;0·0001), total cholesterol ( β −0·06 mmol/l, P &lt;0·0001) and HbA1c ( β −0·02 %, P =0·002). A one-point increase in DRV score was associated with type 2 diabetes (T2D) (OR 0·94, P =0·01) and obesity (OR 0·95, P &lt;0·0001). The DRV index is associated with overall diet quality and risk factors for CVD and T2D, supporting its application in nutritional epidemiological studies investigating CVD risk in a UK population.","author":[{"dropping-particle":"","family":"Eriksen","given":"Rebeca","non-dropping-particle":"","parse-names":false,"suffix":""},{"dropping-particle":"","family":"Gibson","given":"Rachel","non-dropping-particle":"","parse-names":false,"suffix":""},{"dropping-particle":"","family":"Lamb","given":"Kathryn","non-dropping-particle":"","parse-names":false,"suffix":""},{"dropping-particle":"","family":"McMeel","given":"Yvonne","non-dropping-particle":"","parse-names":false,"suffix":""},{"dropping-particle":"","family":"Vergnaud","given":"Anne-Claire","non-dropping-particle":"","parse-names":false,"suffix":""},{"dropping-particle":"","family":"Spear","given":"Jeanette","non-dropping-particle":"","parse-names":false,"suffix":""},{"dropping-particle":"","family":"Aresu","given":"Maria","non-dropping-particle":"","parse-names":false,"suffix":""},{"dropping-particle":"","family":"Chan","given":"Queenie","non-dropping-particle":"","parse-names":false,"suffix":""},{"dropping-particle":"","family":"Elliott","given":"Paul","non-dropping-particle":"","parse-names":false,"suffix":""},{"dropping-particle":"","family":"Frost","given":"Gary","non-dropping-particle":"","parse-names":false,"suffix":""}],"container-title":"British Journal of Nutrition","id":"ITEM-1","issue":"6","issued":{"date-parts":[["2018","3","28"]]},"page":"695-705","title":"Nutrient profiling and adherence to components of the UK national dietary guidelines association with metabolic risk factors for CVD and diabetes: Airwave Health Monitoring Study","type":"article-journal","volume":"119"},"uris":["http://www.mendeley.com/documents/?uuid=de9a0843-bc0a-3fd5-9046-f6519fcdef6f"]}],"mendeley":{"formattedCitation":"(40)","plainTextFormattedCitation":"(40)","previouslyFormattedCitation":"(39)"},"properties":{"noteIndex":0},"schema":"https://github.com/citation-style-language/schema/raw/master/csl-citation.json"}</w:instrText>
            </w:r>
            <w:r w:rsidRPr="003754B5">
              <w:rPr>
                <w:rFonts w:asciiTheme="minorBidi" w:hAnsiTheme="minorBidi" w:cstheme="minorBidi"/>
                <w:color w:val="000000" w:themeColor="text1"/>
                <w:sz w:val="20"/>
                <w:szCs w:val="20"/>
                <w:lang w:val="en-GB" w:eastAsia="en-GB"/>
              </w:rPr>
              <w:fldChar w:fldCharType="separate"/>
            </w:r>
            <w:r w:rsidR="004A7B72" w:rsidRPr="004A7B72">
              <w:rPr>
                <w:rFonts w:asciiTheme="minorBidi" w:hAnsiTheme="minorBidi" w:cstheme="minorBidi"/>
                <w:noProof/>
                <w:color w:val="000000" w:themeColor="text1"/>
                <w:sz w:val="20"/>
                <w:szCs w:val="20"/>
                <w:lang w:val="en-GB" w:eastAsia="en-GB"/>
              </w:rPr>
              <w:t>(40)</w:t>
            </w:r>
            <w:r w:rsidRPr="003754B5">
              <w:rPr>
                <w:rFonts w:asciiTheme="minorBidi" w:hAnsiTheme="minorBidi" w:cstheme="minorBidi"/>
                <w:color w:val="000000" w:themeColor="text1"/>
                <w:sz w:val="20"/>
                <w:szCs w:val="20"/>
                <w:lang w:val="en-GB" w:eastAsia="en-GB"/>
              </w:rPr>
              <w:fldChar w:fldCharType="end"/>
            </w:r>
          </w:p>
        </w:tc>
        <w:tc>
          <w:tcPr>
            <w:tcW w:w="1417" w:type="dxa"/>
          </w:tcPr>
          <w:p w14:paraId="5E5B1009" w14:textId="47ADB095" w:rsidR="00743B47" w:rsidRPr="005F4695" w:rsidRDefault="00743B47" w:rsidP="00743B47">
            <w:pPr>
              <w:rPr>
                <w:rFonts w:asciiTheme="minorBidi" w:hAnsiTheme="minorBidi" w:cstheme="minorBidi"/>
                <w:color w:val="000000" w:themeColor="text1"/>
                <w:sz w:val="20"/>
                <w:szCs w:val="20"/>
              </w:rPr>
            </w:pPr>
            <w:r w:rsidRPr="005F4695">
              <w:rPr>
                <w:rFonts w:asciiTheme="minorBidi" w:hAnsiTheme="minorBidi" w:cstheme="minorBidi"/>
                <w:color w:val="000000" w:themeColor="text1"/>
                <w:sz w:val="20"/>
                <w:szCs w:val="20"/>
                <w:lang w:val="en-GB" w:eastAsia="en-GB"/>
              </w:rPr>
              <w:t>UK</w:t>
            </w:r>
          </w:p>
        </w:tc>
        <w:tc>
          <w:tcPr>
            <w:tcW w:w="1276" w:type="dxa"/>
          </w:tcPr>
          <w:p w14:paraId="66830162" w14:textId="43FB2A98" w:rsidR="00743B47" w:rsidRPr="005F4695" w:rsidRDefault="00743B47" w:rsidP="00743B47">
            <w:pPr>
              <w:rPr>
                <w:rFonts w:asciiTheme="minorBidi" w:hAnsiTheme="minorBidi" w:cstheme="minorBidi"/>
                <w:color w:val="000000" w:themeColor="text1"/>
                <w:sz w:val="20"/>
                <w:szCs w:val="20"/>
              </w:rPr>
            </w:pPr>
            <w:r w:rsidRPr="005F4695">
              <w:rPr>
                <w:rFonts w:asciiTheme="minorBidi" w:hAnsiTheme="minorBidi" w:cstheme="minorBidi"/>
                <w:color w:val="000000" w:themeColor="text1"/>
                <w:sz w:val="20"/>
                <w:szCs w:val="20"/>
                <w:lang w:val="en-GB" w:eastAsia="en-GB"/>
              </w:rPr>
              <w:t>5849, adults     (~41)</w:t>
            </w:r>
          </w:p>
        </w:tc>
        <w:tc>
          <w:tcPr>
            <w:tcW w:w="1559" w:type="dxa"/>
          </w:tcPr>
          <w:p w14:paraId="4AD8FDD1" w14:textId="61629CE4" w:rsidR="00743B47" w:rsidRPr="005F4695" w:rsidRDefault="00743B47" w:rsidP="00743B47">
            <w:pPr>
              <w:rPr>
                <w:rFonts w:asciiTheme="minorBidi" w:hAnsiTheme="minorBidi" w:cstheme="minorBidi"/>
                <w:color w:val="000000" w:themeColor="text1"/>
                <w:sz w:val="20"/>
                <w:szCs w:val="20"/>
              </w:rPr>
            </w:pPr>
            <w:r w:rsidRPr="005F4695">
              <w:rPr>
                <w:rFonts w:asciiTheme="minorBidi" w:hAnsiTheme="minorBidi" w:cstheme="minorBidi"/>
                <w:color w:val="000000" w:themeColor="text1"/>
                <w:sz w:val="20"/>
                <w:szCs w:val="20"/>
                <w:lang w:val="en-GB" w:eastAsia="en-GB"/>
              </w:rPr>
              <w:t>7 day food diary</w:t>
            </w:r>
          </w:p>
        </w:tc>
        <w:tc>
          <w:tcPr>
            <w:tcW w:w="1559" w:type="dxa"/>
          </w:tcPr>
          <w:p w14:paraId="018E2661" w14:textId="27A4A8AF" w:rsidR="00743B47" w:rsidRPr="005F4695" w:rsidRDefault="00743B47" w:rsidP="00743B47">
            <w:pPr>
              <w:rPr>
                <w:rFonts w:asciiTheme="minorBidi" w:hAnsiTheme="minorBidi" w:cstheme="minorBidi"/>
                <w:color w:val="000000" w:themeColor="text1"/>
                <w:sz w:val="20"/>
                <w:szCs w:val="20"/>
              </w:rPr>
            </w:pPr>
            <w:r w:rsidRPr="005F4695">
              <w:rPr>
                <w:rFonts w:asciiTheme="minorBidi" w:hAnsiTheme="minorBidi" w:cstheme="minorBidi"/>
                <w:sz w:val="20"/>
                <w:szCs w:val="20"/>
              </w:rPr>
              <w:t xml:space="preserve">FSA-NPS, UK Dietary Reference Value (DRV) </w:t>
            </w:r>
          </w:p>
        </w:tc>
        <w:tc>
          <w:tcPr>
            <w:tcW w:w="5305" w:type="dxa"/>
          </w:tcPr>
          <w:p w14:paraId="78655C06" w14:textId="624FBA23" w:rsidR="00743B47" w:rsidRPr="005F4695" w:rsidRDefault="00743B47" w:rsidP="00743B47">
            <w:pPr>
              <w:rPr>
                <w:rFonts w:asciiTheme="minorBidi" w:hAnsiTheme="minorBidi" w:cstheme="minorBidi"/>
                <w:b/>
                <w:bCs/>
                <w:color w:val="000000" w:themeColor="text1"/>
                <w:sz w:val="20"/>
                <w:szCs w:val="20"/>
                <w:lang w:val="en-GB" w:eastAsia="en-GB"/>
              </w:rPr>
            </w:pPr>
            <w:r w:rsidRPr="005F4695">
              <w:rPr>
                <w:rFonts w:asciiTheme="minorBidi" w:hAnsiTheme="minorBidi" w:cstheme="minorBidi"/>
                <w:sz w:val="20"/>
                <w:szCs w:val="20"/>
              </w:rPr>
              <w:t>FSA-NPS</w:t>
            </w:r>
            <w:r w:rsidRPr="005F4695">
              <w:rPr>
                <w:rFonts w:asciiTheme="minorBidi" w:hAnsiTheme="minorBidi" w:cstheme="minorBidi"/>
                <w:color w:val="000000" w:themeColor="text1"/>
                <w:sz w:val="20"/>
                <w:szCs w:val="20"/>
                <w:lang w:val="en-GB" w:eastAsia="en-GB"/>
              </w:rPr>
              <w:t>: foods and drinks (except alcohol)</w:t>
            </w:r>
            <w:r w:rsidRPr="005F4695">
              <w:rPr>
                <w:rFonts w:asciiTheme="minorBidi" w:hAnsiTheme="minorBidi" w:cstheme="minorBidi"/>
                <w:color w:val="000000" w:themeColor="text1"/>
                <w:sz w:val="20"/>
                <w:szCs w:val="20"/>
                <w:lang w:val="en-GB" w:eastAsia="en-GB"/>
              </w:rPr>
              <w:br/>
              <w:t>score points based on their content of negative nutrients:</w:t>
            </w:r>
            <w:r w:rsidRPr="005F4695">
              <w:rPr>
                <w:rFonts w:asciiTheme="minorBidi" w:hAnsiTheme="minorBidi" w:cstheme="minorBidi"/>
                <w:color w:val="000000" w:themeColor="text1"/>
                <w:sz w:val="20"/>
                <w:szCs w:val="20"/>
                <w:lang w:val="en-GB" w:eastAsia="en-GB"/>
              </w:rPr>
              <w:br/>
              <w:t xml:space="preserve">energy, SFA, total sugar and Na and positive nutrients: fruit, vegetables and nut content, fibre and protein   </w:t>
            </w:r>
            <w:r w:rsidRPr="005F4695">
              <w:rPr>
                <w:rFonts w:asciiTheme="minorBidi" w:hAnsiTheme="minorBidi" w:cstheme="minorBidi"/>
                <w:b/>
                <w:bCs/>
                <w:color w:val="000000" w:themeColor="text1"/>
                <w:sz w:val="20"/>
                <w:szCs w:val="20"/>
                <w:lang w:val="en-GB" w:eastAsia="en-GB"/>
              </w:rPr>
              <w:t xml:space="preserve"> </w:t>
            </w:r>
          </w:p>
          <w:p w14:paraId="45555E4C" w14:textId="72E7FE7D"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bCs/>
                <w:color w:val="000000" w:themeColor="text1"/>
                <w:sz w:val="20"/>
                <w:szCs w:val="20"/>
                <w:lang w:val="en-GB" w:eastAsia="en-GB"/>
              </w:rPr>
              <w:t>UK DRV</w:t>
            </w:r>
            <w:r w:rsidRPr="005F4695">
              <w:rPr>
                <w:rFonts w:asciiTheme="minorBidi" w:hAnsiTheme="minorBidi" w:cstheme="minorBidi"/>
                <w:color w:val="000000" w:themeColor="text1"/>
                <w:sz w:val="20"/>
                <w:szCs w:val="20"/>
                <w:lang w:val="en-GB" w:eastAsia="en-GB"/>
              </w:rPr>
              <w:t>: 6 (nutrients: total carbohydrates, sugars, total fat, SFA, salt, dietary fibre) and 2 (food groups: fruit and vegetables combined, and total fish)</w:t>
            </w:r>
          </w:p>
          <w:p w14:paraId="4562F67C" w14:textId="022E4D3A" w:rsidR="00743B47" w:rsidRPr="005F4695" w:rsidRDefault="00743B47" w:rsidP="00743B47">
            <w:pPr>
              <w:rPr>
                <w:rFonts w:asciiTheme="minorBidi" w:hAnsiTheme="minorBidi" w:cstheme="minorBidi"/>
                <w:color w:val="000000" w:themeColor="text1"/>
                <w:sz w:val="20"/>
                <w:szCs w:val="20"/>
              </w:rPr>
            </w:pPr>
          </w:p>
        </w:tc>
      </w:tr>
      <w:tr w:rsidR="00743B47" w:rsidRPr="005F4695" w14:paraId="6C1CA61B" w14:textId="77777777" w:rsidTr="00B20E43">
        <w:trPr>
          <w:trHeight w:val="388"/>
        </w:trPr>
        <w:tc>
          <w:tcPr>
            <w:tcW w:w="1555" w:type="dxa"/>
          </w:tcPr>
          <w:p w14:paraId="75E8DC8C" w14:textId="52B013D7" w:rsidR="00743B47" w:rsidRPr="005F4695" w:rsidRDefault="00743B47" w:rsidP="00743B47">
            <w:pPr>
              <w:rPr>
                <w:rFonts w:asciiTheme="minorBidi" w:hAnsiTheme="minorBidi" w:cstheme="minorBidi"/>
                <w:color w:val="000000" w:themeColor="text1"/>
                <w:sz w:val="20"/>
                <w:szCs w:val="20"/>
              </w:rPr>
            </w:pPr>
            <w:r w:rsidRPr="003754B5">
              <w:rPr>
                <w:rFonts w:asciiTheme="minorBidi" w:hAnsiTheme="minorBidi" w:cstheme="minorBidi"/>
                <w:color w:val="000000" w:themeColor="text1"/>
                <w:sz w:val="20"/>
                <w:szCs w:val="20"/>
                <w:lang w:val="en-GB" w:eastAsia="en-GB"/>
              </w:rPr>
              <w:t>Gibson et al</w:t>
            </w:r>
            <w:r>
              <w:rPr>
                <w:rFonts w:asciiTheme="minorBidi" w:hAnsiTheme="minorBidi" w:cstheme="minorBidi"/>
                <w:color w:val="000000" w:themeColor="text1"/>
                <w:sz w:val="20"/>
                <w:szCs w:val="20"/>
                <w:lang w:val="en-GB" w:eastAsia="en-GB"/>
              </w:rPr>
              <w:t>, 2018</w:t>
            </w:r>
            <w:r w:rsidRPr="003754B5">
              <w:rPr>
                <w:rFonts w:asciiTheme="minorBidi" w:hAnsiTheme="minorBidi" w:cstheme="minorBidi"/>
                <w:color w:val="000000" w:themeColor="text1"/>
                <w:sz w:val="20"/>
                <w:szCs w:val="20"/>
                <w:lang w:val="en-GB" w:eastAsia="en-GB"/>
              </w:rPr>
              <w:t xml:space="preserve"> </w:t>
            </w:r>
            <w:r w:rsidRPr="003754B5">
              <w:rPr>
                <w:rFonts w:asciiTheme="minorBidi" w:hAnsiTheme="minorBidi" w:cstheme="minorBidi"/>
                <w:color w:val="000000" w:themeColor="text1"/>
                <w:sz w:val="20"/>
                <w:szCs w:val="20"/>
                <w:lang w:val="en-GB" w:eastAsia="en-GB"/>
              </w:rPr>
              <w:fldChar w:fldCharType="begin" w:fldLock="1"/>
            </w:r>
            <w:r w:rsidR="004A7B72">
              <w:rPr>
                <w:rFonts w:asciiTheme="minorBidi" w:hAnsiTheme="minorBidi" w:cstheme="minorBidi"/>
                <w:color w:val="000000" w:themeColor="text1"/>
                <w:sz w:val="20"/>
                <w:szCs w:val="20"/>
                <w:lang w:val="en-GB" w:eastAsia="en-GB"/>
              </w:rPr>
              <w:instrText>ADDIN CSL_CITATION {"citationItems":[{"id":"ITEM-1","itemData":{"DOI":"10.1007/s00394-017-1562-4","ISSN":"1436-6207","PMID":"29098424","abstract":"PURPOSE The aims of this study were to (1) determine the association between diet quality using the Dietary Approaches to Stop Hypertension (DASH) score and cardiometabolic risk in a British working population and (2) identify employee characteristics associated with reporting a poorer quality dietary pattern. METHODS British police employees enrolled (2007-2012) into the Airwave Health Monitoring Study (n = 5527) were included for sex-specific cross-sectional analyses. Dietary intakes were measured using 7-day food records. DASH score was calculated to determine diet quality. Logistic regression evaluated associations between (1) diet quality and increased cardiometabolic risk (defined as ≥ 3 risk markers: dyslipidaemia, elevated blood pressure, waist circumference, CRP or HbA1c), and (2) poor diet quality (lowest fifth of DASH score distribution) and employee characteristics. RESULTS Employees recording a poor diet quality had greater odds (OR) of increased cardiometabolic risk independent of established risk factors (demographic, lifestyle and occupational) and BMI: men OR 1.50 (95% CI 1.12-2.00), women: OR 1.84 (95% CI 1.19-2.97) compared to the healthiest diet group. Characteristics associated with reporting a poor quality diet were employment in Scotland vs. England: men OR 1.88 (95% CI 1.53-2.32), women: OR 1.49 (95% CI 1.11-2.00), longer working hours (≥ 49 vs. ≤40 h) men: OR 1.53 (95% CI 1.21-1.92) women: OR 1.53 (95% CI 1.12-2.09). For men, job strain (high vs. low) was associated with reporting a poor diet quality OR 1.66 (95% CI 1.30-2.12). CONCLUSIONS The general population disparities in diet quality between England and Scotland were reflected in British police employees. The association of longer working hours and job strain with diet quality supports the targeting of workplace nutritional interventions.","author":[{"dropping-particle":"","family":"Gibson","given":"Rachel","non-dropping-particle":"","parse-names":false,"suffix":""},{"dropping-particle":"","family":"Eriksen","given":"Rebeca","non-dropping-particle":"","parse-names":false,"suffix":""},{"dropping-particle":"","family":"Singh","given":"Deepa","non-dropping-particle":"","parse-names":false,"suffix":""},{"dropping-particle":"","family":"Vergnaud","given":"Anne-Claire","non-dropping-particle":"","parse-names":false,"suffix":""},{"dropping-particle":"","family":"Heard","given":"Andrew","non-dropping-particle":"","parse-names":false,"suffix":""},{"dropping-particle":"","family":"Chan","given":"Queenie","non-dropping-particle":"","parse-names":false,"suffix":""},{"dropping-particle":"","family":"Elliott","given":"Paul","non-dropping-particle":"","parse-names":false,"suffix":""},{"dropping-particle":"","family":"Frost","given":"Gary","non-dropping-particle":"","parse-names":false,"suffix":""}],"container-title":"European Journal of Nutrition","id":"ITEM-1","issue":"8","issued":{"date-parts":[["2018","12","2"]]},"page":"2913-2926","title":"A cross-sectional investigation into the occupational and socio-demographic characteristics of British police force employees reporting a dietary pattern associated with cardiometabolic risk: findings from the Airwave Health Monitoring Study","type":"article-journal","volume":"57"},"uris":["http://www.mendeley.com/documents/?uuid=308b59cf-d657-32ee-a72f-ff29a9cd74fd"]}],"mendeley":{"formattedCitation":"(4)","plainTextFormattedCitation":"(4)","previouslyFormattedCitation":"(40)"},"properties":{"noteIndex":0},"schema":"https://github.com/citation-style-language/schema/raw/master/csl-citation.json"}</w:instrText>
            </w:r>
            <w:r w:rsidRPr="003754B5">
              <w:rPr>
                <w:rFonts w:asciiTheme="minorBidi" w:hAnsiTheme="minorBidi" w:cstheme="minorBidi"/>
                <w:color w:val="000000" w:themeColor="text1"/>
                <w:sz w:val="20"/>
                <w:szCs w:val="20"/>
                <w:lang w:val="en-GB" w:eastAsia="en-GB"/>
              </w:rPr>
              <w:fldChar w:fldCharType="separate"/>
            </w:r>
            <w:r w:rsidR="004A7B72" w:rsidRPr="004A7B72">
              <w:rPr>
                <w:rFonts w:asciiTheme="minorBidi" w:hAnsiTheme="minorBidi" w:cstheme="minorBidi"/>
                <w:noProof/>
                <w:color w:val="000000" w:themeColor="text1"/>
                <w:sz w:val="20"/>
                <w:szCs w:val="20"/>
                <w:lang w:val="en-GB" w:eastAsia="en-GB"/>
              </w:rPr>
              <w:t>(4)</w:t>
            </w:r>
            <w:r w:rsidRPr="003754B5">
              <w:rPr>
                <w:rFonts w:asciiTheme="minorBidi" w:hAnsiTheme="minorBidi" w:cstheme="minorBidi"/>
                <w:color w:val="000000" w:themeColor="text1"/>
                <w:sz w:val="20"/>
                <w:szCs w:val="20"/>
                <w:lang w:val="en-GB" w:eastAsia="en-GB"/>
              </w:rPr>
              <w:fldChar w:fldCharType="end"/>
            </w:r>
          </w:p>
        </w:tc>
        <w:tc>
          <w:tcPr>
            <w:tcW w:w="1417" w:type="dxa"/>
          </w:tcPr>
          <w:p w14:paraId="0161D48F" w14:textId="29684CB5" w:rsidR="00743B47" w:rsidRPr="005F4695" w:rsidRDefault="00743B47" w:rsidP="00743B47">
            <w:pPr>
              <w:rPr>
                <w:rFonts w:asciiTheme="minorBidi" w:hAnsiTheme="minorBidi" w:cstheme="minorBidi"/>
                <w:color w:val="000000" w:themeColor="text1"/>
                <w:sz w:val="20"/>
                <w:szCs w:val="20"/>
              </w:rPr>
            </w:pPr>
            <w:r w:rsidRPr="005F4695">
              <w:rPr>
                <w:rFonts w:asciiTheme="minorBidi" w:hAnsiTheme="minorBidi" w:cstheme="minorBidi"/>
                <w:color w:val="000000" w:themeColor="text1"/>
                <w:sz w:val="20"/>
                <w:szCs w:val="20"/>
                <w:lang w:val="en-GB" w:eastAsia="en-GB"/>
              </w:rPr>
              <w:t>UK</w:t>
            </w:r>
          </w:p>
        </w:tc>
        <w:tc>
          <w:tcPr>
            <w:tcW w:w="1276" w:type="dxa"/>
          </w:tcPr>
          <w:p w14:paraId="2124226E" w14:textId="2236CA93" w:rsidR="00743B47" w:rsidRPr="005F4695" w:rsidRDefault="00743B47" w:rsidP="00743B47">
            <w:pPr>
              <w:rPr>
                <w:rFonts w:asciiTheme="minorBidi" w:hAnsiTheme="minorBidi" w:cstheme="minorBidi"/>
                <w:color w:val="000000" w:themeColor="text1"/>
                <w:sz w:val="20"/>
                <w:szCs w:val="20"/>
              </w:rPr>
            </w:pPr>
            <w:r w:rsidRPr="005F4695">
              <w:rPr>
                <w:rFonts w:asciiTheme="minorBidi" w:hAnsiTheme="minorBidi" w:cstheme="minorBidi"/>
                <w:color w:val="000000" w:themeColor="text1"/>
                <w:sz w:val="20"/>
                <w:szCs w:val="20"/>
                <w:lang w:val="en-GB" w:eastAsia="en-GB"/>
              </w:rPr>
              <w:t>5527, adults (~41)</w:t>
            </w:r>
          </w:p>
        </w:tc>
        <w:tc>
          <w:tcPr>
            <w:tcW w:w="1559" w:type="dxa"/>
          </w:tcPr>
          <w:p w14:paraId="02499D73" w14:textId="3185DE99" w:rsidR="00743B47" w:rsidRPr="005F4695" w:rsidRDefault="00743B47" w:rsidP="00743B47">
            <w:pPr>
              <w:rPr>
                <w:rFonts w:asciiTheme="minorBidi" w:hAnsiTheme="minorBidi" w:cstheme="minorBidi"/>
                <w:color w:val="000000" w:themeColor="text1"/>
                <w:sz w:val="20"/>
                <w:szCs w:val="20"/>
              </w:rPr>
            </w:pPr>
            <w:r w:rsidRPr="005F4695">
              <w:rPr>
                <w:rFonts w:asciiTheme="minorBidi" w:hAnsiTheme="minorBidi" w:cstheme="minorBidi"/>
                <w:color w:val="000000" w:themeColor="text1"/>
                <w:sz w:val="20"/>
                <w:szCs w:val="20"/>
                <w:lang w:val="en-GB" w:eastAsia="en-GB"/>
              </w:rPr>
              <w:t>7 day food diary</w:t>
            </w:r>
          </w:p>
        </w:tc>
        <w:tc>
          <w:tcPr>
            <w:tcW w:w="1559" w:type="dxa"/>
          </w:tcPr>
          <w:p w14:paraId="3C388380" w14:textId="1CF34B20" w:rsidR="00743B47" w:rsidRPr="005F4695" w:rsidRDefault="00A940F3" w:rsidP="00743B47">
            <w:pPr>
              <w:rPr>
                <w:rFonts w:asciiTheme="minorBidi" w:hAnsiTheme="minorBidi" w:cstheme="minorBidi"/>
                <w:color w:val="000000" w:themeColor="text1"/>
                <w:sz w:val="20"/>
                <w:szCs w:val="20"/>
                <w:lang w:val="en-GB" w:eastAsia="en-GB"/>
              </w:rPr>
            </w:pPr>
            <w:r>
              <w:rPr>
                <w:rFonts w:asciiTheme="minorBidi" w:hAnsiTheme="minorBidi" w:cstheme="minorBidi"/>
                <w:color w:val="000000" w:themeColor="text1"/>
                <w:sz w:val="20"/>
                <w:szCs w:val="20"/>
                <w:lang w:val="en-GB" w:eastAsia="en-GB"/>
              </w:rPr>
              <w:t>DASH score</w:t>
            </w:r>
          </w:p>
          <w:p w14:paraId="5D29E854" w14:textId="7CC7F4C2" w:rsidR="00743B47" w:rsidRPr="005F4695" w:rsidRDefault="00743B47" w:rsidP="00743B47">
            <w:pPr>
              <w:rPr>
                <w:rFonts w:asciiTheme="minorBidi" w:hAnsiTheme="minorBidi" w:cstheme="minorBidi"/>
                <w:color w:val="000000" w:themeColor="text1"/>
                <w:sz w:val="20"/>
                <w:szCs w:val="20"/>
              </w:rPr>
            </w:pPr>
          </w:p>
        </w:tc>
        <w:tc>
          <w:tcPr>
            <w:tcW w:w="5305" w:type="dxa"/>
          </w:tcPr>
          <w:p w14:paraId="2A39AB4E" w14:textId="59DDE14D"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lang w:val="en-GB" w:eastAsia="en-GB"/>
              </w:rPr>
              <w:t>8 (positive: Whole grains, low fat dairy, total fruit, vegetables excluding white potatoes, nuts, legumes and seeds; negative: sugar-sweetened beverages, processed red meat and sodium), 1</w:t>
            </w:r>
            <w:r w:rsidRPr="005F4695">
              <w:rPr>
                <w:rFonts w:asciiTheme="minorBidi" w:hAnsiTheme="minorBidi" w:cstheme="minorBidi"/>
                <w:color w:val="000000" w:themeColor="text1"/>
                <w:sz w:val="20"/>
                <w:szCs w:val="20"/>
              </w:rPr>
              <w:t xml:space="preserve"> to 5 with equal weight assigned to groups</w:t>
            </w:r>
            <w:r w:rsidRPr="005F4695">
              <w:rPr>
                <w:rFonts w:asciiTheme="minorBidi" w:hAnsiTheme="minorBidi" w:cstheme="minorBidi"/>
                <w:color w:val="000000" w:themeColor="text1"/>
                <w:sz w:val="20"/>
                <w:szCs w:val="20"/>
                <w:lang w:eastAsia="en-GB"/>
              </w:rPr>
              <w:t xml:space="preserve">, </w:t>
            </w:r>
            <w:r w:rsidRPr="005F4695">
              <w:rPr>
                <w:rFonts w:asciiTheme="minorBidi" w:hAnsiTheme="minorBidi" w:cstheme="minorBidi"/>
                <w:color w:val="000000" w:themeColor="text1"/>
                <w:sz w:val="20"/>
                <w:szCs w:val="20"/>
                <w:lang w:val="en-GB" w:eastAsia="en-GB"/>
              </w:rPr>
              <w:t>overall score range from 8 to 40 points</w:t>
            </w:r>
          </w:p>
          <w:p w14:paraId="2BC2D2C5" w14:textId="491AF519" w:rsidR="00743B47" w:rsidRPr="005F4695" w:rsidRDefault="00743B47" w:rsidP="00743B47">
            <w:pPr>
              <w:rPr>
                <w:rFonts w:asciiTheme="minorBidi" w:hAnsiTheme="minorBidi" w:cstheme="minorBidi"/>
                <w:color w:val="000000" w:themeColor="text1"/>
                <w:sz w:val="20"/>
                <w:szCs w:val="20"/>
              </w:rPr>
            </w:pPr>
          </w:p>
        </w:tc>
      </w:tr>
      <w:tr w:rsidR="00743B47" w:rsidRPr="005F4695" w14:paraId="612811FE" w14:textId="77777777" w:rsidTr="00B20E43">
        <w:trPr>
          <w:trHeight w:val="388"/>
        </w:trPr>
        <w:tc>
          <w:tcPr>
            <w:tcW w:w="1555" w:type="dxa"/>
          </w:tcPr>
          <w:p w14:paraId="302534DC" w14:textId="4A1686F5" w:rsidR="00743B47" w:rsidRPr="005F4695" w:rsidRDefault="00743B47" w:rsidP="00743B47">
            <w:pPr>
              <w:rPr>
                <w:rFonts w:asciiTheme="minorBidi" w:hAnsiTheme="minorBidi" w:cstheme="minorBidi"/>
                <w:color w:val="000000" w:themeColor="text1"/>
                <w:sz w:val="20"/>
                <w:szCs w:val="20"/>
              </w:rPr>
            </w:pPr>
            <w:r w:rsidRPr="003754B5">
              <w:rPr>
                <w:rFonts w:asciiTheme="minorBidi" w:hAnsiTheme="minorBidi" w:cstheme="minorBidi"/>
                <w:color w:val="000000" w:themeColor="text1"/>
                <w:sz w:val="20"/>
                <w:szCs w:val="20"/>
                <w:lang w:val="en-GB" w:eastAsia="en-GB"/>
              </w:rPr>
              <w:t>Jones et al</w:t>
            </w:r>
            <w:r>
              <w:rPr>
                <w:rFonts w:asciiTheme="minorBidi" w:hAnsiTheme="minorBidi" w:cstheme="minorBidi"/>
                <w:color w:val="000000" w:themeColor="text1"/>
                <w:sz w:val="20"/>
                <w:szCs w:val="20"/>
                <w:lang w:val="en-GB" w:eastAsia="en-GB"/>
              </w:rPr>
              <w:t>, 2018</w:t>
            </w:r>
            <w:r w:rsidRPr="003754B5">
              <w:rPr>
                <w:rFonts w:asciiTheme="minorBidi" w:hAnsiTheme="minorBidi" w:cstheme="minorBidi"/>
                <w:color w:val="000000" w:themeColor="text1"/>
                <w:sz w:val="20"/>
                <w:szCs w:val="20"/>
                <w:lang w:val="en-GB" w:eastAsia="en-GB"/>
              </w:rPr>
              <w:t xml:space="preserve"> </w:t>
            </w:r>
            <w:r w:rsidRPr="003754B5">
              <w:rPr>
                <w:rFonts w:asciiTheme="minorBidi" w:hAnsiTheme="minorBidi" w:cstheme="minorBidi"/>
                <w:color w:val="000000" w:themeColor="text1"/>
                <w:sz w:val="20"/>
                <w:szCs w:val="20"/>
                <w:lang w:val="en-GB" w:eastAsia="en-GB"/>
              </w:rPr>
              <w:fldChar w:fldCharType="begin" w:fldLock="1"/>
            </w:r>
            <w:r>
              <w:rPr>
                <w:rFonts w:asciiTheme="minorBidi" w:hAnsiTheme="minorBidi" w:cstheme="minorBidi"/>
                <w:color w:val="000000" w:themeColor="text1"/>
                <w:sz w:val="20"/>
                <w:szCs w:val="20"/>
                <w:lang w:val="en-GB" w:eastAsia="en-GB"/>
              </w:rPr>
              <w:instrText>ADDIN CSL_CITATION {"citationItems":[{"id":"ITEM-1","itemData":{"DOI":"10.1007/s10654-017-0354-8","ISSN":"0393-2990","PMID":"29318403","abstract":"The dietary approaches to stop hypertension (DASH) diet could be an important population-level strategy to reduce cardiovascular disease (CVD) in the UK, but there is little UK-based evidence on this diet pattern in relation to CVD risk. We tested whether dietary accordance with DASH was associated with risk of CVD in a population-based sample of 23,655 UK adults. This prospective analysis of the EPIC-Norfolk cohort study analysed dietary intake (assessed using a validated food frequency questionnaire) to measure accordance with DASH, based on intakes of eight food groups and nutrients, ranking the sample into quintiles. Cox proportional hazards regression models tested for association between DASH accordance and incident stroke, ischemic heart disease (IHD) and total incident CVD (stroke and IHD only), as well as CVD mortality, non-CVD mortality and total mortality. Hazard ratios (HR) and 95% confidence intervals (CI) were estimated adjusting for age, sex, behavioral and clinical risk factors and socioeconomic status. Over an average of 12.4 years follow-up, we ascertained 4129 incident CVD events, of which stroke accounted for 1011. Compared to participants with the least DASH-accordant diets, those with the most DASH-accordant diets had 20% lower risk of incident stroke (HR, 95% CI 0.80, 0.65-0.99) and 13% lower risk of total incident CVD (0.88, 0.79-0.99) but no lower risk of CHD (0.90, 0.79-1.02). CVD-related mortality also showed strong inverse associations with DASH accordance (0.72, 0.60-0.85). This study provides evidence for the cardioprotective effects of DASH diet in a UK context.","author":[{"dropping-particle":"V.","family":"Jones","given":"Nicholas R.","non-dropping-particle":"","parse-names":false,"suffix":""},{"dropping-particle":"","family":"Forouhi","given":"Nita G.","non-dropping-particle":"","parse-names":false,"suffix":""},{"dropping-particle":"","family":"Khaw","given":"Kay-Tee","non-dropping-particle":"","parse-names":false,"suffix":""},{"dropping-particle":"","family":"Wareham","given":"Nicholas J.","non-dropping-particle":"","parse-names":false,"suffix":""},{"dropping-particle":"","family":"Monsivais","given":"Pablo","non-dropping-particle":"","parse-names":false,"suffix":""}],"container-title":"European Journal of Epidemiology","id":"ITEM-1","issue":"2","issued":{"date-parts":[["2018","2","9"]]},"page":"235-244","title":"Accordance to the Dietary Approaches to Stop Hypertension diet pattern and cardiovascular disease in a British, population-based cohort","type":"article-journal","volume":"33"},"uris":["http://www.mendeley.com/documents/?uuid=d7e88afd-e9b3-3304-bcc3-746f45ff0fee"]}],"mendeley":{"formattedCitation":"(41)","plainTextFormattedCitation":"(41)","previouslyFormattedCitation":"(41)"},"properties":{"noteIndex":0},"schema":"https://github.com/citation-style-language/schema/raw/master/csl-citation.json"}</w:instrText>
            </w:r>
            <w:r w:rsidRPr="003754B5">
              <w:rPr>
                <w:rFonts w:asciiTheme="minorBidi" w:hAnsiTheme="minorBidi" w:cstheme="minorBidi"/>
                <w:color w:val="000000" w:themeColor="text1"/>
                <w:sz w:val="20"/>
                <w:szCs w:val="20"/>
                <w:lang w:val="en-GB" w:eastAsia="en-GB"/>
              </w:rPr>
              <w:fldChar w:fldCharType="separate"/>
            </w:r>
            <w:r w:rsidRPr="003754B5">
              <w:rPr>
                <w:rFonts w:asciiTheme="minorBidi" w:hAnsiTheme="minorBidi" w:cstheme="minorBidi"/>
                <w:noProof/>
                <w:color w:val="000000" w:themeColor="text1"/>
                <w:sz w:val="20"/>
                <w:szCs w:val="20"/>
                <w:lang w:val="en-GB" w:eastAsia="en-GB"/>
              </w:rPr>
              <w:t>(41)</w:t>
            </w:r>
            <w:r w:rsidRPr="003754B5">
              <w:rPr>
                <w:rFonts w:asciiTheme="minorBidi" w:hAnsiTheme="minorBidi" w:cstheme="minorBidi"/>
                <w:color w:val="000000" w:themeColor="text1"/>
                <w:sz w:val="20"/>
                <w:szCs w:val="20"/>
                <w:lang w:val="en-GB" w:eastAsia="en-GB"/>
              </w:rPr>
              <w:fldChar w:fldCharType="end"/>
            </w:r>
          </w:p>
        </w:tc>
        <w:tc>
          <w:tcPr>
            <w:tcW w:w="1417" w:type="dxa"/>
          </w:tcPr>
          <w:p w14:paraId="1E69A62E" w14:textId="00CE34EF" w:rsidR="00743B47" w:rsidRPr="005F4695" w:rsidRDefault="00743B47" w:rsidP="00743B47">
            <w:pPr>
              <w:rPr>
                <w:rFonts w:asciiTheme="minorBidi" w:hAnsiTheme="minorBidi" w:cstheme="minorBidi"/>
                <w:color w:val="000000" w:themeColor="text1"/>
                <w:sz w:val="20"/>
                <w:szCs w:val="20"/>
              </w:rPr>
            </w:pPr>
            <w:r w:rsidRPr="005F4695">
              <w:rPr>
                <w:rFonts w:asciiTheme="minorBidi" w:hAnsiTheme="minorBidi" w:cstheme="minorBidi"/>
                <w:color w:val="000000" w:themeColor="text1"/>
                <w:sz w:val="20"/>
                <w:szCs w:val="20"/>
                <w:lang w:val="en-GB" w:eastAsia="en-GB"/>
              </w:rPr>
              <w:t>UK</w:t>
            </w:r>
          </w:p>
        </w:tc>
        <w:tc>
          <w:tcPr>
            <w:tcW w:w="1276" w:type="dxa"/>
          </w:tcPr>
          <w:p w14:paraId="5618E669" w14:textId="54A7A25E" w:rsidR="00743B47" w:rsidRPr="005F4695" w:rsidRDefault="00743B47" w:rsidP="00743B47">
            <w:pPr>
              <w:rPr>
                <w:rFonts w:asciiTheme="minorBidi" w:hAnsiTheme="minorBidi" w:cstheme="minorBidi"/>
                <w:color w:val="000000" w:themeColor="text1"/>
                <w:sz w:val="20"/>
                <w:szCs w:val="20"/>
              </w:rPr>
            </w:pPr>
            <w:r w:rsidRPr="005F4695">
              <w:rPr>
                <w:rFonts w:asciiTheme="minorBidi" w:hAnsiTheme="minorBidi" w:cstheme="minorBidi"/>
                <w:color w:val="000000" w:themeColor="text1"/>
                <w:sz w:val="20"/>
                <w:szCs w:val="20"/>
                <w:lang w:val="en-GB" w:eastAsia="en-GB"/>
              </w:rPr>
              <w:t>23655, adults      (39-79)</w:t>
            </w:r>
          </w:p>
        </w:tc>
        <w:tc>
          <w:tcPr>
            <w:tcW w:w="1559" w:type="dxa"/>
          </w:tcPr>
          <w:p w14:paraId="144C30B9" w14:textId="55C9BE15" w:rsidR="00743B47" w:rsidRPr="005F4695" w:rsidRDefault="00743B47" w:rsidP="00743B47">
            <w:pPr>
              <w:rPr>
                <w:rFonts w:asciiTheme="minorBidi" w:hAnsiTheme="minorBidi" w:cstheme="minorBidi"/>
                <w:color w:val="000000" w:themeColor="text1"/>
                <w:sz w:val="20"/>
                <w:szCs w:val="20"/>
              </w:rPr>
            </w:pPr>
            <w:r w:rsidRPr="005F4695">
              <w:rPr>
                <w:rFonts w:asciiTheme="minorBidi" w:hAnsiTheme="minorBidi" w:cstheme="minorBidi"/>
                <w:color w:val="000000" w:themeColor="text1"/>
                <w:sz w:val="20"/>
                <w:szCs w:val="20"/>
                <w:lang w:val="en-GB" w:eastAsia="en-GB"/>
              </w:rPr>
              <w:t>FFQ           (130 item)</w:t>
            </w:r>
          </w:p>
        </w:tc>
        <w:tc>
          <w:tcPr>
            <w:tcW w:w="1559" w:type="dxa"/>
          </w:tcPr>
          <w:p w14:paraId="49F5F63C" w14:textId="5857355B" w:rsidR="00743B47" w:rsidRPr="005F4695" w:rsidRDefault="00A940F3" w:rsidP="00743B47">
            <w:pPr>
              <w:rPr>
                <w:rFonts w:asciiTheme="minorBidi" w:hAnsiTheme="minorBidi" w:cstheme="minorBidi"/>
                <w:color w:val="000000" w:themeColor="text1"/>
                <w:sz w:val="20"/>
                <w:szCs w:val="20"/>
              </w:rPr>
            </w:pPr>
            <w:r>
              <w:rPr>
                <w:rFonts w:asciiTheme="minorBidi" w:hAnsiTheme="minorBidi" w:cstheme="minorBidi"/>
                <w:color w:val="000000" w:themeColor="text1"/>
                <w:sz w:val="20"/>
                <w:szCs w:val="20"/>
                <w:lang w:val="en-GB" w:eastAsia="en-GB"/>
              </w:rPr>
              <w:t>DASH score</w:t>
            </w:r>
          </w:p>
        </w:tc>
        <w:tc>
          <w:tcPr>
            <w:tcW w:w="5305" w:type="dxa"/>
          </w:tcPr>
          <w:p w14:paraId="669599CD" w14:textId="77777777" w:rsidR="00743B47" w:rsidRPr="005F4695" w:rsidRDefault="00743B47" w:rsidP="00743B47">
            <w:pPr>
              <w:rPr>
                <w:rFonts w:asciiTheme="minorBidi" w:eastAsiaTheme="minorHAnsi" w:hAnsiTheme="minorBidi" w:cstheme="minorBidi"/>
                <w:color w:val="000000" w:themeColor="text1"/>
                <w:sz w:val="20"/>
                <w:szCs w:val="20"/>
              </w:rPr>
            </w:pPr>
            <w:r w:rsidRPr="005F4695">
              <w:rPr>
                <w:rFonts w:asciiTheme="minorBidi" w:hAnsiTheme="minorBidi" w:cstheme="minorBidi"/>
                <w:color w:val="000000" w:themeColor="text1"/>
                <w:sz w:val="20"/>
                <w:szCs w:val="20"/>
                <w:lang w:val="en-GB" w:eastAsia="en-GB"/>
              </w:rPr>
              <w:t xml:space="preserve">8 (fruit, vegetables, nuts and legumes, whole grains, low-fat dairy, red and processed meats, salt, and non-milk extrinsic sugars), </w:t>
            </w:r>
            <w:r w:rsidRPr="005F4695">
              <w:rPr>
                <w:rFonts w:asciiTheme="minorBidi" w:hAnsiTheme="minorBidi" w:cstheme="minorBidi"/>
                <w:color w:val="000000" w:themeColor="text1"/>
                <w:sz w:val="20"/>
                <w:szCs w:val="20"/>
              </w:rPr>
              <w:t>1 to 5 with equal weight assigned to groups</w:t>
            </w:r>
            <w:r w:rsidRPr="005F4695">
              <w:rPr>
                <w:rFonts w:asciiTheme="minorBidi" w:hAnsiTheme="minorBidi" w:cstheme="minorBidi"/>
                <w:color w:val="000000" w:themeColor="text1"/>
                <w:sz w:val="20"/>
                <w:szCs w:val="20"/>
                <w:lang w:eastAsia="en-GB"/>
              </w:rPr>
              <w:t xml:space="preserve">, </w:t>
            </w:r>
            <w:r w:rsidRPr="005F4695">
              <w:rPr>
                <w:rFonts w:asciiTheme="minorBidi" w:hAnsiTheme="minorBidi" w:cstheme="minorBidi"/>
                <w:color w:val="000000" w:themeColor="text1"/>
                <w:sz w:val="20"/>
                <w:szCs w:val="20"/>
                <w:lang w:val="en-GB" w:eastAsia="en-GB"/>
              </w:rPr>
              <w:t xml:space="preserve">overall score range from 8 to 40 </w:t>
            </w:r>
            <w:r w:rsidRPr="005F4695">
              <w:rPr>
                <w:rFonts w:asciiTheme="minorBidi" w:eastAsiaTheme="minorHAnsi" w:hAnsiTheme="minorBidi" w:cstheme="minorBidi"/>
                <w:color w:val="000000" w:themeColor="text1"/>
                <w:sz w:val="20"/>
                <w:szCs w:val="20"/>
              </w:rPr>
              <w:t>points</w:t>
            </w:r>
          </w:p>
          <w:p w14:paraId="7BF42B25" w14:textId="016DA668" w:rsidR="00743B47" w:rsidRPr="005F4695" w:rsidRDefault="00743B47" w:rsidP="00743B47">
            <w:pPr>
              <w:rPr>
                <w:rFonts w:asciiTheme="minorBidi" w:hAnsiTheme="minorBidi" w:cstheme="minorBidi"/>
                <w:color w:val="000000" w:themeColor="text1"/>
                <w:sz w:val="20"/>
                <w:szCs w:val="20"/>
                <w:lang w:val="en-GB" w:eastAsia="en-GB"/>
              </w:rPr>
            </w:pPr>
          </w:p>
        </w:tc>
      </w:tr>
      <w:tr w:rsidR="00743B47" w:rsidRPr="005F4695" w14:paraId="405770C3" w14:textId="77777777" w:rsidTr="00B20E43">
        <w:trPr>
          <w:trHeight w:val="388"/>
        </w:trPr>
        <w:tc>
          <w:tcPr>
            <w:tcW w:w="1555" w:type="dxa"/>
          </w:tcPr>
          <w:p w14:paraId="276E4A0B" w14:textId="1F11ABCC" w:rsidR="00743B47" w:rsidRPr="005F4695" w:rsidRDefault="00743B47" w:rsidP="00743B47">
            <w:pPr>
              <w:rPr>
                <w:rFonts w:asciiTheme="minorBidi" w:hAnsiTheme="minorBidi" w:cstheme="minorBidi"/>
                <w:color w:val="000000" w:themeColor="text1"/>
                <w:sz w:val="20"/>
                <w:szCs w:val="20"/>
                <w:lang w:val="en-GB" w:eastAsia="en-GB"/>
              </w:rPr>
            </w:pPr>
            <w:r w:rsidRPr="003754B5">
              <w:rPr>
                <w:rFonts w:asciiTheme="minorBidi" w:hAnsiTheme="minorBidi" w:cstheme="minorBidi"/>
                <w:color w:val="000000" w:themeColor="text1"/>
                <w:sz w:val="20"/>
                <w:szCs w:val="20"/>
                <w:lang w:val="en-GB" w:eastAsia="en-GB"/>
              </w:rPr>
              <w:t>Mytton et al</w:t>
            </w:r>
            <w:r>
              <w:rPr>
                <w:rFonts w:asciiTheme="minorBidi" w:hAnsiTheme="minorBidi" w:cstheme="minorBidi"/>
                <w:color w:val="000000" w:themeColor="text1"/>
                <w:sz w:val="20"/>
                <w:szCs w:val="20"/>
                <w:lang w:val="en-GB" w:eastAsia="en-GB"/>
              </w:rPr>
              <w:t>, 2018</w:t>
            </w:r>
            <w:r w:rsidRPr="003754B5">
              <w:rPr>
                <w:rFonts w:asciiTheme="minorBidi" w:hAnsiTheme="minorBidi" w:cstheme="minorBidi"/>
                <w:color w:val="000000" w:themeColor="text1"/>
                <w:sz w:val="20"/>
                <w:szCs w:val="20"/>
                <w:lang w:val="en-GB" w:eastAsia="en-GB"/>
              </w:rPr>
              <w:t xml:space="preserve"> </w:t>
            </w:r>
            <w:r w:rsidRPr="003754B5">
              <w:rPr>
                <w:rFonts w:asciiTheme="minorBidi" w:hAnsiTheme="minorBidi" w:cstheme="minorBidi"/>
                <w:color w:val="000000" w:themeColor="text1"/>
                <w:sz w:val="20"/>
                <w:szCs w:val="20"/>
                <w:lang w:val="en-GB" w:eastAsia="en-GB"/>
              </w:rPr>
              <w:fldChar w:fldCharType="begin" w:fldLock="1"/>
            </w:r>
            <w:r>
              <w:rPr>
                <w:rFonts w:asciiTheme="minorBidi" w:hAnsiTheme="minorBidi" w:cstheme="minorBidi"/>
                <w:color w:val="000000" w:themeColor="text1"/>
                <w:sz w:val="20"/>
                <w:szCs w:val="20"/>
                <w:lang w:val="en-GB" w:eastAsia="en-GB"/>
              </w:rPr>
              <w:instrText>ADDIN CSL_CITATION {"citationItems":[{"id":"ITEM-1","itemData":{"DOI":"10.1371/journal.pmed.1002484","ISSN":"1549-1676","abstract":"Background In the United Kingdom, the Food Standards Agency-Ofcom nutrient profiling model (FSA-Ofcom model) is used to define less-healthy foods that cannot be advertised to children. However, there has been limited investigation of whether less-healthy foods defined by this model are associated with prospective health outcomes. The objective of this study was to test whether consumption of less-healthy food as defined by the FSA-Ofcom model is associated with cardiovascular disease (CVD). Methods and findings We used data from the European Prospective Investigation of Cancer (EPIC)-Norfolk cohort study in adults (n = 25,639) aged 40–79 years who completed a 7-day diet diary between 1993 and 1997. Incident CVD (primary outcome), cardiovascular mortality, and all-cause mortality (secondary outcomes) were identified using record linkage to hospital admissions data and death certificates up to 31 March 2015. Each food and beverage item reported was coded and given a continuous score, using the FSA-Ofcom model, based on the consumption of energy; saturated fat; total sugar; sodium; nonsoluble fibre; protein; and fruits, vegetables, and nuts. Items were classified as less-healthy using Ofcom regulation thresholds. We used Cox proportional hazards regression to test for an association between consumption of less-healthy food and incident CVD. Sensitivity analyses explored whether the results differed based on the definition of the exposure. Analyses were adjusted for age, sex, behavioural risk factors, clinical risk factors, and socioeconomic status. Participants were followed up for a mean of 16.4 years. During follow-up, there were 4,965 incident cases of CVD (1,524 fatal within 30 days). In the unadjusted analyses, we observed an association between consumption of less-healthy food and incident CVD (test for linear trend over quintile groups, p &lt; 0.01). After adjustment for covariates (sociodemographic, behavioural, and indices of cardiovascular risk), we found no association between consumption of less-healthy food and incident CVD (p = 0.84) or cardiovascular mortality (p = 0.90), but there was an association between consumption of less-healthy food and all-cause mortality (test for linear trend, p = 0.006; quintile group 5, highest consumption of less-healthy food, versus quintile group 1, HR = 1.11, 95% CI 1.02–1.20). Sensitivity analyses produced similar results. The study is observational and relies on self-report of dietary consumption. Despite adj…","author":[{"dropping-particle":"","family":"Mytton","given":"Oliver T.","non-dropping-particle":"","parse-names":false,"suffix":""},{"dropping-particle":"","family":"Forouhi","given":"Nita G.","non-dropping-particle":"","parse-names":false,"suffix":""},{"dropping-particle":"","family":"Scarborough","given":"Peter","non-dropping-particle":"","parse-names":false,"suffix":""},{"dropping-particle":"","family":"Lentjes","given":"Marleen","non-dropping-particle":"","parse-names":false,"suffix":""},{"dropping-particle":"","family":"Luben","given":"Robert","non-dropping-particle":"","parse-names":false,"suffix":""},{"dropping-particle":"","family":"Rayner","given":"Mike","non-dropping-particle":"","parse-names":false,"suffix":""},{"dropping-particle":"","family":"Khaw","given":"Kay Tee","non-dropping-particle":"","parse-names":false,"suffix":""},{"dropping-particle":"","family":"Wareham","given":"Nicholas J.","non-dropping-particle":"","parse-names":false,"suffix":""},{"dropping-particle":"","family":"Monsivais","given":"Pablo","non-dropping-particle":"","parse-names":false,"suffix":""}],"container-title":"PLOS Medicine","id":"ITEM-1","issue":"1","issued":{"date-parts":[["2018","1","4"]]},"page":"e1002484","title":"Association between intake of less-healthy foods defined by the United Kingdom's nutrient profile model and cardiovascular disease: A population-based cohort study","type":"article-journal","volume":"15"},"uris":["http://www.mendeley.com/documents/?uuid=60942143-bc0d-3d4c-a81d-41792aa4f957"]}],"mendeley":{"formattedCitation":"(42)","plainTextFormattedCitation":"(42)","previouslyFormattedCitation":"(42)"},"properties":{"noteIndex":0},"schema":"https://github.com/citation-style-language/schema/raw/master/csl-citation.json"}</w:instrText>
            </w:r>
            <w:r w:rsidRPr="003754B5">
              <w:rPr>
                <w:rFonts w:asciiTheme="minorBidi" w:hAnsiTheme="minorBidi" w:cstheme="minorBidi"/>
                <w:color w:val="000000" w:themeColor="text1"/>
                <w:sz w:val="20"/>
                <w:szCs w:val="20"/>
                <w:lang w:val="en-GB" w:eastAsia="en-GB"/>
              </w:rPr>
              <w:fldChar w:fldCharType="separate"/>
            </w:r>
            <w:r w:rsidRPr="003754B5">
              <w:rPr>
                <w:rFonts w:asciiTheme="minorBidi" w:hAnsiTheme="minorBidi" w:cstheme="minorBidi"/>
                <w:noProof/>
                <w:color w:val="000000" w:themeColor="text1"/>
                <w:sz w:val="20"/>
                <w:szCs w:val="20"/>
                <w:lang w:val="en-GB" w:eastAsia="en-GB"/>
              </w:rPr>
              <w:t>(42)</w:t>
            </w:r>
            <w:r w:rsidRPr="003754B5">
              <w:rPr>
                <w:rFonts w:asciiTheme="minorBidi" w:hAnsiTheme="minorBidi" w:cstheme="minorBidi"/>
                <w:color w:val="000000" w:themeColor="text1"/>
                <w:sz w:val="20"/>
                <w:szCs w:val="20"/>
                <w:lang w:val="en-GB" w:eastAsia="en-GB"/>
              </w:rPr>
              <w:fldChar w:fldCharType="end"/>
            </w:r>
          </w:p>
        </w:tc>
        <w:tc>
          <w:tcPr>
            <w:tcW w:w="1417" w:type="dxa"/>
          </w:tcPr>
          <w:p w14:paraId="4D1B4FB4" w14:textId="702ECE4C"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lang w:val="en-GB" w:eastAsia="en-GB"/>
              </w:rPr>
              <w:t>UK</w:t>
            </w:r>
          </w:p>
        </w:tc>
        <w:tc>
          <w:tcPr>
            <w:tcW w:w="1276" w:type="dxa"/>
          </w:tcPr>
          <w:p w14:paraId="2BCD7FB6" w14:textId="08FB8B01"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lang w:val="en-GB" w:eastAsia="en-GB"/>
              </w:rPr>
              <w:t>25639, adults       (40-79)</w:t>
            </w:r>
          </w:p>
        </w:tc>
        <w:tc>
          <w:tcPr>
            <w:tcW w:w="1559" w:type="dxa"/>
          </w:tcPr>
          <w:p w14:paraId="05A9425C" w14:textId="5DB138D8"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lang w:val="en-GB" w:eastAsia="en-GB"/>
              </w:rPr>
              <w:t>7 day food diary</w:t>
            </w:r>
          </w:p>
        </w:tc>
        <w:tc>
          <w:tcPr>
            <w:tcW w:w="1559" w:type="dxa"/>
          </w:tcPr>
          <w:p w14:paraId="496383B6" w14:textId="6A50B953"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sz w:val="20"/>
                <w:szCs w:val="20"/>
              </w:rPr>
              <w:t xml:space="preserve">FSA-NPS  </w:t>
            </w:r>
          </w:p>
        </w:tc>
        <w:tc>
          <w:tcPr>
            <w:tcW w:w="5305" w:type="dxa"/>
          </w:tcPr>
          <w:p w14:paraId="1B8C2571" w14:textId="5B5D35CA" w:rsidR="00743B47" w:rsidRPr="005F4695" w:rsidRDefault="00743B47" w:rsidP="00743B47">
            <w:pPr>
              <w:rPr>
                <w:rFonts w:asciiTheme="minorBidi" w:eastAsiaTheme="minorHAnsi" w:hAnsiTheme="minorBidi" w:cstheme="minorBidi"/>
                <w:color w:val="000000" w:themeColor="text1"/>
                <w:sz w:val="20"/>
                <w:szCs w:val="20"/>
              </w:rPr>
            </w:pPr>
            <w:r w:rsidRPr="005F4695">
              <w:rPr>
                <w:rFonts w:asciiTheme="minorBidi" w:hAnsiTheme="minorBidi" w:cstheme="minorBidi"/>
                <w:color w:val="000000" w:themeColor="text1"/>
                <w:sz w:val="20"/>
                <w:szCs w:val="20"/>
                <w:lang w:val="en-GB" w:eastAsia="en-GB"/>
              </w:rPr>
              <w:t xml:space="preserve">8 (negative: </w:t>
            </w:r>
            <w:r w:rsidRPr="005F4695">
              <w:rPr>
                <w:rFonts w:asciiTheme="minorBidi" w:hAnsiTheme="minorBidi" w:cstheme="minorBidi"/>
                <w:color w:val="000000" w:themeColor="text1"/>
                <w:sz w:val="20"/>
                <w:szCs w:val="20"/>
                <w:shd w:val="clear" w:color="auto" w:fill="FFFFFF"/>
              </w:rPr>
              <w:t xml:space="preserve">nonsoluble </w:t>
            </w:r>
            <w:r w:rsidR="008A4B60" w:rsidRPr="005F4695">
              <w:rPr>
                <w:rFonts w:asciiTheme="minorBidi" w:hAnsiTheme="minorBidi" w:cstheme="minorBidi"/>
                <w:color w:val="000000" w:themeColor="text1"/>
                <w:sz w:val="20"/>
                <w:szCs w:val="20"/>
                <w:shd w:val="clear" w:color="auto" w:fill="FFFFFF"/>
              </w:rPr>
              <w:t>fiber</w:t>
            </w:r>
            <w:r w:rsidRPr="005F4695">
              <w:rPr>
                <w:rFonts w:asciiTheme="minorBidi" w:hAnsiTheme="minorBidi" w:cstheme="minorBidi"/>
                <w:color w:val="000000" w:themeColor="text1"/>
                <w:sz w:val="20"/>
                <w:szCs w:val="20"/>
                <w:shd w:val="clear" w:color="auto" w:fill="FFFFFF"/>
              </w:rPr>
              <w:t xml:space="preserve"> and protein as well as fruits, vegetables, and nuts; </w:t>
            </w:r>
            <w:r w:rsidRPr="005F4695">
              <w:rPr>
                <w:rFonts w:asciiTheme="minorBidi" w:hAnsiTheme="minorBidi" w:cstheme="minorBidi"/>
                <w:color w:val="000000" w:themeColor="text1"/>
                <w:sz w:val="20"/>
                <w:szCs w:val="20"/>
                <w:lang w:val="en-GB" w:eastAsia="en-GB"/>
              </w:rPr>
              <w:t xml:space="preserve">positive: </w:t>
            </w:r>
            <w:r w:rsidRPr="005F4695">
              <w:rPr>
                <w:rFonts w:asciiTheme="minorBidi" w:hAnsiTheme="minorBidi" w:cstheme="minorBidi"/>
                <w:color w:val="000000" w:themeColor="text1"/>
                <w:sz w:val="20"/>
                <w:szCs w:val="20"/>
                <w:shd w:val="clear" w:color="auto" w:fill="FFFFFF"/>
              </w:rPr>
              <w:t>energy, saturated fat, total sugar, and sodium</w:t>
            </w:r>
            <w:r w:rsidRPr="005F4695">
              <w:rPr>
                <w:rFonts w:asciiTheme="minorBidi" w:hAnsiTheme="minorBidi" w:cstheme="minorBidi"/>
                <w:color w:val="000000" w:themeColor="text1"/>
                <w:sz w:val="20"/>
                <w:szCs w:val="20"/>
                <w:lang w:val="en-GB" w:eastAsia="en-GB"/>
              </w:rPr>
              <w:t xml:space="preserve">), negative components are </w:t>
            </w:r>
            <w:r w:rsidRPr="005F4695">
              <w:rPr>
                <w:rFonts w:asciiTheme="minorBidi" w:hAnsiTheme="minorBidi" w:cstheme="minorBidi"/>
                <w:color w:val="000000" w:themeColor="text1"/>
                <w:sz w:val="20"/>
                <w:szCs w:val="20"/>
                <w:shd w:val="clear" w:color="auto" w:fill="FFFFFF"/>
              </w:rPr>
              <w:t xml:space="preserve">graded on a 5-point scale </w:t>
            </w:r>
            <w:r w:rsidRPr="005F4695">
              <w:rPr>
                <w:rFonts w:asciiTheme="minorBidi" w:hAnsiTheme="minorBidi" w:cstheme="minorBidi"/>
                <w:color w:val="000000" w:themeColor="text1"/>
                <w:sz w:val="20"/>
                <w:szCs w:val="20"/>
                <w:lang w:val="en-GB" w:eastAsia="en-GB"/>
              </w:rPr>
              <w:t xml:space="preserve">and positive components are </w:t>
            </w:r>
            <w:r w:rsidRPr="005F4695">
              <w:rPr>
                <w:rFonts w:asciiTheme="minorBidi" w:hAnsiTheme="minorBidi" w:cstheme="minorBidi"/>
                <w:color w:val="000000" w:themeColor="text1"/>
                <w:sz w:val="20"/>
                <w:szCs w:val="20"/>
                <w:shd w:val="clear" w:color="auto" w:fill="FFFFFF"/>
              </w:rPr>
              <w:t xml:space="preserve">graded on a 10-point scale, </w:t>
            </w:r>
            <w:r w:rsidRPr="005F4695">
              <w:rPr>
                <w:rFonts w:asciiTheme="minorBidi" w:eastAsiaTheme="minorHAnsi" w:hAnsiTheme="minorBidi" w:cstheme="minorBidi"/>
                <w:color w:val="000000" w:themeColor="text1"/>
                <w:sz w:val="20"/>
                <w:szCs w:val="20"/>
              </w:rPr>
              <w:t>overall score was the sum of all scores</w:t>
            </w:r>
          </w:p>
          <w:p w14:paraId="09C0B11E" w14:textId="143A4C41" w:rsidR="00743B47" w:rsidRPr="005F4695" w:rsidRDefault="00743B47" w:rsidP="00743B47">
            <w:pPr>
              <w:rPr>
                <w:rFonts w:asciiTheme="minorBidi" w:hAnsiTheme="minorBidi" w:cstheme="minorBidi"/>
                <w:color w:val="000000" w:themeColor="text1"/>
                <w:sz w:val="20"/>
                <w:szCs w:val="20"/>
                <w:lang w:val="en-GB" w:eastAsia="en-GB"/>
              </w:rPr>
            </w:pPr>
          </w:p>
        </w:tc>
      </w:tr>
      <w:tr w:rsidR="00743B47" w:rsidRPr="005F4695" w14:paraId="47B563A9" w14:textId="77777777" w:rsidTr="00B20E43">
        <w:trPr>
          <w:trHeight w:val="388"/>
        </w:trPr>
        <w:tc>
          <w:tcPr>
            <w:tcW w:w="1555" w:type="dxa"/>
          </w:tcPr>
          <w:p w14:paraId="09CCBD02" w14:textId="6D7C460A" w:rsidR="00743B47" w:rsidRPr="005F4695" w:rsidRDefault="00743B47" w:rsidP="00743B47">
            <w:pPr>
              <w:rPr>
                <w:rFonts w:asciiTheme="minorBidi" w:hAnsiTheme="minorBidi" w:cstheme="minorBidi"/>
                <w:color w:val="000000" w:themeColor="text1"/>
                <w:sz w:val="20"/>
                <w:szCs w:val="20"/>
              </w:rPr>
            </w:pPr>
            <w:r w:rsidRPr="003754B5">
              <w:rPr>
                <w:rFonts w:asciiTheme="minorBidi" w:hAnsiTheme="minorBidi" w:cstheme="minorBidi"/>
                <w:color w:val="000000" w:themeColor="text1"/>
                <w:sz w:val="20"/>
                <w:szCs w:val="20"/>
                <w:lang w:val="en-GB" w:eastAsia="en-GB"/>
              </w:rPr>
              <w:t>Maddock et al</w:t>
            </w:r>
            <w:r>
              <w:rPr>
                <w:rFonts w:asciiTheme="minorBidi" w:hAnsiTheme="minorBidi" w:cstheme="minorBidi"/>
                <w:color w:val="000000" w:themeColor="text1"/>
                <w:sz w:val="20"/>
                <w:szCs w:val="20"/>
                <w:lang w:val="en-GB" w:eastAsia="en-GB"/>
              </w:rPr>
              <w:t>, 2018</w:t>
            </w:r>
            <w:r w:rsidRPr="003754B5">
              <w:rPr>
                <w:rFonts w:asciiTheme="minorBidi" w:hAnsiTheme="minorBidi" w:cstheme="minorBidi"/>
                <w:color w:val="000000" w:themeColor="text1"/>
                <w:sz w:val="20"/>
                <w:szCs w:val="20"/>
                <w:lang w:val="en-GB" w:eastAsia="en-GB"/>
              </w:rPr>
              <w:t xml:space="preserve"> </w:t>
            </w:r>
            <w:r w:rsidRPr="003754B5">
              <w:rPr>
                <w:rFonts w:asciiTheme="minorBidi" w:hAnsiTheme="minorBidi" w:cstheme="minorBidi"/>
                <w:color w:val="000000" w:themeColor="text1"/>
                <w:sz w:val="20"/>
                <w:szCs w:val="20"/>
                <w:lang w:val="en-GB" w:eastAsia="en-GB"/>
              </w:rPr>
              <w:fldChar w:fldCharType="begin" w:fldLock="1"/>
            </w:r>
            <w:r>
              <w:rPr>
                <w:rFonts w:asciiTheme="minorBidi" w:hAnsiTheme="minorBidi" w:cstheme="minorBidi"/>
                <w:color w:val="000000" w:themeColor="text1"/>
                <w:sz w:val="20"/>
                <w:szCs w:val="20"/>
                <w:lang w:val="en-GB" w:eastAsia="en-GB"/>
              </w:rPr>
              <w:instrText>ADDIN CSL_CITATION {"citationItems":[{"id":"ITEM-1","itemData":{"DOI":"10.1017/S0007114517003877","ISSN":"0007-1145","abstract":"Little is known about long-term associations between the Dietary Approaches to Stop Hypertension (DASH) diet and conventional cardiovascular (CV)-risk factors as well as novel measures of vascular function. This study aimed to examine whether long-term adherence to a DASH-type diet in a British birth cohort is associated with conventional CV-risk factors and two vascular function markers, carotid intima–media thickness (cIMT) and pulse wave velocity (PWV). Data came from 1409 participants of the Medical Research Council (MRC) National Survey of Health and Development. Dietary intake was assessed at 36, 43, 53 and 60–64 years using 5-d estimated food diaries. The DASH-type diet score was calculated using the Fung index. Conventional CV-risk factors (blood pressure (BP) and lipids), cIMT in the right and/or left common carotid artery and PWV was measured when participants were 60–64 years. Associations between the DASH-type diet score and outcomes were assessed using multiple regression models adjusted for socioeconomic position, BMI, smoking and physical activity. Participants in higher sex-specific quintiles (Q) of the long-term DASH-type diet had lower BP ( P ≤0·08), higher HDL-cholesterol ( P &amp;lt;0·001) and lower TAG ( P &amp;lt;0·001) compared with people in Q1. Participants in Q5 of the long-term DASH-type diet had lower PWV (−0·28 sd ; 95 % CI −0·50, −0·07, P trend =0·01) and cIMT (−0·24 sd ; 95 % CI −0·44, −0·04, P trend =0·02) compared with participants in the Q1. This association was independent of the conventional CV-risk factors. Greater adherence to a DASH diet over the life course is associated with conventional CV-risk factors and independently associated with cIMT and PWV.","author":[{"dropping-particle":"","family":"Maddock","given":"Jane","non-dropping-particle":"","parse-names":false,"suffix":""},{"dropping-particle":"","family":"Ziauddeen","given":"Nida","non-dropping-particle":"","parse-names":false,"suffix":""},{"dropping-particle":"","family":"Ambrosini","given":"Gina L.","non-dropping-particle":"","parse-names":false,"suffix":""},{"dropping-particle":"","family":"Wong","given":"Andrew","non-dropping-particle":"","parse-names":false,"suffix":""},{"dropping-particle":"","family":"Hardy","given":"Rebecca","non-dropping-particle":"","parse-names":false,"suffix":""},{"dropping-particle":"","family":"Ray","given":"Sumantra","non-dropping-particle":"","parse-names":false,"suffix":""}],"container-title":"British Journal of Nutrition","id":"ITEM-1","issue":"05","issued":{"date-parts":[["2018","3","6"]]},"page":"581-589","title":"Adherence to a Dietary Approaches to Stop Hypertension (DASH)-type diet over the life course and associated vascular function: a study based on the MRC 1946 British birth cohort","type":"article-journal","volume":"119"},"uris":["http://www.mendeley.com/documents/?uuid=83a1dd9f-3efe-339f-bc1c-38b0ed9ed757"]}],"mendeley":{"formattedCitation":"(43)","plainTextFormattedCitation":"(43)","previouslyFormattedCitation":"(43)"},"properties":{"noteIndex":0},"schema":"https://github.com/citation-style-language/schema/raw/master/csl-citation.json"}</w:instrText>
            </w:r>
            <w:r w:rsidRPr="003754B5">
              <w:rPr>
                <w:rFonts w:asciiTheme="minorBidi" w:hAnsiTheme="minorBidi" w:cstheme="minorBidi"/>
                <w:color w:val="000000" w:themeColor="text1"/>
                <w:sz w:val="20"/>
                <w:szCs w:val="20"/>
                <w:lang w:val="en-GB" w:eastAsia="en-GB"/>
              </w:rPr>
              <w:fldChar w:fldCharType="separate"/>
            </w:r>
            <w:r w:rsidRPr="003754B5">
              <w:rPr>
                <w:rFonts w:asciiTheme="minorBidi" w:hAnsiTheme="minorBidi" w:cstheme="minorBidi"/>
                <w:noProof/>
                <w:color w:val="000000" w:themeColor="text1"/>
                <w:sz w:val="20"/>
                <w:szCs w:val="20"/>
                <w:lang w:val="en-GB" w:eastAsia="en-GB"/>
              </w:rPr>
              <w:t>(43)</w:t>
            </w:r>
            <w:r w:rsidRPr="003754B5">
              <w:rPr>
                <w:rFonts w:asciiTheme="minorBidi" w:hAnsiTheme="minorBidi" w:cstheme="minorBidi"/>
                <w:color w:val="000000" w:themeColor="text1"/>
                <w:sz w:val="20"/>
                <w:szCs w:val="20"/>
                <w:lang w:val="en-GB" w:eastAsia="en-GB"/>
              </w:rPr>
              <w:fldChar w:fldCharType="end"/>
            </w:r>
          </w:p>
        </w:tc>
        <w:tc>
          <w:tcPr>
            <w:tcW w:w="1417" w:type="dxa"/>
          </w:tcPr>
          <w:p w14:paraId="0E7BBC03" w14:textId="7B6D76C9" w:rsidR="00743B47" w:rsidRPr="005F4695" w:rsidRDefault="00743B47" w:rsidP="00743B47">
            <w:pPr>
              <w:rPr>
                <w:rFonts w:asciiTheme="minorBidi" w:hAnsiTheme="minorBidi" w:cstheme="minorBidi"/>
                <w:color w:val="000000" w:themeColor="text1"/>
                <w:sz w:val="20"/>
                <w:szCs w:val="20"/>
              </w:rPr>
            </w:pPr>
            <w:r w:rsidRPr="005F4695">
              <w:rPr>
                <w:rFonts w:asciiTheme="minorBidi" w:hAnsiTheme="minorBidi" w:cstheme="minorBidi"/>
                <w:color w:val="000000" w:themeColor="text1"/>
                <w:sz w:val="20"/>
                <w:szCs w:val="20"/>
                <w:lang w:val="en-GB" w:eastAsia="en-GB"/>
              </w:rPr>
              <w:t>UK</w:t>
            </w:r>
          </w:p>
        </w:tc>
        <w:tc>
          <w:tcPr>
            <w:tcW w:w="1276" w:type="dxa"/>
          </w:tcPr>
          <w:p w14:paraId="3BE8811A" w14:textId="51E76F82" w:rsidR="00743B47" w:rsidRPr="005F4695" w:rsidRDefault="00743B47" w:rsidP="00743B47">
            <w:pPr>
              <w:rPr>
                <w:rFonts w:asciiTheme="minorBidi" w:hAnsiTheme="minorBidi" w:cstheme="minorBidi"/>
                <w:color w:val="000000" w:themeColor="text1"/>
                <w:sz w:val="20"/>
                <w:szCs w:val="20"/>
              </w:rPr>
            </w:pPr>
            <w:r w:rsidRPr="005F4695">
              <w:rPr>
                <w:rFonts w:asciiTheme="minorBidi" w:hAnsiTheme="minorBidi" w:cstheme="minorBidi"/>
                <w:color w:val="000000" w:themeColor="text1"/>
                <w:sz w:val="20"/>
                <w:szCs w:val="20"/>
                <w:lang w:val="en-GB" w:eastAsia="en-GB"/>
              </w:rPr>
              <w:t>1409, adults      (60-64)</w:t>
            </w:r>
          </w:p>
        </w:tc>
        <w:tc>
          <w:tcPr>
            <w:tcW w:w="1559" w:type="dxa"/>
          </w:tcPr>
          <w:p w14:paraId="61AD9D42" w14:textId="333D74A1" w:rsidR="00743B47" w:rsidRPr="005F4695" w:rsidRDefault="00743B47" w:rsidP="00743B47">
            <w:pPr>
              <w:rPr>
                <w:rFonts w:asciiTheme="minorBidi" w:hAnsiTheme="minorBidi" w:cstheme="minorBidi"/>
                <w:color w:val="000000" w:themeColor="text1"/>
                <w:sz w:val="20"/>
                <w:szCs w:val="20"/>
              </w:rPr>
            </w:pPr>
            <w:r w:rsidRPr="005F4695">
              <w:rPr>
                <w:rFonts w:asciiTheme="minorBidi" w:hAnsiTheme="minorBidi" w:cstheme="minorBidi"/>
                <w:color w:val="000000" w:themeColor="text1"/>
                <w:sz w:val="20"/>
                <w:szCs w:val="20"/>
                <w:lang w:val="en-GB" w:eastAsia="en-GB"/>
              </w:rPr>
              <w:t>5 day food diary</w:t>
            </w:r>
          </w:p>
        </w:tc>
        <w:tc>
          <w:tcPr>
            <w:tcW w:w="1559" w:type="dxa"/>
          </w:tcPr>
          <w:p w14:paraId="5C76CC82" w14:textId="2EEF0E46" w:rsidR="00743B47" w:rsidRPr="005F4695" w:rsidRDefault="00A940F3" w:rsidP="00743B47">
            <w:pPr>
              <w:rPr>
                <w:rFonts w:asciiTheme="minorBidi" w:hAnsiTheme="minorBidi" w:cstheme="minorBidi"/>
                <w:color w:val="000000" w:themeColor="text1"/>
                <w:sz w:val="20"/>
                <w:szCs w:val="20"/>
              </w:rPr>
            </w:pPr>
            <w:r>
              <w:rPr>
                <w:rFonts w:asciiTheme="minorBidi" w:hAnsiTheme="minorBidi" w:cstheme="minorBidi"/>
                <w:color w:val="000000" w:themeColor="text1"/>
                <w:sz w:val="20"/>
                <w:szCs w:val="20"/>
                <w:lang w:val="en-GB" w:eastAsia="en-GB"/>
              </w:rPr>
              <w:t>DASH score</w:t>
            </w:r>
            <w:r w:rsidR="00743B47" w:rsidRPr="005F4695">
              <w:rPr>
                <w:rFonts w:asciiTheme="minorBidi" w:hAnsiTheme="minorBidi" w:cstheme="minorBidi"/>
                <w:color w:val="000000" w:themeColor="text1"/>
                <w:sz w:val="20"/>
                <w:szCs w:val="20"/>
                <w:lang w:val="en-GB" w:eastAsia="en-GB"/>
              </w:rPr>
              <w:t xml:space="preserve"> </w:t>
            </w:r>
          </w:p>
        </w:tc>
        <w:tc>
          <w:tcPr>
            <w:tcW w:w="5305" w:type="dxa"/>
          </w:tcPr>
          <w:p w14:paraId="4F8DF76A" w14:textId="77777777" w:rsidR="00743B47" w:rsidRPr="005F4695" w:rsidRDefault="00743B47" w:rsidP="00743B47">
            <w:pPr>
              <w:rPr>
                <w:rFonts w:asciiTheme="minorBidi" w:eastAsiaTheme="minorHAnsi" w:hAnsiTheme="minorBidi" w:cstheme="minorBidi"/>
                <w:color w:val="000000" w:themeColor="text1"/>
                <w:sz w:val="20"/>
                <w:szCs w:val="20"/>
              </w:rPr>
            </w:pPr>
            <w:r w:rsidRPr="005F4695">
              <w:rPr>
                <w:rFonts w:asciiTheme="minorBidi" w:hAnsiTheme="minorBidi" w:cstheme="minorBidi"/>
                <w:color w:val="000000" w:themeColor="text1"/>
                <w:sz w:val="20"/>
                <w:szCs w:val="20"/>
                <w:lang w:val="en-GB" w:eastAsia="en-GB"/>
              </w:rPr>
              <w:t xml:space="preserve">8 (high intake of fruits (including pure fruit juice), vegetables (excluding potatoes), nuts and legumes, low-fat dairy products, wholegrains and low intake of red and processed meats, Na and sweetened beverages (including sugar sweetened cordial and sweetened fruit based drinks), </w:t>
            </w:r>
            <w:r w:rsidRPr="005F4695">
              <w:rPr>
                <w:rFonts w:asciiTheme="minorBidi" w:hAnsiTheme="minorBidi" w:cstheme="minorBidi"/>
                <w:color w:val="000000" w:themeColor="text1"/>
                <w:sz w:val="20"/>
                <w:szCs w:val="20"/>
              </w:rPr>
              <w:t>1 to 5 with equal weight assigned to groups</w:t>
            </w:r>
            <w:r w:rsidRPr="005F4695">
              <w:rPr>
                <w:rFonts w:asciiTheme="minorBidi" w:hAnsiTheme="minorBidi" w:cstheme="minorBidi"/>
                <w:color w:val="000000" w:themeColor="text1"/>
                <w:sz w:val="20"/>
                <w:szCs w:val="20"/>
                <w:lang w:eastAsia="en-GB"/>
              </w:rPr>
              <w:t xml:space="preserve">, </w:t>
            </w:r>
            <w:r w:rsidRPr="005F4695">
              <w:rPr>
                <w:rFonts w:asciiTheme="minorBidi" w:hAnsiTheme="minorBidi" w:cstheme="minorBidi"/>
                <w:color w:val="000000" w:themeColor="text1"/>
                <w:sz w:val="20"/>
                <w:szCs w:val="20"/>
                <w:lang w:val="en-GB" w:eastAsia="en-GB"/>
              </w:rPr>
              <w:t xml:space="preserve">overall score range from 8 to 40 </w:t>
            </w:r>
            <w:r w:rsidRPr="005F4695">
              <w:rPr>
                <w:rFonts w:asciiTheme="minorBidi" w:eastAsiaTheme="minorHAnsi" w:hAnsiTheme="minorBidi" w:cstheme="minorBidi"/>
                <w:color w:val="000000" w:themeColor="text1"/>
                <w:sz w:val="20"/>
                <w:szCs w:val="20"/>
              </w:rPr>
              <w:t>points</w:t>
            </w:r>
          </w:p>
          <w:p w14:paraId="549087C5" w14:textId="3019242F" w:rsidR="00743B47" w:rsidRPr="005F4695" w:rsidRDefault="00743B47" w:rsidP="00743B47">
            <w:pPr>
              <w:rPr>
                <w:rFonts w:asciiTheme="minorBidi" w:hAnsiTheme="minorBidi" w:cstheme="minorBidi"/>
                <w:color w:val="000000" w:themeColor="text1"/>
                <w:sz w:val="20"/>
                <w:szCs w:val="20"/>
              </w:rPr>
            </w:pPr>
          </w:p>
        </w:tc>
      </w:tr>
      <w:tr w:rsidR="00743B47" w:rsidRPr="005F4695" w14:paraId="45C6EE0C" w14:textId="77777777" w:rsidTr="00B20E43">
        <w:trPr>
          <w:trHeight w:val="388"/>
        </w:trPr>
        <w:tc>
          <w:tcPr>
            <w:tcW w:w="1555" w:type="dxa"/>
          </w:tcPr>
          <w:p w14:paraId="221AD7BE" w14:textId="0275AB91" w:rsidR="00743B47" w:rsidRPr="005F4695" w:rsidRDefault="00743B47" w:rsidP="00743B47">
            <w:pPr>
              <w:rPr>
                <w:rFonts w:asciiTheme="minorBidi" w:hAnsiTheme="minorBidi" w:cstheme="minorBidi"/>
                <w:color w:val="000000" w:themeColor="text1"/>
                <w:sz w:val="20"/>
                <w:szCs w:val="20"/>
              </w:rPr>
            </w:pPr>
            <w:r w:rsidRPr="003754B5">
              <w:rPr>
                <w:rFonts w:asciiTheme="minorBidi" w:hAnsiTheme="minorBidi" w:cstheme="minorBidi"/>
                <w:sz w:val="20"/>
                <w:szCs w:val="20"/>
                <w:lang w:val="en-GB" w:eastAsia="en-GB"/>
              </w:rPr>
              <w:lastRenderedPageBreak/>
              <w:t>Tong et al</w:t>
            </w:r>
            <w:r>
              <w:rPr>
                <w:rFonts w:asciiTheme="minorBidi" w:hAnsiTheme="minorBidi" w:cstheme="minorBidi"/>
                <w:sz w:val="20"/>
                <w:szCs w:val="20"/>
                <w:lang w:val="en-GB" w:eastAsia="en-GB"/>
              </w:rPr>
              <w:t>, 2016</w:t>
            </w:r>
            <w:r w:rsidRPr="003754B5">
              <w:rPr>
                <w:rFonts w:asciiTheme="minorBidi" w:hAnsiTheme="minorBidi" w:cstheme="minorBidi"/>
                <w:sz w:val="20"/>
                <w:szCs w:val="20"/>
                <w:lang w:val="en-GB" w:eastAsia="en-GB"/>
              </w:rPr>
              <w:t xml:space="preserve"> </w:t>
            </w:r>
            <w:r w:rsidRPr="003754B5">
              <w:rPr>
                <w:rFonts w:asciiTheme="minorBidi" w:hAnsiTheme="minorBidi" w:cstheme="minorBidi"/>
                <w:sz w:val="20"/>
                <w:szCs w:val="20"/>
                <w:lang w:val="en-GB" w:eastAsia="en-GB"/>
              </w:rPr>
              <w:fldChar w:fldCharType="begin" w:fldLock="1"/>
            </w:r>
            <w:r>
              <w:rPr>
                <w:rFonts w:asciiTheme="minorBidi" w:hAnsiTheme="minorBidi" w:cstheme="minorBidi"/>
                <w:sz w:val="20"/>
                <w:szCs w:val="20"/>
                <w:lang w:val="en-GB" w:eastAsia="en-GB"/>
              </w:rPr>
              <w:instrText>ADDIN CSL_CITATION {"citationItems":[{"id":"ITEM-1","itemData":{"DOI":"10.1186/s12916-016-0677-4","ISSN":"1741-7015","PMID":"27679997","abstract":"BACKGROUND Despite convincing evidence in the Mediterranean region, the cardiovascular benefit of the Mediterranean diet is not well established in non-Mediterranean countries and the optimal criteria for defining adherence are unclear. The population attributable fraction (PAF) of adherence to this diet is also unknown. METHODS In the UK-based EPIC-Norfolk prospective cohort, we evaluated habitual diets assessed at baseline (1993-1997) and during follow-up (1998-2000) using food-frequency questionnaires (n = 23,902). We estimated a Mediterranean diet score (MDS) using cut-points projected from the Mediterranean dietary pyramid, and also three other pre-existing MDSs. Using multivariable-adjusted Cox regression with repeated measures of MDS and covariates, we examined prospective associations between each MDS with incident cardiovascular diseases (CVD) by 2009 and mortality by 2013, and estimated PAF for each outcome attributable to low MDS. RESULTS We observed 7606 incident CVD events (2818/100,000 person-years) and 1714 CVD deaths (448/100,000). The MDS based on the Mediterranean dietary pyramid was significantly associated with lower incidence of the cardiovascular outcomes, with hazard ratios (95 % confidence intervals) of 0.95 (0.92-0.97) per one standard deviation for incident CVD and 0.91 (0.87-0.96) for CVD mortality. Associations were similar for composite incident ischaemic heart disease and all-cause mortality. Other pre-existing MDSs showed similar, but more modest associations. PAF due to low dietary pyramid based MDS (&lt;95th percentile) was 3.9 % (1.3-6.5 %) for total incident CVD and 12.5 % (4.5-20.6 %) for CVD mortality. CONCLUSIONS Greater adherence to the Mediterranean diet was associated with lower CVD incidence and mortality in the UK. This diet has an important population health impact for the prevention of CVD.","author":[{"dropping-particle":"","family":"Tong","given":"Tammy Y. N.","non-dropping-particle":"","parse-names":false,"suffix":""},{"dropping-particle":"","family":"Wareham","given":"Nicholas J.","non-dropping-particle":"","parse-names":false,"suffix":""},{"dropping-particle":"","family":"Khaw","given":"Kay-Tee","non-dropping-particle":"","parse-names":false,"suffix":""},{"dropping-particle":"","family":"Imamura","given":"Fumiaki","non-dropping-particle":"","parse-names":false,"suffix":""},{"dropping-particle":"","family":"Forouhi","given":"Nita G.","non-dropping-particle":"","parse-names":false,"suffix":""}],"container-title":"BMC Medicine","id":"ITEM-1","issue":"1","issued":{"date-parts":[["2016","12","29"]]},"page":"135","title":"Prospective association of the Mediterranean diet with cardiovascular disease incidence and mortality and its population impact in a non-Mediterranean population: the EPIC-Norfolk study","type":"article-journal","volume":"14"},"uris":["http://www.mendeley.com/documents/?uuid=08922baa-9b26-3a7e-bdb7-ae1996fb4fc6"]}],"mendeley":{"formattedCitation":"(44)","plainTextFormattedCitation":"(44)","previouslyFormattedCitation":"(44)"},"properties":{"noteIndex":0},"schema":"https://github.com/citation-style-language/schema/raw/master/csl-citation.json"}</w:instrText>
            </w:r>
            <w:r w:rsidRPr="003754B5">
              <w:rPr>
                <w:rFonts w:asciiTheme="minorBidi" w:hAnsiTheme="minorBidi" w:cstheme="minorBidi"/>
                <w:sz w:val="20"/>
                <w:szCs w:val="20"/>
                <w:lang w:val="en-GB" w:eastAsia="en-GB"/>
              </w:rPr>
              <w:fldChar w:fldCharType="separate"/>
            </w:r>
            <w:r w:rsidRPr="003754B5">
              <w:rPr>
                <w:rFonts w:asciiTheme="minorBidi" w:hAnsiTheme="minorBidi" w:cstheme="minorBidi"/>
                <w:noProof/>
                <w:sz w:val="20"/>
                <w:szCs w:val="20"/>
                <w:lang w:val="en-GB" w:eastAsia="en-GB"/>
              </w:rPr>
              <w:t>(44)</w:t>
            </w:r>
            <w:r w:rsidRPr="003754B5">
              <w:rPr>
                <w:rFonts w:asciiTheme="minorBidi" w:hAnsiTheme="minorBidi" w:cstheme="minorBidi"/>
                <w:sz w:val="20"/>
                <w:szCs w:val="20"/>
                <w:lang w:val="en-GB" w:eastAsia="en-GB"/>
              </w:rPr>
              <w:fldChar w:fldCharType="end"/>
            </w:r>
          </w:p>
        </w:tc>
        <w:tc>
          <w:tcPr>
            <w:tcW w:w="1417" w:type="dxa"/>
          </w:tcPr>
          <w:p w14:paraId="7AD3459F" w14:textId="19CEE1FB" w:rsidR="00743B47" w:rsidRPr="005F4695" w:rsidRDefault="00743B47" w:rsidP="00743B47">
            <w:pPr>
              <w:rPr>
                <w:rFonts w:asciiTheme="minorBidi" w:hAnsiTheme="minorBidi" w:cstheme="minorBidi"/>
                <w:color w:val="000000" w:themeColor="text1"/>
                <w:sz w:val="20"/>
                <w:szCs w:val="20"/>
              </w:rPr>
            </w:pPr>
            <w:r w:rsidRPr="005F4695">
              <w:rPr>
                <w:rFonts w:asciiTheme="minorBidi" w:hAnsiTheme="minorBidi" w:cstheme="minorBidi"/>
                <w:color w:val="000000" w:themeColor="text1"/>
                <w:sz w:val="20"/>
                <w:szCs w:val="20"/>
                <w:lang w:val="en-GB" w:eastAsia="en-GB"/>
              </w:rPr>
              <w:t>UK</w:t>
            </w:r>
          </w:p>
        </w:tc>
        <w:tc>
          <w:tcPr>
            <w:tcW w:w="1276" w:type="dxa"/>
          </w:tcPr>
          <w:p w14:paraId="1622EE68" w14:textId="623B3BEE" w:rsidR="00743B47" w:rsidRPr="005F4695" w:rsidRDefault="00743B47" w:rsidP="00743B47">
            <w:pPr>
              <w:rPr>
                <w:rFonts w:asciiTheme="minorBidi" w:hAnsiTheme="minorBidi" w:cstheme="minorBidi"/>
                <w:color w:val="000000" w:themeColor="text1"/>
                <w:sz w:val="20"/>
                <w:szCs w:val="20"/>
              </w:rPr>
            </w:pPr>
            <w:r w:rsidRPr="005F4695">
              <w:rPr>
                <w:rFonts w:asciiTheme="minorBidi" w:hAnsiTheme="minorBidi" w:cstheme="minorBidi"/>
                <w:color w:val="000000" w:themeColor="text1"/>
                <w:sz w:val="20"/>
                <w:szCs w:val="20"/>
                <w:lang w:val="en-GB" w:eastAsia="en-GB"/>
              </w:rPr>
              <w:t>23902, adults       (30-79)</w:t>
            </w:r>
          </w:p>
        </w:tc>
        <w:tc>
          <w:tcPr>
            <w:tcW w:w="1559" w:type="dxa"/>
          </w:tcPr>
          <w:p w14:paraId="5520D92E" w14:textId="13720655" w:rsidR="00743B47" w:rsidRPr="005F4695" w:rsidRDefault="00743B47" w:rsidP="00743B47">
            <w:pPr>
              <w:rPr>
                <w:rFonts w:asciiTheme="minorBidi" w:hAnsiTheme="minorBidi" w:cstheme="minorBidi"/>
                <w:color w:val="000000" w:themeColor="text1"/>
                <w:sz w:val="20"/>
                <w:szCs w:val="20"/>
              </w:rPr>
            </w:pPr>
            <w:r w:rsidRPr="005F4695">
              <w:rPr>
                <w:rFonts w:asciiTheme="minorBidi" w:hAnsiTheme="minorBidi" w:cstheme="minorBidi"/>
                <w:color w:val="000000" w:themeColor="text1"/>
                <w:sz w:val="20"/>
                <w:szCs w:val="20"/>
                <w:lang w:val="en-GB" w:eastAsia="en-GB"/>
              </w:rPr>
              <w:t>FFQ           (130 item)</w:t>
            </w:r>
          </w:p>
        </w:tc>
        <w:tc>
          <w:tcPr>
            <w:tcW w:w="1559" w:type="dxa"/>
          </w:tcPr>
          <w:p w14:paraId="52178D05" w14:textId="77777777" w:rsidR="00743B47" w:rsidRPr="005F4695" w:rsidRDefault="00743B47" w:rsidP="00743B47">
            <w:pPr>
              <w:rPr>
                <w:rFonts w:asciiTheme="minorBidi" w:hAnsiTheme="minorBidi" w:cstheme="minorBidi"/>
                <w:sz w:val="20"/>
                <w:szCs w:val="20"/>
              </w:rPr>
            </w:pPr>
            <w:r w:rsidRPr="005F4695">
              <w:rPr>
                <w:rFonts w:asciiTheme="minorBidi" w:hAnsiTheme="minorBidi" w:cstheme="minorBidi"/>
                <w:sz w:val="20"/>
                <w:szCs w:val="20"/>
              </w:rPr>
              <w:t>MDS (4 versions:</w:t>
            </w:r>
          </w:p>
          <w:p w14:paraId="6838ABE6" w14:textId="6C89E469" w:rsidR="00743B47" w:rsidRPr="005F4695" w:rsidRDefault="00743B47" w:rsidP="00743B47">
            <w:pPr>
              <w:rPr>
                <w:rFonts w:asciiTheme="minorBidi" w:hAnsiTheme="minorBidi" w:cstheme="minorBidi"/>
                <w:color w:val="000000" w:themeColor="text1"/>
                <w:sz w:val="20"/>
                <w:szCs w:val="20"/>
              </w:rPr>
            </w:pPr>
            <w:r w:rsidRPr="005F4695">
              <w:rPr>
                <w:rFonts w:asciiTheme="minorBidi" w:hAnsiTheme="minorBidi" w:cstheme="minorBidi"/>
                <w:sz w:val="20"/>
                <w:szCs w:val="20"/>
              </w:rPr>
              <w:t>Pyramid based MDS, literature based MDS, median MDS and tertile MDS)</w:t>
            </w:r>
          </w:p>
        </w:tc>
        <w:tc>
          <w:tcPr>
            <w:tcW w:w="5305" w:type="dxa"/>
          </w:tcPr>
          <w:p w14:paraId="61278FDD" w14:textId="095DA531" w:rsidR="00743B47" w:rsidRPr="005F4695" w:rsidRDefault="00743B47" w:rsidP="00743B47">
            <w:pPr>
              <w:rPr>
                <w:rFonts w:asciiTheme="minorBidi" w:hAnsiTheme="minorBidi" w:cstheme="minorBidi"/>
                <w:color w:val="000000" w:themeColor="text1"/>
                <w:sz w:val="20"/>
                <w:szCs w:val="20"/>
              </w:rPr>
            </w:pPr>
            <w:r w:rsidRPr="005F4695">
              <w:rPr>
                <w:rFonts w:asciiTheme="minorBidi" w:hAnsiTheme="minorBidi" w:cstheme="minorBidi"/>
                <w:color w:val="000000" w:themeColor="text1"/>
                <w:sz w:val="20"/>
                <w:szCs w:val="20"/>
                <w:lang w:val="en-GB" w:eastAsia="en-GB"/>
              </w:rPr>
              <w:fldChar w:fldCharType="begin" w:fldLock="1"/>
            </w:r>
            <w:r w:rsidRPr="005F4695">
              <w:rPr>
                <w:rFonts w:asciiTheme="minorBidi" w:hAnsiTheme="minorBidi" w:cstheme="minorBidi"/>
                <w:color w:val="000000" w:themeColor="text1"/>
                <w:sz w:val="20"/>
                <w:szCs w:val="20"/>
                <w:lang w:val="en-GB" w:eastAsia="en-GB"/>
              </w:rPr>
              <w:instrText>ADDIN CSL_CITATION {"citationItems":[{"id":"ITEM-1","itemData":{"DOI":"10.1177/2047487318783263","ISSN":"2047-4873","PMID":"29944010","abstract":"Background Inverse associations of the Mediterranean diet (MedDiet) and physical activity with cardiovascular disease have been previously reported. We investigated the individual and combined contributions of both to this inverse association in a Mediterranean cohort. Design We used data from 19,536 participants from a prospective cohort of Spanish university graduates, the 'Seguimiento Universidad de Navarra' (SUN) cohort, followed up between December 1999 and December 2016. Methods Adherence to the MedDiet was obtained from a 136-item validated food-frequency questionnaire and categorized in tertiles using four previously reported dietary scores. A validated questionnaire assessed the physical activity levels according to volume, intensity and frequency. Results Participants were followed up during a median time of 10.4 years. Compared with the lowest category of adherence to the MedDiet (≤3 in the Mediterranean Diet Score), higher adherence (6-9 points) was strongly inversely associated with cardiovascular disease (multivariable adjusted hazard ratio = 0.33; 95% confidence interval (CI) 0.20-0.55). Also, engaging in an active lifestyle (6-8 points in an eight-item score) compared with low activity (&lt;2 points) was associated with a reduced risk of incident cardiovascular disease (hazard ratio = 0.43; 95% CI 0.20-0.90). Greater adherence to the MedDiet and engaging in high levels of active lifestyle showed a 75% relatively reduced risk of cardiovascular disease (hazard ratio = 0.25; 95% CI 0.13-0.48). Conclusions The combined effect of adherence to the MedDiet and adopting an active lifestyle showed a synergistic inverse association with cardiovascular disease risk.","author":[{"dropping-particle":"","family":"Alvarez-Alvarez","given":"Ismael","non-dropping-particle":"","parse-names":false,"suffix":""},{"dropping-particle":"","family":"Rojas","given":"Javier Pérez","non-dropping-particle":"de","parse-names":false,"suffix":""},{"dropping-particle":"","family":"Fernandez-Montero","given":"Alejandro","non-dropping-particle":"","parse-names":false,"suffix":""},{"dropping-particle":"","family":"Zazpe","given":"Itziar","non-dropping-particle":"","parse-names":false,"suffix":""},{"dropping-particle":"","family":"Ruiz-Canela","given":"Miguel","non-dropping-particle":"","parse-names":false,"suffix":""},{"dropping-particle":"","family":"Hidalgo-Santamaría","given":"María","non-dropping-particle":"","parse-names":false,"suffix":""},{"dropping-particle":"","family":"Bes-Rastrollo","given":"Maira","non-dropping-particle":"","parse-names":false,"suffix":""},{"dropping-particle":"","family":"Martínez-González","given":"Miguel Á","non-dropping-particle":"","parse-names":false,"suffix":""}],"container-title":"European Journal of Preventive Cardiology","id":"ITEM-1","issue":"11","issued":{"date-parts":[["2018","7","26"]]},"page":"1186-1197","title":"Strong inverse associations of Mediterranean diet, physical activity and their combination with cardiovascular disease: The Seguimiento Universidad de Navarra (SUN) cohort","type":"article-journal","volume":"25"},"uris":["http://www.mendeley.com/documents/?uuid=72e2de1e-715b-3026-9f58-98b51a53520d"]}],"mendeley":{"formattedCitation":"(19)","plainTextFormattedCitation":"(19)","previouslyFormattedCitation":"(19)"},"properties":{"noteIndex":0},"schema":"https://github.com/citation-style-language/schema/raw/master/csl-citation.json"}</w:instrText>
            </w:r>
            <w:r w:rsidRPr="005F4695">
              <w:rPr>
                <w:rFonts w:asciiTheme="minorBidi" w:hAnsiTheme="minorBidi" w:cstheme="minorBidi"/>
                <w:color w:val="000000" w:themeColor="text1"/>
                <w:sz w:val="20"/>
                <w:szCs w:val="20"/>
                <w:lang w:val="en-GB" w:eastAsia="en-GB"/>
              </w:rPr>
              <w:fldChar w:fldCharType="separate"/>
            </w:r>
            <w:r w:rsidRPr="005F4695">
              <w:rPr>
                <w:rFonts w:asciiTheme="minorBidi" w:hAnsiTheme="minorBidi" w:cstheme="minorBidi"/>
                <w:noProof/>
                <w:color w:val="000000" w:themeColor="text1"/>
                <w:sz w:val="20"/>
                <w:szCs w:val="20"/>
                <w:lang w:val="en-GB" w:eastAsia="en-GB"/>
              </w:rPr>
              <w:t>(19)</w:t>
            </w:r>
            <w:r w:rsidRPr="005F4695">
              <w:rPr>
                <w:rFonts w:asciiTheme="minorBidi" w:hAnsiTheme="minorBidi" w:cstheme="minorBidi"/>
                <w:color w:val="000000" w:themeColor="text1"/>
                <w:sz w:val="20"/>
                <w:szCs w:val="20"/>
                <w:lang w:val="en-GB" w:eastAsia="en-GB"/>
              </w:rPr>
              <w:fldChar w:fldCharType="end"/>
            </w:r>
          </w:p>
        </w:tc>
      </w:tr>
      <w:tr w:rsidR="00743B47" w:rsidRPr="005F4695" w14:paraId="384BE460" w14:textId="77777777" w:rsidTr="00B20E43">
        <w:trPr>
          <w:trHeight w:val="900"/>
        </w:trPr>
        <w:tc>
          <w:tcPr>
            <w:tcW w:w="1555" w:type="dxa"/>
          </w:tcPr>
          <w:p w14:paraId="38A7C014" w14:textId="771A70DD" w:rsidR="00743B47" w:rsidRPr="005F4695" w:rsidRDefault="00743B47" w:rsidP="00743B47">
            <w:pPr>
              <w:rPr>
                <w:rFonts w:asciiTheme="minorBidi" w:hAnsiTheme="minorBidi" w:cstheme="minorBidi"/>
                <w:b/>
                <w:bCs/>
                <w:color w:val="000000" w:themeColor="text1"/>
                <w:sz w:val="20"/>
                <w:szCs w:val="20"/>
              </w:rPr>
            </w:pPr>
            <w:r w:rsidRPr="003754B5">
              <w:rPr>
                <w:rFonts w:asciiTheme="minorBidi" w:hAnsiTheme="minorBidi" w:cstheme="minorBidi"/>
                <w:color w:val="000000" w:themeColor="text1"/>
                <w:sz w:val="20"/>
                <w:szCs w:val="20"/>
                <w:lang w:val="en-GB" w:eastAsia="en-GB"/>
              </w:rPr>
              <w:t>Lassale et al</w:t>
            </w:r>
            <w:r>
              <w:rPr>
                <w:rFonts w:asciiTheme="minorBidi" w:hAnsiTheme="minorBidi" w:cstheme="minorBidi"/>
                <w:color w:val="000000" w:themeColor="text1"/>
                <w:sz w:val="20"/>
                <w:szCs w:val="20"/>
                <w:lang w:val="en-GB" w:eastAsia="en-GB"/>
              </w:rPr>
              <w:t>, 2016</w:t>
            </w:r>
            <w:r w:rsidRPr="003754B5">
              <w:rPr>
                <w:rFonts w:asciiTheme="minorBidi" w:hAnsiTheme="minorBidi" w:cstheme="minorBidi"/>
                <w:color w:val="000000" w:themeColor="text1"/>
                <w:sz w:val="20"/>
                <w:szCs w:val="20"/>
                <w:lang w:val="en-GB" w:eastAsia="en-GB"/>
              </w:rPr>
              <w:t xml:space="preserve"> </w:t>
            </w:r>
            <w:r w:rsidRPr="003754B5">
              <w:rPr>
                <w:rFonts w:asciiTheme="minorBidi" w:hAnsiTheme="minorBidi" w:cstheme="minorBidi"/>
                <w:color w:val="000000" w:themeColor="text1"/>
                <w:sz w:val="20"/>
                <w:szCs w:val="20"/>
                <w:lang w:val="en-GB" w:eastAsia="en-GB"/>
              </w:rPr>
              <w:fldChar w:fldCharType="begin" w:fldLock="1"/>
            </w:r>
            <w:r>
              <w:rPr>
                <w:rFonts w:asciiTheme="minorBidi" w:hAnsiTheme="minorBidi" w:cstheme="minorBidi"/>
                <w:color w:val="000000" w:themeColor="text1"/>
                <w:sz w:val="20"/>
                <w:szCs w:val="20"/>
                <w:lang w:val="en-GB" w:eastAsia="en-GB"/>
              </w:rPr>
              <w:instrText>ADDIN CSL_CITATION {"citationItems":[{"id":"ITEM-1","itemData":{"DOI":"10.1371/journal.pone.0159025","ISSN":"1932-6203","PMID":"27409582","abstract":"Scores of overall diet quality have received increasing attention in relation to disease aetiology; however, their value in risk prediction has been little examined. The objective was to assess and compare the association and predictive performance of 10 diet quality scores on 10-year risk of all-cause, CVD and cancer mortality in 451,256 healthy participants to the European Prospective Investigation into Cancer and Nutrition, followed-up for a median of 12.8y. All dietary scores studied showed significant inverse associations with all outcomes. The range of HRs (95% CI) in the top vs. lowest quartile of dietary scores in a composite model including non-invasive factors (age, sex, smoking, body mass index, education, physical activity and study centre) was 0.75 (0.72-0.79) to 0.88 (0.84-0.92) for all-cause, 0.76 (0.69-0.83) to 0.84 (0.76-0.92) for CVD and 0.78 (0.73-0.83) to 0.91 (0.85-0.97) for cancer mortality. Models with dietary scores alone showed low discrimination, but composite models also including age, sex and other non-invasive factors showed good discrimination and calibration, which varied little between different diet scores examined. Mean C-statistic of full models was 0.73, 0.80 and 0.71 for all-cause, CVD and cancer mortality. Dietary scores have poor predictive performance for 10-year mortality risk when used in isolation but display good predictive ability in combination with other non-invasive common risk factors.","author":[{"dropping-particle":"","family":"Lassale","given":"Camille","non-dropping-particle":"","parse-names":false,"suffix":""},{"dropping-particle":"","family":"Gunter","given":"Marc J","non-dropping-particle":"","parse-names":false,"suffix":""},{"dropping-particle":"","family":"Romaguera","given":"Dora","non-dropping-particle":"","parse-names":false,"suffix":""},{"dropping-particle":"","family":"Peelen","given":"Linda M","non-dropping-particle":"","parse-names":false,"suffix":""},{"dropping-particle":"","family":"Schouw","given":"Yvonne T","non-dropping-particle":"Van der","parse-names":false,"suffix":""},{"dropping-particle":"","family":"Beulens","given":"Joline W J","non-dropping-particle":"","parse-names":false,"suffix":""},{"dropping-particle":"","family":"Freisling","given":"Heinz","non-dropping-particle":"","parse-names":false,"suffix":""},{"dropping-particle":"","family":"Muller","given":"David C","non-dropping-particle":"","parse-names":false,"suffix":""},{"dropping-particle":"","family":"Ferrari","given":"Pietro","non-dropping-particle":"","parse-names":false,"suffix":""},{"dropping-particle":"","family":"Huybrechts","given":"Inge","non-dropping-particle":"","parse-names":false,"suffix":""},{"dropping-particle":"","family":"Fagherazzi","given":"Guy","non-dropping-particle":"","parse-names":false,"suffix":""},{"dropping-particle":"","family":"Boutron-Ruault","given":"Marie-Christine","non-dropping-particle":"","parse-names":false,"suffix":""},{"dropping-particle":"","family":"Affret","given":"Aurélie","non-dropping-particle":"","parse-names":false,"suffix":""},{"dropping-particle":"","family":"Overvad","given":"Kim","non-dropping-particle":"","parse-names":false,"suffix":""},{"dropping-particle":"","family":"Dahm","given":"Christina C","non-dropping-particle":"","parse-names":false,"suffix":""},{"dropping-particle":"","family":"Olsen","given":"Anja","non-dropping-particle":"","parse-names":false,"suffix":""},{"dropping-particle":"","family":"Roswall","given":"Nina","non-dropping-particle":"","parse-names":false,"suffix":""},{"dropping-particle":"","family":"Tsilidis","given":"Konstantinos K","non-dropping-particle":"","parse-names":false,"suffix":""},{"dropping-particle":"","family":"Katzke","given":"Verena A","non-dropping-particle":"","parse-names":false,"suffix":""},{"dropping-particle":"","family":"Kühn","given":"Tilman","non-dropping-particle":"","parse-names":false,"suffix":""},{"dropping-particle":"","family":"Buijsse","given":"Brian","non-dropping-particle":"","parse-names":false,"suffix":""},{"dropping-particle":"","family":"Quirós","given":"José-Ramón","non-dropping-particle":"","parse-names":false,"suffix":""},{"dropping-particle":"","family":"Sánchez-Cantalejo","given":"Emilio","non-dropping-particle":"","parse-names":false,"suffix":""},{"dropping-particle":"","family":"Etxezarreta","given":"Nerea","non-dropping-particle":"","parse-names":false,"suffix":""},{"dropping-particle":"","family":"Huerta","given":"José María","non-dropping-particle":"","parse-names":false,"suffix":""},{"dropping-particle":"","family":"Barricarte","given":"Aurelio","non-dropping-particle":"","parse-names":false,"suffix":""},{"dropping-particle":"","family":"Bonet","given":"Catalina","non-dropping-particle":"","parse-names":false,"suffix":""},{"dropping-particle":"","family":"Khaw","given":"Kay-Tee","non-dropping-particle":"","parse-names":false,"suffix":""},{"dropping-particle":"","family":"Key","given":"Timothy J","non-dropping-particle":"","parse-names":false,"suffix":""},{"dropping-particle":"","family":"Trichopoulou","given":"Antonia","non-dropping-particle":"","parse-names":false,"suffix":""},{"dropping-particle":"","family":"Bamia","given":"Christina","non-dropping-particle":"","parse-names":false,"suffix":""},{"dropping-particle":"","family":"Lagiou","given":"Pagona","non-dropping-particle":"","parse-names":false,"suffix":""},{"dropping-particle":"","family":"Palli","given":"Domenico","non-dropping-particle":"","parse-names":false,"suffix":""},{"dropping-particle":"","family":"Agnoli","given":"Claudia","non-dropping-particle":"","parse-names":false,"suffix":""},{"dropping-particle":"","family":"Tumino","given":"Rosario","non-dropping-particle":"","parse-names":false,"suffix":""},{"dropping-particle":"","family":"Fasanelli","given":"Francesca","non-dropping-particle":"","parse-names":false,"suffix":""},{"dropping-particle":"","family":"Panico","given":"Salvatore","non-dropping-particle":"","parse-names":false,"suffix":""},{"dropping-particle":"","family":"Bueno-de-Mesquita","given":"H Bas","non-dropping-particle":"","parse-names":false,"suffix":""},{"dropping-particle":"","family":"Boer","given":"Jolanda M A","non-dropping-particle":"","parse-names":false,"suffix":""},{"dropping-particle":"","family":"Sonestedt","given":"Emily","non-dropping-particle":"","parse-names":false,"suffix":""},{"dropping-particle":"","family":"Nilsson","given":"Lena Maria","non-dropping-particle":"","parse-names":false,"suffix":""},{"dropping-particle":"","family":"Renström","given":"Frida","non-dropping-particle":"","parse-names":false,"suffix":""},{"dropping-particle":"","family":"Weiderpass","given":"Elisabete","non-dropping-particle":"","parse-names":false,"suffix":""},{"dropping-particle":"","family":"Skeie","given":"Guri","non-dropping-particle":"","parse-names":false,"suffix":""},{"dropping-particle":"","family":"Lund","given":"Eiliv","non-dropping-particle":"","parse-names":false,"suffix":""},{"dropping-particle":"","family":"Moons","given":"Karel G M","non-dropping-particle":"","parse-names":false,"suffix":""},{"dropping-particle":"","family":"Riboli","given":"Elio","non-dropping-particle":"","parse-names":false,"suffix":""},{"dropping-particle":"","family":"Tzoulaki","given":"Ioanna","non-dropping-particle":"","parse-names":false,"suffix":""}],"container-title":"PloS one","id":"ITEM-1","issue":"7","issued":{"date-parts":[["2016"]]},"page":"e0159025","title":"Diet Quality Scores and Prediction of All-Cause, Cardiovascular and Cancer Mortality in a Pan-European Cohort Study.","type":"article-journal","volume":"11"},"uris":["http://www.mendeley.com/documents/?uuid=2a4b75c9-3eec-33aa-a442-a9a8bd7fc5f8"]}],"mendeley":{"formattedCitation":"(45)","plainTextFormattedCitation":"(45)","previouslyFormattedCitation":"(45)"},"properties":{"noteIndex":0},"schema":"https://github.com/citation-style-language/schema/raw/master/csl-citation.json"}</w:instrText>
            </w:r>
            <w:r w:rsidRPr="003754B5">
              <w:rPr>
                <w:rFonts w:asciiTheme="minorBidi" w:hAnsiTheme="minorBidi" w:cstheme="minorBidi"/>
                <w:color w:val="000000" w:themeColor="text1"/>
                <w:sz w:val="20"/>
                <w:szCs w:val="20"/>
                <w:lang w:val="en-GB" w:eastAsia="en-GB"/>
              </w:rPr>
              <w:fldChar w:fldCharType="separate"/>
            </w:r>
            <w:r w:rsidRPr="003754B5">
              <w:rPr>
                <w:rFonts w:asciiTheme="minorBidi" w:hAnsiTheme="minorBidi" w:cstheme="minorBidi"/>
                <w:noProof/>
                <w:color w:val="000000" w:themeColor="text1"/>
                <w:sz w:val="20"/>
                <w:szCs w:val="20"/>
                <w:lang w:val="en-GB" w:eastAsia="en-GB"/>
              </w:rPr>
              <w:t>(45)</w:t>
            </w:r>
            <w:r w:rsidRPr="003754B5">
              <w:rPr>
                <w:rFonts w:asciiTheme="minorBidi" w:hAnsiTheme="minorBidi" w:cstheme="minorBidi"/>
                <w:color w:val="000000" w:themeColor="text1"/>
                <w:sz w:val="20"/>
                <w:szCs w:val="20"/>
                <w:lang w:val="en-GB" w:eastAsia="en-GB"/>
              </w:rPr>
              <w:fldChar w:fldCharType="end"/>
            </w:r>
          </w:p>
        </w:tc>
        <w:tc>
          <w:tcPr>
            <w:tcW w:w="1417" w:type="dxa"/>
          </w:tcPr>
          <w:p w14:paraId="16808D7E" w14:textId="098AF601" w:rsidR="00743B47" w:rsidRPr="005F4695" w:rsidRDefault="00743B47" w:rsidP="00743B47">
            <w:pPr>
              <w:rPr>
                <w:rFonts w:asciiTheme="minorBidi" w:hAnsiTheme="minorBidi" w:cstheme="minorBidi"/>
                <w:color w:val="000000" w:themeColor="text1"/>
                <w:sz w:val="20"/>
                <w:szCs w:val="20"/>
              </w:rPr>
            </w:pPr>
            <w:r w:rsidRPr="005F4695">
              <w:rPr>
                <w:rFonts w:asciiTheme="minorBidi" w:hAnsiTheme="minorBidi" w:cstheme="minorBidi"/>
                <w:color w:val="000000" w:themeColor="text1"/>
                <w:sz w:val="20"/>
                <w:szCs w:val="20"/>
              </w:rPr>
              <w:t>Pan-Europe (10 countries)</w:t>
            </w:r>
          </w:p>
        </w:tc>
        <w:tc>
          <w:tcPr>
            <w:tcW w:w="1276" w:type="dxa"/>
          </w:tcPr>
          <w:p w14:paraId="5CC0E686" w14:textId="367C9493" w:rsidR="00743B47" w:rsidRPr="005F4695" w:rsidRDefault="00743B47" w:rsidP="00743B47">
            <w:pPr>
              <w:rPr>
                <w:rFonts w:asciiTheme="minorBidi" w:hAnsiTheme="minorBidi" w:cstheme="minorBidi"/>
                <w:color w:val="000000" w:themeColor="text1"/>
                <w:sz w:val="20"/>
                <w:szCs w:val="20"/>
              </w:rPr>
            </w:pPr>
            <w:r w:rsidRPr="005F4695">
              <w:rPr>
                <w:rFonts w:asciiTheme="minorBidi" w:hAnsiTheme="minorBidi" w:cstheme="minorBidi"/>
                <w:color w:val="000000" w:themeColor="text1"/>
                <w:sz w:val="20"/>
                <w:szCs w:val="20"/>
                <w:lang w:val="en-GB" w:eastAsia="en-GB"/>
              </w:rPr>
              <w:t>451256, adults        (25-70 ) </w:t>
            </w:r>
          </w:p>
        </w:tc>
        <w:tc>
          <w:tcPr>
            <w:tcW w:w="1559" w:type="dxa"/>
          </w:tcPr>
          <w:p w14:paraId="6F589505" w14:textId="5291FD0F" w:rsidR="00743B47" w:rsidRPr="005F4695" w:rsidRDefault="00743B47" w:rsidP="00743B47">
            <w:pPr>
              <w:rPr>
                <w:rFonts w:asciiTheme="minorBidi" w:hAnsiTheme="minorBidi" w:cstheme="minorBidi"/>
                <w:color w:val="000000" w:themeColor="text1"/>
                <w:sz w:val="20"/>
                <w:szCs w:val="20"/>
              </w:rPr>
            </w:pPr>
            <w:r w:rsidRPr="005F4695">
              <w:rPr>
                <w:rFonts w:asciiTheme="minorBidi" w:hAnsiTheme="minorBidi" w:cstheme="minorBidi"/>
                <w:color w:val="000000" w:themeColor="text1"/>
                <w:sz w:val="20"/>
                <w:szCs w:val="20"/>
                <w:lang w:val="en-GB" w:eastAsia="en-GB"/>
              </w:rPr>
              <w:t>FFQ        (EPIC - country specific)</w:t>
            </w:r>
          </w:p>
        </w:tc>
        <w:tc>
          <w:tcPr>
            <w:tcW w:w="1559" w:type="dxa"/>
          </w:tcPr>
          <w:p w14:paraId="17017A77" w14:textId="77777777"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lang w:val="en-GB" w:eastAsia="en-GB"/>
              </w:rPr>
              <w:t>Comparison:</w:t>
            </w:r>
          </w:p>
          <w:p w14:paraId="3459C1B3" w14:textId="04A082B7" w:rsidR="00743B47" w:rsidRPr="005F4695" w:rsidRDefault="00743B47" w:rsidP="00743B47">
            <w:pPr>
              <w:rPr>
                <w:rFonts w:asciiTheme="minorBidi" w:hAnsiTheme="minorBidi" w:cstheme="minorBidi"/>
                <w:color w:val="000000" w:themeColor="text1"/>
                <w:sz w:val="20"/>
                <w:szCs w:val="20"/>
              </w:rPr>
            </w:pPr>
            <w:r w:rsidRPr="005F4695">
              <w:rPr>
                <w:rFonts w:asciiTheme="minorBidi" w:hAnsiTheme="minorBidi" w:cstheme="minorBidi"/>
                <w:color w:val="000000" w:themeColor="text1"/>
                <w:sz w:val="20"/>
                <w:szCs w:val="20"/>
                <w:lang w:val="en-GB" w:eastAsia="en-GB"/>
              </w:rPr>
              <w:t xml:space="preserve">Nordic, MDS (x 3 versions), </w:t>
            </w:r>
            <w:r w:rsidR="00DF5657">
              <w:rPr>
                <w:rFonts w:ascii="Helvetica" w:hAnsi="Helvetica" w:cs="Helvetica"/>
                <w:color w:val="101010"/>
                <w:sz w:val="20"/>
                <w:szCs w:val="20"/>
                <w:shd w:val="clear" w:color="auto" w:fill="FFFFFF"/>
              </w:rPr>
              <w:t>Healthy Lifestyle Index</w:t>
            </w:r>
            <w:r w:rsidR="00DF5657" w:rsidRPr="005F4695">
              <w:rPr>
                <w:rFonts w:asciiTheme="minorBidi" w:hAnsiTheme="minorBidi" w:cstheme="minorBidi"/>
                <w:color w:val="000000" w:themeColor="text1"/>
                <w:sz w:val="20"/>
                <w:szCs w:val="20"/>
                <w:lang w:val="en-GB" w:eastAsia="en-GB"/>
              </w:rPr>
              <w:t xml:space="preserve"> </w:t>
            </w:r>
            <w:r w:rsidR="00DF5657">
              <w:rPr>
                <w:rFonts w:asciiTheme="minorBidi" w:hAnsiTheme="minorBidi" w:cstheme="minorBidi"/>
                <w:color w:val="000000" w:themeColor="text1"/>
                <w:sz w:val="20"/>
                <w:szCs w:val="20"/>
                <w:lang w:val="en-GB" w:eastAsia="en-GB"/>
              </w:rPr>
              <w:t>(</w:t>
            </w:r>
            <w:r w:rsidRPr="005F4695">
              <w:rPr>
                <w:rFonts w:asciiTheme="minorBidi" w:hAnsiTheme="minorBidi" w:cstheme="minorBidi"/>
                <w:color w:val="000000" w:themeColor="text1"/>
                <w:sz w:val="20"/>
                <w:szCs w:val="20"/>
                <w:lang w:val="en-GB" w:eastAsia="en-GB"/>
              </w:rPr>
              <w:t>HLI</w:t>
            </w:r>
            <w:r w:rsidR="00DF5657">
              <w:rPr>
                <w:rFonts w:asciiTheme="minorBidi" w:hAnsiTheme="minorBidi" w:cstheme="minorBidi"/>
                <w:color w:val="000000" w:themeColor="text1"/>
                <w:sz w:val="20"/>
                <w:szCs w:val="20"/>
                <w:lang w:val="en-GB" w:eastAsia="en-GB"/>
              </w:rPr>
              <w:t>)</w:t>
            </w:r>
            <w:r w:rsidRPr="005F4695">
              <w:rPr>
                <w:rFonts w:asciiTheme="minorBidi" w:hAnsiTheme="minorBidi" w:cstheme="minorBidi"/>
                <w:color w:val="000000" w:themeColor="text1"/>
                <w:sz w:val="20"/>
                <w:szCs w:val="20"/>
                <w:lang w:val="en-GB" w:eastAsia="en-GB"/>
              </w:rPr>
              <w:t xml:space="preserve">, WHO </w:t>
            </w:r>
            <w:r w:rsidR="00DF5657">
              <w:rPr>
                <w:rFonts w:ascii="Helvetica" w:hAnsi="Helvetica" w:cs="Helvetica"/>
                <w:color w:val="101010"/>
                <w:sz w:val="20"/>
                <w:szCs w:val="20"/>
                <w:shd w:val="clear" w:color="auto" w:fill="FFFFFF"/>
              </w:rPr>
              <w:t>Healthy Diet Indicator</w:t>
            </w:r>
            <w:r w:rsidR="00DF5657" w:rsidRPr="005F4695">
              <w:rPr>
                <w:rFonts w:asciiTheme="minorBidi" w:hAnsiTheme="minorBidi" w:cstheme="minorBidi"/>
                <w:color w:val="000000" w:themeColor="text1"/>
                <w:sz w:val="20"/>
                <w:szCs w:val="20"/>
                <w:lang w:val="en-GB" w:eastAsia="en-GB"/>
              </w:rPr>
              <w:t xml:space="preserve"> </w:t>
            </w:r>
            <w:r w:rsidR="00DF5657">
              <w:rPr>
                <w:rFonts w:asciiTheme="minorBidi" w:hAnsiTheme="minorBidi" w:cstheme="minorBidi"/>
                <w:color w:val="000000" w:themeColor="text1"/>
                <w:sz w:val="20"/>
                <w:szCs w:val="20"/>
                <w:lang w:val="en-GB" w:eastAsia="en-GB"/>
              </w:rPr>
              <w:t>(</w:t>
            </w:r>
            <w:r w:rsidRPr="005F4695">
              <w:rPr>
                <w:rFonts w:asciiTheme="minorBidi" w:hAnsiTheme="minorBidi" w:cstheme="minorBidi"/>
                <w:color w:val="000000" w:themeColor="text1"/>
                <w:sz w:val="20"/>
                <w:szCs w:val="20"/>
                <w:lang w:val="en-GB" w:eastAsia="en-GB"/>
              </w:rPr>
              <w:t>HDI</w:t>
            </w:r>
            <w:r w:rsidR="00DF5657">
              <w:rPr>
                <w:rFonts w:asciiTheme="minorBidi" w:hAnsiTheme="minorBidi" w:cstheme="minorBidi"/>
                <w:color w:val="000000" w:themeColor="text1"/>
                <w:sz w:val="20"/>
                <w:szCs w:val="20"/>
                <w:lang w:val="en-GB" w:eastAsia="en-GB"/>
              </w:rPr>
              <w:t>)</w:t>
            </w:r>
            <w:bookmarkStart w:id="0" w:name="_GoBack"/>
            <w:bookmarkEnd w:id="0"/>
            <w:r w:rsidRPr="005F4695">
              <w:rPr>
                <w:rFonts w:asciiTheme="minorBidi" w:hAnsiTheme="minorBidi" w:cstheme="minorBidi"/>
                <w:color w:val="000000" w:themeColor="text1"/>
                <w:sz w:val="20"/>
                <w:szCs w:val="20"/>
                <w:lang w:val="en-GB" w:eastAsia="en-GB"/>
              </w:rPr>
              <w:t xml:space="preserve">, </w:t>
            </w:r>
            <w:r w:rsidR="00A940F3">
              <w:rPr>
                <w:rFonts w:asciiTheme="minorBidi" w:hAnsiTheme="minorBidi" w:cstheme="minorBidi"/>
                <w:color w:val="000000" w:themeColor="text1"/>
                <w:sz w:val="20"/>
                <w:szCs w:val="20"/>
                <w:lang w:val="en-GB" w:eastAsia="en-GB"/>
              </w:rPr>
              <w:t>DASH score</w:t>
            </w:r>
            <w:r w:rsidRPr="005F4695">
              <w:rPr>
                <w:rFonts w:asciiTheme="minorBidi" w:hAnsiTheme="minorBidi" w:cstheme="minorBidi"/>
                <w:color w:val="000000" w:themeColor="text1"/>
                <w:sz w:val="20"/>
                <w:szCs w:val="20"/>
                <w:lang w:val="en-GB" w:eastAsia="en-GB"/>
              </w:rPr>
              <w:t>, DQI</w:t>
            </w:r>
          </w:p>
        </w:tc>
        <w:tc>
          <w:tcPr>
            <w:tcW w:w="5305" w:type="dxa"/>
          </w:tcPr>
          <w:p w14:paraId="2B341D38" w14:textId="442FA210"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bCs/>
                <w:color w:val="000000" w:themeColor="text1"/>
                <w:sz w:val="20"/>
                <w:szCs w:val="20"/>
                <w:lang w:val="en-GB" w:eastAsia="en-GB"/>
              </w:rPr>
              <w:t>Nordic diet</w:t>
            </w:r>
            <w:r w:rsidRPr="005F4695">
              <w:rPr>
                <w:rFonts w:asciiTheme="minorBidi" w:hAnsiTheme="minorBidi" w:cstheme="minorBidi"/>
                <w:b/>
                <w:bCs/>
                <w:color w:val="000000" w:themeColor="text1"/>
                <w:sz w:val="20"/>
                <w:szCs w:val="20"/>
                <w:lang w:val="en-GB" w:eastAsia="en-GB"/>
              </w:rPr>
              <w:t xml:space="preserve"> </w:t>
            </w:r>
            <w:r w:rsidRPr="005F4695">
              <w:rPr>
                <w:rFonts w:asciiTheme="minorBidi" w:hAnsiTheme="minorBidi" w:cstheme="minorBidi"/>
                <w:color w:val="000000" w:themeColor="text1"/>
                <w:sz w:val="20"/>
                <w:szCs w:val="20"/>
                <w:lang w:val="en-GB" w:eastAsia="en-GB"/>
              </w:rPr>
              <w:fldChar w:fldCharType="begin" w:fldLock="1"/>
            </w:r>
            <w:r w:rsidRPr="005F4695">
              <w:rPr>
                <w:rFonts w:asciiTheme="minorBidi" w:hAnsiTheme="minorBidi" w:cstheme="minorBidi"/>
                <w:color w:val="000000" w:themeColor="text1"/>
                <w:sz w:val="20"/>
                <w:szCs w:val="20"/>
                <w:lang w:val="en-GB" w:eastAsia="en-GB"/>
              </w:rPr>
              <w:instrText>ADDIN CSL_CITATION {"citationItems":[{"id":"ITEM-1","itemData":{"DOI":"10.1111/joim.12378","ISSN":"09546820","PMID":"25991078","abstract":"BACKGROUND In several intervention trials, a healthy Nordic diet showed beneficial effects on markers of cardiovascular disease. We investigated the association between a healthy Nordic diet and clinical diagnosis of cardiovascular disease. OBJECTIVE Our aim was first to examine the association between a healthy Nordic food index (wholegrain bread, oatmeal, apples/pears, root vegetables, cabbages and fish) and the incidence of overall cardiovascular disease (ischaemic heart disease, stroke, arrhythmia, thrombosis and hypertensive disease), and secondly to test for possible effect modification by smoking, body mass index (BMI), alcohol consumption and age. METHODS We conducted an analysis of data from the prospective Swedish Women's Lifestyle and Health cohort, including 43 310 women who completed a food frequency questionnaire in 1991-1992, and followed up until 31 December 2012 through Swedish registries. Hazard ratios (HRs) and 95% confidence intervals (CIs) were calculated using Cox proportional hazards models. RESULTS During follow-up, 8383 women developed cardiovascular disease. We found no association between the healthy Nordic food index and overall cardiovascular disease risk or any of the subgroups investigated. There was a statistically significant interaction with smoking status (P = 0.02), with a beneficial effect only amongst former smokers (HR 0.96, 95% CI 0.94-0.99 per 1-point increment). CONCLUSION The present results do not support an association between a healthy Nordic food index and risk of cardiovascular disease in Swedish women. There was also no effect modification by alcohol intake, BMI or age. Our finding of an interaction with smoking status requires reproduction.","author":[{"dropping-particle":"","family":"Roswall","given":"N.","non-dropping-particle":"","parse-names":false,"suffix":""},{"dropping-particle":"","family":"Sandin","given":"S.","non-dropping-particle":"","parse-names":false,"suffix":""},{"dropping-particle":"","family":"Scragg","given":"R.","non-dropping-particle":"","parse-names":false,"suffix":""},{"dropping-particle":"","family":"Löf","given":"M.","non-dropping-particle":"","parse-names":false,"suffix":""},{"dropping-particle":"","family":"Skeie","given":"G.","non-dropping-particle":"","parse-names":false,"suffix":""},{"dropping-particle":"","family":"Olsen","given":"A.","non-dropping-particle":"","parse-names":false,"suffix":""},{"dropping-particle":"","family":"Adami","given":"H.-O.","non-dropping-particle":"","parse-names":false,"suffix":""},{"dropping-particle":"","family":"Weiderpass","given":"E.","non-dropping-particle":"","parse-names":false,"suffix":""}],"container-title":"Journal of Internal Medicine","id":"ITEM-1","issue":"5","issued":{"date-parts":[["2015","11"]]},"page":"531-541","title":"No association between adherence to the healthy Nordic food index and cardiovascular disease amongst Swedish women: a cohort study","type":"article-journal","volume":"278"},"uris":["http://www.mendeley.com/documents/?uuid=c9cc7655-cf42-398e-8739-1148b5b5bbad"]}],"mendeley":{"formattedCitation":"(33)","plainTextFormattedCitation":"(33)","previouslyFormattedCitation":"(33)"},"properties":{"noteIndex":0},"schema":"https://github.com/citation-style-language/schema/raw/master/csl-citation.json"}</w:instrText>
            </w:r>
            <w:r w:rsidRPr="005F4695">
              <w:rPr>
                <w:rFonts w:asciiTheme="minorBidi" w:hAnsiTheme="minorBidi" w:cstheme="minorBidi"/>
                <w:color w:val="000000" w:themeColor="text1"/>
                <w:sz w:val="20"/>
                <w:szCs w:val="20"/>
                <w:lang w:val="en-GB" w:eastAsia="en-GB"/>
              </w:rPr>
              <w:fldChar w:fldCharType="separate"/>
            </w:r>
            <w:r w:rsidRPr="005F4695">
              <w:rPr>
                <w:rFonts w:asciiTheme="minorBidi" w:hAnsiTheme="minorBidi" w:cstheme="minorBidi"/>
                <w:noProof/>
                <w:color w:val="000000" w:themeColor="text1"/>
                <w:sz w:val="20"/>
                <w:szCs w:val="20"/>
                <w:lang w:val="en-GB" w:eastAsia="en-GB"/>
              </w:rPr>
              <w:t>(33)</w:t>
            </w:r>
            <w:r w:rsidRPr="005F4695">
              <w:rPr>
                <w:rFonts w:asciiTheme="minorBidi" w:hAnsiTheme="minorBidi" w:cstheme="minorBidi"/>
                <w:color w:val="000000" w:themeColor="text1"/>
                <w:sz w:val="20"/>
                <w:szCs w:val="20"/>
                <w:lang w:val="en-GB" w:eastAsia="en-GB"/>
              </w:rPr>
              <w:fldChar w:fldCharType="end"/>
            </w:r>
          </w:p>
          <w:p w14:paraId="0951C0BE" w14:textId="31D61F5E"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lang w:val="en-GB" w:eastAsia="en-GB"/>
              </w:rPr>
              <w:t xml:space="preserve">MDS (x 3 versions): </w:t>
            </w:r>
            <w:r w:rsidRPr="005F4695">
              <w:rPr>
                <w:rFonts w:asciiTheme="minorBidi" w:hAnsiTheme="minorBidi" w:cstheme="minorBidi"/>
                <w:color w:val="000000" w:themeColor="text1"/>
                <w:sz w:val="20"/>
                <w:szCs w:val="20"/>
                <w:lang w:val="en-GB" w:eastAsia="en-GB"/>
              </w:rPr>
              <w:fldChar w:fldCharType="begin" w:fldLock="1"/>
            </w:r>
            <w:r w:rsidRPr="005F4695">
              <w:rPr>
                <w:rFonts w:asciiTheme="minorBidi" w:hAnsiTheme="minorBidi" w:cstheme="minorBidi"/>
                <w:color w:val="000000" w:themeColor="text1"/>
                <w:sz w:val="20"/>
                <w:szCs w:val="20"/>
                <w:lang w:val="en-GB" w:eastAsia="en-GB"/>
              </w:rPr>
              <w:instrText>ADDIN CSL_CITATION {"citationItems":[{"id":"ITEM-1","itemData":{"DOI":"10.1177/2047487318783263","ISSN":"2047-4873","PMID":"29944010","abstract":"Background Inverse associations of the Mediterranean diet (MedDiet) and physical activity with cardiovascular disease have been previously reported. We investigated the individual and combined contributions of both to this inverse association in a Mediterranean cohort. Design We used data from 19,536 participants from a prospective cohort of Spanish university graduates, the 'Seguimiento Universidad de Navarra' (SUN) cohort, followed up between December 1999 and December 2016. Methods Adherence to the MedDiet was obtained from a 136-item validated food-frequency questionnaire and categorized in tertiles using four previously reported dietary scores. A validated questionnaire assessed the physical activity levels according to volume, intensity and frequency. Results Participants were followed up during a median time of 10.4 years. Compared with the lowest category of adherence to the MedDiet (≤3 in the Mediterranean Diet Score), higher adherence (6-9 points) was strongly inversely associated with cardiovascular disease (multivariable adjusted hazard ratio = 0.33; 95% confidence interval (CI) 0.20-0.55). Also, engaging in an active lifestyle (6-8 points in an eight-item score) compared with low activity (&lt;2 points) was associated with a reduced risk of incident cardiovascular disease (hazard ratio = 0.43; 95% CI 0.20-0.90). Greater adherence to the MedDiet and engaging in high levels of active lifestyle showed a 75% relatively reduced risk of cardiovascular disease (hazard ratio = 0.25; 95% CI 0.13-0.48). Conclusions The combined effect of adherence to the MedDiet and adopting an active lifestyle showed a synergistic inverse association with cardiovascular disease risk.","author":[{"dropping-particle":"","family":"Alvarez-Alvarez","given":"Ismael","non-dropping-particle":"","parse-names":false,"suffix":""},{"dropping-particle":"","family":"Rojas","given":"Javier Pérez","non-dropping-particle":"de","parse-names":false,"suffix":""},{"dropping-particle":"","family":"Fernandez-Montero","given":"Alejandro","non-dropping-particle":"","parse-names":false,"suffix":""},{"dropping-particle":"","family":"Zazpe","given":"Itziar","non-dropping-particle":"","parse-names":false,"suffix":""},{"dropping-particle":"","family":"Ruiz-Canela","given":"Miguel","non-dropping-particle":"","parse-names":false,"suffix":""},{"dropping-particle":"","family":"Hidalgo-Santamaría","given":"María","non-dropping-particle":"","parse-names":false,"suffix":""},{"dropping-particle":"","family":"Bes-Rastrollo","given":"Maira","non-dropping-particle":"","parse-names":false,"suffix":""},{"dropping-particle":"","family":"Martínez-González","given":"Miguel Á","non-dropping-particle":"","parse-names":false,"suffix":""}],"container-title":"European Journal of Preventive Cardiology","id":"ITEM-1","issue":"11","issued":{"date-parts":[["2018","7","26"]]},"page":"1186-1197","title":"Strong inverse associations of Mediterranean diet, physical activity and their combination with cardiovascular disease: The Seguimiento Universidad de Navarra (SUN) cohort","type":"article-journal","volume":"25"},"uris":["http://www.mendeley.com/documents/?uuid=72e2de1e-715b-3026-9f58-98b51a53520d"]}],"mendeley":{"formattedCitation":"(19)","plainTextFormattedCitation":"(19)","previouslyFormattedCitation":"(19)"},"properties":{"noteIndex":0},"schema":"https://github.com/citation-style-language/schema/raw/master/csl-citation.json"}</w:instrText>
            </w:r>
            <w:r w:rsidRPr="005F4695">
              <w:rPr>
                <w:rFonts w:asciiTheme="minorBidi" w:hAnsiTheme="minorBidi" w:cstheme="minorBidi"/>
                <w:color w:val="000000" w:themeColor="text1"/>
                <w:sz w:val="20"/>
                <w:szCs w:val="20"/>
                <w:lang w:val="en-GB" w:eastAsia="en-GB"/>
              </w:rPr>
              <w:fldChar w:fldCharType="separate"/>
            </w:r>
            <w:r w:rsidRPr="005F4695">
              <w:rPr>
                <w:rFonts w:asciiTheme="minorBidi" w:hAnsiTheme="minorBidi" w:cstheme="minorBidi"/>
                <w:noProof/>
                <w:color w:val="000000" w:themeColor="text1"/>
                <w:sz w:val="20"/>
                <w:szCs w:val="20"/>
                <w:lang w:val="en-GB" w:eastAsia="en-GB"/>
              </w:rPr>
              <w:t>(19)</w:t>
            </w:r>
            <w:r w:rsidRPr="005F4695">
              <w:rPr>
                <w:rFonts w:asciiTheme="minorBidi" w:hAnsiTheme="minorBidi" w:cstheme="minorBidi"/>
                <w:color w:val="000000" w:themeColor="text1"/>
                <w:sz w:val="20"/>
                <w:szCs w:val="20"/>
                <w:lang w:val="en-GB" w:eastAsia="en-GB"/>
              </w:rPr>
              <w:fldChar w:fldCharType="end"/>
            </w:r>
          </w:p>
          <w:p w14:paraId="205BF2DF" w14:textId="77777777"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lang w:val="en-GB" w:eastAsia="en-GB"/>
              </w:rPr>
              <w:t>HLI: 7 (cereal fiber, folate, ratio PUFA:SFA, fatty fish, margarine, glycemic index, fruits and vegetables) 0 to 9, overall score ranged from 0 to 63 points</w:t>
            </w:r>
          </w:p>
          <w:p w14:paraId="0281112F" w14:textId="77777777"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lang w:val="en-GB" w:eastAsia="en-GB"/>
              </w:rPr>
              <w:t>WHO HDI: 7 (SFA, PUFA, cholesterol, protein, fiber, fruit and vegetables, free sugars), overall score ranged from 0 to 7 points</w:t>
            </w:r>
          </w:p>
          <w:p w14:paraId="2C7CE615" w14:textId="568F52EC" w:rsidR="00743B47" w:rsidRPr="005F4695" w:rsidRDefault="00A940F3" w:rsidP="00743B47">
            <w:pPr>
              <w:rPr>
                <w:rFonts w:asciiTheme="minorBidi" w:hAnsiTheme="minorBidi" w:cstheme="minorBidi"/>
                <w:color w:val="000000" w:themeColor="text1"/>
                <w:sz w:val="20"/>
                <w:szCs w:val="20"/>
                <w:lang w:val="en-GB" w:eastAsia="en-GB"/>
              </w:rPr>
            </w:pPr>
            <w:r>
              <w:rPr>
                <w:rFonts w:asciiTheme="minorBidi" w:hAnsiTheme="minorBidi" w:cstheme="minorBidi"/>
                <w:color w:val="000000" w:themeColor="text1"/>
                <w:sz w:val="20"/>
                <w:szCs w:val="20"/>
              </w:rPr>
              <w:t>DASH score</w:t>
            </w:r>
            <w:r w:rsidR="00743B47" w:rsidRPr="005F4695">
              <w:rPr>
                <w:rFonts w:asciiTheme="minorBidi" w:hAnsiTheme="minorBidi" w:cstheme="minorBidi"/>
                <w:color w:val="000000" w:themeColor="text1"/>
                <w:sz w:val="20"/>
                <w:szCs w:val="20"/>
              </w:rPr>
              <w:t>:</w:t>
            </w:r>
            <w:r w:rsidR="00743B47" w:rsidRPr="005F4695">
              <w:rPr>
                <w:rFonts w:asciiTheme="minorBidi" w:hAnsiTheme="minorBidi" w:cstheme="minorBidi"/>
                <w:color w:val="000000" w:themeColor="text1"/>
                <w:sz w:val="20"/>
                <w:szCs w:val="20"/>
                <w:lang w:val="en-GB" w:eastAsia="en-GB"/>
              </w:rPr>
              <w:t xml:space="preserve"> </w:t>
            </w:r>
            <w:r w:rsidR="00743B47" w:rsidRPr="005F4695">
              <w:rPr>
                <w:rFonts w:asciiTheme="minorBidi" w:hAnsiTheme="minorBidi" w:cstheme="minorBidi"/>
                <w:color w:val="000000" w:themeColor="text1"/>
                <w:sz w:val="20"/>
                <w:szCs w:val="20"/>
                <w:lang w:val="en-GB" w:eastAsia="en-GB"/>
              </w:rPr>
              <w:fldChar w:fldCharType="begin" w:fldLock="1"/>
            </w:r>
            <w:r w:rsidR="00743B47" w:rsidRPr="005F4695">
              <w:rPr>
                <w:rFonts w:asciiTheme="minorBidi" w:hAnsiTheme="minorBidi" w:cstheme="minorBidi"/>
                <w:color w:val="000000" w:themeColor="text1"/>
                <w:sz w:val="20"/>
                <w:szCs w:val="20"/>
                <w:lang w:val="en-GB" w:eastAsia="en-GB"/>
              </w:rPr>
              <w:instrText>ADDIN CSL_CITATION {"citationItems":[{"id":"ITEM-1","itemData":{"DOI":"10.1007/s00394-017-1562-4","ISSN":"1436-6207","PMID":"29098424","abstract":"PURPOSE The aims of this study were to (1) determine the association between diet quality using the Dietary Approaches to Stop Hypertension (DASH) score and cardiometabolic risk in a British working population and (2) identify employee characteristics associated with reporting a poorer quality dietary pattern. METHODS British police employees enrolled (2007-2012) into the Airwave Health Monitoring Study (n = 5527) were included for sex-specific cross-sectional analyses. Dietary intakes were measured using 7-day food records. DASH score was calculated to determine diet quality. Logistic regression evaluated associations between (1) diet quality and increased cardiometabolic risk (defined as ≥ 3 risk markers: dyslipidaemia, elevated blood pressure, waist circumference, CRP or HbA1c), and (2) poor diet quality (lowest fifth of DASH score distribution) and employee characteristics. RESULTS Employees recording a poor diet quality had greater odds (OR) of increased cardiometabolic risk independent of established risk factors (demographic, lifestyle and occupational) and BMI: men OR 1.50 (95% CI 1.12-2.00), women: OR 1.84 (95% CI 1.19-2.97) compared to the healthiest diet group. Characteristics associated with reporting a poor quality diet were employment in Scotland vs. England: men OR 1.88 (95% CI 1.53-2.32), women: OR 1.49 (95% CI 1.11-2.00), longer working hours (≥ 49 vs. ≤40 h) men: OR 1.53 (95% CI 1.21-1.92) women: OR 1.53 (95% CI 1.12-2.09). For men, job strain (high vs. low) was associated with reporting a poor diet quality OR 1.66 (95% CI 1.30-2.12). CONCLUSIONS The general population disparities in diet quality between England and Scotland were reflected in British police employees. The association of longer working hours and job strain with diet quality supports the targeting of workplace nutritional interventions.","author":[{"dropping-particle":"","family":"Gibson","given":"Rachel","non-dropping-particle":"","parse-names":false,"suffix":""},{"dropping-particle":"","family":"Eriksen","given":"Rebeca","non-dropping-particle":"","parse-names":false,"suffix":""},{"dropping-particle":"","family":"Singh","given":"Deepa","non-dropping-particle":"","parse-names":false,"suffix":""},{"dropping-particle":"","family":"Vergnaud","given":"Anne-Claire","non-dropping-particle":"","parse-names":false,"suffix":""},{"dropping-particle":"","family":"Heard","given":"Andrew","non-dropping-particle":"","parse-names":false,"suffix":""},{"dropping-particle":"","family":"Chan","given":"Queenie","non-dropping-particle":"","parse-names":false,"suffix":""},{"dropping-particle":"","family":"Elliott","given":"Paul","non-dropping-particle":"","parse-names":false,"suffix":""},{"dropping-particle":"","family":"Frost","given":"Gary","non-dropping-particle":"","parse-names":false,"suffix":""}],"container-title":"European Journal of Nutrition","id":"ITEM-1","issue":"8","issued":{"date-parts":[["2018","12","2"]]},"page":"2913-2926","title":"A cross-sectional investigation into the occupational and socio-demographic characteristics of British police force employees reporting a dietary pattern associated with cardiometabolic risk: findings from the Airwave Health Monitoring Study","type":"article-journal","volume":"57"},"uris":["http://www.mendeley.com/documents/?uuid=308b59cf-d657-32ee-a72f-ff29a9cd74fd"]}],"mendeley":{"formattedCitation":"(4)","plainTextFormattedCitation":"(4)","previouslyFormattedCitation":"(4)"},"properties":{"noteIndex":0},"schema":"https://github.com/citation-style-language/schema/raw/master/csl-citation.json"}</w:instrText>
            </w:r>
            <w:r w:rsidR="00743B47" w:rsidRPr="005F4695">
              <w:rPr>
                <w:rFonts w:asciiTheme="minorBidi" w:hAnsiTheme="minorBidi" w:cstheme="minorBidi"/>
                <w:color w:val="000000" w:themeColor="text1"/>
                <w:sz w:val="20"/>
                <w:szCs w:val="20"/>
                <w:lang w:val="en-GB" w:eastAsia="en-GB"/>
              </w:rPr>
              <w:fldChar w:fldCharType="separate"/>
            </w:r>
            <w:r w:rsidR="00743B47" w:rsidRPr="005F4695">
              <w:rPr>
                <w:rFonts w:asciiTheme="minorBidi" w:hAnsiTheme="minorBidi" w:cstheme="minorBidi"/>
                <w:noProof/>
                <w:color w:val="000000" w:themeColor="text1"/>
                <w:sz w:val="20"/>
                <w:szCs w:val="20"/>
                <w:lang w:val="en-GB" w:eastAsia="en-GB"/>
              </w:rPr>
              <w:t>(4)</w:t>
            </w:r>
            <w:r w:rsidR="00743B47" w:rsidRPr="005F4695">
              <w:rPr>
                <w:rFonts w:asciiTheme="minorBidi" w:hAnsiTheme="minorBidi" w:cstheme="minorBidi"/>
                <w:color w:val="000000" w:themeColor="text1"/>
                <w:sz w:val="20"/>
                <w:szCs w:val="20"/>
                <w:lang w:val="en-GB" w:eastAsia="en-GB"/>
              </w:rPr>
              <w:fldChar w:fldCharType="end"/>
            </w:r>
          </w:p>
          <w:p w14:paraId="595E2410" w14:textId="67B6FD6E" w:rsidR="00743B47" w:rsidRPr="005F4695" w:rsidRDefault="00743B47" w:rsidP="00743B47">
            <w:pPr>
              <w:rPr>
                <w:rFonts w:asciiTheme="minorBidi" w:hAnsiTheme="minorBidi" w:cstheme="minorBidi"/>
                <w:color w:val="000000" w:themeColor="text1"/>
                <w:sz w:val="20"/>
                <w:szCs w:val="20"/>
              </w:rPr>
            </w:pPr>
            <w:r w:rsidRPr="005F4695">
              <w:rPr>
                <w:rFonts w:asciiTheme="minorBidi" w:hAnsiTheme="minorBidi" w:cstheme="minorBidi"/>
                <w:color w:val="000000" w:themeColor="text1"/>
                <w:sz w:val="20"/>
                <w:szCs w:val="20"/>
                <w:lang w:val="en-GB" w:eastAsia="en-GB"/>
              </w:rPr>
              <w:t xml:space="preserve">DQI: </w:t>
            </w:r>
            <w:r w:rsidRPr="005F4695">
              <w:rPr>
                <w:rFonts w:asciiTheme="minorBidi" w:hAnsiTheme="minorBidi" w:cstheme="minorBidi"/>
                <w:color w:val="000000" w:themeColor="text1"/>
                <w:sz w:val="20"/>
                <w:szCs w:val="20"/>
              </w:rPr>
              <w:fldChar w:fldCharType="begin" w:fldLock="1"/>
            </w:r>
            <w:r w:rsidR="004A7B72">
              <w:rPr>
                <w:rFonts w:asciiTheme="minorBidi" w:hAnsiTheme="minorBidi" w:cstheme="minorBidi"/>
                <w:color w:val="000000" w:themeColor="text1"/>
                <w:sz w:val="20"/>
                <w:szCs w:val="20"/>
              </w:rPr>
              <w:instrText>ADDIN CSL_CITATION {"citationItems":[{"id":"ITEM-1","itemData":{"DOI":"10.1017/S0007114514003456","ISBN":"0007114514003","ISSN":"14752662","PMID":"25475010","abstract":"The scientific community has become increasingly interested in the overall quality of diets rather than in single food-based or single nutrientbased approaches to examine diet–disease relationships. Despite the plethora of indices used to measure diet quality, there still exist questions as to which of these can best predict health outcomes. The present study aimed to compare the ability of five diet quality indices, namely the Recommendation Compliance Index (RCI), Diet Quality Index-International (DQI-I), Dietary Approaches to Stop Hypertension (DASH), Mediterranean Diet Score (MDS), and Dietary Inflammatory Index (DII), to detect changes in chronic disease risk biomarkers. Nutritional data from 1352 participants, aged 18–69 years, of the Luxembourg nationwide cross-sectional ORISCAV-LUX (Observation of Cardiovascular Risk Factors in Luxembourg) study, 2007–8, were used to calculate adherence to the diet quality index. General linear modelling was performed to assess trends in biomarkers according to adherence to different dietary patterns, after adjustment for age, sex, education level, smoking status, physical activity and energy intake. Among the five selected diet quality indices, the MDS exhibited the best ability to detect changes in numerous risk markers and was significantly associated with lower levels of LDL-cholesterol, apo B, diastolic blood pressure, renal function indicators (creatinine and uric acid) and liver enzymes (serum g-glutamyl-transpeptidase and glutamate-pyruvate transaminase). Compared with other dietary patterns, higher adherence to the Mediterranean diet is associated with a favourable cardiometabolic, hepatic and renal risk profile. Diets congruent with current universally accepted guidelines may be insufficient to prevent chronic diseases. Clinicians and public health decision makers should be aware of needs to improve the current dietary guidelines.","author":[{"dropping-particle":"","family":"Alkerwi","given":"Ala'a","non-dropping-particle":"","parse-names":false,"suffix":""},{"dropping-particle":"","family":"Vernier","given":"Cédric","non-dropping-particle":"","parse-names":false,"suffix":""},{"dropping-particle":"","family":"Crichton","given":"Georgina E.","non-dropping-particle":"","parse-names":false,"suffix":""},{"dropping-particle":"","family":"Sauvageot","given":"Nicolas","non-dropping-particle":"","parse-names":false,"suffix":""},{"dropping-particle":"","family":"Shivappa","given":"Nitin","non-dropping-particle":"","parse-names":false,"suffix":""},{"dropping-particle":"","family":"Hébert","given":"James R.","non-dropping-particle":"","parse-names":false,"suffix":""}],"container-title":"British Journal of Nutrition","id":"ITEM-1","issue":"2","issued":{"date-parts":[["2015","1","28"]]},"page":"259-269","title":"Cross-comparison of diet quality indices for predicting chronic disease risk: Findings from the Observation of Cardiovascular Risk Factors in Luxembourg (ORISCAV-LUX) study","type":"article-journal","volume":"113"},"uris":["http://www.mendeley.com/documents/?uuid=7021c9b1-10ce-4ad0-acbc-9d4b12c599cc"]}],"mendeley":{"formattedCitation":"(29)","plainTextFormattedCitation":"(29)","previouslyFormattedCitation":"(29)"},"properties":{"noteIndex":0},"schema":"https://github.com/citation-style-language/schema/raw/master/csl-citation.json"}</w:instrText>
            </w:r>
            <w:r w:rsidRPr="005F4695">
              <w:rPr>
                <w:rFonts w:asciiTheme="minorBidi" w:hAnsiTheme="minorBidi" w:cstheme="minorBidi"/>
                <w:color w:val="000000" w:themeColor="text1"/>
                <w:sz w:val="20"/>
                <w:szCs w:val="20"/>
              </w:rPr>
              <w:fldChar w:fldCharType="separate"/>
            </w:r>
            <w:r w:rsidRPr="005F4695">
              <w:rPr>
                <w:rFonts w:asciiTheme="minorBidi" w:hAnsiTheme="minorBidi" w:cstheme="minorBidi"/>
                <w:noProof/>
                <w:color w:val="000000" w:themeColor="text1"/>
                <w:sz w:val="20"/>
                <w:szCs w:val="20"/>
              </w:rPr>
              <w:t>(29)</w:t>
            </w:r>
            <w:r w:rsidRPr="005F4695">
              <w:rPr>
                <w:rFonts w:asciiTheme="minorBidi" w:hAnsiTheme="minorBidi" w:cstheme="minorBidi"/>
                <w:color w:val="000000" w:themeColor="text1"/>
                <w:sz w:val="20"/>
                <w:szCs w:val="20"/>
              </w:rPr>
              <w:fldChar w:fldCharType="end"/>
            </w:r>
          </w:p>
          <w:p w14:paraId="7268C49E" w14:textId="488148B8" w:rsidR="00743B47" w:rsidRPr="005F4695" w:rsidRDefault="00743B47" w:rsidP="00743B47">
            <w:pPr>
              <w:rPr>
                <w:rFonts w:asciiTheme="minorBidi" w:hAnsiTheme="minorBidi" w:cstheme="minorBidi"/>
                <w:color w:val="000000" w:themeColor="text1"/>
                <w:sz w:val="20"/>
                <w:szCs w:val="20"/>
              </w:rPr>
            </w:pPr>
          </w:p>
        </w:tc>
      </w:tr>
      <w:tr w:rsidR="000226E3" w:rsidRPr="005F4695" w14:paraId="7E770FE5" w14:textId="77777777" w:rsidTr="00B20E43">
        <w:trPr>
          <w:trHeight w:val="421"/>
        </w:trPr>
        <w:tc>
          <w:tcPr>
            <w:tcW w:w="1555" w:type="dxa"/>
          </w:tcPr>
          <w:p w14:paraId="1387A0F1" w14:textId="5CB5A189" w:rsidR="000226E3" w:rsidRPr="005F4695" w:rsidRDefault="000226E3" w:rsidP="00B20E43">
            <w:pPr>
              <w:rPr>
                <w:rFonts w:asciiTheme="minorBidi" w:hAnsiTheme="minorBidi" w:cstheme="minorBidi"/>
                <w:b/>
                <w:bCs/>
                <w:color w:val="000000" w:themeColor="text1"/>
                <w:sz w:val="20"/>
                <w:szCs w:val="20"/>
              </w:rPr>
            </w:pPr>
            <w:r w:rsidRPr="005F4695">
              <w:rPr>
                <w:rFonts w:asciiTheme="minorBidi" w:hAnsiTheme="minorBidi" w:cstheme="minorBidi"/>
                <w:b/>
                <w:bCs/>
                <w:color w:val="000000" w:themeColor="text1"/>
                <w:sz w:val="20"/>
                <w:szCs w:val="20"/>
              </w:rPr>
              <w:t>Asia</w:t>
            </w:r>
          </w:p>
        </w:tc>
        <w:tc>
          <w:tcPr>
            <w:tcW w:w="1417" w:type="dxa"/>
          </w:tcPr>
          <w:p w14:paraId="55360BED" w14:textId="77777777" w:rsidR="000226E3" w:rsidRPr="005F4695" w:rsidRDefault="000226E3" w:rsidP="00B20E43">
            <w:pPr>
              <w:rPr>
                <w:rFonts w:asciiTheme="minorBidi" w:hAnsiTheme="minorBidi" w:cstheme="minorBidi"/>
                <w:color w:val="000000" w:themeColor="text1"/>
                <w:sz w:val="20"/>
                <w:szCs w:val="20"/>
              </w:rPr>
            </w:pPr>
          </w:p>
        </w:tc>
        <w:tc>
          <w:tcPr>
            <w:tcW w:w="1276" w:type="dxa"/>
          </w:tcPr>
          <w:p w14:paraId="15745CCA" w14:textId="77777777" w:rsidR="000226E3" w:rsidRPr="005F4695" w:rsidRDefault="000226E3" w:rsidP="00B20E43">
            <w:pPr>
              <w:rPr>
                <w:rFonts w:asciiTheme="minorBidi" w:hAnsiTheme="minorBidi" w:cstheme="minorBidi"/>
                <w:color w:val="000000" w:themeColor="text1"/>
                <w:sz w:val="20"/>
                <w:szCs w:val="20"/>
              </w:rPr>
            </w:pPr>
          </w:p>
        </w:tc>
        <w:tc>
          <w:tcPr>
            <w:tcW w:w="1559" w:type="dxa"/>
          </w:tcPr>
          <w:p w14:paraId="2C18751F" w14:textId="77777777" w:rsidR="000226E3" w:rsidRPr="005F4695" w:rsidRDefault="000226E3" w:rsidP="00B20E43">
            <w:pPr>
              <w:rPr>
                <w:rFonts w:asciiTheme="minorBidi" w:hAnsiTheme="minorBidi" w:cstheme="minorBidi"/>
                <w:color w:val="000000" w:themeColor="text1"/>
                <w:sz w:val="20"/>
                <w:szCs w:val="20"/>
              </w:rPr>
            </w:pPr>
          </w:p>
        </w:tc>
        <w:tc>
          <w:tcPr>
            <w:tcW w:w="1559" w:type="dxa"/>
          </w:tcPr>
          <w:p w14:paraId="4151E188" w14:textId="77777777" w:rsidR="000226E3" w:rsidRPr="005F4695" w:rsidRDefault="000226E3" w:rsidP="00B20E43">
            <w:pPr>
              <w:rPr>
                <w:rFonts w:asciiTheme="minorBidi" w:hAnsiTheme="minorBidi" w:cstheme="minorBidi"/>
                <w:color w:val="000000" w:themeColor="text1"/>
                <w:sz w:val="20"/>
                <w:szCs w:val="20"/>
              </w:rPr>
            </w:pPr>
          </w:p>
        </w:tc>
        <w:tc>
          <w:tcPr>
            <w:tcW w:w="5305" w:type="dxa"/>
          </w:tcPr>
          <w:p w14:paraId="7D45EBE1" w14:textId="77777777" w:rsidR="000226E3" w:rsidRPr="005F4695" w:rsidRDefault="000226E3" w:rsidP="00B20E43">
            <w:pPr>
              <w:rPr>
                <w:rFonts w:asciiTheme="minorBidi" w:hAnsiTheme="minorBidi" w:cstheme="minorBidi"/>
                <w:color w:val="000000" w:themeColor="text1"/>
                <w:sz w:val="20"/>
                <w:szCs w:val="20"/>
              </w:rPr>
            </w:pPr>
          </w:p>
        </w:tc>
      </w:tr>
      <w:tr w:rsidR="00743B47" w:rsidRPr="005F4695" w14:paraId="4AA36D5C" w14:textId="77777777" w:rsidTr="00B20E43">
        <w:trPr>
          <w:trHeight w:val="900"/>
        </w:trPr>
        <w:tc>
          <w:tcPr>
            <w:tcW w:w="1555" w:type="dxa"/>
          </w:tcPr>
          <w:p w14:paraId="0E190ED2" w14:textId="644414A8" w:rsidR="00743B47" w:rsidRPr="005F4695" w:rsidRDefault="00743B47" w:rsidP="00743B47">
            <w:pPr>
              <w:rPr>
                <w:rFonts w:asciiTheme="minorBidi" w:hAnsiTheme="minorBidi" w:cstheme="minorBidi"/>
                <w:b/>
                <w:bCs/>
                <w:color w:val="000000" w:themeColor="text1"/>
                <w:sz w:val="20"/>
                <w:szCs w:val="20"/>
              </w:rPr>
            </w:pPr>
            <w:r w:rsidRPr="003754B5">
              <w:rPr>
                <w:rFonts w:asciiTheme="minorBidi" w:hAnsiTheme="minorBidi" w:cstheme="minorBidi"/>
                <w:color w:val="000000" w:themeColor="text1"/>
                <w:sz w:val="20"/>
                <w:szCs w:val="20"/>
                <w:lang w:val="en-GB" w:eastAsia="en-GB"/>
              </w:rPr>
              <w:t>Bai et al</w:t>
            </w:r>
            <w:r>
              <w:rPr>
                <w:rFonts w:asciiTheme="minorBidi" w:hAnsiTheme="minorBidi" w:cstheme="minorBidi"/>
                <w:color w:val="000000" w:themeColor="text1"/>
                <w:sz w:val="20"/>
                <w:szCs w:val="20"/>
                <w:lang w:val="en-GB" w:eastAsia="en-GB"/>
              </w:rPr>
              <w:t>, 2017</w:t>
            </w:r>
            <w:r w:rsidRPr="003754B5">
              <w:rPr>
                <w:rFonts w:asciiTheme="minorBidi" w:hAnsiTheme="minorBidi" w:cstheme="minorBidi"/>
                <w:color w:val="000000" w:themeColor="text1"/>
                <w:sz w:val="20"/>
                <w:szCs w:val="20"/>
                <w:lang w:val="en-GB" w:eastAsia="en-GB"/>
              </w:rPr>
              <w:t xml:space="preserve"> </w:t>
            </w:r>
            <w:r w:rsidRPr="003754B5">
              <w:rPr>
                <w:rFonts w:asciiTheme="minorBidi" w:hAnsiTheme="minorBidi" w:cstheme="minorBidi"/>
                <w:color w:val="000000" w:themeColor="text1"/>
                <w:sz w:val="20"/>
                <w:szCs w:val="20"/>
                <w:lang w:val="en-GB" w:eastAsia="en-GB"/>
              </w:rPr>
              <w:fldChar w:fldCharType="begin" w:fldLock="1"/>
            </w:r>
            <w:r>
              <w:rPr>
                <w:rFonts w:asciiTheme="minorBidi" w:hAnsiTheme="minorBidi" w:cstheme="minorBidi"/>
                <w:color w:val="000000" w:themeColor="text1"/>
                <w:sz w:val="20"/>
                <w:szCs w:val="20"/>
                <w:lang w:val="en-GB" w:eastAsia="en-GB"/>
              </w:rPr>
              <w:instrText xml:space="preserve">ADDIN CSL_CITATION {"citationItems":[{"id":"ITEM-1","itemData":{"DOI":"10.1038/hr.2016.119","ISSN":"0916-9636","PMID":"27604345","abstract":"Several modifiable risk factors have been shown to lower blood pressure, but little is known about their combined risk in Chinese individuals. In this prospective cohort study, we followed 2751 subjects aged 18-60 years in the China Health and Nutrition Survey who were free of diagnosed hypertension, cardiovascular disease, diabetes or cancer at baseline in 2000. The associations between each of the risk factors and the risk of developing incident hypertension were analyzed by gender. The three low-risk factors for hypertension were a body mass index (BMI) between 18.5 and 24, a moderate or heavy physical activity level </w:instrText>
            </w:r>
            <w:r>
              <w:rPr>
                <w:rFonts w:ascii="Cambria Math" w:hAnsi="Cambria Math" w:cs="Cambria Math"/>
                <w:color w:val="000000" w:themeColor="text1"/>
                <w:sz w:val="20"/>
                <w:szCs w:val="20"/>
                <w:lang w:val="en-GB" w:eastAsia="en-GB"/>
              </w:rPr>
              <w:instrText>⩾</w:instrText>
            </w:r>
            <w:r>
              <w:rPr>
                <w:rFonts w:asciiTheme="minorBidi" w:hAnsiTheme="minorBidi" w:cstheme="minorBidi"/>
                <w:color w:val="000000" w:themeColor="text1"/>
                <w:sz w:val="20"/>
                <w:szCs w:val="20"/>
                <w:lang w:val="en-GB" w:eastAsia="en-GB"/>
              </w:rPr>
              <w:instrText>0.5</w:instrText>
            </w:r>
            <w:r>
              <w:rPr>
                <w:rFonts w:ascii="Arial" w:hAnsi="Arial" w:cs="Arial"/>
                <w:color w:val="000000" w:themeColor="text1"/>
                <w:sz w:val="20"/>
                <w:szCs w:val="20"/>
                <w:lang w:val="en-GB" w:eastAsia="en-GB"/>
              </w:rPr>
              <w:instrText> </w:instrText>
            </w:r>
            <w:r>
              <w:rPr>
                <w:rFonts w:asciiTheme="minorBidi" w:hAnsiTheme="minorBidi" w:cstheme="minorBidi"/>
                <w:color w:val="000000" w:themeColor="text1"/>
                <w:sz w:val="20"/>
                <w:szCs w:val="20"/>
                <w:lang w:val="en-GB" w:eastAsia="en-GB"/>
              </w:rPr>
              <w:instrText>h per day and a high score on the Dietary Approaches to Stop Hypertension (DASH) diet. Low-risk factors were combined to assess their effects on the risk of hypertension. During the 11-year follow-up, we documented 1147 cases of hypertension. Three risk factors were independently associated with the risk of hypertension even after adjustment for age, alcohol intake and smoking status. Adopting all three low-risk lifestyle factors (normal BMI, DASH-style diet and physical activity) could prevent 38% (95% confidence interval (CI), 19-53%) of new hypertension cases among women and 43% (95% CI, 25-57%) of new hypertension cases among men. Adherence to a healthy lifestyle and a DASH-style diet was associated with a lower risk of hypertension.","author":[{"dropping-particle":"","family":"Bai","given":"Guoyin","non-dropping-particle":"","parse-names":false,"suffix":""},{"dropping-particle":"","family":"Zhang","given":"Ji","non-dropping-particle":"","parse-names":false,"suffix":""},{"dropping-particle":"","family":"Zhao","given":"Chongsi","non-dropping-particle":"","parse-names":false,"suffix":""},{"dropping-particle":"","family":"Wang","given":"Yan","non-dropping-particle":"","parse-names":false,"suffix":""},{"dropping-particle":"","family":"Qi","given":"Yanmin","non-dropping-particle":"","parse-names":false,"suffix":""},{"dropping-particle":"","family":"Zhang","given":"Bing","non-dropping-particle":"","parse-names":false,"suffix":""}],"container-title":"Hypertension Research","id":"ITEM-1","issue":"2","issued":{"date-parts":[["2017","2","8"]]},"page":"196-202","title":"Adherence to a healthy lifestyle and a DASH-style diet and risk of hypertension in Chinese individuals","type":"article-journal","volume":"40"},"uris":["http://www.mendeley.com/documents/?uuid=59dca2e4-cd74-398d-b50d-e7053223523b"]}],"mendeley":{"formattedCitation":"(46)","plainTextFormattedCitation":"(46)","previouslyFormattedCitation":"(46)"},"properties":{"noteIndex":0},"schema":"https://github.com/citation-style-language/schema/raw/master/csl-citation.json"}</w:instrText>
            </w:r>
            <w:r w:rsidRPr="003754B5">
              <w:rPr>
                <w:rFonts w:asciiTheme="minorBidi" w:hAnsiTheme="minorBidi" w:cstheme="minorBidi"/>
                <w:color w:val="000000" w:themeColor="text1"/>
                <w:sz w:val="20"/>
                <w:szCs w:val="20"/>
                <w:lang w:val="en-GB" w:eastAsia="en-GB"/>
              </w:rPr>
              <w:fldChar w:fldCharType="separate"/>
            </w:r>
            <w:r w:rsidRPr="003754B5">
              <w:rPr>
                <w:rFonts w:asciiTheme="minorBidi" w:hAnsiTheme="minorBidi" w:cstheme="minorBidi"/>
                <w:noProof/>
                <w:color w:val="000000" w:themeColor="text1"/>
                <w:sz w:val="20"/>
                <w:szCs w:val="20"/>
                <w:lang w:val="en-GB" w:eastAsia="en-GB"/>
              </w:rPr>
              <w:t>(46)</w:t>
            </w:r>
            <w:r w:rsidRPr="003754B5">
              <w:rPr>
                <w:rFonts w:asciiTheme="minorBidi" w:hAnsiTheme="minorBidi" w:cstheme="minorBidi"/>
                <w:color w:val="000000" w:themeColor="text1"/>
                <w:sz w:val="20"/>
                <w:szCs w:val="20"/>
                <w:lang w:val="en-GB" w:eastAsia="en-GB"/>
              </w:rPr>
              <w:fldChar w:fldCharType="end"/>
            </w:r>
          </w:p>
        </w:tc>
        <w:tc>
          <w:tcPr>
            <w:tcW w:w="1417" w:type="dxa"/>
          </w:tcPr>
          <w:p w14:paraId="725A438F" w14:textId="3F0E64FD" w:rsidR="00743B47" w:rsidRPr="005F4695" w:rsidRDefault="00743B47" w:rsidP="00743B47">
            <w:pPr>
              <w:rPr>
                <w:rFonts w:asciiTheme="minorBidi" w:hAnsiTheme="minorBidi" w:cstheme="minorBidi"/>
                <w:color w:val="000000" w:themeColor="text1"/>
                <w:sz w:val="20"/>
                <w:szCs w:val="20"/>
              </w:rPr>
            </w:pPr>
            <w:r w:rsidRPr="005F4695">
              <w:rPr>
                <w:rFonts w:asciiTheme="minorBidi" w:hAnsiTheme="minorBidi" w:cstheme="minorBidi"/>
                <w:color w:val="000000" w:themeColor="text1"/>
                <w:sz w:val="20"/>
                <w:szCs w:val="20"/>
                <w:lang w:val="en-GB" w:eastAsia="en-GB"/>
              </w:rPr>
              <w:t>China</w:t>
            </w:r>
          </w:p>
        </w:tc>
        <w:tc>
          <w:tcPr>
            <w:tcW w:w="1276" w:type="dxa"/>
          </w:tcPr>
          <w:p w14:paraId="0BDECAC6" w14:textId="579BBE43" w:rsidR="00743B47" w:rsidRPr="005F4695" w:rsidRDefault="00743B47" w:rsidP="00743B47">
            <w:pPr>
              <w:rPr>
                <w:rFonts w:asciiTheme="minorBidi" w:hAnsiTheme="minorBidi" w:cstheme="minorBidi"/>
                <w:color w:val="000000" w:themeColor="text1"/>
                <w:sz w:val="20"/>
                <w:szCs w:val="20"/>
              </w:rPr>
            </w:pPr>
            <w:r w:rsidRPr="005F4695">
              <w:rPr>
                <w:rFonts w:asciiTheme="minorBidi" w:hAnsiTheme="minorBidi" w:cstheme="minorBidi"/>
                <w:color w:val="000000" w:themeColor="text1"/>
                <w:sz w:val="20"/>
                <w:szCs w:val="20"/>
                <w:lang w:val="en-GB" w:eastAsia="en-GB"/>
              </w:rPr>
              <w:t>2751, adults       (18-60)</w:t>
            </w:r>
          </w:p>
        </w:tc>
        <w:tc>
          <w:tcPr>
            <w:tcW w:w="1559" w:type="dxa"/>
          </w:tcPr>
          <w:p w14:paraId="7D15D149" w14:textId="39BDFDCE" w:rsidR="00743B47" w:rsidRPr="005F4695" w:rsidRDefault="00743B47" w:rsidP="00743B47">
            <w:pPr>
              <w:rPr>
                <w:rFonts w:asciiTheme="minorBidi" w:hAnsiTheme="minorBidi" w:cstheme="minorBidi"/>
                <w:color w:val="000000" w:themeColor="text1"/>
                <w:sz w:val="20"/>
                <w:szCs w:val="20"/>
              </w:rPr>
            </w:pPr>
            <w:r w:rsidRPr="005F4695">
              <w:rPr>
                <w:rFonts w:asciiTheme="minorBidi" w:hAnsiTheme="minorBidi" w:cstheme="minorBidi"/>
                <w:color w:val="000000" w:themeColor="text1"/>
                <w:sz w:val="20"/>
                <w:szCs w:val="20"/>
                <w:lang w:val="en-GB" w:eastAsia="en-GB"/>
              </w:rPr>
              <w:t>3 x 24hr recalls</w:t>
            </w:r>
          </w:p>
        </w:tc>
        <w:tc>
          <w:tcPr>
            <w:tcW w:w="1559" w:type="dxa"/>
          </w:tcPr>
          <w:p w14:paraId="490AE909" w14:textId="1C3D83E6" w:rsidR="00743B47" w:rsidRPr="005F4695" w:rsidRDefault="00A940F3" w:rsidP="00743B47">
            <w:pPr>
              <w:rPr>
                <w:rFonts w:asciiTheme="minorBidi" w:hAnsiTheme="minorBidi" w:cstheme="minorBidi"/>
                <w:color w:val="000000" w:themeColor="text1"/>
                <w:sz w:val="20"/>
                <w:szCs w:val="20"/>
              </w:rPr>
            </w:pPr>
            <w:r>
              <w:rPr>
                <w:rFonts w:asciiTheme="minorBidi" w:hAnsiTheme="minorBidi" w:cstheme="minorBidi"/>
                <w:color w:val="000000" w:themeColor="text1"/>
                <w:sz w:val="20"/>
                <w:szCs w:val="20"/>
                <w:lang w:val="en-GB" w:eastAsia="en-GB"/>
              </w:rPr>
              <w:t>DASH score</w:t>
            </w:r>
            <w:r w:rsidR="00743B47" w:rsidRPr="005F4695">
              <w:rPr>
                <w:rFonts w:asciiTheme="minorBidi" w:hAnsiTheme="minorBidi" w:cstheme="minorBidi"/>
                <w:color w:val="000000" w:themeColor="text1"/>
                <w:sz w:val="20"/>
                <w:szCs w:val="20"/>
                <w:lang w:val="en-GB" w:eastAsia="en-GB"/>
              </w:rPr>
              <w:t xml:space="preserve"> </w:t>
            </w:r>
          </w:p>
        </w:tc>
        <w:tc>
          <w:tcPr>
            <w:tcW w:w="5305" w:type="dxa"/>
          </w:tcPr>
          <w:p w14:paraId="7873E968" w14:textId="77777777"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lang w:val="en-GB" w:eastAsia="en-GB"/>
              </w:rPr>
              <w:t xml:space="preserve">8 (high intake of fruits (including pure fruit juice), vegetables (excluding potatoes), nuts and legumes, low-fat dairy products, wholegrains and low intake of red and processed meats, Na and sweetened beverages (including sugar sweetened cordial and sweetened fruit based drinks), </w:t>
            </w:r>
            <w:r w:rsidRPr="005F4695">
              <w:rPr>
                <w:rFonts w:asciiTheme="minorBidi" w:hAnsiTheme="minorBidi" w:cstheme="minorBidi"/>
                <w:color w:val="000000" w:themeColor="text1"/>
                <w:sz w:val="20"/>
                <w:szCs w:val="20"/>
              </w:rPr>
              <w:t>1 to 5 with equal weight assigned to groups</w:t>
            </w:r>
            <w:r w:rsidRPr="005F4695">
              <w:rPr>
                <w:rFonts w:asciiTheme="minorBidi" w:hAnsiTheme="minorBidi" w:cstheme="minorBidi"/>
                <w:color w:val="000000" w:themeColor="text1"/>
                <w:sz w:val="20"/>
                <w:szCs w:val="20"/>
                <w:lang w:eastAsia="en-GB"/>
              </w:rPr>
              <w:t xml:space="preserve">, </w:t>
            </w:r>
            <w:r w:rsidRPr="005F4695">
              <w:rPr>
                <w:rFonts w:asciiTheme="minorBidi" w:hAnsiTheme="minorBidi" w:cstheme="minorBidi"/>
                <w:color w:val="000000" w:themeColor="text1"/>
                <w:sz w:val="20"/>
                <w:szCs w:val="20"/>
                <w:lang w:val="en-GB" w:eastAsia="en-GB"/>
              </w:rPr>
              <w:t>overall score range from 8 to 40 points</w:t>
            </w:r>
          </w:p>
          <w:p w14:paraId="429AE080" w14:textId="1B2869EA" w:rsidR="00743B47" w:rsidRPr="005F4695" w:rsidRDefault="00743B47" w:rsidP="00743B47">
            <w:pPr>
              <w:rPr>
                <w:rFonts w:asciiTheme="minorBidi" w:hAnsiTheme="minorBidi" w:cstheme="minorBidi"/>
                <w:color w:val="000000" w:themeColor="text1"/>
                <w:sz w:val="20"/>
                <w:szCs w:val="20"/>
              </w:rPr>
            </w:pPr>
          </w:p>
        </w:tc>
      </w:tr>
      <w:tr w:rsidR="00743B47" w:rsidRPr="005F4695" w14:paraId="70CAED59" w14:textId="77777777" w:rsidTr="00B20E43">
        <w:trPr>
          <w:trHeight w:val="900"/>
        </w:trPr>
        <w:tc>
          <w:tcPr>
            <w:tcW w:w="1555" w:type="dxa"/>
          </w:tcPr>
          <w:p w14:paraId="297127AB" w14:textId="080E1CAD" w:rsidR="00743B47" w:rsidRPr="005F4695" w:rsidRDefault="00743B47" w:rsidP="00743B47">
            <w:pPr>
              <w:rPr>
                <w:rFonts w:asciiTheme="minorBidi" w:hAnsiTheme="minorBidi" w:cstheme="minorBidi"/>
                <w:b/>
                <w:bCs/>
                <w:color w:val="000000" w:themeColor="text1"/>
                <w:sz w:val="20"/>
                <w:szCs w:val="20"/>
              </w:rPr>
            </w:pPr>
            <w:r w:rsidRPr="003754B5">
              <w:rPr>
                <w:rFonts w:asciiTheme="minorBidi" w:hAnsiTheme="minorBidi" w:cstheme="minorBidi"/>
                <w:color w:val="000000" w:themeColor="text1"/>
                <w:sz w:val="20"/>
                <w:szCs w:val="20"/>
              </w:rPr>
              <w:t>Lau et al</w:t>
            </w:r>
            <w:r>
              <w:rPr>
                <w:rFonts w:asciiTheme="minorBidi" w:hAnsiTheme="minorBidi" w:cstheme="minorBidi"/>
                <w:color w:val="000000" w:themeColor="text1"/>
                <w:sz w:val="20"/>
                <w:szCs w:val="20"/>
              </w:rPr>
              <w:t>, 2015</w:t>
            </w:r>
            <w:r w:rsidRPr="003754B5">
              <w:rPr>
                <w:rFonts w:asciiTheme="minorBidi" w:hAnsiTheme="minorBidi" w:cstheme="minorBidi"/>
                <w:color w:val="000000" w:themeColor="text1"/>
                <w:sz w:val="20"/>
                <w:szCs w:val="20"/>
              </w:rPr>
              <w:t xml:space="preserve"> </w:t>
            </w:r>
            <w:r w:rsidRPr="003754B5">
              <w:rPr>
                <w:rFonts w:asciiTheme="minorBidi" w:hAnsiTheme="minorBidi" w:cstheme="minorBidi"/>
                <w:color w:val="000000" w:themeColor="text1"/>
                <w:sz w:val="20"/>
                <w:szCs w:val="20"/>
              </w:rPr>
              <w:fldChar w:fldCharType="begin" w:fldLock="1"/>
            </w:r>
            <w:r>
              <w:rPr>
                <w:rFonts w:asciiTheme="minorBidi" w:hAnsiTheme="minorBidi" w:cstheme="minorBidi"/>
                <w:color w:val="000000" w:themeColor="text1"/>
                <w:sz w:val="20"/>
                <w:szCs w:val="20"/>
              </w:rPr>
              <w:instrText>ADDIN CSL_CITATION {"citationItems":[{"id":"ITEM-1","itemData":{"DOI":"10.1093/ajh/hpu195","ISSN":"0895-7061","PMID":"25352231","abstract":"BACKGROUND AND PURPOSE The Mediterranean-style diet is widely advocated for the prevention of cardiovascular diseases (CVD). Meanwhile, blood pressure variability (BPV) is a novel risk factor for CVD. It is unknown whether dietary pattern plays a role in modulating BPV. METHODS We prospectively followed-up 274 consecutive patients with stable coronary artery disease (CAD). The Mediterranean diet score (MDS) was derived for all individuals upon recruitment, blood pressure (BP) was measured during each subsequent clinic visit and the visit-to-visit BPV was calculated. The occurrence of major adverse cardiovascular events (MACEs) and all-cause mortality was monitored. RESULTS After a mean follow-up of 77±12 months, 16.1% of the study population developed MACEs. About 11.3% died from all causes. Patients who developed MACEs or all-cause mortality had a greater systolic BPV compared to those who did not develop an adverse event. Patients who developed a MACE had a lower MDS and further analysis revealed those who developed a stroke had a lower MDS compared with those who did not develop a stroke, but there were no significant differences in MDS between CAD patients with or without subsequent acute coronary syndrome, cardiovascular, or all-cause mortality. After adjusting for confounding variables, a high MDS was an independent predictor for low systolic BPV (B -0.74, 95% confidence interval -1.27 to -0.21, P &lt; 0.01) and was noted to be protective against subsequent development of stroke (hazards ratio 0.48, 95% confidence interval 0.24 to 0.94, P = 0.03). CONCLUSIONS Among patients with CAD, a higher MDS is associated with a lower visit-to-visit BPV and with lower stroke risk.","author":[{"dropping-particle":"","family":"Lau","given":"K.-K.","non-dropping-particle":"","parse-names":false,"suffix":""},{"dropping-particle":"","family":"Wong","given":"Y.-K.","non-dropping-particle":"","parse-names":false,"suffix":""},{"dropping-particle":"","family":"Chan","given":"Y.-H.","non-dropping-particle":"","parse-names":false,"suffix":""},{"dropping-particle":"","family":"Li","given":"O.-Y.","non-dropping-particle":"","parse-names":false,"suffix":""},{"dropping-particle":"","family":"Lee","given":"P. Y.-S.","non-dropping-particle":"","parse-names":false,"suffix":""},{"dropping-particle":"","family":"Yuen","given":"G. G.","non-dropping-particle":"","parse-names":false,"suffix":""},{"dropping-particle":"","family":"Wong","given":"Y.-K.","non-dropping-particle":"","parse-names":false,"suffix":""},{"dropping-particle":"","family":"Tong","given":"S.","non-dropping-particle":"","parse-names":false,"suffix":""},{"dropping-particle":"","family":"Wong","given":"D.","non-dropping-particle":"","parse-names":false,"suffix":""},{"dropping-particle":"","family":"Chan","given":"K.-H.","non-dropping-particle":"","parse-names":false,"suffix":""},{"dropping-particle":"","family":"Cheung","given":"R. T.-F.","non-dropping-particle":"","parse-names":false,"suffix":""},{"dropping-particle":"","family":"Siu","given":"C.-W.","non-dropping-particle":"","parse-names":false,"suffix":""},{"dropping-particle":"","family":"Ho","given":"S.-L.","non-dropping-particle":"","parse-names":false,"suffix":""},{"dropping-particle":"","family":"Tse","given":"H.-F.","non-dropping-particle":"","parse-names":false,"suffix":""}],"container-title":"American Journal of Hypertension","id":"ITEM-1","issue":"4","issued":{"date-parts":[["2015","4","1"]]},"page":"501-507","title":"Mediterranean-Style Diet Is Associated With Reduced Blood Pressure Variability and Subsequent Stroke Risk in Patients With Coronary Artery Disease","type":"article-journal","volume":"28"},"uris":["http://www.mendeley.com/documents/?uuid=4791bdf4-53af-3e92-aa4b-8569e8109af5"]}],"mendeley":{"formattedCitation":"(47)","plainTextFormattedCitation":"(47)","previouslyFormattedCitation":"(47)"},"properties":{"noteIndex":0},"schema":"https://github.com/citation-style-language/schema/raw/master/csl-citation.json"}</w:instrText>
            </w:r>
            <w:r w:rsidRPr="003754B5">
              <w:rPr>
                <w:rFonts w:asciiTheme="minorBidi" w:hAnsiTheme="minorBidi" w:cstheme="minorBidi"/>
                <w:color w:val="000000" w:themeColor="text1"/>
                <w:sz w:val="20"/>
                <w:szCs w:val="20"/>
              </w:rPr>
              <w:fldChar w:fldCharType="separate"/>
            </w:r>
            <w:r w:rsidRPr="003754B5">
              <w:rPr>
                <w:rFonts w:asciiTheme="minorBidi" w:hAnsiTheme="minorBidi" w:cstheme="minorBidi"/>
                <w:noProof/>
                <w:color w:val="000000" w:themeColor="text1"/>
                <w:sz w:val="20"/>
                <w:szCs w:val="20"/>
              </w:rPr>
              <w:t>(47)</w:t>
            </w:r>
            <w:r w:rsidRPr="003754B5">
              <w:rPr>
                <w:rFonts w:asciiTheme="minorBidi" w:hAnsiTheme="minorBidi" w:cstheme="minorBidi"/>
                <w:color w:val="000000" w:themeColor="text1"/>
                <w:sz w:val="20"/>
                <w:szCs w:val="20"/>
              </w:rPr>
              <w:fldChar w:fldCharType="end"/>
            </w:r>
          </w:p>
        </w:tc>
        <w:tc>
          <w:tcPr>
            <w:tcW w:w="1417" w:type="dxa"/>
          </w:tcPr>
          <w:p w14:paraId="750BA6D5" w14:textId="69FBAB88" w:rsidR="00743B47" w:rsidRPr="005F4695" w:rsidRDefault="00743B47" w:rsidP="00743B47">
            <w:pPr>
              <w:rPr>
                <w:rFonts w:asciiTheme="minorBidi" w:hAnsiTheme="minorBidi" w:cstheme="minorBidi"/>
                <w:color w:val="000000" w:themeColor="text1"/>
                <w:sz w:val="20"/>
                <w:szCs w:val="20"/>
              </w:rPr>
            </w:pPr>
            <w:r w:rsidRPr="005F4695">
              <w:rPr>
                <w:rFonts w:asciiTheme="minorBidi" w:hAnsiTheme="minorBidi" w:cstheme="minorBidi"/>
                <w:color w:val="000000" w:themeColor="text1"/>
                <w:sz w:val="20"/>
                <w:szCs w:val="20"/>
              </w:rPr>
              <w:t>China</w:t>
            </w:r>
          </w:p>
        </w:tc>
        <w:tc>
          <w:tcPr>
            <w:tcW w:w="1276" w:type="dxa"/>
          </w:tcPr>
          <w:p w14:paraId="5B0C1FCE" w14:textId="63D9B34F" w:rsidR="00743B47" w:rsidRPr="005F4695" w:rsidRDefault="00743B47" w:rsidP="00743B47">
            <w:pPr>
              <w:rPr>
                <w:rFonts w:asciiTheme="minorBidi" w:hAnsiTheme="minorBidi" w:cstheme="minorBidi"/>
                <w:color w:val="000000" w:themeColor="text1"/>
                <w:sz w:val="20"/>
                <w:szCs w:val="20"/>
              </w:rPr>
            </w:pPr>
            <w:r w:rsidRPr="005F4695">
              <w:rPr>
                <w:rFonts w:asciiTheme="minorBidi" w:hAnsiTheme="minorBidi" w:cstheme="minorBidi"/>
                <w:color w:val="000000" w:themeColor="text1"/>
                <w:sz w:val="20"/>
                <w:szCs w:val="20"/>
              </w:rPr>
              <w:t>274,       adults        (68±10)</w:t>
            </w:r>
          </w:p>
        </w:tc>
        <w:tc>
          <w:tcPr>
            <w:tcW w:w="1559" w:type="dxa"/>
          </w:tcPr>
          <w:p w14:paraId="7B2D075C" w14:textId="31C0CAA5" w:rsidR="00743B47" w:rsidRPr="005F4695" w:rsidRDefault="00743B47" w:rsidP="00743B47">
            <w:pPr>
              <w:rPr>
                <w:rFonts w:asciiTheme="minorBidi" w:hAnsiTheme="minorBidi" w:cstheme="minorBidi"/>
                <w:color w:val="000000" w:themeColor="text1"/>
                <w:sz w:val="20"/>
                <w:szCs w:val="20"/>
              </w:rPr>
            </w:pPr>
            <w:r w:rsidRPr="005F4695">
              <w:rPr>
                <w:rFonts w:asciiTheme="minorBidi" w:hAnsiTheme="minorBidi" w:cstheme="minorBidi"/>
                <w:color w:val="000000" w:themeColor="text1"/>
                <w:sz w:val="20"/>
                <w:szCs w:val="20"/>
              </w:rPr>
              <w:t xml:space="preserve">FFQ </w:t>
            </w:r>
          </w:p>
        </w:tc>
        <w:tc>
          <w:tcPr>
            <w:tcW w:w="1559" w:type="dxa"/>
          </w:tcPr>
          <w:p w14:paraId="09805959" w14:textId="20FDF961" w:rsidR="00743B47" w:rsidRPr="005F4695" w:rsidRDefault="00743B47" w:rsidP="00743B47">
            <w:pPr>
              <w:rPr>
                <w:rFonts w:asciiTheme="minorBidi" w:hAnsiTheme="minorBidi" w:cstheme="minorBidi"/>
                <w:color w:val="000000" w:themeColor="text1"/>
                <w:sz w:val="20"/>
                <w:szCs w:val="20"/>
              </w:rPr>
            </w:pPr>
            <w:r w:rsidRPr="005F4695">
              <w:rPr>
                <w:rFonts w:asciiTheme="minorBidi" w:hAnsiTheme="minorBidi" w:cstheme="minorBidi"/>
                <w:color w:val="000000" w:themeColor="text1"/>
                <w:sz w:val="20"/>
                <w:szCs w:val="20"/>
              </w:rPr>
              <w:t>MDS</w:t>
            </w:r>
          </w:p>
        </w:tc>
        <w:tc>
          <w:tcPr>
            <w:tcW w:w="5305" w:type="dxa"/>
          </w:tcPr>
          <w:p w14:paraId="16EB2CBC" w14:textId="0F0C6375" w:rsidR="00743B47" w:rsidRPr="005F4695" w:rsidRDefault="00743B47" w:rsidP="00743B47">
            <w:pPr>
              <w:autoSpaceDE w:val="0"/>
              <w:autoSpaceDN w:val="0"/>
              <w:adjustRightInd w:val="0"/>
              <w:rPr>
                <w:rFonts w:asciiTheme="minorBidi" w:eastAsiaTheme="minorHAnsi" w:hAnsiTheme="minorBidi" w:cstheme="minorBidi"/>
                <w:color w:val="000000" w:themeColor="text1"/>
                <w:sz w:val="20"/>
                <w:szCs w:val="20"/>
              </w:rPr>
            </w:pPr>
            <w:r w:rsidRPr="005F4695">
              <w:rPr>
                <w:rFonts w:asciiTheme="minorBidi" w:eastAsiaTheme="minorHAnsi" w:hAnsiTheme="minorBidi" w:cstheme="minorBidi"/>
                <w:color w:val="000000" w:themeColor="text1"/>
                <w:sz w:val="20"/>
                <w:szCs w:val="20"/>
              </w:rPr>
              <w:t>8, (fruit, vegetables, cereals, legumes and fish) 2 points were given to the highest category of consumption, 1 point for the middle category and 0 point for the lowest category and (meat and meat products, dairy products, high monounsaturated: saturated fat ratio) points were reversed, weighted means used for the sample size, overall score ranged from 0 to 17 points</w:t>
            </w:r>
          </w:p>
          <w:p w14:paraId="1BF067CD" w14:textId="77777777" w:rsidR="00743B47" w:rsidRPr="005F4695" w:rsidRDefault="00743B47" w:rsidP="00743B47">
            <w:pPr>
              <w:rPr>
                <w:rFonts w:asciiTheme="minorBidi" w:hAnsiTheme="minorBidi" w:cstheme="minorBidi"/>
                <w:color w:val="000000" w:themeColor="text1"/>
                <w:sz w:val="20"/>
                <w:szCs w:val="20"/>
              </w:rPr>
            </w:pPr>
          </w:p>
        </w:tc>
      </w:tr>
      <w:tr w:rsidR="00743B47" w:rsidRPr="005F4695" w14:paraId="523F3A28" w14:textId="77777777" w:rsidTr="00B20E43">
        <w:trPr>
          <w:trHeight w:val="900"/>
        </w:trPr>
        <w:tc>
          <w:tcPr>
            <w:tcW w:w="1555" w:type="dxa"/>
          </w:tcPr>
          <w:p w14:paraId="0B1E0742" w14:textId="541D4F48" w:rsidR="00743B47" w:rsidRPr="005F4695" w:rsidRDefault="00743B47" w:rsidP="00743B47">
            <w:pPr>
              <w:rPr>
                <w:rFonts w:asciiTheme="minorBidi" w:hAnsiTheme="minorBidi" w:cstheme="minorBidi"/>
                <w:b/>
                <w:bCs/>
                <w:color w:val="000000" w:themeColor="text1"/>
                <w:sz w:val="20"/>
                <w:szCs w:val="20"/>
              </w:rPr>
            </w:pPr>
            <w:r w:rsidRPr="003754B5">
              <w:rPr>
                <w:rFonts w:asciiTheme="minorBidi" w:hAnsiTheme="minorBidi" w:cstheme="minorBidi"/>
                <w:sz w:val="20"/>
                <w:szCs w:val="20"/>
                <w:lang w:val="en-GB" w:eastAsia="en-GB"/>
              </w:rPr>
              <w:t>Murakami et al</w:t>
            </w:r>
            <w:r>
              <w:rPr>
                <w:rFonts w:asciiTheme="minorBidi" w:hAnsiTheme="minorBidi" w:cstheme="minorBidi"/>
                <w:sz w:val="20"/>
                <w:szCs w:val="20"/>
                <w:lang w:val="en-GB" w:eastAsia="en-GB"/>
              </w:rPr>
              <w:t>, 2018</w:t>
            </w:r>
            <w:r w:rsidRPr="003754B5">
              <w:rPr>
                <w:rFonts w:asciiTheme="minorBidi" w:hAnsiTheme="minorBidi" w:cstheme="minorBidi"/>
                <w:sz w:val="20"/>
                <w:szCs w:val="20"/>
                <w:lang w:val="en-GB" w:eastAsia="en-GB"/>
              </w:rPr>
              <w:t xml:space="preserve"> </w:t>
            </w:r>
            <w:r w:rsidRPr="003754B5">
              <w:rPr>
                <w:rFonts w:asciiTheme="minorBidi" w:hAnsiTheme="minorBidi" w:cstheme="minorBidi"/>
                <w:sz w:val="20"/>
                <w:szCs w:val="20"/>
                <w:lang w:val="en-GB" w:eastAsia="en-GB"/>
              </w:rPr>
              <w:fldChar w:fldCharType="begin" w:fldLock="1"/>
            </w:r>
            <w:r>
              <w:rPr>
                <w:rFonts w:asciiTheme="minorBidi" w:hAnsiTheme="minorBidi" w:cstheme="minorBidi"/>
                <w:sz w:val="20"/>
                <w:szCs w:val="20"/>
                <w:lang w:val="en-GB" w:eastAsia="en-GB"/>
              </w:rPr>
              <w:instrText>ADDIN CSL_CITATION {"citationItems":[{"id":"ITEM-1","itemData":{"DOI":"10.1007/s00394-018-1762-6","ISSN":"1436-6207","PMID":"29951937","abstract":"OBJECTIVE Associations between the overall quality of Japanese diets and metabolic risk factors are largely unknown. This cross-sectional study investigated this issue using data from the 2012 National Health and Nutrition Survey, Japan. METHODS Dietary intake was assessed by a 1-day weighed dietary record in 15,618 Japanese adults aged ≥ 20 years. Overall diet quality was assessed by adherence to the Japanese Food Guide Spinning Top (JFG score), its modified version (modified JFG score), the Mediterranean diet score (MDS) and the Dietary Approaches to Stop Hypertension (DASH) score. Metabolic risk factors included BMI, waist circumference, blood pressure, total, HDL- and LDL-cholesterol and glycated haemoglobin. RESULTS While DASH score was consistently associated with favourable nutrient intake patterns (including higher micronutrient and dietary fibre intakes and lower SFA and sodium intakes), other scores were associated with both favourable and unfavourable aspects (e.g., lower micronutrient intakes for JFG score, higher SFA intakes for modified JFG score and higher sodium intakes for MDS). The associations with metabolic risk factors were also inconsistent and unexpected, including positive associations of JFG and modified JFG scores with LDL-cholesterol, inverse associations of MDS with HDL-cholesterol and null associations of DASH score with blood pressure. CONCLUSIONS This study did not show expected and consistent associations of the four available diet quality scores with nutrient intakes and metabolic risk factors in Japanese adults. This in turn suggests the need for a scientific base on which to develop an appropriate tool for assessing the quality of diets in the Japanese context.","author":[{"dropping-particle":"","family":"Murakami","given":"Kentaro","non-dropping-particle":"","parse-names":false,"suffix":""},{"dropping-particle":"","family":"Livingstone","given":"M. Barbara E.","non-dropping-particle":"","parse-names":false,"suffix":""},{"dropping-particle":"","family":"Sasaki","given":"Satoshi","non-dropping-particle":"","parse-names":false,"suffix":""}],"container-title":"European Journal of Nutrition","id":"ITEM-1","issued":{"date-parts":[["2018","6","27"]]},"title":"Diet quality scores in relation to metabolic risk factors in Japanese adults: a cross-sectional analysis from the 2012 National Health and Nutrition Survey, Japan","type":"article-journal","volume":"http:// do"},"uris":["http://www.mendeley.com/documents/?uuid=a94fb325-273e-3f3b-ab8a-4166699a9d0a"]}],"mendeley":{"formattedCitation":"(48)","plainTextFormattedCitation":"(48)","previouslyFormattedCitation":"(48)"},"properties":{"noteIndex":0},"schema":"https://github.com/citation-style-language/schema/raw/master/csl-citation.json"}</w:instrText>
            </w:r>
            <w:r w:rsidRPr="003754B5">
              <w:rPr>
                <w:rFonts w:asciiTheme="minorBidi" w:hAnsiTheme="minorBidi" w:cstheme="minorBidi"/>
                <w:sz w:val="20"/>
                <w:szCs w:val="20"/>
                <w:lang w:val="en-GB" w:eastAsia="en-GB"/>
              </w:rPr>
              <w:fldChar w:fldCharType="separate"/>
            </w:r>
            <w:r w:rsidRPr="003754B5">
              <w:rPr>
                <w:rFonts w:asciiTheme="minorBidi" w:hAnsiTheme="minorBidi" w:cstheme="minorBidi"/>
                <w:noProof/>
                <w:sz w:val="20"/>
                <w:szCs w:val="20"/>
                <w:lang w:val="en-GB" w:eastAsia="en-GB"/>
              </w:rPr>
              <w:t>(48)</w:t>
            </w:r>
            <w:r w:rsidRPr="003754B5">
              <w:rPr>
                <w:rFonts w:asciiTheme="minorBidi" w:hAnsiTheme="minorBidi" w:cstheme="minorBidi"/>
                <w:sz w:val="20"/>
                <w:szCs w:val="20"/>
                <w:lang w:val="en-GB" w:eastAsia="en-GB"/>
              </w:rPr>
              <w:fldChar w:fldCharType="end"/>
            </w:r>
          </w:p>
        </w:tc>
        <w:tc>
          <w:tcPr>
            <w:tcW w:w="1417" w:type="dxa"/>
          </w:tcPr>
          <w:p w14:paraId="1A0920F5" w14:textId="7B4D9776" w:rsidR="00743B47" w:rsidRPr="005F4695" w:rsidRDefault="00743B47" w:rsidP="00743B47">
            <w:pPr>
              <w:rPr>
                <w:rFonts w:asciiTheme="minorBidi" w:hAnsiTheme="minorBidi" w:cstheme="minorBidi"/>
                <w:color w:val="000000" w:themeColor="text1"/>
                <w:sz w:val="20"/>
                <w:szCs w:val="20"/>
              </w:rPr>
            </w:pPr>
            <w:r w:rsidRPr="005F4695">
              <w:rPr>
                <w:rFonts w:asciiTheme="minorBidi" w:hAnsiTheme="minorBidi" w:cstheme="minorBidi"/>
                <w:color w:val="000000" w:themeColor="text1"/>
                <w:sz w:val="20"/>
                <w:szCs w:val="20"/>
                <w:lang w:val="en-GB" w:eastAsia="en-GB"/>
              </w:rPr>
              <w:t>Japan</w:t>
            </w:r>
          </w:p>
        </w:tc>
        <w:tc>
          <w:tcPr>
            <w:tcW w:w="1276" w:type="dxa"/>
          </w:tcPr>
          <w:p w14:paraId="6B421066" w14:textId="66168500" w:rsidR="00743B47" w:rsidRPr="005F4695" w:rsidRDefault="00743B47" w:rsidP="00743B47">
            <w:pPr>
              <w:rPr>
                <w:rFonts w:asciiTheme="minorBidi" w:hAnsiTheme="minorBidi" w:cstheme="minorBidi"/>
                <w:color w:val="000000" w:themeColor="text1"/>
                <w:sz w:val="20"/>
                <w:szCs w:val="20"/>
              </w:rPr>
            </w:pPr>
            <w:r w:rsidRPr="005F4695">
              <w:rPr>
                <w:rFonts w:asciiTheme="minorBidi" w:hAnsiTheme="minorBidi" w:cstheme="minorBidi"/>
                <w:color w:val="000000" w:themeColor="text1"/>
                <w:sz w:val="20"/>
                <w:szCs w:val="20"/>
                <w:lang w:val="en-GB" w:eastAsia="en-GB"/>
              </w:rPr>
              <w:t xml:space="preserve">15618, adults </w:t>
            </w:r>
          </w:p>
        </w:tc>
        <w:tc>
          <w:tcPr>
            <w:tcW w:w="1559" w:type="dxa"/>
          </w:tcPr>
          <w:p w14:paraId="607BF823" w14:textId="27BF0459" w:rsidR="00743B47" w:rsidRPr="005F4695" w:rsidRDefault="00743B47" w:rsidP="00743B47">
            <w:pPr>
              <w:rPr>
                <w:rFonts w:asciiTheme="minorBidi" w:hAnsiTheme="minorBidi" w:cstheme="minorBidi"/>
                <w:color w:val="000000" w:themeColor="text1"/>
                <w:sz w:val="20"/>
                <w:szCs w:val="20"/>
              </w:rPr>
            </w:pPr>
            <w:r w:rsidRPr="005F4695">
              <w:rPr>
                <w:rFonts w:asciiTheme="minorBidi" w:hAnsiTheme="minorBidi" w:cstheme="minorBidi"/>
                <w:color w:val="000000" w:themeColor="text1"/>
                <w:sz w:val="20"/>
                <w:szCs w:val="20"/>
                <w:lang w:val="en-GB" w:eastAsia="en-GB"/>
              </w:rPr>
              <w:t>1 day weighed dietary record</w:t>
            </w:r>
          </w:p>
        </w:tc>
        <w:tc>
          <w:tcPr>
            <w:tcW w:w="1559" w:type="dxa"/>
          </w:tcPr>
          <w:p w14:paraId="0EEB43E4" w14:textId="7A045759"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lang w:val="en-GB" w:eastAsia="en-GB"/>
              </w:rPr>
              <w:t xml:space="preserve">Comparison: </w:t>
            </w:r>
            <w:r w:rsidR="005E069D">
              <w:rPr>
                <w:rFonts w:ascii="Arial" w:hAnsi="Arial" w:cs="Arial"/>
                <w:color w:val="000000"/>
                <w:sz w:val="20"/>
                <w:szCs w:val="20"/>
                <w:shd w:val="clear" w:color="auto" w:fill="FFFFFF"/>
              </w:rPr>
              <w:t>Japanese Food Guide</w:t>
            </w:r>
            <w:r w:rsidR="005E069D" w:rsidRPr="005F4695">
              <w:rPr>
                <w:rFonts w:asciiTheme="minorBidi" w:hAnsiTheme="minorBidi" w:cstheme="minorBidi"/>
                <w:color w:val="000000" w:themeColor="text1"/>
                <w:sz w:val="20"/>
                <w:szCs w:val="20"/>
                <w:lang w:val="en-GB" w:eastAsia="en-GB"/>
              </w:rPr>
              <w:t xml:space="preserve"> </w:t>
            </w:r>
            <w:r w:rsidR="005E069D">
              <w:rPr>
                <w:rFonts w:asciiTheme="minorBidi" w:hAnsiTheme="minorBidi" w:cstheme="minorBidi"/>
                <w:color w:val="000000" w:themeColor="text1"/>
                <w:sz w:val="20"/>
                <w:szCs w:val="20"/>
                <w:lang w:val="en-GB" w:eastAsia="en-GB"/>
              </w:rPr>
              <w:t>(</w:t>
            </w:r>
            <w:r w:rsidRPr="005F4695">
              <w:rPr>
                <w:rFonts w:asciiTheme="minorBidi" w:hAnsiTheme="minorBidi" w:cstheme="minorBidi"/>
                <w:color w:val="000000" w:themeColor="text1"/>
                <w:sz w:val="20"/>
                <w:szCs w:val="20"/>
                <w:lang w:val="en-GB" w:eastAsia="en-GB"/>
              </w:rPr>
              <w:t>JFG</w:t>
            </w:r>
            <w:r w:rsidR="005E069D">
              <w:rPr>
                <w:rFonts w:asciiTheme="minorBidi" w:hAnsiTheme="minorBidi" w:cstheme="minorBidi"/>
                <w:color w:val="000000" w:themeColor="text1"/>
                <w:sz w:val="20"/>
                <w:szCs w:val="20"/>
                <w:lang w:val="en-GB" w:eastAsia="en-GB"/>
              </w:rPr>
              <w:t>)</w:t>
            </w:r>
            <w:r w:rsidRPr="005F4695">
              <w:rPr>
                <w:rFonts w:asciiTheme="minorBidi" w:hAnsiTheme="minorBidi" w:cstheme="minorBidi"/>
                <w:color w:val="000000" w:themeColor="text1"/>
                <w:sz w:val="20"/>
                <w:szCs w:val="20"/>
                <w:lang w:val="en-GB" w:eastAsia="en-GB"/>
              </w:rPr>
              <w:t xml:space="preserve"> score, </w:t>
            </w:r>
            <w:r w:rsidRPr="005F4695">
              <w:rPr>
                <w:rFonts w:asciiTheme="minorBidi" w:hAnsiTheme="minorBidi" w:cstheme="minorBidi"/>
                <w:color w:val="000000" w:themeColor="text1"/>
                <w:sz w:val="20"/>
                <w:szCs w:val="20"/>
                <w:lang w:val="en-GB" w:eastAsia="en-GB"/>
              </w:rPr>
              <w:lastRenderedPageBreak/>
              <w:t xml:space="preserve">MDS, </w:t>
            </w:r>
            <w:r w:rsidR="00A940F3">
              <w:rPr>
                <w:rFonts w:asciiTheme="minorBidi" w:hAnsiTheme="minorBidi" w:cstheme="minorBidi"/>
                <w:color w:val="000000" w:themeColor="text1"/>
                <w:sz w:val="20"/>
                <w:szCs w:val="20"/>
                <w:lang w:val="en-GB" w:eastAsia="en-GB"/>
              </w:rPr>
              <w:t>DASH score</w:t>
            </w:r>
          </w:p>
        </w:tc>
        <w:tc>
          <w:tcPr>
            <w:tcW w:w="5305" w:type="dxa"/>
          </w:tcPr>
          <w:p w14:paraId="26DBA1D0" w14:textId="21E55A88" w:rsidR="00743B47" w:rsidRPr="005F4695" w:rsidRDefault="00743B47" w:rsidP="00743B47">
            <w:pPr>
              <w:autoSpaceDE w:val="0"/>
              <w:autoSpaceDN w:val="0"/>
              <w:adjustRightInd w:val="0"/>
              <w:rPr>
                <w:rFonts w:asciiTheme="minorBidi" w:eastAsiaTheme="minorHAnsi" w:hAnsiTheme="minorBidi" w:cstheme="minorBidi"/>
                <w:color w:val="000000" w:themeColor="text1"/>
                <w:sz w:val="20"/>
                <w:szCs w:val="20"/>
              </w:rPr>
            </w:pPr>
            <w:r w:rsidRPr="005F4695">
              <w:rPr>
                <w:rFonts w:asciiTheme="minorBidi" w:hAnsiTheme="minorBidi" w:cstheme="minorBidi"/>
                <w:bCs/>
                <w:color w:val="000000" w:themeColor="text1"/>
                <w:sz w:val="20"/>
                <w:szCs w:val="20"/>
                <w:lang w:val="en-GB" w:eastAsia="en-GB"/>
              </w:rPr>
              <w:lastRenderedPageBreak/>
              <w:t>JFG score:</w:t>
            </w:r>
            <w:r w:rsidRPr="005F4695">
              <w:rPr>
                <w:rFonts w:asciiTheme="minorBidi" w:hAnsiTheme="minorBidi" w:cstheme="minorBidi"/>
                <w:color w:val="000000" w:themeColor="text1"/>
                <w:sz w:val="20"/>
                <w:szCs w:val="20"/>
                <w:lang w:val="en-GB" w:eastAsia="en-GB"/>
              </w:rPr>
              <w:t xml:space="preserve"> 6 (grain dishes, vegetable dishes, fish and meat dishes, milk, fruits and snacks, confection and beverages), </w:t>
            </w:r>
            <w:r w:rsidRPr="005F4695">
              <w:rPr>
                <w:rFonts w:asciiTheme="minorBidi" w:hAnsiTheme="minorBidi" w:cstheme="minorBidi"/>
                <w:color w:val="000000" w:themeColor="text1"/>
                <w:sz w:val="20"/>
                <w:szCs w:val="20"/>
              </w:rPr>
              <w:t xml:space="preserve">intake within the recommended range was </w:t>
            </w:r>
            <w:r w:rsidRPr="005F4695">
              <w:rPr>
                <w:rFonts w:asciiTheme="minorBidi" w:hAnsiTheme="minorBidi" w:cstheme="minorBidi"/>
                <w:color w:val="000000" w:themeColor="text1"/>
                <w:sz w:val="20"/>
                <w:szCs w:val="20"/>
              </w:rPr>
              <w:lastRenderedPageBreak/>
              <w:t xml:space="preserve">given a score of 10, </w:t>
            </w:r>
            <w:r w:rsidRPr="005F4695">
              <w:rPr>
                <w:rFonts w:asciiTheme="minorBidi" w:eastAsiaTheme="minorHAnsi" w:hAnsiTheme="minorBidi" w:cstheme="minorBidi"/>
                <w:color w:val="000000" w:themeColor="text1"/>
                <w:sz w:val="20"/>
                <w:szCs w:val="20"/>
              </w:rPr>
              <w:t>overall score ranged from 0 to 70 points</w:t>
            </w:r>
          </w:p>
          <w:p w14:paraId="52DB687A" w14:textId="480BDB6B" w:rsidR="00743B47" w:rsidRPr="005F4695" w:rsidRDefault="00743B47" w:rsidP="00743B47">
            <w:pPr>
              <w:rPr>
                <w:rFonts w:asciiTheme="minorBidi" w:hAnsiTheme="minorBidi" w:cstheme="minorBidi"/>
                <w:b/>
                <w:bCs/>
                <w:color w:val="000000" w:themeColor="text1"/>
                <w:sz w:val="20"/>
                <w:szCs w:val="20"/>
                <w:lang w:val="en-GB" w:eastAsia="en-GB"/>
              </w:rPr>
            </w:pPr>
            <w:r w:rsidRPr="005F4695">
              <w:rPr>
                <w:rFonts w:asciiTheme="minorBidi" w:hAnsiTheme="minorBidi" w:cstheme="minorBidi"/>
                <w:bCs/>
                <w:color w:val="000000" w:themeColor="text1"/>
                <w:sz w:val="20"/>
                <w:szCs w:val="20"/>
                <w:lang w:val="en-GB" w:eastAsia="en-GB"/>
              </w:rPr>
              <w:t>MDS</w:t>
            </w:r>
            <w:r w:rsidRPr="005F4695">
              <w:rPr>
                <w:rFonts w:asciiTheme="minorBidi" w:hAnsiTheme="minorBidi" w:cstheme="minorBidi"/>
                <w:color w:val="000000" w:themeColor="text1"/>
                <w:sz w:val="20"/>
                <w:szCs w:val="20"/>
                <w:lang w:val="en-GB" w:eastAsia="en-GB"/>
              </w:rPr>
              <w:t xml:space="preserve">: </w:t>
            </w:r>
            <w:r w:rsidRPr="005F4695">
              <w:rPr>
                <w:rFonts w:asciiTheme="minorBidi" w:hAnsiTheme="minorBidi" w:cstheme="minorBidi"/>
                <w:color w:val="000000" w:themeColor="text1"/>
                <w:sz w:val="20"/>
                <w:szCs w:val="20"/>
                <w:lang w:val="en-GB" w:eastAsia="en-GB"/>
              </w:rPr>
              <w:fldChar w:fldCharType="begin" w:fldLock="1"/>
            </w:r>
            <w:r w:rsidRPr="005F4695">
              <w:rPr>
                <w:rFonts w:asciiTheme="minorBidi" w:hAnsiTheme="minorBidi" w:cstheme="minorBidi"/>
                <w:color w:val="000000" w:themeColor="text1"/>
                <w:sz w:val="20"/>
                <w:szCs w:val="20"/>
                <w:lang w:val="en-GB" w:eastAsia="en-GB"/>
              </w:rPr>
              <w:instrText>ADDIN CSL_CITATION {"citationItems":[{"id":"ITEM-1","itemData":{"DOI":"10.1161/STROKEAHA.114.007894","ISSN":"0039-2499","PMID":"25628306","abstract":"BACKGROUND AND PURPOSE There are limited data on the potential association of adherence to Mediterranean diet (MeD) with incident stroke. We sought to assess the longitudinal association between greater adherence to MeD and risk of incident stroke. METHODS We prospectively evaluated a population-based cohort of 30 239 individuals enrolled in REasons for Geographic and Racial Differences in Stroke (REGARDS) study, after excluding participants with stroke history, missing demographic data or food frequency questionnaires, and unavailable follow-up information. Adherence to MeD was categorized using MeD score. Incident stroke was adjudicated by expert panel review of medical records during a mean follow-up period of 6.5 years. RESULTS Incident stroke was identified in 565 participants (2.8%; 497 and 68 cases of ischemic stroke [IS] and hemorrhagic stroke, respectively) of 20 197 individuals fulfilling the inclusion criteria. High adherence to MeD (MeD score, 5-9) was associated with lower risk of incident IS in unadjusted analyses (hazard ratio, 0.83; 95% confidence interval, 0.70-1.00; P=0.046). The former association retained its significance (hazard ratio, 0.79; 95% confidence interval, 0.65-0.96; P=0.016) after adjustment for demographics, vascular risk factors, blood pressure levels, and antihypertensive medications. When MeD was evaluated as a continuous variable, a 1-point increase in MeD score was independently associated with a 5% reduction in the risk of incident IS (95% confidence interval, 0-11%). We documented no association of adherence to MeD with incident hemorrhagic stroke. There was no interaction of race (P=0.37) on the association of adherence to MeD with incident IS. CONCLUSIONS High adherence to MeD seems to be associated with a lower risk of incident IS independent of potential confounders. Adherence to MeD is not related to the risk of incident hemorrhagic stroke.","author":[{"dropping-particle":"","family":"Tsivgoulis","given":"Georgios","non-dropping-particle":"","parse-names":false,"suffix":""},{"dropping-particle":"","family":"Psaltopoulou","given":"Theodora","non-dropping-particle":"","parse-names":false,"suffix":""},{"dropping-particle":"","family":"Wadley","given":"Virginia G.","non-dropping-particle":"","parse-names":false,"suffix":""},{"dropping-particle":"V.","family":"Alexandrov","given":"Andrei","non-dropping-particle":"","parse-names":false,"suffix":""},{"dropping-particle":"","family":"Howard","given":"George","non-dropping-particle":"","parse-names":false,"suffix":""},{"dropping-particle":"","family":"Unverzagt","given":"Frederick W.","non-dropping-particle":"","parse-names":false,"suffix":""},{"dropping-particle":"","family":"Moy","given":"Claudia","non-dropping-particle":"","parse-names":false,"suffix":""},{"dropping-particle":"","family":"Howard","given":"Virginia J.","non-dropping-particle":"","parse-names":false,"suffix":""},{"dropping-particle":"","family":"Kissela","given":"Brett","non-dropping-particle":"","parse-names":false,"suffix":""},{"dropping-particle":"","family":"Judd","given":"Suzanne E.","non-dropping-particle":"","parse-names":false,"suffix":""}],"container-title":"Stroke","id":"ITEM-1","issue":"3","issued":{"date-parts":[["2015","3"]]},"page":"780-785","title":"Adherence to a Mediterranean Diet and Prediction of Incident Stroke","type":"article-journal","volume":"46"},"uris":["http://www.mendeley.com/documents/?uuid=2c5f0285-1e55-3857-9133-2d23cea0c220"]}],"mendeley":{"formattedCitation":"(11)","plainTextFormattedCitation":"(11)","previouslyFormattedCitation":"(11)"},"properties":{"noteIndex":0},"schema":"https://github.com/citation-style-language/schema/raw/master/csl-citation.json"}</w:instrText>
            </w:r>
            <w:r w:rsidRPr="005F4695">
              <w:rPr>
                <w:rFonts w:asciiTheme="minorBidi" w:hAnsiTheme="minorBidi" w:cstheme="minorBidi"/>
                <w:color w:val="000000" w:themeColor="text1"/>
                <w:sz w:val="20"/>
                <w:szCs w:val="20"/>
                <w:lang w:val="en-GB" w:eastAsia="en-GB"/>
              </w:rPr>
              <w:fldChar w:fldCharType="separate"/>
            </w:r>
            <w:r w:rsidRPr="005F4695">
              <w:rPr>
                <w:rFonts w:asciiTheme="minorBidi" w:hAnsiTheme="minorBidi" w:cstheme="minorBidi"/>
                <w:noProof/>
                <w:color w:val="000000" w:themeColor="text1"/>
                <w:sz w:val="20"/>
                <w:szCs w:val="20"/>
                <w:lang w:val="en-GB" w:eastAsia="en-GB"/>
              </w:rPr>
              <w:t>(11)</w:t>
            </w:r>
            <w:r w:rsidRPr="005F4695">
              <w:rPr>
                <w:rFonts w:asciiTheme="minorBidi" w:hAnsiTheme="minorBidi" w:cstheme="minorBidi"/>
                <w:color w:val="000000" w:themeColor="text1"/>
                <w:sz w:val="20"/>
                <w:szCs w:val="20"/>
                <w:lang w:val="en-GB" w:eastAsia="en-GB"/>
              </w:rPr>
              <w:fldChar w:fldCharType="end"/>
            </w:r>
          </w:p>
          <w:p w14:paraId="0FA1D998" w14:textId="77777777"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bCs/>
                <w:color w:val="000000" w:themeColor="text1"/>
                <w:sz w:val="20"/>
                <w:szCs w:val="20"/>
                <w:lang w:val="en-GB" w:eastAsia="en-GB"/>
              </w:rPr>
              <w:t>DASH</w:t>
            </w:r>
            <w:r w:rsidRPr="005F4695">
              <w:rPr>
                <w:rFonts w:asciiTheme="minorBidi" w:hAnsiTheme="minorBidi" w:cstheme="minorBidi"/>
                <w:color w:val="000000" w:themeColor="text1"/>
                <w:sz w:val="20"/>
                <w:szCs w:val="20"/>
                <w:lang w:val="en-GB" w:eastAsia="en-GB"/>
              </w:rPr>
              <w:t xml:space="preserve"> score: </w:t>
            </w:r>
            <w:r w:rsidRPr="005F4695">
              <w:rPr>
                <w:rFonts w:asciiTheme="minorBidi" w:hAnsiTheme="minorBidi" w:cstheme="minorBidi"/>
                <w:color w:val="000000" w:themeColor="text1"/>
                <w:sz w:val="20"/>
                <w:szCs w:val="20"/>
                <w:lang w:val="en-GB" w:eastAsia="en-GB"/>
              </w:rPr>
              <w:fldChar w:fldCharType="begin" w:fldLock="1"/>
            </w:r>
            <w:r w:rsidRPr="005F4695">
              <w:rPr>
                <w:rFonts w:asciiTheme="minorBidi" w:hAnsiTheme="minorBidi" w:cstheme="minorBidi"/>
                <w:color w:val="000000" w:themeColor="text1"/>
                <w:sz w:val="20"/>
                <w:szCs w:val="20"/>
                <w:lang w:val="en-GB" w:eastAsia="en-GB"/>
              </w:rPr>
              <w:instrText>ADDIN CSL_CITATION {"citationItems":[{"id":"ITEM-1","itemData":{"DOI":"10.1007/s00394-017-1562-4","ISSN":"1436-6207","PMID":"29098424","abstract":"PURPOSE The aims of this study were to (1) determine the association between diet quality using the Dietary Approaches to Stop Hypertension (DASH) score and cardiometabolic risk in a British working population and (2) identify employee characteristics associated with reporting a poorer quality dietary pattern. METHODS British police employees enrolled (2007-2012) into the Airwave Health Monitoring Study (n = 5527) were included for sex-specific cross-sectional analyses. Dietary intakes were measured using 7-day food records. DASH score was calculated to determine diet quality. Logistic regression evaluated associations between (1) diet quality and increased cardiometabolic risk (defined as ≥ 3 risk markers: dyslipidaemia, elevated blood pressure, waist circumference, CRP or HbA1c), and (2) poor diet quality (lowest fifth of DASH score distribution) and employee characteristics. RESULTS Employees recording a poor diet quality had greater odds (OR) of increased cardiometabolic risk independent of established risk factors (demographic, lifestyle and occupational) and BMI: men OR 1.50 (95% CI 1.12-2.00), women: OR 1.84 (95% CI 1.19-2.97) compared to the healthiest diet group. Characteristics associated with reporting a poor quality diet were employment in Scotland vs. England: men OR 1.88 (95% CI 1.53-2.32), women: OR 1.49 (95% CI 1.11-2.00), longer working hours (≥ 49 vs. ≤40 h) men: OR 1.53 (95% CI 1.21-1.92) women: OR 1.53 (95% CI 1.12-2.09). For men, job strain (high vs. low) was associated with reporting a poor diet quality OR 1.66 (95% CI 1.30-2.12). CONCLUSIONS The general population disparities in diet quality between England and Scotland were reflected in British police employees. The association of longer working hours and job strain with diet quality supports the targeting of workplace nutritional interventions.","author":[{"dropping-particle":"","family":"Gibson","given":"Rachel","non-dropping-particle":"","parse-names":false,"suffix":""},{"dropping-particle":"","family":"Eriksen","given":"Rebeca","non-dropping-particle":"","parse-names":false,"suffix":""},{"dropping-particle":"","family":"Singh","given":"Deepa","non-dropping-particle":"","parse-names":false,"suffix":""},{"dropping-particle":"","family":"Vergnaud","given":"Anne-Claire","non-dropping-particle":"","parse-names":false,"suffix":""},{"dropping-particle":"","family":"Heard","given":"Andrew","non-dropping-particle":"","parse-names":false,"suffix":""},{"dropping-particle":"","family":"Chan","given":"Queenie","non-dropping-particle":"","parse-names":false,"suffix":""},{"dropping-particle":"","family":"Elliott","given":"Paul","non-dropping-particle":"","parse-names":false,"suffix":""},{"dropping-particle":"","family":"Frost","given":"Gary","non-dropping-particle":"","parse-names":false,"suffix":""}],"container-title":"European Journal of Nutrition","id":"ITEM-1","issue":"8","issued":{"date-parts":[["2018","12","2"]]},"page":"2913-2926","title":"A cross-sectional investigation into the occupational and socio-demographic characteristics of British police force employees reporting a dietary pattern associated with cardiometabolic risk: findings from the Airwave Health Monitoring Study","type":"article-journal","volume":"57"},"uris":["http://www.mendeley.com/documents/?uuid=308b59cf-d657-32ee-a72f-ff29a9cd74fd"]}],"mendeley":{"formattedCitation":"(4)","plainTextFormattedCitation":"(4)","previouslyFormattedCitation":"(4)"},"properties":{"noteIndex":0},"schema":"https://github.com/citation-style-language/schema/raw/master/csl-citation.json"}</w:instrText>
            </w:r>
            <w:r w:rsidRPr="005F4695">
              <w:rPr>
                <w:rFonts w:asciiTheme="minorBidi" w:hAnsiTheme="minorBidi" w:cstheme="minorBidi"/>
                <w:color w:val="000000" w:themeColor="text1"/>
                <w:sz w:val="20"/>
                <w:szCs w:val="20"/>
                <w:lang w:val="en-GB" w:eastAsia="en-GB"/>
              </w:rPr>
              <w:fldChar w:fldCharType="separate"/>
            </w:r>
            <w:r w:rsidRPr="005F4695">
              <w:rPr>
                <w:rFonts w:asciiTheme="minorBidi" w:hAnsiTheme="minorBidi" w:cstheme="minorBidi"/>
                <w:noProof/>
                <w:color w:val="000000" w:themeColor="text1"/>
                <w:sz w:val="20"/>
                <w:szCs w:val="20"/>
                <w:lang w:val="en-GB" w:eastAsia="en-GB"/>
              </w:rPr>
              <w:t>(4)</w:t>
            </w:r>
            <w:r w:rsidRPr="005F4695">
              <w:rPr>
                <w:rFonts w:asciiTheme="minorBidi" w:hAnsiTheme="minorBidi" w:cstheme="minorBidi"/>
                <w:color w:val="000000" w:themeColor="text1"/>
                <w:sz w:val="20"/>
                <w:szCs w:val="20"/>
                <w:lang w:val="en-GB" w:eastAsia="en-GB"/>
              </w:rPr>
              <w:fldChar w:fldCharType="end"/>
            </w:r>
            <w:r w:rsidRPr="005F4695">
              <w:rPr>
                <w:rFonts w:asciiTheme="minorBidi" w:hAnsiTheme="minorBidi" w:cstheme="minorBidi"/>
                <w:color w:val="000000" w:themeColor="text1"/>
                <w:sz w:val="20"/>
                <w:szCs w:val="20"/>
                <w:lang w:val="en-GB" w:eastAsia="en-GB"/>
              </w:rPr>
              <w:t xml:space="preserve"> </w:t>
            </w:r>
          </w:p>
          <w:p w14:paraId="729827E4" w14:textId="77A26067" w:rsidR="00743B47" w:rsidRPr="005F4695" w:rsidRDefault="00743B47" w:rsidP="00743B47">
            <w:pPr>
              <w:rPr>
                <w:rFonts w:asciiTheme="minorBidi" w:hAnsiTheme="minorBidi" w:cstheme="minorBidi"/>
                <w:color w:val="000000" w:themeColor="text1"/>
                <w:sz w:val="20"/>
                <w:szCs w:val="20"/>
              </w:rPr>
            </w:pPr>
          </w:p>
        </w:tc>
      </w:tr>
      <w:tr w:rsidR="00743B47" w:rsidRPr="005F4695" w14:paraId="77223E89" w14:textId="77777777" w:rsidTr="00B20E43">
        <w:trPr>
          <w:trHeight w:val="900"/>
        </w:trPr>
        <w:tc>
          <w:tcPr>
            <w:tcW w:w="1555" w:type="dxa"/>
          </w:tcPr>
          <w:p w14:paraId="58FC2CD2" w14:textId="1722C5DA" w:rsidR="00743B47" w:rsidRPr="005F4695" w:rsidRDefault="00743B47" w:rsidP="00743B47">
            <w:pPr>
              <w:rPr>
                <w:rFonts w:asciiTheme="minorBidi" w:hAnsiTheme="minorBidi" w:cstheme="minorBidi"/>
                <w:b/>
                <w:bCs/>
                <w:color w:val="000000" w:themeColor="text1"/>
                <w:sz w:val="20"/>
                <w:szCs w:val="20"/>
              </w:rPr>
            </w:pPr>
            <w:r w:rsidRPr="003754B5">
              <w:rPr>
                <w:rFonts w:asciiTheme="minorBidi" w:hAnsiTheme="minorBidi" w:cstheme="minorBidi"/>
                <w:color w:val="000000" w:themeColor="text1"/>
                <w:sz w:val="20"/>
                <w:szCs w:val="20"/>
                <w:lang w:val="en-GB" w:eastAsia="en-GB"/>
              </w:rPr>
              <w:lastRenderedPageBreak/>
              <w:t>Kim et al</w:t>
            </w:r>
            <w:r>
              <w:rPr>
                <w:rFonts w:asciiTheme="minorBidi" w:hAnsiTheme="minorBidi" w:cstheme="minorBidi"/>
                <w:color w:val="000000" w:themeColor="text1"/>
                <w:sz w:val="20"/>
                <w:szCs w:val="20"/>
                <w:lang w:val="en-GB" w:eastAsia="en-GB"/>
              </w:rPr>
              <w:t>, 2018</w:t>
            </w:r>
            <w:r w:rsidRPr="003754B5">
              <w:rPr>
                <w:rFonts w:asciiTheme="minorBidi" w:hAnsiTheme="minorBidi" w:cstheme="minorBidi"/>
                <w:color w:val="000000" w:themeColor="text1"/>
                <w:sz w:val="20"/>
                <w:szCs w:val="20"/>
                <w:lang w:val="en-GB" w:eastAsia="en-GB"/>
              </w:rPr>
              <w:t xml:space="preserve"> </w:t>
            </w:r>
            <w:r w:rsidRPr="003754B5">
              <w:rPr>
                <w:rFonts w:asciiTheme="minorBidi" w:hAnsiTheme="minorBidi" w:cstheme="minorBidi"/>
                <w:color w:val="000000" w:themeColor="text1"/>
                <w:sz w:val="20"/>
                <w:szCs w:val="20"/>
                <w:lang w:val="en-GB" w:eastAsia="en-GB"/>
              </w:rPr>
              <w:fldChar w:fldCharType="begin" w:fldLock="1"/>
            </w:r>
            <w:r>
              <w:rPr>
                <w:rFonts w:asciiTheme="minorBidi" w:hAnsiTheme="minorBidi" w:cstheme="minorBidi"/>
                <w:color w:val="000000" w:themeColor="text1"/>
                <w:sz w:val="20"/>
                <w:szCs w:val="20"/>
                <w:lang w:val="en-GB" w:eastAsia="en-GB"/>
              </w:rPr>
              <w:instrText>ADDIN CSL_CITATION {"citationItems":[{"id":"ITEM-1","itemData":{"DOI":"10.1111/jhn.12559","ISSN":"09523871","author":[{"dropping-particle":"","family":"Kim","given":"D.-Y.","non-dropping-particle":"","parse-names":false,"suffix":""},{"dropping-particle":"","family":"Kim","given":"S. H.","non-dropping-particle":"","parse-names":false,"suffix":""},{"dropping-particle":"","family":"Lim","given":"H.","non-dropping-particle":"","parse-names":false,"suffix":""}],"container-title":"Journal of Human Nutrition and Dietetics","id":"ITEM-1","issue":"5","issued":{"date-parts":[["2018","10","1"]]},"page":"587-596","title":"Association between dietary carbohydrate quality and the prevalence of obesity and hypertension","type":"article-journal","volume":"31"},"uris":["http://www.mendeley.com/documents/?uuid=0d0afc98-6371-3773-a09b-de2a7b1ded19"]}],"mendeley":{"formattedCitation":"(49)","plainTextFormattedCitation":"(49)","previouslyFormattedCitation":"(49)"},"properties":{"noteIndex":0},"schema":"https://github.com/citation-style-language/schema/raw/master/csl-citation.json"}</w:instrText>
            </w:r>
            <w:r w:rsidRPr="003754B5">
              <w:rPr>
                <w:rFonts w:asciiTheme="minorBidi" w:hAnsiTheme="minorBidi" w:cstheme="minorBidi"/>
                <w:color w:val="000000" w:themeColor="text1"/>
                <w:sz w:val="20"/>
                <w:szCs w:val="20"/>
                <w:lang w:val="en-GB" w:eastAsia="en-GB"/>
              </w:rPr>
              <w:fldChar w:fldCharType="separate"/>
            </w:r>
            <w:r w:rsidRPr="003754B5">
              <w:rPr>
                <w:rFonts w:asciiTheme="minorBidi" w:hAnsiTheme="minorBidi" w:cstheme="minorBidi"/>
                <w:noProof/>
                <w:color w:val="000000" w:themeColor="text1"/>
                <w:sz w:val="20"/>
                <w:szCs w:val="20"/>
                <w:lang w:val="en-GB" w:eastAsia="en-GB"/>
              </w:rPr>
              <w:t>(49)</w:t>
            </w:r>
            <w:r w:rsidRPr="003754B5">
              <w:rPr>
                <w:rFonts w:asciiTheme="minorBidi" w:hAnsiTheme="minorBidi" w:cstheme="minorBidi"/>
                <w:color w:val="000000" w:themeColor="text1"/>
                <w:sz w:val="20"/>
                <w:szCs w:val="20"/>
                <w:lang w:val="en-GB" w:eastAsia="en-GB"/>
              </w:rPr>
              <w:fldChar w:fldCharType="end"/>
            </w:r>
          </w:p>
        </w:tc>
        <w:tc>
          <w:tcPr>
            <w:tcW w:w="1417" w:type="dxa"/>
          </w:tcPr>
          <w:p w14:paraId="5D505F96" w14:textId="4C17D974" w:rsidR="00743B47" w:rsidRPr="005F4695" w:rsidRDefault="00743B47" w:rsidP="00743B47">
            <w:pPr>
              <w:rPr>
                <w:rFonts w:asciiTheme="minorBidi" w:hAnsiTheme="minorBidi" w:cstheme="minorBidi"/>
                <w:color w:val="000000" w:themeColor="text1"/>
                <w:sz w:val="20"/>
                <w:szCs w:val="20"/>
              </w:rPr>
            </w:pPr>
            <w:r w:rsidRPr="005F4695">
              <w:rPr>
                <w:rFonts w:asciiTheme="minorBidi" w:hAnsiTheme="minorBidi" w:cstheme="minorBidi"/>
                <w:color w:val="000000" w:themeColor="text1"/>
                <w:sz w:val="20"/>
                <w:szCs w:val="20"/>
                <w:lang w:val="en-GB" w:eastAsia="en-GB"/>
              </w:rPr>
              <w:t>Korea</w:t>
            </w:r>
          </w:p>
        </w:tc>
        <w:tc>
          <w:tcPr>
            <w:tcW w:w="1276" w:type="dxa"/>
          </w:tcPr>
          <w:p w14:paraId="6F6FDB86" w14:textId="1C9D88AA" w:rsidR="00743B47" w:rsidRPr="005F4695" w:rsidRDefault="00743B47" w:rsidP="00743B47">
            <w:pPr>
              <w:rPr>
                <w:rFonts w:asciiTheme="minorBidi" w:hAnsiTheme="minorBidi" w:cstheme="minorBidi"/>
                <w:color w:val="000000" w:themeColor="text1"/>
                <w:sz w:val="20"/>
                <w:szCs w:val="20"/>
              </w:rPr>
            </w:pPr>
            <w:r w:rsidRPr="005F4695">
              <w:rPr>
                <w:rFonts w:asciiTheme="minorBidi" w:hAnsiTheme="minorBidi" w:cstheme="minorBidi"/>
                <w:color w:val="000000" w:themeColor="text1"/>
                <w:sz w:val="20"/>
                <w:szCs w:val="20"/>
                <w:lang w:val="en-GB" w:eastAsia="en-GB"/>
              </w:rPr>
              <w:t>12027, adults     (19-64)</w:t>
            </w:r>
          </w:p>
        </w:tc>
        <w:tc>
          <w:tcPr>
            <w:tcW w:w="1559" w:type="dxa"/>
          </w:tcPr>
          <w:p w14:paraId="3145A24F" w14:textId="2E5E5864" w:rsidR="00743B47" w:rsidRPr="005F4695" w:rsidRDefault="00743B47" w:rsidP="00743B47">
            <w:pPr>
              <w:rPr>
                <w:rFonts w:asciiTheme="minorBidi" w:hAnsiTheme="minorBidi" w:cstheme="minorBidi"/>
                <w:color w:val="000000" w:themeColor="text1"/>
                <w:sz w:val="20"/>
                <w:szCs w:val="20"/>
              </w:rPr>
            </w:pPr>
            <w:r w:rsidRPr="005F4695">
              <w:rPr>
                <w:rFonts w:asciiTheme="minorBidi" w:hAnsiTheme="minorBidi" w:cstheme="minorBidi"/>
                <w:color w:val="000000" w:themeColor="text1"/>
                <w:sz w:val="20"/>
                <w:szCs w:val="20"/>
              </w:rPr>
              <w:t xml:space="preserve">A single </w:t>
            </w:r>
            <w:r w:rsidRPr="005F4695">
              <w:rPr>
                <w:rFonts w:asciiTheme="minorBidi" w:hAnsiTheme="minorBidi" w:cstheme="minorBidi"/>
                <w:color w:val="000000" w:themeColor="text1"/>
                <w:sz w:val="20"/>
                <w:szCs w:val="20"/>
                <w:lang w:val="en-GB" w:eastAsia="en-GB"/>
              </w:rPr>
              <w:t>24hr recall</w:t>
            </w:r>
          </w:p>
        </w:tc>
        <w:tc>
          <w:tcPr>
            <w:tcW w:w="1559" w:type="dxa"/>
          </w:tcPr>
          <w:p w14:paraId="577089A3" w14:textId="3862C6DC" w:rsidR="00743B47" w:rsidRPr="005F4695" w:rsidRDefault="00743B47" w:rsidP="00743B47">
            <w:pPr>
              <w:rPr>
                <w:rFonts w:asciiTheme="minorBidi" w:hAnsiTheme="minorBidi" w:cstheme="minorBidi"/>
                <w:color w:val="000000" w:themeColor="text1"/>
                <w:sz w:val="20"/>
                <w:szCs w:val="20"/>
              </w:rPr>
            </w:pPr>
            <w:r w:rsidRPr="005F4695">
              <w:rPr>
                <w:rFonts w:asciiTheme="minorBidi" w:hAnsiTheme="minorBidi" w:cstheme="minorBidi"/>
                <w:sz w:val="20"/>
                <w:szCs w:val="20"/>
              </w:rPr>
              <w:t>Carbohydrate quality index (CQI)</w:t>
            </w:r>
          </w:p>
        </w:tc>
        <w:tc>
          <w:tcPr>
            <w:tcW w:w="5305" w:type="dxa"/>
          </w:tcPr>
          <w:p w14:paraId="45D48C71" w14:textId="77777777" w:rsidR="00743B47" w:rsidRPr="005F4695" w:rsidRDefault="00743B47" w:rsidP="00743B47">
            <w:pPr>
              <w:rPr>
                <w:rFonts w:asciiTheme="minorBidi" w:eastAsiaTheme="minorHAnsi" w:hAnsiTheme="minorBidi" w:cstheme="minorBidi"/>
                <w:color w:val="000000" w:themeColor="text1"/>
                <w:sz w:val="20"/>
                <w:szCs w:val="20"/>
              </w:rPr>
            </w:pPr>
            <w:r w:rsidRPr="005F4695">
              <w:rPr>
                <w:rFonts w:asciiTheme="minorBidi" w:hAnsiTheme="minorBidi" w:cstheme="minorBidi"/>
                <w:color w:val="000000" w:themeColor="text1"/>
                <w:sz w:val="20"/>
                <w:szCs w:val="20"/>
                <w:lang w:val="en-GB" w:eastAsia="en-GB"/>
              </w:rPr>
              <w:t xml:space="preserve">4 (solid carbohydrates/total carbohydrates ratio; crude fibre intake (g day−1); and whole grains/total grains (whole grains, refined grains and their products) ratio), 1 to 5, </w:t>
            </w:r>
            <w:r w:rsidRPr="005F4695">
              <w:rPr>
                <w:rFonts w:asciiTheme="minorBidi" w:eastAsiaTheme="minorHAnsi" w:hAnsiTheme="minorBidi" w:cstheme="minorBidi"/>
                <w:color w:val="000000" w:themeColor="text1"/>
                <w:sz w:val="20"/>
                <w:szCs w:val="20"/>
              </w:rPr>
              <w:t>overall score ranged from 4 to 20 points</w:t>
            </w:r>
          </w:p>
          <w:p w14:paraId="135D235C" w14:textId="69503A2C" w:rsidR="00743B47" w:rsidRPr="005F4695" w:rsidRDefault="00743B47" w:rsidP="00743B47">
            <w:pPr>
              <w:rPr>
                <w:rFonts w:asciiTheme="minorBidi" w:hAnsiTheme="minorBidi" w:cstheme="minorBidi"/>
                <w:color w:val="000000" w:themeColor="text1"/>
                <w:sz w:val="20"/>
                <w:szCs w:val="20"/>
              </w:rPr>
            </w:pPr>
          </w:p>
        </w:tc>
      </w:tr>
      <w:tr w:rsidR="00743B47" w:rsidRPr="005F4695" w14:paraId="38A38B5E" w14:textId="77777777" w:rsidTr="00B20E43">
        <w:trPr>
          <w:trHeight w:val="900"/>
        </w:trPr>
        <w:tc>
          <w:tcPr>
            <w:tcW w:w="1555" w:type="dxa"/>
          </w:tcPr>
          <w:p w14:paraId="32A1281C" w14:textId="0778C97B" w:rsidR="00743B47" w:rsidRPr="005F4695" w:rsidRDefault="00743B47" w:rsidP="00743B47">
            <w:pPr>
              <w:rPr>
                <w:rFonts w:asciiTheme="minorBidi" w:hAnsiTheme="minorBidi" w:cstheme="minorBidi"/>
                <w:color w:val="000000" w:themeColor="text1"/>
                <w:sz w:val="20"/>
                <w:szCs w:val="20"/>
              </w:rPr>
            </w:pPr>
            <w:r w:rsidRPr="003754B5">
              <w:rPr>
                <w:rFonts w:asciiTheme="minorBidi" w:hAnsiTheme="minorBidi" w:cstheme="minorBidi"/>
                <w:color w:val="000000" w:themeColor="text1"/>
                <w:sz w:val="20"/>
                <w:szCs w:val="20"/>
              </w:rPr>
              <w:t>Tiong et al</w:t>
            </w:r>
            <w:r>
              <w:rPr>
                <w:rFonts w:asciiTheme="minorBidi" w:hAnsiTheme="minorBidi" w:cstheme="minorBidi"/>
                <w:color w:val="000000" w:themeColor="text1"/>
                <w:sz w:val="20"/>
                <w:szCs w:val="20"/>
              </w:rPr>
              <w:t>, 2018</w:t>
            </w:r>
            <w:r w:rsidRPr="003754B5">
              <w:rPr>
                <w:rFonts w:asciiTheme="minorBidi" w:hAnsiTheme="minorBidi" w:cstheme="minorBidi"/>
                <w:color w:val="000000" w:themeColor="text1"/>
                <w:sz w:val="20"/>
                <w:szCs w:val="20"/>
              </w:rPr>
              <w:t xml:space="preserve"> </w:t>
            </w:r>
            <w:r w:rsidRPr="003754B5">
              <w:rPr>
                <w:rFonts w:asciiTheme="minorBidi" w:hAnsiTheme="minorBidi" w:cstheme="minorBidi"/>
                <w:color w:val="000000" w:themeColor="text1"/>
                <w:sz w:val="20"/>
                <w:szCs w:val="20"/>
              </w:rPr>
              <w:fldChar w:fldCharType="begin" w:fldLock="1"/>
            </w:r>
            <w:r>
              <w:rPr>
                <w:rFonts w:asciiTheme="minorBidi" w:hAnsiTheme="minorBidi" w:cstheme="minorBidi"/>
                <w:color w:val="000000" w:themeColor="text1"/>
                <w:sz w:val="20"/>
                <w:szCs w:val="20"/>
              </w:rPr>
              <w:instrText>ADDIN CSL_CITATION {"citationItems":[{"id":"ITEM-1","itemData":{"DOI":"10.1016/J.NUMECD.2018.04.014","ISSN":"0939-4753","abstract":"BACKGROUND AND AIM Despite a growing body of evidence from Western populations on the health benefits of Dietary Approaches to Stop Hypertension (DASH) diets, their applicability in South East Asian settings is not clear. We examined cross-sectional associations between DASH diet and cardio-metabolic risk factors among 1837 Malaysian and 2898 Philippines participants in a multi-national cohort. METHODS AND RESULTS Blood pressures, fasting lipid profile and fasting glucose were measured, and DASH score was computed based on a 22-item food frequency questionnaire. Older individuals, women, those not consuming alcohol and those undertaking regular physical activity were more likely to have higher DASH scores. In the Malaysian cohort, while total DASH score was not significantly associated with cardio-metabolic risk factors after adjusting for confounders, significant associations were observed for intake of green vegetable [0.011, standard error (SE): 0.004], and red and processed meat (−0.009, SE: 0.004) with total cholesterol. In the Philippines cohort, a 5-unit increase in total DASH score was significantly and inversely associated with systolic blood pressure (−1.41, SE: 0.40), diastolic blood pressure (−1.09, SE: 0.28), total cholesterol (−0.015, SE: 0.005), low-density lipoprotein cholesterol (−0.025, SE: 0.008), and triglyceride (−0.034, SE: 0.012) after adjusting for socio-demographic and lifestyle groups. Intake of milk and dairy products, red and processed meat, and sugared drinks were found to significantly associated with most risk factors. CONCLUSIONS Differential associations of DASH diet and dietary components with cardio-metabolic risk factors by country suggest the need for country-specific tailoring of dietary interventions to improve cardio-metabolic risk profiles.","author":[{"dropping-particle":"","family":"Tiong","given":"X.T.","non-dropping-particle":"","parse-names":false,"suffix":""},{"dropping-particle":"","family":"Nursara Shahirah","given":"A.","non-dropping-particle":"","parse-names":false,"suffix":""},{"dropping-particle":"","family":"Pun","given":"V.C.","non-dropping-particle":"","parse-names":false,"suffix":""},{"dropping-particle":"","family":"Wong","given":"K.Y.","non-dropping-particle":"","parse-names":false,"suffix":""},{"dropping-particle":"","family":"Fong","given":"A.Y.Y.","non-dropping-particle":"","parse-names":false,"suffix":""},{"dropping-particle":"","family":"Sy","given":"R.G.","non-dropping-particle":"","parse-names":false,"suffix":""},{"dropping-particle":"","family":"Castillo-Carandang","given":"N.T.","non-dropping-particle":"","parse-names":false,"suffix":""},{"dropping-particle":"","family":"Nang","given":"E.E.K.","non-dropping-particle":"","parse-names":false,"suffix":""},{"dropping-particle":"","family":"Woodward","given":"M.","non-dropping-particle":"","parse-names":false,"suffix":""},{"dropping-particle":"","family":"Dam","given":"R.M.","non-dropping-particle":"van","parse-names":false,"suffix":""},{"dropping-particle":"","family":"Tai","given":"E.S.","non-dropping-particle":"","parse-names":false,"suffix":""},{"dropping-particle":"","family":"Venkataraman","given":"K.","non-dropping-particle":"","parse-names":false,"suffix":""}],"container-title":"Nutrition, Metabolism and Cardiovascular Diseases","id":"ITEM-1","issue":"8","issued":{"date-parts":[["2018","8","1"]]},"page":"856-863","title":"The association of the dietary approach to stop hypertension (DASH) diet with blood pressure, glucose and lipid profiles in Malaysian and Philippines populations","type":"article-journal","volume":"28"},"uris":["http://www.mendeley.com/documents/?uuid=b5128d54-ad73-3396-b5fd-21b2a2f285b2"]}],"mendeley":{"formattedCitation":"(50)","plainTextFormattedCitation":"(50)","previouslyFormattedCitation":"(50)"},"properties":{"noteIndex":0},"schema":"https://github.com/citation-style-language/schema/raw/master/csl-citation.json"}</w:instrText>
            </w:r>
            <w:r w:rsidRPr="003754B5">
              <w:rPr>
                <w:rFonts w:asciiTheme="minorBidi" w:hAnsiTheme="minorBidi" w:cstheme="minorBidi"/>
                <w:color w:val="000000" w:themeColor="text1"/>
                <w:sz w:val="20"/>
                <w:szCs w:val="20"/>
              </w:rPr>
              <w:fldChar w:fldCharType="separate"/>
            </w:r>
            <w:r w:rsidRPr="003754B5">
              <w:rPr>
                <w:rFonts w:asciiTheme="minorBidi" w:hAnsiTheme="minorBidi" w:cstheme="minorBidi"/>
                <w:noProof/>
                <w:color w:val="000000" w:themeColor="text1"/>
                <w:sz w:val="20"/>
                <w:szCs w:val="20"/>
              </w:rPr>
              <w:t>(50)</w:t>
            </w:r>
            <w:r w:rsidRPr="003754B5">
              <w:rPr>
                <w:rFonts w:asciiTheme="minorBidi" w:hAnsiTheme="minorBidi" w:cstheme="minorBidi"/>
                <w:color w:val="000000" w:themeColor="text1"/>
                <w:sz w:val="20"/>
                <w:szCs w:val="20"/>
              </w:rPr>
              <w:fldChar w:fldCharType="end"/>
            </w:r>
          </w:p>
        </w:tc>
        <w:tc>
          <w:tcPr>
            <w:tcW w:w="1417" w:type="dxa"/>
          </w:tcPr>
          <w:p w14:paraId="6B8C77D6" w14:textId="60CC6E40" w:rsidR="00743B47" w:rsidRPr="005F4695" w:rsidRDefault="00743B47" w:rsidP="00743B47">
            <w:pPr>
              <w:rPr>
                <w:rFonts w:asciiTheme="minorBidi" w:hAnsiTheme="minorBidi" w:cstheme="minorBidi"/>
                <w:color w:val="000000" w:themeColor="text1"/>
                <w:sz w:val="20"/>
                <w:szCs w:val="20"/>
              </w:rPr>
            </w:pPr>
            <w:r w:rsidRPr="005F4695">
              <w:rPr>
                <w:rFonts w:asciiTheme="minorBidi" w:hAnsiTheme="minorBidi" w:cstheme="minorBidi"/>
                <w:color w:val="000000" w:themeColor="text1"/>
                <w:sz w:val="20"/>
                <w:szCs w:val="20"/>
              </w:rPr>
              <w:t>Philippines and Malaysia</w:t>
            </w:r>
          </w:p>
        </w:tc>
        <w:tc>
          <w:tcPr>
            <w:tcW w:w="1276" w:type="dxa"/>
          </w:tcPr>
          <w:p w14:paraId="06DE3964" w14:textId="1B3C1BAC" w:rsidR="00743B47" w:rsidRPr="005F4695" w:rsidRDefault="00743B47" w:rsidP="00743B47">
            <w:pPr>
              <w:rPr>
                <w:rFonts w:asciiTheme="minorBidi" w:hAnsiTheme="minorBidi" w:cstheme="minorBidi"/>
                <w:color w:val="000000" w:themeColor="text1"/>
                <w:sz w:val="20"/>
                <w:szCs w:val="20"/>
              </w:rPr>
            </w:pPr>
            <w:r w:rsidRPr="005F4695">
              <w:rPr>
                <w:rFonts w:asciiTheme="minorBidi" w:hAnsiTheme="minorBidi" w:cstheme="minorBidi"/>
                <w:color w:val="000000" w:themeColor="text1"/>
                <w:sz w:val="20"/>
                <w:szCs w:val="20"/>
              </w:rPr>
              <w:t>4735, adults      (18-50)</w:t>
            </w:r>
          </w:p>
        </w:tc>
        <w:tc>
          <w:tcPr>
            <w:tcW w:w="1559" w:type="dxa"/>
          </w:tcPr>
          <w:p w14:paraId="49B24CA0" w14:textId="7FDED8BA" w:rsidR="00743B47" w:rsidRPr="005F4695" w:rsidRDefault="00743B47" w:rsidP="00743B47">
            <w:pPr>
              <w:rPr>
                <w:rFonts w:asciiTheme="minorBidi" w:hAnsiTheme="minorBidi" w:cstheme="minorBidi"/>
                <w:color w:val="000000" w:themeColor="text1"/>
                <w:sz w:val="20"/>
                <w:szCs w:val="20"/>
              </w:rPr>
            </w:pPr>
            <w:r w:rsidRPr="005F4695">
              <w:rPr>
                <w:rFonts w:asciiTheme="minorBidi" w:hAnsiTheme="minorBidi" w:cstheme="minorBidi"/>
                <w:color w:val="000000" w:themeColor="text1"/>
                <w:sz w:val="20"/>
                <w:szCs w:val="20"/>
              </w:rPr>
              <w:t>FFQ            (22 item)</w:t>
            </w:r>
          </w:p>
          <w:p w14:paraId="164C737E" w14:textId="77777777" w:rsidR="00743B47" w:rsidRPr="005F4695" w:rsidRDefault="00743B47" w:rsidP="00743B47">
            <w:pPr>
              <w:rPr>
                <w:rFonts w:asciiTheme="minorBidi" w:hAnsiTheme="minorBidi" w:cstheme="minorBidi"/>
                <w:color w:val="000000" w:themeColor="text1"/>
                <w:sz w:val="20"/>
                <w:szCs w:val="20"/>
              </w:rPr>
            </w:pPr>
          </w:p>
        </w:tc>
        <w:tc>
          <w:tcPr>
            <w:tcW w:w="1559" w:type="dxa"/>
          </w:tcPr>
          <w:p w14:paraId="0DF76B2A" w14:textId="58327FD9" w:rsidR="00743B47" w:rsidRPr="005F4695" w:rsidRDefault="00743B47" w:rsidP="00743B47">
            <w:pPr>
              <w:rPr>
                <w:rFonts w:asciiTheme="minorBidi" w:hAnsiTheme="minorBidi" w:cstheme="minorBidi"/>
                <w:color w:val="000000" w:themeColor="text1"/>
                <w:sz w:val="20"/>
                <w:szCs w:val="20"/>
              </w:rPr>
            </w:pPr>
            <w:r w:rsidRPr="005F4695">
              <w:rPr>
                <w:rFonts w:asciiTheme="minorBidi" w:hAnsiTheme="minorBidi" w:cstheme="minorBidi"/>
                <w:color w:val="000000" w:themeColor="text1"/>
                <w:sz w:val="20"/>
                <w:szCs w:val="20"/>
              </w:rPr>
              <w:t xml:space="preserve">Modified DASH score </w:t>
            </w:r>
          </w:p>
        </w:tc>
        <w:tc>
          <w:tcPr>
            <w:tcW w:w="5305" w:type="dxa"/>
          </w:tcPr>
          <w:p w14:paraId="121165F9" w14:textId="77777777"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rPr>
              <w:t>7 (</w:t>
            </w:r>
            <w:r w:rsidRPr="005F4695">
              <w:rPr>
                <w:rFonts w:asciiTheme="minorBidi" w:hAnsiTheme="minorBidi" w:cstheme="minorBidi"/>
                <w:color w:val="000000" w:themeColor="text1"/>
                <w:sz w:val="20"/>
                <w:szCs w:val="20"/>
                <w:lang w:val="en-GB" w:eastAsia="en-GB"/>
              </w:rPr>
              <w:t xml:space="preserve">positive: </w:t>
            </w:r>
            <w:r w:rsidRPr="005F4695">
              <w:rPr>
                <w:rFonts w:asciiTheme="minorBidi" w:hAnsiTheme="minorBidi" w:cstheme="minorBidi"/>
                <w:color w:val="000000" w:themeColor="text1"/>
                <w:sz w:val="20"/>
                <w:szCs w:val="20"/>
              </w:rPr>
              <w:t>fruits, vegetables, nuts and legumes, low</w:t>
            </w:r>
            <w:r w:rsidRPr="005F4695">
              <w:rPr>
                <w:rFonts w:ascii="Cambria Math" w:hAnsi="Cambria Math" w:cs="Cambria Math"/>
                <w:color w:val="000000" w:themeColor="text1"/>
                <w:sz w:val="20"/>
                <w:szCs w:val="20"/>
              </w:rPr>
              <w:t>‐</w:t>
            </w:r>
            <w:r w:rsidRPr="005F4695">
              <w:rPr>
                <w:rFonts w:asciiTheme="minorBidi" w:hAnsiTheme="minorBidi" w:cstheme="minorBidi"/>
                <w:color w:val="000000" w:themeColor="text1"/>
                <w:sz w:val="20"/>
                <w:szCs w:val="20"/>
              </w:rPr>
              <w:t>fat dairy products, negative: sweetened beverages, and red and processed meats</w:t>
            </w:r>
            <w:r w:rsidRPr="005F4695">
              <w:rPr>
                <w:rFonts w:asciiTheme="minorBidi" w:hAnsiTheme="minorBidi" w:cstheme="minorBidi"/>
                <w:color w:val="000000" w:themeColor="text1"/>
                <w:sz w:val="20"/>
                <w:szCs w:val="20"/>
                <w:lang w:val="en-GB" w:eastAsia="en-GB"/>
              </w:rPr>
              <w:t xml:space="preserve">, sodium), </w:t>
            </w:r>
            <w:r w:rsidRPr="005F4695">
              <w:rPr>
                <w:rFonts w:asciiTheme="minorBidi" w:hAnsiTheme="minorBidi" w:cstheme="minorBidi"/>
                <w:color w:val="000000" w:themeColor="text1"/>
                <w:sz w:val="20"/>
                <w:szCs w:val="20"/>
              </w:rPr>
              <w:t>1 to 5 with equal weight assigned to groups</w:t>
            </w:r>
            <w:r w:rsidRPr="005F4695">
              <w:rPr>
                <w:rFonts w:asciiTheme="minorBidi" w:hAnsiTheme="minorBidi" w:cstheme="minorBidi"/>
                <w:color w:val="000000" w:themeColor="text1"/>
                <w:sz w:val="20"/>
                <w:szCs w:val="20"/>
                <w:lang w:eastAsia="en-GB"/>
              </w:rPr>
              <w:t xml:space="preserve">, </w:t>
            </w:r>
            <w:r w:rsidRPr="005F4695">
              <w:rPr>
                <w:rFonts w:asciiTheme="minorBidi" w:hAnsiTheme="minorBidi" w:cstheme="minorBidi"/>
                <w:color w:val="000000" w:themeColor="text1"/>
                <w:sz w:val="20"/>
                <w:szCs w:val="20"/>
                <w:lang w:val="en-GB" w:eastAsia="en-GB"/>
              </w:rPr>
              <w:t>overall score range from 7 to 35 points</w:t>
            </w:r>
          </w:p>
          <w:p w14:paraId="67D6DB2F" w14:textId="061C9875" w:rsidR="00743B47" w:rsidRPr="005F4695" w:rsidRDefault="00743B47" w:rsidP="00743B47">
            <w:pPr>
              <w:rPr>
                <w:rFonts w:asciiTheme="minorBidi" w:hAnsiTheme="minorBidi" w:cstheme="minorBidi"/>
                <w:color w:val="000000" w:themeColor="text1"/>
                <w:sz w:val="20"/>
                <w:szCs w:val="20"/>
              </w:rPr>
            </w:pPr>
          </w:p>
        </w:tc>
      </w:tr>
      <w:tr w:rsidR="00743B47" w:rsidRPr="005F4695" w14:paraId="612F9D3D" w14:textId="77777777" w:rsidTr="00B20E43">
        <w:trPr>
          <w:trHeight w:val="900"/>
        </w:trPr>
        <w:tc>
          <w:tcPr>
            <w:tcW w:w="1555" w:type="dxa"/>
          </w:tcPr>
          <w:p w14:paraId="68A30CCC" w14:textId="13505C99" w:rsidR="00743B47" w:rsidRPr="005F4695" w:rsidRDefault="00743B47" w:rsidP="00743B47">
            <w:pPr>
              <w:rPr>
                <w:rFonts w:asciiTheme="minorBidi" w:hAnsiTheme="minorBidi" w:cstheme="minorBidi"/>
                <w:color w:val="000000" w:themeColor="text1"/>
                <w:sz w:val="20"/>
                <w:szCs w:val="20"/>
              </w:rPr>
            </w:pPr>
            <w:r w:rsidRPr="003754B5">
              <w:rPr>
                <w:rFonts w:asciiTheme="minorBidi" w:hAnsiTheme="minorBidi" w:cstheme="minorBidi"/>
                <w:sz w:val="20"/>
                <w:szCs w:val="20"/>
              </w:rPr>
              <w:t>Neelakantan et al</w:t>
            </w:r>
            <w:r>
              <w:rPr>
                <w:rFonts w:asciiTheme="minorBidi" w:hAnsiTheme="minorBidi" w:cstheme="minorBidi"/>
                <w:sz w:val="20"/>
                <w:szCs w:val="20"/>
              </w:rPr>
              <w:t>, 2018</w:t>
            </w:r>
            <w:r w:rsidRPr="003754B5">
              <w:rPr>
                <w:rFonts w:asciiTheme="minorBidi" w:hAnsiTheme="minorBidi" w:cstheme="minorBidi"/>
                <w:sz w:val="20"/>
                <w:szCs w:val="20"/>
              </w:rPr>
              <w:t xml:space="preserve"> </w:t>
            </w:r>
            <w:r w:rsidRPr="003754B5">
              <w:rPr>
                <w:rFonts w:asciiTheme="minorBidi" w:hAnsiTheme="minorBidi" w:cstheme="minorBidi"/>
                <w:sz w:val="20"/>
                <w:szCs w:val="20"/>
              </w:rPr>
              <w:fldChar w:fldCharType="begin" w:fldLock="1"/>
            </w:r>
            <w:r>
              <w:rPr>
                <w:rFonts w:asciiTheme="minorBidi" w:hAnsiTheme="minorBidi" w:cstheme="minorBidi"/>
                <w:sz w:val="20"/>
                <w:szCs w:val="20"/>
              </w:rPr>
              <w:instrText>ADDIN CSL_CITATION {"citationItems":[{"id":"ITEM-1","itemData":{"DOI":"10.1093/jn/nxy094","ISSN":"0022-3166","author":[{"dropping-particle":"","family":"Neelakantan","given":"Nithya","non-dropping-particle":"","parse-names":false,"suffix":""},{"dropping-particle":"","family":"Koh","given":"Woon-Puay","non-dropping-particle":"","parse-names":false,"suffix":""},{"dropping-particle":"","family":"Yuan","given":"Jian-Min","non-dropping-particle":"","parse-names":false,"suffix":""},{"dropping-particle":"","family":"Dam","given":"Rob M","non-dropping-particle":"van","parse-names":false,"suffix":""}],"container-title":"The Journal of Nutrition","id":"ITEM-1","issue":"8","issued":{"date-parts":[["2018","8","1"]]},"page":"1323-1332","title":"Diet-Quality Indexes Are Associated with a Lower Risk of Cardiovascular, Respiratory, and All-Cause Mortality among Chinese Adults","type":"article-journal","volume":"148"},"uris":["http://www.mendeley.com/documents/?uuid=7a622df8-ed24-3e0f-8aba-9f6a861fa477"]}],"mendeley":{"formattedCitation":"(51)","plainTextFormattedCitation":"(51)","previouslyFormattedCitation":"(51)"},"properties":{"noteIndex":0},"schema":"https://github.com/citation-style-language/schema/raw/master/csl-citation.json"}</w:instrText>
            </w:r>
            <w:r w:rsidRPr="003754B5">
              <w:rPr>
                <w:rFonts w:asciiTheme="minorBidi" w:hAnsiTheme="minorBidi" w:cstheme="minorBidi"/>
                <w:sz w:val="20"/>
                <w:szCs w:val="20"/>
              </w:rPr>
              <w:fldChar w:fldCharType="separate"/>
            </w:r>
            <w:r w:rsidRPr="003754B5">
              <w:rPr>
                <w:rFonts w:asciiTheme="minorBidi" w:hAnsiTheme="minorBidi" w:cstheme="minorBidi"/>
                <w:noProof/>
                <w:sz w:val="20"/>
                <w:szCs w:val="20"/>
              </w:rPr>
              <w:t>(51)</w:t>
            </w:r>
            <w:r w:rsidRPr="003754B5">
              <w:rPr>
                <w:rFonts w:asciiTheme="minorBidi" w:hAnsiTheme="minorBidi" w:cstheme="minorBidi"/>
                <w:sz w:val="20"/>
                <w:szCs w:val="20"/>
              </w:rPr>
              <w:fldChar w:fldCharType="end"/>
            </w:r>
          </w:p>
        </w:tc>
        <w:tc>
          <w:tcPr>
            <w:tcW w:w="1417" w:type="dxa"/>
          </w:tcPr>
          <w:p w14:paraId="522EE9E4" w14:textId="5FAAEC81" w:rsidR="00743B47" w:rsidRPr="005F4695" w:rsidRDefault="00743B47" w:rsidP="00743B47">
            <w:pPr>
              <w:rPr>
                <w:rFonts w:asciiTheme="minorBidi" w:hAnsiTheme="minorBidi" w:cstheme="minorBidi"/>
                <w:color w:val="000000" w:themeColor="text1"/>
                <w:sz w:val="20"/>
                <w:szCs w:val="20"/>
              </w:rPr>
            </w:pPr>
            <w:r w:rsidRPr="005F4695">
              <w:rPr>
                <w:rFonts w:asciiTheme="minorBidi" w:hAnsiTheme="minorBidi" w:cstheme="minorBidi"/>
                <w:color w:val="000000" w:themeColor="text1"/>
                <w:sz w:val="20"/>
                <w:szCs w:val="20"/>
              </w:rPr>
              <w:t>Singapore</w:t>
            </w:r>
          </w:p>
        </w:tc>
        <w:tc>
          <w:tcPr>
            <w:tcW w:w="1276" w:type="dxa"/>
          </w:tcPr>
          <w:p w14:paraId="6CCFAC5D" w14:textId="42E47D88" w:rsidR="00743B47" w:rsidRPr="005F4695" w:rsidRDefault="00743B47" w:rsidP="00743B47">
            <w:pPr>
              <w:rPr>
                <w:rFonts w:asciiTheme="minorBidi" w:hAnsiTheme="minorBidi" w:cstheme="minorBidi"/>
                <w:color w:val="000000" w:themeColor="text1"/>
                <w:sz w:val="20"/>
                <w:szCs w:val="20"/>
              </w:rPr>
            </w:pPr>
            <w:r w:rsidRPr="005F4695">
              <w:rPr>
                <w:rFonts w:asciiTheme="minorBidi" w:hAnsiTheme="minorBidi" w:cstheme="minorBidi"/>
                <w:color w:val="000000" w:themeColor="text1"/>
                <w:sz w:val="20"/>
                <w:szCs w:val="20"/>
              </w:rPr>
              <w:t>57078, adults    (45-74)</w:t>
            </w:r>
          </w:p>
        </w:tc>
        <w:tc>
          <w:tcPr>
            <w:tcW w:w="1559" w:type="dxa"/>
          </w:tcPr>
          <w:p w14:paraId="1FFEB757" w14:textId="1B7F1045" w:rsidR="00743B47" w:rsidRPr="005F4695" w:rsidRDefault="00743B47" w:rsidP="00743B47">
            <w:pPr>
              <w:rPr>
                <w:rFonts w:asciiTheme="minorBidi" w:hAnsiTheme="minorBidi" w:cstheme="minorBidi"/>
                <w:color w:val="000000" w:themeColor="text1"/>
                <w:sz w:val="20"/>
                <w:szCs w:val="20"/>
              </w:rPr>
            </w:pPr>
            <w:r w:rsidRPr="005F4695">
              <w:rPr>
                <w:rFonts w:asciiTheme="minorBidi" w:hAnsiTheme="minorBidi" w:cstheme="minorBidi"/>
                <w:color w:val="000000" w:themeColor="text1"/>
                <w:sz w:val="20"/>
                <w:szCs w:val="20"/>
              </w:rPr>
              <w:t>FFQ          (165 items)</w:t>
            </w:r>
          </w:p>
          <w:p w14:paraId="76145222" w14:textId="77777777" w:rsidR="00743B47" w:rsidRPr="005F4695" w:rsidRDefault="00743B47" w:rsidP="00743B47">
            <w:pPr>
              <w:rPr>
                <w:rFonts w:asciiTheme="minorBidi" w:hAnsiTheme="minorBidi" w:cstheme="minorBidi"/>
                <w:color w:val="000000" w:themeColor="text1"/>
                <w:sz w:val="20"/>
                <w:szCs w:val="20"/>
              </w:rPr>
            </w:pPr>
          </w:p>
        </w:tc>
        <w:tc>
          <w:tcPr>
            <w:tcW w:w="1559" w:type="dxa"/>
          </w:tcPr>
          <w:p w14:paraId="049FE75A" w14:textId="4655C5CB" w:rsidR="00743B47" w:rsidRPr="005F4695" w:rsidRDefault="00743B47" w:rsidP="00743B47">
            <w:pPr>
              <w:rPr>
                <w:rFonts w:asciiTheme="minorBidi" w:hAnsiTheme="minorBidi" w:cstheme="minorBidi"/>
                <w:color w:val="000000" w:themeColor="text1"/>
                <w:sz w:val="20"/>
                <w:szCs w:val="20"/>
              </w:rPr>
            </w:pPr>
            <w:r w:rsidRPr="005F4695">
              <w:rPr>
                <w:rFonts w:asciiTheme="minorBidi" w:hAnsiTheme="minorBidi" w:cstheme="minorBidi"/>
                <w:color w:val="000000" w:themeColor="text1"/>
                <w:sz w:val="20"/>
                <w:szCs w:val="20"/>
              </w:rPr>
              <w:t xml:space="preserve">Comparison: AHEI, Modified-MDS, </w:t>
            </w:r>
            <w:r w:rsidR="00A940F3">
              <w:rPr>
                <w:rFonts w:asciiTheme="minorBidi" w:hAnsiTheme="minorBidi" w:cstheme="minorBidi"/>
                <w:color w:val="000000" w:themeColor="text1"/>
                <w:sz w:val="20"/>
                <w:szCs w:val="20"/>
              </w:rPr>
              <w:t>DASH score</w:t>
            </w:r>
            <w:r w:rsidRPr="005F4695">
              <w:rPr>
                <w:rFonts w:asciiTheme="minorBidi" w:hAnsiTheme="minorBidi" w:cstheme="minorBidi"/>
                <w:color w:val="000000" w:themeColor="text1"/>
                <w:sz w:val="20"/>
                <w:szCs w:val="20"/>
              </w:rPr>
              <w:t xml:space="preserve">, HDI </w:t>
            </w:r>
          </w:p>
        </w:tc>
        <w:tc>
          <w:tcPr>
            <w:tcW w:w="5305" w:type="dxa"/>
          </w:tcPr>
          <w:p w14:paraId="7A3A132D" w14:textId="2F31A243" w:rsidR="00743B47" w:rsidRPr="005F4695" w:rsidRDefault="00743B47" w:rsidP="00743B47">
            <w:pPr>
              <w:rPr>
                <w:rFonts w:asciiTheme="minorBidi" w:hAnsiTheme="minorBidi" w:cstheme="minorBidi"/>
                <w:color w:val="000000" w:themeColor="text1"/>
                <w:sz w:val="20"/>
                <w:szCs w:val="20"/>
              </w:rPr>
            </w:pPr>
            <w:r w:rsidRPr="005F4695">
              <w:rPr>
                <w:rFonts w:asciiTheme="minorBidi" w:hAnsiTheme="minorBidi" w:cstheme="minorBidi"/>
                <w:color w:val="000000" w:themeColor="text1"/>
                <w:sz w:val="20"/>
                <w:szCs w:val="20"/>
              </w:rPr>
              <w:t xml:space="preserve">AHEI: </w:t>
            </w:r>
            <w:r w:rsidRPr="005F4695">
              <w:rPr>
                <w:rFonts w:asciiTheme="minorBidi" w:hAnsiTheme="minorBidi" w:cstheme="minorBidi"/>
                <w:color w:val="000000" w:themeColor="text1"/>
                <w:sz w:val="20"/>
                <w:szCs w:val="20"/>
                <w:lang w:val="en-GB" w:eastAsia="en-GB"/>
              </w:rPr>
              <w:fldChar w:fldCharType="begin" w:fldLock="1"/>
            </w:r>
            <w:r w:rsidR="004A7B72">
              <w:rPr>
                <w:rFonts w:asciiTheme="minorBidi" w:hAnsiTheme="minorBidi" w:cstheme="minorBidi"/>
                <w:color w:val="000000" w:themeColor="text1"/>
                <w:sz w:val="20"/>
                <w:szCs w:val="20"/>
                <w:lang w:val="en-GB" w:eastAsia="en-GB"/>
              </w:rPr>
              <w:instrText>ADDIN CSL_CITATION {"citationItems":[{"id":"ITEM-1","itemData":{"DOI":"10.3945/jn.116.231209","ISSN":"0022-3166","author":[{"dropping-particle":"","family":"Mattei","given":"Josiemer","non-dropping-particle":"","parse-names":false,"suffix":""},{"dropping-particle":"","family":"Sotres-Alvarez","given":"Daniela","non-dropping-particle":"","parse-names":false,"suffix":""},{"dropping-particle":"","family":"Daviglus","given":"Martha L","non-dropping-particle":"","parse-names":false,"suffix":""},{"dropping-particle":"","family":"Gallo","given":"Linda C","non-dropping-particle":"","parse-names":false,"suffix":""},{"dropping-particle":"","family":"Gellman","given":"Marc","non-dropping-particle":"","parse-names":false,"suffix":""},{"dropping-particle":"","family":"Hu","given":"Frank B","non-dropping-particle":"","parse-names":false,"suffix":""},{"dropping-particle":"","family":"Tucker","given":"Katherine L","non-dropping-particle":"","parse-names":false,"suffix":""},{"dropping-particle":"","family":"Willett","given":"Walter C","non-dropping-particle":"","parse-names":false,"suffix":""},{"dropping-particle":"","family":"Siega-Riz","given":"Anna Maria","non-dropping-particle":"","parse-names":false,"suffix":""},{"dropping-particle":"","family":"Horn","given":"Linda","non-dropping-particle":"Van","parse-names":false,"suffix":""},{"dropping-particle":"","family":"Kaplan","given":"Robert C","non-dropping-particle":"","parse-names":false,"suffix":""}],"container-title":"The Journal of Nutrition","id":"ITEM-1","issue":"10","issued":{"date-parts":[["2016","10","1"]]},"page":"2035-2044","title":"Diet Quality and Its Association with Cardiometabolic Risk Factors Vary by Hispanic and Latino Ethnic Background in the Hispanic Community Health Study/Study of Latinos","type":"article-journal","volume":"146"},"uris":["http://www.mendeley.com/documents/?uuid=5b5fce0c-303d-3170-b389-a2b391692146"]}],"mendeley":{"formattedCitation":"(3)","plainTextFormattedCitation":"(3)","previouslyFormattedCitation":"(3)"},"properties":{"noteIndex":0},"schema":"https://github.com/citation-style-language/schema/raw/master/csl-citation.json"}</w:instrText>
            </w:r>
            <w:r w:rsidRPr="005F4695">
              <w:rPr>
                <w:rFonts w:asciiTheme="minorBidi" w:hAnsiTheme="minorBidi" w:cstheme="minorBidi"/>
                <w:color w:val="000000" w:themeColor="text1"/>
                <w:sz w:val="20"/>
                <w:szCs w:val="20"/>
                <w:lang w:val="en-GB" w:eastAsia="en-GB"/>
              </w:rPr>
              <w:fldChar w:fldCharType="separate"/>
            </w:r>
            <w:r w:rsidRPr="005F4695">
              <w:rPr>
                <w:rFonts w:asciiTheme="minorBidi" w:hAnsiTheme="minorBidi" w:cstheme="minorBidi"/>
                <w:noProof/>
                <w:color w:val="000000" w:themeColor="text1"/>
                <w:sz w:val="20"/>
                <w:szCs w:val="20"/>
                <w:lang w:val="en-GB" w:eastAsia="en-GB"/>
              </w:rPr>
              <w:t>(3)</w:t>
            </w:r>
            <w:r w:rsidRPr="005F4695">
              <w:rPr>
                <w:rFonts w:asciiTheme="minorBidi" w:hAnsiTheme="minorBidi" w:cstheme="minorBidi"/>
                <w:color w:val="000000" w:themeColor="text1"/>
                <w:sz w:val="20"/>
                <w:szCs w:val="20"/>
                <w:lang w:val="en-GB" w:eastAsia="en-GB"/>
              </w:rPr>
              <w:fldChar w:fldCharType="end"/>
            </w:r>
          </w:p>
          <w:p w14:paraId="20FEADA5" w14:textId="09D5C57F" w:rsidR="00743B47" w:rsidRPr="005F4695" w:rsidRDefault="00743B47" w:rsidP="00743B47">
            <w:pPr>
              <w:rPr>
                <w:rFonts w:asciiTheme="minorBidi" w:hAnsiTheme="minorBidi" w:cstheme="minorBidi"/>
                <w:color w:val="000000" w:themeColor="text1"/>
                <w:sz w:val="20"/>
                <w:szCs w:val="20"/>
              </w:rPr>
            </w:pPr>
            <w:r w:rsidRPr="005F4695">
              <w:rPr>
                <w:rFonts w:asciiTheme="minorBidi" w:hAnsiTheme="minorBidi" w:cstheme="minorBidi"/>
                <w:color w:val="000000" w:themeColor="text1"/>
                <w:sz w:val="20"/>
                <w:szCs w:val="20"/>
              </w:rPr>
              <w:t xml:space="preserve">Modified MDS: </w:t>
            </w:r>
            <w:r w:rsidRPr="005F4695">
              <w:rPr>
                <w:rFonts w:asciiTheme="minorBidi" w:hAnsiTheme="minorBidi" w:cstheme="minorBidi"/>
                <w:color w:val="000000" w:themeColor="text1"/>
                <w:sz w:val="20"/>
                <w:szCs w:val="20"/>
                <w:lang w:val="en-GB" w:eastAsia="en-GB"/>
              </w:rPr>
              <w:fldChar w:fldCharType="begin" w:fldLock="1"/>
            </w:r>
            <w:r w:rsidRPr="005F4695">
              <w:rPr>
                <w:rFonts w:asciiTheme="minorBidi" w:hAnsiTheme="minorBidi" w:cstheme="minorBidi"/>
                <w:color w:val="000000" w:themeColor="text1"/>
                <w:sz w:val="20"/>
                <w:szCs w:val="20"/>
                <w:lang w:val="en-GB" w:eastAsia="en-GB"/>
              </w:rPr>
              <w:instrText>ADDIN CSL_CITATION {"citationItems":[{"id":"ITEM-1","itemData":{"DOI":"10.1161/STROKEAHA.114.007894","ISSN":"0039-2499","PMID":"25628306","abstract":"BACKGROUND AND PURPOSE There are limited data on the potential association of adherence to Mediterranean diet (MeD) with incident stroke. We sought to assess the longitudinal association between greater adherence to MeD and risk of incident stroke. METHODS We prospectively evaluated a population-based cohort of 30 239 individuals enrolled in REasons for Geographic and Racial Differences in Stroke (REGARDS) study, after excluding participants with stroke history, missing demographic data or food frequency questionnaires, and unavailable follow-up information. Adherence to MeD was categorized using MeD score. Incident stroke was adjudicated by expert panel review of medical records during a mean follow-up period of 6.5 years. RESULTS Incident stroke was identified in 565 participants (2.8%; 497 and 68 cases of ischemic stroke [IS] and hemorrhagic stroke, respectively) of 20 197 individuals fulfilling the inclusion criteria. High adherence to MeD (MeD score, 5-9) was associated with lower risk of incident IS in unadjusted analyses (hazard ratio, 0.83; 95% confidence interval, 0.70-1.00; P=0.046). The former association retained its significance (hazard ratio, 0.79; 95% confidence interval, 0.65-0.96; P=0.016) after adjustment for demographics, vascular risk factors, blood pressure levels, and antihypertensive medications. When MeD was evaluated as a continuous variable, a 1-point increase in MeD score was independently associated with a 5% reduction in the risk of incident IS (95% confidence interval, 0-11%). We documented no association of adherence to MeD with incident hemorrhagic stroke. There was no interaction of race (P=0.37) on the association of adherence to MeD with incident IS. CONCLUSIONS High adherence to MeD seems to be associated with a lower risk of incident IS independent of potential confounders. Adherence to MeD is not related to the risk of incident hemorrhagic stroke.","author":[{"dropping-particle":"","family":"Tsivgoulis","given":"Georgios","non-dropping-particle":"","parse-names":false,"suffix":""},{"dropping-particle":"","family":"Psaltopoulou","given":"Theodora","non-dropping-particle":"","parse-names":false,"suffix":""},{"dropping-particle":"","family":"Wadley","given":"Virginia G.","non-dropping-particle":"","parse-names":false,"suffix":""},{"dropping-particle":"V.","family":"Alexandrov","given":"Andrei","non-dropping-particle":"","parse-names":false,"suffix":""},{"dropping-particle":"","family":"Howard","given":"George","non-dropping-particle":"","parse-names":false,"suffix":""},{"dropping-particle":"","family":"Unverzagt","given":"Frederick W.","non-dropping-particle":"","parse-names":false,"suffix":""},{"dropping-particle":"","family":"Moy","given":"Claudia","non-dropping-particle":"","parse-names":false,"suffix":""},{"dropping-particle":"","family":"Howard","given":"Virginia J.","non-dropping-particle":"","parse-names":false,"suffix":""},{"dropping-particle":"","family":"Kissela","given":"Brett","non-dropping-particle":"","parse-names":false,"suffix":""},{"dropping-particle":"","family":"Judd","given":"Suzanne E.","non-dropping-particle":"","parse-names":false,"suffix":""}],"container-title":"Stroke","id":"ITEM-1","issue":"3","issued":{"date-parts":[["2015","3"]]},"page":"780-785","title":"Adherence to a Mediterranean Diet and Prediction of Incident Stroke","type":"article-journal","volume":"46"},"uris":["http://www.mendeley.com/documents/?uuid=2c5f0285-1e55-3857-9133-2d23cea0c220"]}],"mendeley":{"formattedCitation":"(11)","plainTextFormattedCitation":"(11)","previouslyFormattedCitation":"(11)"},"properties":{"noteIndex":0},"schema":"https://github.com/citation-style-language/schema/raw/master/csl-citation.json"}</w:instrText>
            </w:r>
            <w:r w:rsidRPr="005F4695">
              <w:rPr>
                <w:rFonts w:asciiTheme="minorBidi" w:hAnsiTheme="minorBidi" w:cstheme="minorBidi"/>
                <w:color w:val="000000" w:themeColor="text1"/>
                <w:sz w:val="20"/>
                <w:szCs w:val="20"/>
                <w:lang w:val="en-GB" w:eastAsia="en-GB"/>
              </w:rPr>
              <w:fldChar w:fldCharType="separate"/>
            </w:r>
            <w:r w:rsidRPr="005F4695">
              <w:rPr>
                <w:rFonts w:asciiTheme="minorBidi" w:hAnsiTheme="minorBidi" w:cstheme="minorBidi"/>
                <w:noProof/>
                <w:color w:val="000000" w:themeColor="text1"/>
                <w:sz w:val="20"/>
                <w:szCs w:val="20"/>
                <w:lang w:val="en-GB" w:eastAsia="en-GB"/>
              </w:rPr>
              <w:t>(11)</w:t>
            </w:r>
            <w:r w:rsidRPr="005F4695">
              <w:rPr>
                <w:rFonts w:asciiTheme="minorBidi" w:hAnsiTheme="minorBidi" w:cstheme="minorBidi"/>
                <w:color w:val="000000" w:themeColor="text1"/>
                <w:sz w:val="20"/>
                <w:szCs w:val="20"/>
                <w:lang w:val="en-GB" w:eastAsia="en-GB"/>
              </w:rPr>
              <w:fldChar w:fldCharType="end"/>
            </w:r>
          </w:p>
          <w:p w14:paraId="1BCC1E76" w14:textId="2D8D6FBD"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rPr>
              <w:t xml:space="preserve">DASH </w:t>
            </w:r>
            <w:r w:rsidR="00A940F3">
              <w:rPr>
                <w:rFonts w:asciiTheme="minorBidi" w:hAnsiTheme="minorBidi" w:cstheme="minorBidi"/>
                <w:color w:val="000000" w:themeColor="text1"/>
                <w:sz w:val="20"/>
                <w:szCs w:val="20"/>
              </w:rPr>
              <w:t>score</w:t>
            </w:r>
            <w:r w:rsidRPr="005F4695">
              <w:rPr>
                <w:rFonts w:asciiTheme="minorBidi" w:hAnsiTheme="minorBidi" w:cstheme="minorBidi"/>
                <w:color w:val="000000" w:themeColor="text1"/>
                <w:sz w:val="20"/>
                <w:szCs w:val="20"/>
              </w:rPr>
              <w:t xml:space="preserve">: </w:t>
            </w:r>
            <w:r w:rsidRPr="005F4695">
              <w:rPr>
                <w:rFonts w:asciiTheme="minorBidi" w:hAnsiTheme="minorBidi" w:cstheme="minorBidi"/>
                <w:color w:val="000000" w:themeColor="text1"/>
                <w:sz w:val="20"/>
                <w:szCs w:val="20"/>
                <w:lang w:val="en-GB" w:eastAsia="en-GB"/>
              </w:rPr>
              <w:fldChar w:fldCharType="begin" w:fldLock="1"/>
            </w:r>
            <w:r w:rsidRPr="005F4695">
              <w:rPr>
                <w:rFonts w:asciiTheme="minorBidi" w:hAnsiTheme="minorBidi" w:cstheme="minorBidi"/>
                <w:color w:val="000000" w:themeColor="text1"/>
                <w:sz w:val="20"/>
                <w:szCs w:val="20"/>
                <w:lang w:val="en-GB" w:eastAsia="en-GB"/>
              </w:rPr>
              <w:instrText>ADDIN CSL_CITATION {"citationItems":[{"id":"ITEM-1","itemData":{"DOI":"10.1007/s00394-017-1562-4","ISSN":"1436-6207","PMID":"29098424","abstract":"PURPOSE The aims of this study were to (1) determine the association between diet quality using the Dietary Approaches to Stop Hypertension (DASH) score and cardiometabolic risk in a British working population and (2) identify employee characteristics associated with reporting a poorer quality dietary pattern. METHODS British police employees enrolled (2007-2012) into the Airwave Health Monitoring Study (n = 5527) were included for sex-specific cross-sectional analyses. Dietary intakes were measured using 7-day food records. DASH score was calculated to determine diet quality. Logistic regression evaluated associations between (1) diet quality and increased cardiometabolic risk (defined as ≥ 3 risk markers: dyslipidaemia, elevated blood pressure, waist circumference, CRP or HbA1c), and (2) poor diet quality (lowest fifth of DASH score distribution) and employee characteristics. RESULTS Employees recording a poor diet quality had greater odds (OR) of increased cardiometabolic risk independent of established risk factors (demographic, lifestyle and occupational) and BMI: men OR 1.50 (95% CI 1.12-2.00), women: OR 1.84 (95% CI 1.19-2.97) compared to the healthiest diet group. Characteristics associated with reporting a poor quality diet were employment in Scotland vs. England: men OR 1.88 (95% CI 1.53-2.32), women: OR 1.49 (95% CI 1.11-2.00), longer working hours (≥ 49 vs. ≤40 h) men: OR 1.53 (95% CI 1.21-1.92) women: OR 1.53 (95% CI 1.12-2.09). For men, job strain (high vs. low) was associated with reporting a poor diet quality OR 1.66 (95% CI 1.30-2.12). CONCLUSIONS The general population disparities in diet quality between England and Scotland were reflected in British police employees. The association of longer working hours and job strain with diet quality supports the targeting of workplace nutritional interventions.","author":[{"dropping-particle":"","family":"Gibson","given":"Rachel","non-dropping-particle":"","parse-names":false,"suffix":""},{"dropping-particle":"","family":"Eriksen","given":"Rebeca","non-dropping-particle":"","parse-names":false,"suffix":""},{"dropping-particle":"","family":"Singh","given":"Deepa","non-dropping-particle":"","parse-names":false,"suffix":""},{"dropping-particle":"","family":"Vergnaud","given":"Anne-Claire","non-dropping-particle":"","parse-names":false,"suffix":""},{"dropping-particle":"","family":"Heard","given":"Andrew","non-dropping-particle":"","parse-names":false,"suffix":""},{"dropping-particle":"","family":"Chan","given":"Queenie","non-dropping-particle":"","parse-names":false,"suffix":""},{"dropping-particle":"","family":"Elliott","given":"Paul","non-dropping-particle":"","parse-names":false,"suffix":""},{"dropping-particle":"","family":"Frost","given":"Gary","non-dropping-particle":"","parse-names":false,"suffix":""}],"container-title":"European Journal of Nutrition","id":"ITEM-1","issue":"8","issued":{"date-parts":[["2018","12","2"]]},"page":"2913-2926","title":"A cross-sectional investigation into the occupational and socio-demographic characteristics of British police force employees reporting a dietary pattern associated with cardiometabolic risk: findings from the Airwave Health Monitoring Study","type":"article-journal","volume":"57"},"uris":["http://www.mendeley.com/documents/?uuid=308b59cf-d657-32ee-a72f-ff29a9cd74fd"]}],"mendeley":{"formattedCitation":"(4)","plainTextFormattedCitation":"(4)","previouslyFormattedCitation":"(4)"},"properties":{"noteIndex":0},"schema":"https://github.com/citation-style-language/schema/raw/master/csl-citation.json"}</w:instrText>
            </w:r>
            <w:r w:rsidRPr="005F4695">
              <w:rPr>
                <w:rFonts w:asciiTheme="minorBidi" w:hAnsiTheme="minorBidi" w:cstheme="minorBidi"/>
                <w:color w:val="000000" w:themeColor="text1"/>
                <w:sz w:val="20"/>
                <w:szCs w:val="20"/>
                <w:lang w:val="en-GB" w:eastAsia="en-GB"/>
              </w:rPr>
              <w:fldChar w:fldCharType="separate"/>
            </w:r>
            <w:r w:rsidRPr="005F4695">
              <w:rPr>
                <w:rFonts w:asciiTheme="minorBidi" w:hAnsiTheme="minorBidi" w:cstheme="minorBidi"/>
                <w:noProof/>
                <w:color w:val="000000" w:themeColor="text1"/>
                <w:sz w:val="20"/>
                <w:szCs w:val="20"/>
                <w:lang w:val="en-GB" w:eastAsia="en-GB"/>
              </w:rPr>
              <w:t>(4)</w:t>
            </w:r>
            <w:r w:rsidRPr="005F4695">
              <w:rPr>
                <w:rFonts w:asciiTheme="minorBidi" w:hAnsiTheme="minorBidi" w:cstheme="minorBidi"/>
                <w:color w:val="000000" w:themeColor="text1"/>
                <w:sz w:val="20"/>
                <w:szCs w:val="20"/>
                <w:lang w:val="en-GB" w:eastAsia="en-GB"/>
              </w:rPr>
              <w:fldChar w:fldCharType="end"/>
            </w:r>
          </w:p>
          <w:p w14:paraId="057B2B0F" w14:textId="1D76CC31" w:rsidR="00743B47" w:rsidRPr="005F4695" w:rsidRDefault="00743B47" w:rsidP="00743B47">
            <w:pPr>
              <w:rPr>
                <w:rFonts w:asciiTheme="minorBidi" w:hAnsiTheme="minorBidi" w:cstheme="minorBidi"/>
                <w:color w:val="000000" w:themeColor="text1"/>
                <w:sz w:val="20"/>
                <w:szCs w:val="20"/>
              </w:rPr>
            </w:pPr>
          </w:p>
        </w:tc>
      </w:tr>
      <w:tr w:rsidR="000226E3" w:rsidRPr="005F4695" w14:paraId="1D251484" w14:textId="77777777" w:rsidTr="00B20E43">
        <w:trPr>
          <w:trHeight w:val="462"/>
        </w:trPr>
        <w:tc>
          <w:tcPr>
            <w:tcW w:w="1555" w:type="dxa"/>
          </w:tcPr>
          <w:p w14:paraId="3D257930" w14:textId="04BA80D7" w:rsidR="000226E3" w:rsidRPr="005F4695" w:rsidRDefault="000226E3" w:rsidP="00B20E43">
            <w:pPr>
              <w:rPr>
                <w:rFonts w:asciiTheme="minorBidi" w:hAnsiTheme="minorBidi" w:cstheme="minorBidi"/>
                <w:color w:val="000000" w:themeColor="text1"/>
                <w:sz w:val="20"/>
                <w:szCs w:val="20"/>
              </w:rPr>
            </w:pPr>
            <w:r w:rsidRPr="005F4695">
              <w:rPr>
                <w:rFonts w:asciiTheme="minorBidi" w:hAnsiTheme="minorBidi" w:cstheme="minorBidi"/>
                <w:b/>
                <w:color w:val="000000" w:themeColor="text1"/>
                <w:sz w:val="20"/>
                <w:szCs w:val="20"/>
              </w:rPr>
              <w:t>Australia</w:t>
            </w:r>
          </w:p>
        </w:tc>
        <w:tc>
          <w:tcPr>
            <w:tcW w:w="1417" w:type="dxa"/>
          </w:tcPr>
          <w:p w14:paraId="61A70BAA" w14:textId="77777777" w:rsidR="000226E3" w:rsidRPr="005F4695" w:rsidRDefault="000226E3" w:rsidP="00B20E43">
            <w:pPr>
              <w:rPr>
                <w:rFonts w:asciiTheme="minorBidi" w:hAnsiTheme="minorBidi" w:cstheme="minorBidi"/>
                <w:color w:val="000000" w:themeColor="text1"/>
                <w:sz w:val="20"/>
                <w:szCs w:val="20"/>
              </w:rPr>
            </w:pPr>
          </w:p>
        </w:tc>
        <w:tc>
          <w:tcPr>
            <w:tcW w:w="1276" w:type="dxa"/>
          </w:tcPr>
          <w:p w14:paraId="607761CE" w14:textId="77777777" w:rsidR="000226E3" w:rsidRPr="005F4695" w:rsidRDefault="000226E3" w:rsidP="00B20E43">
            <w:pPr>
              <w:rPr>
                <w:rFonts w:asciiTheme="minorBidi" w:hAnsiTheme="minorBidi" w:cstheme="minorBidi"/>
                <w:color w:val="000000" w:themeColor="text1"/>
                <w:sz w:val="20"/>
                <w:szCs w:val="20"/>
              </w:rPr>
            </w:pPr>
          </w:p>
        </w:tc>
        <w:tc>
          <w:tcPr>
            <w:tcW w:w="1559" w:type="dxa"/>
          </w:tcPr>
          <w:p w14:paraId="5EF00F00" w14:textId="77777777" w:rsidR="000226E3" w:rsidRPr="005F4695" w:rsidRDefault="000226E3" w:rsidP="00B20E43">
            <w:pPr>
              <w:rPr>
                <w:rFonts w:asciiTheme="minorBidi" w:hAnsiTheme="minorBidi" w:cstheme="minorBidi"/>
                <w:color w:val="000000" w:themeColor="text1"/>
                <w:sz w:val="20"/>
                <w:szCs w:val="20"/>
              </w:rPr>
            </w:pPr>
          </w:p>
        </w:tc>
        <w:tc>
          <w:tcPr>
            <w:tcW w:w="1559" w:type="dxa"/>
          </w:tcPr>
          <w:p w14:paraId="3A7C53CF" w14:textId="77777777" w:rsidR="000226E3" w:rsidRPr="005F4695" w:rsidRDefault="000226E3" w:rsidP="00B20E43">
            <w:pPr>
              <w:rPr>
                <w:rFonts w:asciiTheme="minorBidi" w:hAnsiTheme="minorBidi" w:cstheme="minorBidi"/>
                <w:color w:val="000000" w:themeColor="text1"/>
                <w:sz w:val="20"/>
                <w:szCs w:val="20"/>
              </w:rPr>
            </w:pPr>
          </w:p>
        </w:tc>
        <w:tc>
          <w:tcPr>
            <w:tcW w:w="5305" w:type="dxa"/>
          </w:tcPr>
          <w:p w14:paraId="4EA7F9C0" w14:textId="77777777" w:rsidR="000226E3" w:rsidRPr="005F4695" w:rsidRDefault="000226E3" w:rsidP="00B20E43">
            <w:pPr>
              <w:rPr>
                <w:rFonts w:asciiTheme="minorBidi" w:hAnsiTheme="minorBidi" w:cstheme="minorBidi"/>
                <w:color w:val="000000" w:themeColor="text1"/>
                <w:sz w:val="20"/>
                <w:szCs w:val="20"/>
              </w:rPr>
            </w:pPr>
          </w:p>
        </w:tc>
      </w:tr>
      <w:tr w:rsidR="00743B47" w:rsidRPr="005F4695" w14:paraId="0725050D" w14:textId="77777777" w:rsidTr="00B20E43">
        <w:trPr>
          <w:trHeight w:val="900"/>
        </w:trPr>
        <w:tc>
          <w:tcPr>
            <w:tcW w:w="1555" w:type="dxa"/>
          </w:tcPr>
          <w:p w14:paraId="13ED3F67" w14:textId="159752BB" w:rsidR="00743B47" w:rsidRPr="005F4695" w:rsidRDefault="00743B47" w:rsidP="00743B47">
            <w:pPr>
              <w:rPr>
                <w:rFonts w:asciiTheme="minorBidi" w:hAnsiTheme="minorBidi" w:cstheme="minorBidi"/>
                <w:color w:val="000000" w:themeColor="text1"/>
                <w:sz w:val="20"/>
                <w:szCs w:val="20"/>
                <w:lang w:val="en-GB" w:eastAsia="en-GB"/>
              </w:rPr>
            </w:pPr>
            <w:r w:rsidRPr="003754B5">
              <w:rPr>
                <w:rFonts w:asciiTheme="minorBidi" w:hAnsiTheme="minorBidi" w:cstheme="minorBidi"/>
                <w:sz w:val="20"/>
                <w:szCs w:val="20"/>
                <w:lang w:val="en-GB" w:eastAsia="en-GB"/>
              </w:rPr>
              <w:t>Hodge et al</w:t>
            </w:r>
            <w:r>
              <w:rPr>
                <w:rFonts w:asciiTheme="minorBidi" w:hAnsiTheme="minorBidi" w:cstheme="minorBidi"/>
                <w:sz w:val="20"/>
                <w:szCs w:val="20"/>
                <w:lang w:val="en-GB" w:eastAsia="en-GB"/>
              </w:rPr>
              <w:t>, 2018</w:t>
            </w:r>
            <w:r w:rsidRPr="003754B5">
              <w:rPr>
                <w:rFonts w:asciiTheme="minorBidi" w:hAnsiTheme="minorBidi" w:cstheme="minorBidi"/>
                <w:sz w:val="20"/>
                <w:szCs w:val="20"/>
                <w:lang w:val="en-GB" w:eastAsia="en-GB"/>
              </w:rPr>
              <w:t xml:space="preserve"> </w:t>
            </w:r>
            <w:r w:rsidRPr="003754B5">
              <w:rPr>
                <w:rFonts w:asciiTheme="minorBidi" w:hAnsiTheme="minorBidi" w:cstheme="minorBidi"/>
                <w:sz w:val="20"/>
                <w:szCs w:val="20"/>
                <w:lang w:val="en-GB" w:eastAsia="en-GB"/>
              </w:rPr>
              <w:fldChar w:fldCharType="begin" w:fldLock="1"/>
            </w:r>
            <w:r>
              <w:rPr>
                <w:rFonts w:asciiTheme="minorBidi" w:hAnsiTheme="minorBidi" w:cstheme="minorBidi"/>
                <w:sz w:val="20"/>
                <w:szCs w:val="20"/>
                <w:lang w:val="en-GB" w:eastAsia="en-GB"/>
              </w:rPr>
              <w:instrText>ADDIN CSL_CITATION {"citationItems":[{"id":"ITEM-1","itemData":{"DOI":"10.1016/j.numecd.2018.01.010","ISSN":"15903729","PMID":"29576250","abstract":"Background and Aims: Dietary patterns are associated with risk of cardiovascular disease (CVD). We aimed to examine associations of the Dietary Inflammatory Index (DII) and the Mediterranean Diet Score (MDS) with total, cardiovascular disease (CVD) and coronary heart disease (CHD) mortality in the Melbourne Collaborative Cohort Study; and compare the strengths of the associations. Methods and Results: In our prospective cohort study of 41,513 men and women aged 40–69 years, a food frequency questionnaire was completed at baseline and mortality data were obtained via linkage with local and national registries over an average of 19 years follow up. At baseline, questionnaires were completed and physical measures and blood samples taken. Cox proportional hazards models, adjusting for age, alcohol consumption, sex, region of origin, personal history of CVD or diabetes and family history of CVD, were used to assess associations between dietary scores and mortality. More Mediterranean or less inflammatory diets were associated with lower total, CVD and CHD mortality. The hazard ratio for total mortality comparing the highest and lowest quintiles was 1.16 (95%CI: 1.08–1.24) for DII; and 0.86 (95%CI: 0.80–0.93) comparing the highest and lowest three categories of MDS. Using the Bayesian information criterion, there was no evidence that the DII score was more strongly associated with total and CVD mortality than was the MDS. Conclusions: The MDI and the DII show similar associations with total and cardiovascular mortality, consistent with the consensus that plant-based diets are beneficial for health.","author":[{"dropping-particle":"","family":"Hodge","given":"A.M. M.","non-dropping-particle":"","parse-names":false,"suffix":""},{"dropping-particle":"","family":"Bassett","given":"J.K. K.","non-dropping-particle":"","parse-names":false,"suffix":""},{"dropping-particle":"","family":"Dugué","given":"P.-A. A.","non-dropping-particle":"","parse-names":false,"suffix":""},{"dropping-particle":"","family":"Shivappa","given":"N.","non-dropping-particle":"","parse-names":false,"suffix":""},{"dropping-particle":"","family":"Hébert","given":"J.R. R.","non-dropping-particle":"","parse-names":false,"suffix":""},{"dropping-particle":"","family":"Milne","given":"R.L. L.","non-dropping-particle":"","parse-names":false,"suffix":""},{"dropping-particle":"","family":"English","given":"D.R. R.","non-dropping-particle":"","parse-names":false,"suffix":""},{"dropping-particle":"","family":"Giles","given":"G.G. G.","non-dropping-particle":"","parse-names":false,"suffix":""}],"container-title":"Nutrition, Metabolism and Cardiovascular Diseases","id":"ITEM-1","issue":"5","issued":{"date-parts":[["2018","5"]]},"page":"461-469","title":"Dietary inflammatory index or Mediterranean diet score as risk factors for total and cardiovascular mortality","type":"article-journal","volume":"28"},"uris":["http://www.mendeley.com/documents/?uuid=3b7941f5-a0e0-481a-9242-1795e34b07c4"]}],"mendeley":{"formattedCitation":"(52)","plainTextFormattedCitation":"(52)","previouslyFormattedCitation":"(52)"},"properties":{"noteIndex":0},"schema":"https://github.com/citation-style-language/schema/raw/master/csl-citation.json"}</w:instrText>
            </w:r>
            <w:r w:rsidRPr="003754B5">
              <w:rPr>
                <w:rFonts w:asciiTheme="minorBidi" w:hAnsiTheme="minorBidi" w:cstheme="minorBidi"/>
                <w:sz w:val="20"/>
                <w:szCs w:val="20"/>
                <w:lang w:val="en-GB" w:eastAsia="en-GB"/>
              </w:rPr>
              <w:fldChar w:fldCharType="separate"/>
            </w:r>
            <w:r w:rsidRPr="003754B5">
              <w:rPr>
                <w:rFonts w:asciiTheme="minorBidi" w:hAnsiTheme="minorBidi" w:cstheme="minorBidi"/>
                <w:noProof/>
                <w:sz w:val="20"/>
                <w:szCs w:val="20"/>
                <w:lang w:val="en-GB" w:eastAsia="en-GB"/>
              </w:rPr>
              <w:t>(52)</w:t>
            </w:r>
            <w:r w:rsidRPr="003754B5">
              <w:rPr>
                <w:rFonts w:asciiTheme="minorBidi" w:hAnsiTheme="minorBidi" w:cstheme="minorBidi"/>
                <w:sz w:val="20"/>
                <w:szCs w:val="20"/>
                <w:lang w:val="en-GB" w:eastAsia="en-GB"/>
              </w:rPr>
              <w:fldChar w:fldCharType="end"/>
            </w:r>
          </w:p>
        </w:tc>
        <w:tc>
          <w:tcPr>
            <w:tcW w:w="1417" w:type="dxa"/>
          </w:tcPr>
          <w:p w14:paraId="0FA61D20" w14:textId="4A528EEE"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lang w:val="en-GB" w:eastAsia="en-GB"/>
              </w:rPr>
              <w:t>Australia</w:t>
            </w:r>
          </w:p>
        </w:tc>
        <w:tc>
          <w:tcPr>
            <w:tcW w:w="1276" w:type="dxa"/>
          </w:tcPr>
          <w:p w14:paraId="72B80BC5" w14:textId="19B245FF"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lang w:val="en-GB" w:eastAsia="en-GB"/>
              </w:rPr>
              <w:t>41513, adults    (40-69)</w:t>
            </w:r>
          </w:p>
        </w:tc>
        <w:tc>
          <w:tcPr>
            <w:tcW w:w="1559" w:type="dxa"/>
          </w:tcPr>
          <w:p w14:paraId="19A878C8" w14:textId="6F28AB72"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lang w:val="en-GB" w:eastAsia="en-GB"/>
              </w:rPr>
              <w:t>FFQ</w:t>
            </w:r>
          </w:p>
        </w:tc>
        <w:tc>
          <w:tcPr>
            <w:tcW w:w="1559" w:type="dxa"/>
          </w:tcPr>
          <w:p w14:paraId="0646147A" w14:textId="77777777"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lang w:val="en-GB" w:eastAsia="en-GB"/>
              </w:rPr>
              <w:t xml:space="preserve">Comparison:  </w:t>
            </w:r>
          </w:p>
          <w:p w14:paraId="6F2E6001" w14:textId="498C3AB3"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lang w:val="en-GB" w:eastAsia="en-GB"/>
              </w:rPr>
              <w:t>DII, MDS</w:t>
            </w:r>
          </w:p>
        </w:tc>
        <w:tc>
          <w:tcPr>
            <w:tcW w:w="5305" w:type="dxa"/>
          </w:tcPr>
          <w:p w14:paraId="23B4CF94" w14:textId="2FF34D58"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bCs/>
                <w:color w:val="000000" w:themeColor="text1"/>
                <w:sz w:val="20"/>
                <w:szCs w:val="20"/>
                <w:lang w:val="en-GB" w:eastAsia="en-GB"/>
              </w:rPr>
              <w:t xml:space="preserve">DII: </w:t>
            </w:r>
            <w:r w:rsidRPr="005F4695">
              <w:rPr>
                <w:rFonts w:asciiTheme="minorBidi" w:hAnsiTheme="minorBidi" w:cstheme="minorBidi"/>
                <w:color w:val="000000" w:themeColor="text1"/>
                <w:sz w:val="20"/>
                <w:szCs w:val="20"/>
              </w:rPr>
              <w:fldChar w:fldCharType="begin" w:fldLock="1"/>
            </w:r>
            <w:r w:rsidRPr="005F4695">
              <w:rPr>
                <w:rFonts w:asciiTheme="minorBidi" w:hAnsiTheme="minorBidi" w:cstheme="minorBidi"/>
                <w:color w:val="000000" w:themeColor="text1"/>
                <w:sz w:val="20"/>
                <w:szCs w:val="20"/>
              </w:rPr>
              <w:instrText>ADDIN CSL_CITATION {"citationItems":[{"id":"ITEM-1","itemData":{"DOI":"10.1007/s00394-015-1112-x","ISSN":"1436-6207","PMID":"26644215","abstract":"BACKGROUND Various dietary components have been studied in relation to overall mortality; however, little is known about the relationship between the inflammatory potential of overall diet and mortality. MATERIALS AND METHODS We examined the association between the dietary inflammatory index (DII) and mortality in the National Health and Nutrition Examination Survey III follow-up study. The DII was computed from baseline dietary intake assessed using 24-h dietary recalls (1988-1994). Mortality was determined from the National Death Index records through 2006. Cox proportional hazards regression was used to estimate hazard ratios (HRs) and 95 % confidence interval (95 % CI). During the follow-up, 2795 deaths were identified, including 1233 due to cardiovascular disease (CVD), and 615 due to cancer, 158 of which were due to digestive-tract cancers. RESULTS Multivariate Cox proportional hazards regression analyses, adjusting for age, race, diabetes status, hypertension, physical activity, body mass index, poverty index, and smoking, revealed positive associations between higher DII scores and mortality. Comparing subjects in DII tertile 3 versus tertile 1, significant associations were noted for all-cause mortality (HRTertile3vs1 1.34; 95 % CI 1.19-1.51, P trend &lt; 0.0001), CVD mortality (HRTertile3vs1 1.46; 95 % CI 1.18-1.81, P trend = 0.0006), cancer mortality (HRTertile3vs1 1.46; 95 % CI 1.10-1.96, P trend = 0.01), and digestive-tract cancer mortality (HRTertile3vs1 2.10; 95 % CI 1.15-3.84, P trend = 0.03). CONCLUSION These results indicate that a pro-inflammatory diet, as indicated by higher DII scores, was associated with higher risk of all-cause, CVD, and cancer mortality.","author":[{"dropping-particle":"","family":"Shivappa","given":"Nitin","non-dropping-particle":"","parse-names":false,"suffix":""},{"dropping-particle":"","family":"Steck","given":"Susan E.","non-dropping-particle":"","parse-names":false,"suffix":""},{"dropping-particle":"","family":"Hussey","given":"James R.","non-dropping-particle":"","parse-names":false,"suffix":""},{"dropping-particle":"","family":"Ma","given":"Yunsheng","non-dropping-particle":"","parse-names":false,"suffix":""},{"dropping-particle":"","family":"Hebert","given":"James R.","non-dropping-particle":"","parse-names":false,"suffix":""}],"container-title":"European Journal of Nutrition","id":"ITEM-1","issue":"2","issued":{"date-parts":[["2017","3","7"]]},"page":"683-692","title":"Inflammatory potential of diet and all-cause, cardiovascular, and cancer mortality in National Health and Nutrition Examination Survey III Study","type":"article-journal","volume":"56"},"uris":["http://www.mendeley.com/documents/?uuid=157568fa-13ed-4171-8b34-c26b88107aef"]}],"mendeley":{"formattedCitation":"(8)","plainTextFormattedCitation":"(8)","previouslyFormattedCitation":"(8)"},"properties":{"noteIndex":0},"schema":"https://github.com/citation-style-language/schema/raw/master/csl-citation.json"}</w:instrText>
            </w:r>
            <w:r w:rsidRPr="005F4695">
              <w:rPr>
                <w:rFonts w:asciiTheme="minorBidi" w:hAnsiTheme="minorBidi" w:cstheme="minorBidi"/>
                <w:color w:val="000000" w:themeColor="text1"/>
                <w:sz w:val="20"/>
                <w:szCs w:val="20"/>
              </w:rPr>
              <w:fldChar w:fldCharType="separate"/>
            </w:r>
            <w:r w:rsidRPr="005F4695">
              <w:rPr>
                <w:rFonts w:asciiTheme="minorBidi" w:hAnsiTheme="minorBidi" w:cstheme="minorBidi"/>
                <w:noProof/>
                <w:color w:val="000000" w:themeColor="text1"/>
                <w:sz w:val="20"/>
                <w:szCs w:val="20"/>
              </w:rPr>
              <w:t>(8)</w:t>
            </w:r>
            <w:r w:rsidRPr="005F4695">
              <w:rPr>
                <w:rFonts w:asciiTheme="minorBidi" w:hAnsiTheme="minorBidi" w:cstheme="minorBidi"/>
                <w:color w:val="000000" w:themeColor="text1"/>
                <w:sz w:val="20"/>
                <w:szCs w:val="20"/>
              </w:rPr>
              <w:fldChar w:fldCharType="end"/>
            </w:r>
          </w:p>
          <w:p w14:paraId="6A8C1F7A" w14:textId="20FF7DF9"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bCs/>
                <w:color w:val="000000" w:themeColor="text1"/>
                <w:sz w:val="20"/>
                <w:szCs w:val="20"/>
                <w:lang w:val="en-GB" w:eastAsia="en-GB"/>
              </w:rPr>
              <w:t xml:space="preserve">MDS </w:t>
            </w:r>
            <w:r w:rsidRPr="005F4695">
              <w:rPr>
                <w:rFonts w:asciiTheme="minorBidi" w:hAnsiTheme="minorBidi" w:cstheme="minorBidi"/>
                <w:color w:val="000000" w:themeColor="text1"/>
                <w:sz w:val="20"/>
                <w:szCs w:val="20"/>
              </w:rPr>
              <w:fldChar w:fldCharType="begin" w:fldLock="1"/>
            </w:r>
            <w:r w:rsidRPr="005F4695">
              <w:rPr>
                <w:rFonts w:asciiTheme="minorBidi" w:hAnsiTheme="minorBidi" w:cstheme="minorBidi"/>
                <w:color w:val="000000" w:themeColor="text1"/>
                <w:sz w:val="20"/>
                <w:szCs w:val="20"/>
              </w:rPr>
              <w:instrText>ADDIN CSL_CITATION {"citationItems":[{"id":"ITEM-1","itemData":{"DOI":"10.1007/s00394-015-1092-x","ISSN":"1436-6207","PMID":"26578528","abstract":"PURPOSE Mediterranean-type dietary pattern has been associated with lower risk of cardiovascular (CVD) and other chronic diseases, primarily in Southern European populations. We examined whether Mediterranean diet score (MDS) is associated with total, CVD, coronary heart disease (CHD) and stroke mortality in a prospective cohort study in three Eastern European populations. METHODS A total of 19,333 male and female participants of the Health Alcohol and Psychosocial factors in Eastern Europe (HAPIEE) study in the Czech Republic, Poland and the Russian Federation were included in the analysis. Diet was assessed by food frequency questionnaire, and MDS was derived from consumption of nine groups of food using absolute cut-offs. Mortality was ascertained by linkage with death registers. RESULTS Over the median follow-up time of 7 years, 1314 participants died. The proportion of participants with high adherence to Mediterranean diet was low (25 %). One standard deviation (SD) increase in the MDS (equivalent to 2.2 point increase in the score) was found to be inversely associated with death from all causes (HR, 95 % CI 0.93, 0.88-0.98) and CVD (0.90, 0.81-0.99) even after multivariable adjustment. Inverse but statistically not significant link was found for CHD (0.90, 0.78-1.03) and stroke (0.87, 0.71-1.07). The MDS effects were similar in each country cohort. CONCLUSION Higher adherence to the Mediterranean diet was associated with reduced risk of total and CVD deaths in these large Eastern European urban populations. The application of MDS with absolute cut-offs appears suitable for non-Mediterranean populations.","author":[{"dropping-particle":"","family":"Stefler","given":"Denes","non-dropping-particle":"","parse-names":false,"suffix":""},{"dropping-particle":"","family":"Malyutina","given":"Sofia","non-dropping-particle":"","parse-names":false,"suffix":""},{"dropping-particle":"","family":"Kubinova","given":"Ruzena","non-dropping-particle":"","parse-names":false,"suffix":""},{"dropping-particle":"","family":"Pajak","given":"Andrzej","non-dropping-particle":"","parse-names":false,"suffix":""},{"dropping-particle":"","family":"Peasey","given":"Anne","non-dropping-particle":"","parse-names":false,"suffix":""},{"dropping-particle":"","family":"Pikhart","given":"Hynek","non-dropping-particle":"","parse-names":false,"suffix":""},{"dropping-particle":"","family":"Brunner","given":"Eric J.","non-dropping-particle":"","parse-names":false,"suffix":""},{"dropping-particle":"","family":"Bobak","given":"Martin","non-dropping-particle":"","parse-names":false,"suffix":""}],"container-title":"European Journal of Nutrition","id":"ITEM-1","issue":"1","issued":{"date-parts":[["2017","2","17"]]},"page":"421-429","title":"Mediterranean diet score and total and cardiovascular mortality in Eastern Europe: the HAPIEE study","type":"article-journal","volume":"56"},"uris":["http://www.mendeley.com/documents/?uuid=042ba4c6-7af7-34a7-bf30-e4e11c2d6f01"]}],"mendeley":{"formattedCitation":"(39)","plainTextFormattedCitation":"(39)","previouslyFormattedCitation":"(39)"},"properties":{"noteIndex":0},"schema":"https://github.com/citation-style-language/schema/raw/master/csl-citation.json"}</w:instrText>
            </w:r>
            <w:r w:rsidRPr="005F4695">
              <w:rPr>
                <w:rFonts w:asciiTheme="minorBidi" w:hAnsiTheme="minorBidi" w:cstheme="minorBidi"/>
                <w:color w:val="000000" w:themeColor="text1"/>
                <w:sz w:val="20"/>
                <w:szCs w:val="20"/>
              </w:rPr>
              <w:fldChar w:fldCharType="separate"/>
            </w:r>
            <w:r w:rsidRPr="005F4695">
              <w:rPr>
                <w:rFonts w:asciiTheme="minorBidi" w:hAnsiTheme="minorBidi" w:cstheme="minorBidi"/>
                <w:noProof/>
                <w:color w:val="000000" w:themeColor="text1"/>
                <w:sz w:val="20"/>
                <w:szCs w:val="20"/>
              </w:rPr>
              <w:t>(39)</w:t>
            </w:r>
            <w:r w:rsidRPr="005F4695">
              <w:rPr>
                <w:rFonts w:asciiTheme="minorBidi" w:hAnsiTheme="minorBidi" w:cstheme="minorBidi"/>
                <w:color w:val="000000" w:themeColor="text1"/>
                <w:sz w:val="20"/>
                <w:szCs w:val="20"/>
              </w:rPr>
              <w:fldChar w:fldCharType="end"/>
            </w:r>
            <w:r w:rsidRPr="005F4695">
              <w:rPr>
                <w:rFonts w:asciiTheme="minorBidi" w:hAnsiTheme="minorBidi" w:cstheme="minorBidi"/>
                <w:color w:val="000000" w:themeColor="text1"/>
                <w:sz w:val="20"/>
                <w:szCs w:val="20"/>
              </w:rPr>
              <w:t xml:space="preserve"> </w:t>
            </w:r>
            <w:r w:rsidRPr="005F4695">
              <w:rPr>
                <w:rFonts w:asciiTheme="minorBidi" w:hAnsiTheme="minorBidi" w:cstheme="minorBidi"/>
                <w:b/>
                <w:bCs/>
                <w:color w:val="000000" w:themeColor="text1"/>
                <w:sz w:val="20"/>
                <w:szCs w:val="20"/>
                <w:lang w:val="en-GB" w:eastAsia="en-GB"/>
              </w:rPr>
              <w:t xml:space="preserve"> </w:t>
            </w:r>
          </w:p>
          <w:p w14:paraId="6125EDEA" w14:textId="77777777" w:rsidR="00743B47" w:rsidRPr="005F4695" w:rsidRDefault="00743B47" w:rsidP="00743B47">
            <w:pPr>
              <w:rPr>
                <w:rFonts w:asciiTheme="minorBidi" w:hAnsiTheme="minorBidi" w:cstheme="minorBidi"/>
                <w:color w:val="000000" w:themeColor="text1"/>
                <w:sz w:val="20"/>
                <w:szCs w:val="20"/>
                <w:lang w:val="en-GB" w:eastAsia="en-GB"/>
              </w:rPr>
            </w:pPr>
          </w:p>
        </w:tc>
      </w:tr>
      <w:tr w:rsidR="00743B47" w:rsidRPr="005F4695" w14:paraId="17ECBF1C" w14:textId="77777777" w:rsidTr="00B20E43">
        <w:trPr>
          <w:trHeight w:val="900"/>
        </w:trPr>
        <w:tc>
          <w:tcPr>
            <w:tcW w:w="1555" w:type="dxa"/>
          </w:tcPr>
          <w:p w14:paraId="788A7D19" w14:textId="5C75334D" w:rsidR="00743B47" w:rsidRPr="005F4695" w:rsidRDefault="00743B47" w:rsidP="00743B47">
            <w:pPr>
              <w:rPr>
                <w:rFonts w:asciiTheme="minorBidi" w:hAnsiTheme="minorBidi" w:cstheme="minorBidi"/>
                <w:color w:val="000000" w:themeColor="text1"/>
                <w:sz w:val="20"/>
                <w:szCs w:val="20"/>
              </w:rPr>
            </w:pPr>
            <w:r w:rsidRPr="003754B5">
              <w:rPr>
                <w:rFonts w:asciiTheme="minorBidi" w:hAnsiTheme="minorBidi" w:cstheme="minorBidi"/>
                <w:color w:val="000000" w:themeColor="text1"/>
                <w:sz w:val="20"/>
                <w:szCs w:val="20"/>
                <w:lang w:val="en-GB" w:eastAsia="en-GB"/>
              </w:rPr>
              <w:t>Livingstone et al</w:t>
            </w:r>
            <w:r>
              <w:rPr>
                <w:rFonts w:asciiTheme="minorBidi" w:hAnsiTheme="minorBidi" w:cstheme="minorBidi"/>
                <w:color w:val="000000" w:themeColor="text1"/>
                <w:sz w:val="20"/>
                <w:szCs w:val="20"/>
                <w:lang w:val="en-GB" w:eastAsia="en-GB"/>
              </w:rPr>
              <w:t>, 2018</w:t>
            </w:r>
            <w:r w:rsidRPr="003754B5">
              <w:rPr>
                <w:rFonts w:asciiTheme="minorBidi" w:hAnsiTheme="minorBidi" w:cstheme="minorBidi"/>
                <w:color w:val="000000" w:themeColor="text1"/>
                <w:sz w:val="20"/>
                <w:szCs w:val="20"/>
                <w:lang w:val="en-GB" w:eastAsia="en-GB"/>
              </w:rPr>
              <w:t xml:space="preserve"> </w:t>
            </w:r>
            <w:r w:rsidRPr="003754B5">
              <w:rPr>
                <w:rFonts w:asciiTheme="minorBidi" w:hAnsiTheme="minorBidi" w:cstheme="minorBidi"/>
                <w:color w:val="000000" w:themeColor="text1"/>
                <w:sz w:val="20"/>
                <w:szCs w:val="20"/>
                <w:lang w:val="en-GB" w:eastAsia="en-GB"/>
              </w:rPr>
              <w:fldChar w:fldCharType="begin" w:fldLock="1"/>
            </w:r>
            <w:r>
              <w:rPr>
                <w:rFonts w:asciiTheme="minorBidi" w:hAnsiTheme="minorBidi" w:cstheme="minorBidi"/>
                <w:color w:val="000000" w:themeColor="text1"/>
                <w:sz w:val="20"/>
                <w:szCs w:val="20"/>
                <w:lang w:val="en-GB" w:eastAsia="en-GB"/>
              </w:rPr>
              <w:instrText>ADDIN CSL_CITATION {"citationItems":[{"id":"ITEM-1","itemData":{"DOI":"10.1186/s12937-018-0326-1","ISSN":"1475-2891","abstract":"Diet quality indices score dietary intakes against recommendations, whereas dietary patterns consider the pattern and combination of dietary intakes. Studies evaluating both methodologies in relation to cardiometabolic health in a nationally representative sample are limited. The aim of the present study was to investigate the relationship between diet quality, dietary patterns and markers of cardiometabolic health in Australian adults. Dietary data, using two 24-h dietary recalls, were collected from adults in the cross-sectional Australian Health Survey 2011–2013 (n = 2121; 46.4 (SE 0.48) years). Diet quality was estimated using the Dietary Guideline Index (DGI). Dietary patterns (DPs), derived using reduced rank regression, were estimated using fiber density, SFA: PUFA and total sugars intake as intermediate markers. Multi-variable adjusted linear regression analyses were used to examine associations between diet quality and DPs and blood biomarkers, body mass index, waist circumference, diastolic and systolic blood pressure and an overall cardiometabolic risk score. DGI was associated with lower glucose (coef − 0.009, SE 0.004; P-trend = 0.033), body mass index (coef − 0.017, SE 0.007; P-trend = 0.019) and waist circumference (coef − 0.014, SE 0.005; P-trend = 0.008). Two dietary patterns were derived: dietary pattern-1 was characterized by higher intakes of pome fruit and wholegrain bread, while dietary pattern-2 was characterized by higher intakes of added sugars and tropical fruit. Dietary pattern-1 was associated with lower body mass index (coef − 0.028, SE 0.007; P-trend&lt; 0.001) and waist circumference (coef − 0.017, SE 0.005; P-trend = 0.001). There was a trend towards lower cardiometabolic risk score. Dietary pattern-2 was associated with lower HDL-cholesterol (coef − 0.026, SE 0.012; P-trend = 0.028). There was a trend towards lower diastolic blood pressure. No associations with other markers were observed. Better diet quality and healthier dietary patterns were primarily associated with favorable anthropometric markers of cardiometabolic health. Findings support the need for comparison of whole-diet based methodologies that take into consideration the interactions between foods and nutrients. Longitudinal studies are warranted to better understand causal relationships between diet and cardiometabolic health.","author":[{"dropping-particle":"","family":"Livingstone","given":"Katherine M.","non-dropping-particle":"","parse-names":false,"suffix":""},{"dropping-particle":"","family":"McNaughton","given":"Sarah A.","non-dropping-particle":"","parse-names":false,"suffix":""}],"container-title":"Nutrition Journal","id":"ITEM-1","issue":"1","issued":{"date-parts":[["2018","12","12"]]},"page":"19","title":"Association between diet quality, dietary patterns and cardiometabolic health in Australian adults: a cross-sectional study","type":"article-journal","volume":"17"},"uris":["http://www.mendeley.com/documents/?uuid=50c189f6-1c56-3b81-a4b0-443f6ced238f"]}],"mendeley":{"formattedCitation":"(53)","plainTextFormattedCitation":"(53)","previouslyFormattedCitation":"(53)"},"properties":{"noteIndex":0},"schema":"https://github.com/citation-style-language/schema/raw/master/csl-citation.json"}</w:instrText>
            </w:r>
            <w:r w:rsidRPr="003754B5">
              <w:rPr>
                <w:rFonts w:asciiTheme="minorBidi" w:hAnsiTheme="minorBidi" w:cstheme="minorBidi"/>
                <w:color w:val="000000" w:themeColor="text1"/>
                <w:sz w:val="20"/>
                <w:szCs w:val="20"/>
                <w:lang w:val="en-GB" w:eastAsia="en-GB"/>
              </w:rPr>
              <w:fldChar w:fldCharType="separate"/>
            </w:r>
            <w:r w:rsidRPr="003754B5">
              <w:rPr>
                <w:rFonts w:asciiTheme="minorBidi" w:hAnsiTheme="minorBidi" w:cstheme="minorBidi"/>
                <w:noProof/>
                <w:color w:val="000000" w:themeColor="text1"/>
                <w:sz w:val="20"/>
                <w:szCs w:val="20"/>
                <w:lang w:val="en-GB" w:eastAsia="en-GB"/>
              </w:rPr>
              <w:t>(53)</w:t>
            </w:r>
            <w:r w:rsidRPr="003754B5">
              <w:rPr>
                <w:rFonts w:asciiTheme="minorBidi" w:hAnsiTheme="minorBidi" w:cstheme="minorBidi"/>
                <w:color w:val="000000" w:themeColor="text1"/>
                <w:sz w:val="20"/>
                <w:szCs w:val="20"/>
                <w:lang w:val="en-GB" w:eastAsia="en-GB"/>
              </w:rPr>
              <w:fldChar w:fldCharType="end"/>
            </w:r>
          </w:p>
        </w:tc>
        <w:tc>
          <w:tcPr>
            <w:tcW w:w="1417" w:type="dxa"/>
          </w:tcPr>
          <w:p w14:paraId="73EE12B4" w14:textId="4BDBB77D" w:rsidR="00743B47" w:rsidRPr="005F4695" w:rsidRDefault="00743B47" w:rsidP="00743B47">
            <w:pPr>
              <w:rPr>
                <w:rFonts w:asciiTheme="minorBidi" w:hAnsiTheme="minorBidi" w:cstheme="minorBidi"/>
                <w:color w:val="000000" w:themeColor="text1"/>
                <w:sz w:val="20"/>
                <w:szCs w:val="20"/>
              </w:rPr>
            </w:pPr>
            <w:r w:rsidRPr="005F4695">
              <w:rPr>
                <w:rFonts w:asciiTheme="minorBidi" w:hAnsiTheme="minorBidi" w:cstheme="minorBidi"/>
                <w:color w:val="000000" w:themeColor="text1"/>
                <w:sz w:val="20"/>
                <w:szCs w:val="20"/>
                <w:lang w:val="en-GB" w:eastAsia="en-GB"/>
              </w:rPr>
              <w:t>Australia</w:t>
            </w:r>
          </w:p>
        </w:tc>
        <w:tc>
          <w:tcPr>
            <w:tcW w:w="1276" w:type="dxa"/>
          </w:tcPr>
          <w:p w14:paraId="0F506F84" w14:textId="3E9F5B04" w:rsidR="00743B47" w:rsidRPr="005F4695" w:rsidRDefault="00743B47" w:rsidP="00743B47">
            <w:pPr>
              <w:rPr>
                <w:rFonts w:asciiTheme="minorBidi" w:hAnsiTheme="minorBidi" w:cstheme="minorBidi"/>
                <w:color w:val="000000" w:themeColor="text1"/>
                <w:sz w:val="20"/>
                <w:szCs w:val="20"/>
              </w:rPr>
            </w:pPr>
            <w:r w:rsidRPr="005F4695">
              <w:rPr>
                <w:rFonts w:asciiTheme="minorBidi" w:hAnsiTheme="minorBidi" w:cstheme="minorBidi"/>
                <w:color w:val="000000" w:themeColor="text1"/>
                <w:sz w:val="20"/>
                <w:szCs w:val="20"/>
                <w:lang w:val="en-GB" w:eastAsia="en-GB"/>
              </w:rPr>
              <w:t>2121, adults   (~46)</w:t>
            </w:r>
          </w:p>
        </w:tc>
        <w:tc>
          <w:tcPr>
            <w:tcW w:w="1559" w:type="dxa"/>
          </w:tcPr>
          <w:p w14:paraId="1BD2D2A1" w14:textId="76845F50" w:rsidR="00743B47" w:rsidRPr="005F4695" w:rsidRDefault="00743B47" w:rsidP="00743B47">
            <w:pPr>
              <w:rPr>
                <w:rFonts w:asciiTheme="minorBidi" w:hAnsiTheme="minorBidi" w:cstheme="minorBidi"/>
                <w:color w:val="000000" w:themeColor="text1"/>
                <w:sz w:val="20"/>
                <w:szCs w:val="20"/>
              </w:rPr>
            </w:pPr>
            <w:r w:rsidRPr="005F4695">
              <w:rPr>
                <w:rFonts w:asciiTheme="minorBidi" w:hAnsiTheme="minorBidi" w:cstheme="minorBidi"/>
                <w:color w:val="000000" w:themeColor="text1"/>
                <w:sz w:val="20"/>
                <w:szCs w:val="20"/>
                <w:lang w:val="en-GB" w:eastAsia="en-GB"/>
              </w:rPr>
              <w:t>2 x 24hr recalls</w:t>
            </w:r>
          </w:p>
        </w:tc>
        <w:tc>
          <w:tcPr>
            <w:tcW w:w="1559" w:type="dxa"/>
          </w:tcPr>
          <w:p w14:paraId="01E71C65" w14:textId="204F7BCA" w:rsidR="00743B47" w:rsidRPr="005F4695" w:rsidRDefault="00743B47" w:rsidP="00743B47">
            <w:pPr>
              <w:rPr>
                <w:rFonts w:asciiTheme="minorBidi" w:hAnsiTheme="minorBidi" w:cstheme="minorBidi"/>
                <w:color w:val="000000" w:themeColor="text1"/>
                <w:sz w:val="20"/>
                <w:szCs w:val="20"/>
              </w:rPr>
            </w:pPr>
            <w:r w:rsidRPr="005F4695">
              <w:rPr>
                <w:rFonts w:asciiTheme="minorBidi" w:hAnsiTheme="minorBidi" w:cstheme="minorBidi"/>
                <w:color w:val="000000" w:themeColor="text1"/>
                <w:sz w:val="20"/>
                <w:szCs w:val="20"/>
                <w:lang w:val="en-GB" w:eastAsia="en-GB"/>
              </w:rPr>
              <w:t>Dietary Guideline Index (DGI)</w:t>
            </w:r>
          </w:p>
        </w:tc>
        <w:tc>
          <w:tcPr>
            <w:tcW w:w="5305" w:type="dxa"/>
          </w:tcPr>
          <w:p w14:paraId="49FE9265" w14:textId="77777777"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lang w:val="en-GB" w:eastAsia="en-GB"/>
              </w:rPr>
              <w:t xml:space="preserve">13 (positive: food variety, fruit, vegetables, cereals, meat and alternatives, dairy and alternatives, and fluid intake, negative: discretionary foods, SFA, unsaturated fat, added salt, added sugars and alcohol), </w:t>
            </w:r>
            <w:r w:rsidRPr="005F4695">
              <w:rPr>
                <w:rFonts w:asciiTheme="minorBidi" w:hAnsiTheme="minorBidi" w:cstheme="minorBidi"/>
                <w:color w:val="000000" w:themeColor="text1"/>
                <w:sz w:val="20"/>
                <w:szCs w:val="20"/>
              </w:rPr>
              <w:t>0 to 10 with equal weight assigned to groups</w:t>
            </w:r>
            <w:r w:rsidRPr="005F4695">
              <w:rPr>
                <w:rFonts w:asciiTheme="minorBidi" w:hAnsiTheme="minorBidi" w:cstheme="minorBidi"/>
                <w:color w:val="000000" w:themeColor="text1"/>
                <w:sz w:val="20"/>
                <w:szCs w:val="20"/>
                <w:lang w:eastAsia="en-GB"/>
              </w:rPr>
              <w:t xml:space="preserve">, </w:t>
            </w:r>
            <w:r w:rsidRPr="005F4695">
              <w:rPr>
                <w:rFonts w:asciiTheme="minorBidi" w:hAnsiTheme="minorBidi" w:cstheme="minorBidi"/>
                <w:color w:val="000000" w:themeColor="text1"/>
                <w:sz w:val="20"/>
                <w:szCs w:val="20"/>
                <w:lang w:val="en-GB" w:eastAsia="en-GB"/>
              </w:rPr>
              <w:t>overall score range from 0 to 130 points</w:t>
            </w:r>
          </w:p>
          <w:p w14:paraId="1A39011F" w14:textId="4081AE0A" w:rsidR="00743B47" w:rsidRPr="005F4695" w:rsidRDefault="00743B47" w:rsidP="00743B47">
            <w:pPr>
              <w:rPr>
                <w:rFonts w:asciiTheme="minorBidi" w:hAnsiTheme="minorBidi" w:cstheme="minorBidi"/>
                <w:color w:val="000000" w:themeColor="text1"/>
                <w:sz w:val="20"/>
                <w:szCs w:val="20"/>
              </w:rPr>
            </w:pPr>
          </w:p>
        </w:tc>
      </w:tr>
      <w:tr w:rsidR="00743B47" w:rsidRPr="005F4695" w14:paraId="5FBBC66A" w14:textId="77777777" w:rsidTr="00B20E43">
        <w:trPr>
          <w:trHeight w:val="900"/>
        </w:trPr>
        <w:tc>
          <w:tcPr>
            <w:tcW w:w="1555" w:type="dxa"/>
          </w:tcPr>
          <w:p w14:paraId="3D82BDF1" w14:textId="77777777" w:rsidR="00743B47" w:rsidRPr="003754B5" w:rsidRDefault="00743B47" w:rsidP="00743B47">
            <w:pPr>
              <w:rPr>
                <w:rFonts w:asciiTheme="minorBidi" w:hAnsiTheme="minorBidi" w:cstheme="minorBidi"/>
                <w:sz w:val="20"/>
                <w:szCs w:val="20"/>
              </w:rPr>
            </w:pPr>
          </w:p>
          <w:p w14:paraId="608B0F39" w14:textId="5BBD9D17" w:rsidR="00743B47" w:rsidRPr="005F4695" w:rsidRDefault="00743B47" w:rsidP="00743B47">
            <w:pPr>
              <w:rPr>
                <w:rFonts w:asciiTheme="minorBidi" w:hAnsiTheme="minorBidi" w:cstheme="minorBidi"/>
                <w:color w:val="000000" w:themeColor="text1"/>
                <w:sz w:val="20"/>
                <w:szCs w:val="20"/>
              </w:rPr>
            </w:pPr>
            <w:r w:rsidRPr="003754B5">
              <w:rPr>
                <w:rFonts w:asciiTheme="minorBidi" w:hAnsiTheme="minorBidi" w:cstheme="minorBidi"/>
                <w:sz w:val="20"/>
                <w:szCs w:val="20"/>
              </w:rPr>
              <w:t>Livingstone et al</w:t>
            </w:r>
            <w:r>
              <w:rPr>
                <w:rFonts w:asciiTheme="minorBidi" w:hAnsiTheme="minorBidi" w:cstheme="minorBidi"/>
                <w:sz w:val="20"/>
                <w:szCs w:val="20"/>
              </w:rPr>
              <w:t>, 2016</w:t>
            </w:r>
            <w:r w:rsidRPr="003754B5">
              <w:rPr>
                <w:rFonts w:asciiTheme="minorBidi" w:hAnsiTheme="minorBidi" w:cstheme="minorBidi"/>
                <w:sz w:val="20"/>
                <w:szCs w:val="20"/>
              </w:rPr>
              <w:t xml:space="preserve"> </w:t>
            </w:r>
            <w:r w:rsidRPr="003754B5">
              <w:rPr>
                <w:rFonts w:asciiTheme="minorBidi" w:hAnsiTheme="minorBidi" w:cstheme="minorBidi"/>
                <w:sz w:val="20"/>
                <w:szCs w:val="20"/>
              </w:rPr>
              <w:fldChar w:fldCharType="begin" w:fldLock="1"/>
            </w:r>
            <w:r>
              <w:rPr>
                <w:rFonts w:asciiTheme="minorBidi" w:hAnsiTheme="minorBidi" w:cstheme="minorBidi"/>
                <w:sz w:val="20"/>
                <w:szCs w:val="20"/>
              </w:rPr>
              <w:instrText>ADDIN CSL_CITATION {"citationItems":[{"id":"ITEM-1","itemData":{"DOI":"10.1186/s12889-016-3714-5","ISSN":"1471-2458","abstract":"Poor diet, characterized by a low diet quality score, has been associated with greater prevelence of obesity and hypertension. However, the evidence is inconsistent across diet quality scores and by sex. The aim was to investigate the relationship between diet quality and obesity and hypertension. Adults (n = 4908; age 45.2 ± 0.24 years) were included from the cross-sectional Australian Health Survey 2011–2013. Two 24-h dietary recalls were used to derive the dietary guideline index (DGI) and recommended food score (RFS). Logistic regression investigated relationships between diet quality score and odds ratio of obesity, hypertension and obesity-associated hypertension. In the highest tertile of DGI, but not RFS, individuals were less likely to be obese (men: OR 0.64, CI: 0.45, 0.92, P-trend = 0.014; women: 0.68, 0.48, 0.96, P-trend = 0.025) and to have central adiposity (men: 0.68, 0.48, 0.97, P-trend = 0.030; women: 0.53, 0.37, 0.77, P-trend = 0.001) compared with the lowest tertile. Men, but not women, in the highest tertile of DGI and RFS were less likely to be hypertensive (DGI: 0.56, 0.37, 0.85, P-trend = 0.006; RFS: 0.62, 0.41, 0.94, P-trend = 0.021) compared with the lowest tertile. In men with obesity, but not normal weight men or women, those in the highest tertile of DGI were less likely to be hypertensive (0.53, 0.36, 0.78, P-trend = 0.001) compared with the highest tertile. Higher diet quality, as estimated using DGI, was associated with lower odds ratio of obesity in men and women. Odds ratio of hypertension was lower in men, but not women, with a high diet quality score compared with a low score, while obesity-associated hypertension was only associated with diet quality score in men with obesity. Longitudinal studies are needed to evaluate whether diet quality predicts risk of obesity and hypertension.","author":[{"dropping-particle":"","family":"Livingstone","given":"Katherine M.","non-dropping-particle":"","parse-names":false,"suffix":""},{"dropping-particle":"","family":"McNaughton","given":"Sarah A.","non-dropping-particle":"","parse-names":false,"suffix":""}],"container-title":"BMC Public Health","id":"ITEM-1","issue":"1","issued":{"date-parts":[["2016","12","1"]]},"page":"1037","title":"Diet quality is associated with obesity and hypertension in Australian adults: a cross sectional study","type":"article-journal","volume":"16"},"uris":["http://www.mendeley.com/documents/?uuid=553836a4-e612-333f-89d1-3df19690a230","http://www.mendeley.com/documents/?uuid=1e6772da-fb3a-40e2-851a-525a81508d6d"]}],"mendeley":{"formattedCitation":"(54)","plainTextFormattedCitation":"(54)","previouslyFormattedCitation":"(54)"},"properties":{"noteIndex":0},"schema":"https://github.com/citation-style-language/schema/raw/master/csl-citation.json"}</w:instrText>
            </w:r>
            <w:r w:rsidRPr="003754B5">
              <w:rPr>
                <w:rFonts w:asciiTheme="minorBidi" w:hAnsiTheme="minorBidi" w:cstheme="minorBidi"/>
                <w:sz w:val="20"/>
                <w:szCs w:val="20"/>
              </w:rPr>
              <w:fldChar w:fldCharType="separate"/>
            </w:r>
            <w:r w:rsidRPr="003754B5">
              <w:rPr>
                <w:rFonts w:asciiTheme="minorBidi" w:hAnsiTheme="minorBidi" w:cstheme="minorBidi"/>
                <w:noProof/>
                <w:sz w:val="20"/>
                <w:szCs w:val="20"/>
              </w:rPr>
              <w:t>(54)</w:t>
            </w:r>
            <w:r w:rsidRPr="003754B5">
              <w:rPr>
                <w:rFonts w:asciiTheme="minorBidi" w:hAnsiTheme="minorBidi" w:cstheme="minorBidi"/>
                <w:sz w:val="20"/>
                <w:szCs w:val="20"/>
              </w:rPr>
              <w:fldChar w:fldCharType="end"/>
            </w:r>
          </w:p>
        </w:tc>
        <w:tc>
          <w:tcPr>
            <w:tcW w:w="1417" w:type="dxa"/>
          </w:tcPr>
          <w:p w14:paraId="30660AC9" w14:textId="49540D09" w:rsidR="00743B47" w:rsidRPr="005F4695" w:rsidRDefault="00743B47" w:rsidP="00743B47">
            <w:pPr>
              <w:rPr>
                <w:rFonts w:asciiTheme="minorBidi" w:hAnsiTheme="minorBidi" w:cstheme="minorBidi"/>
                <w:color w:val="000000" w:themeColor="text1"/>
                <w:sz w:val="20"/>
                <w:szCs w:val="20"/>
              </w:rPr>
            </w:pPr>
            <w:r w:rsidRPr="005F4695">
              <w:rPr>
                <w:rFonts w:asciiTheme="minorBidi" w:hAnsiTheme="minorBidi" w:cstheme="minorBidi"/>
                <w:color w:val="000000" w:themeColor="text1"/>
                <w:sz w:val="20"/>
                <w:szCs w:val="20"/>
                <w:lang w:val="en-GB" w:eastAsia="en-GB"/>
              </w:rPr>
              <w:t>Australia</w:t>
            </w:r>
          </w:p>
        </w:tc>
        <w:tc>
          <w:tcPr>
            <w:tcW w:w="1276" w:type="dxa"/>
          </w:tcPr>
          <w:p w14:paraId="55B89B15" w14:textId="62980985" w:rsidR="00743B47" w:rsidRPr="005F4695" w:rsidRDefault="00743B47" w:rsidP="00743B47">
            <w:pPr>
              <w:rPr>
                <w:rFonts w:asciiTheme="minorBidi" w:hAnsiTheme="minorBidi" w:cstheme="minorBidi"/>
                <w:color w:val="000000" w:themeColor="text1"/>
                <w:sz w:val="20"/>
                <w:szCs w:val="20"/>
              </w:rPr>
            </w:pPr>
            <w:r w:rsidRPr="005F4695">
              <w:rPr>
                <w:rFonts w:asciiTheme="minorBidi" w:hAnsiTheme="minorBidi" w:cstheme="minorBidi"/>
                <w:color w:val="000000" w:themeColor="text1"/>
                <w:sz w:val="20"/>
                <w:szCs w:val="20"/>
                <w:lang w:val="en-GB" w:eastAsia="en-GB"/>
              </w:rPr>
              <w:t>4908, adults  (~46)</w:t>
            </w:r>
          </w:p>
        </w:tc>
        <w:tc>
          <w:tcPr>
            <w:tcW w:w="1559" w:type="dxa"/>
          </w:tcPr>
          <w:p w14:paraId="26225B35" w14:textId="7691A3FD" w:rsidR="00743B47" w:rsidRPr="005F4695" w:rsidRDefault="00743B47" w:rsidP="00743B47">
            <w:pPr>
              <w:rPr>
                <w:rFonts w:asciiTheme="minorBidi" w:hAnsiTheme="minorBidi" w:cstheme="minorBidi"/>
                <w:color w:val="000000" w:themeColor="text1"/>
                <w:sz w:val="20"/>
                <w:szCs w:val="20"/>
              </w:rPr>
            </w:pPr>
            <w:r w:rsidRPr="005F4695">
              <w:rPr>
                <w:rFonts w:asciiTheme="minorBidi" w:hAnsiTheme="minorBidi" w:cstheme="minorBidi"/>
                <w:color w:val="000000" w:themeColor="text1"/>
                <w:sz w:val="20"/>
                <w:szCs w:val="20"/>
                <w:lang w:val="en-GB" w:eastAsia="en-GB"/>
              </w:rPr>
              <w:t>2 x 24hr recalls</w:t>
            </w:r>
          </w:p>
        </w:tc>
        <w:tc>
          <w:tcPr>
            <w:tcW w:w="1559" w:type="dxa"/>
          </w:tcPr>
          <w:p w14:paraId="0F11CD49" w14:textId="66ADFA0A" w:rsidR="00743B47" w:rsidRPr="005F4695" w:rsidRDefault="00743B47" w:rsidP="00743B47">
            <w:pPr>
              <w:rPr>
                <w:rFonts w:asciiTheme="minorBidi" w:hAnsiTheme="minorBidi" w:cstheme="minorBidi"/>
                <w:color w:val="000000" w:themeColor="text1"/>
                <w:sz w:val="20"/>
                <w:szCs w:val="20"/>
              </w:rPr>
            </w:pPr>
            <w:r w:rsidRPr="005F4695">
              <w:rPr>
                <w:rFonts w:asciiTheme="minorBidi" w:hAnsiTheme="minorBidi" w:cstheme="minorBidi"/>
                <w:sz w:val="20"/>
                <w:szCs w:val="20"/>
              </w:rPr>
              <w:t xml:space="preserve">DGI, Recommended Food Score (RFS) </w:t>
            </w:r>
          </w:p>
        </w:tc>
        <w:tc>
          <w:tcPr>
            <w:tcW w:w="5305" w:type="dxa"/>
          </w:tcPr>
          <w:p w14:paraId="38FD1282" w14:textId="3E8F21B6" w:rsidR="00743B47" w:rsidRPr="005F4695" w:rsidRDefault="00743B47" w:rsidP="00743B47">
            <w:pPr>
              <w:rPr>
                <w:rFonts w:asciiTheme="minorBidi" w:hAnsiTheme="minorBidi" w:cstheme="minorBidi"/>
                <w:color w:val="000000" w:themeColor="text1"/>
                <w:sz w:val="20"/>
                <w:szCs w:val="20"/>
              </w:rPr>
            </w:pPr>
            <w:r w:rsidRPr="005F4695">
              <w:rPr>
                <w:rFonts w:asciiTheme="minorBidi" w:hAnsiTheme="minorBidi" w:cstheme="minorBidi"/>
                <w:color w:val="000000" w:themeColor="text1"/>
                <w:sz w:val="20"/>
                <w:szCs w:val="20"/>
                <w:lang w:val="en-GB" w:eastAsia="en-GB"/>
              </w:rPr>
              <w:fldChar w:fldCharType="begin" w:fldLock="1"/>
            </w:r>
            <w:r w:rsidR="004A7B72">
              <w:rPr>
                <w:rFonts w:asciiTheme="minorBidi" w:hAnsiTheme="minorBidi" w:cstheme="minorBidi"/>
                <w:color w:val="000000" w:themeColor="text1"/>
                <w:sz w:val="20"/>
                <w:szCs w:val="20"/>
                <w:lang w:val="en-GB" w:eastAsia="en-GB"/>
              </w:rPr>
              <w:instrText>ADDIN CSL_CITATION {"citationItems":[{"id":"ITEM-1","itemData":{"DOI":"10.1186/s12937-018-0326-1","ISSN":"1475-2891","abstract":"Diet quality indices score dietary intakes against recommendations, whereas dietary patterns consider the pattern and combination of dietary intakes. Studies evaluating both methodologies in relation to cardiometabolic health in a nationally representative sample are limited. The aim of the present study was to investigate the relationship between diet quality, dietary patterns and markers of cardiometabolic health in Australian adults. Dietary data, using two 24-h dietary recalls, were collected from adults in the cross-sectional Australian Health Survey 2011–2013 (n = 2121; 46.4 (SE 0.48) years). Diet quality was estimated using the Dietary Guideline Index (DGI). Dietary patterns (DPs), derived using reduced rank regression, were estimated using fiber density, SFA: PUFA and total sugars intake as intermediate markers. Multi-variable adjusted linear regression analyses were used to examine associations between diet quality and DPs and blood biomarkers, body mass index, waist circumference, diastolic and systolic blood pressure and an overall cardiometabolic risk score. DGI was associated with lower glucose (coef − 0.009, SE 0.004; P-trend = 0.033), body mass index (coef − 0.017, SE 0.007; P-trend = 0.019) and waist circumference (coef − 0.014, SE 0.005; P-trend = 0.008). Two dietary patterns were derived: dietary pattern-1 was characterized by higher intakes of pome fruit and wholegrain bread, while dietary pattern-2 was characterized by higher intakes of added sugars and tropical fruit. Dietary pattern-1 was associated with lower body mass index (coef − 0.028, SE 0.007; P-trend&lt; 0.001) and waist circumference (coef − 0.017, SE 0.005; P-trend = 0.001). There was a trend towards lower cardiometabolic risk score. Dietary pattern-2 was associated with lower HDL-cholesterol (coef − 0.026, SE 0.012; P-trend = 0.028). There was a trend towards lower diastolic blood pressure. No associations with other markers were observed. Better diet quality and healthier dietary patterns were primarily associated with favorable anthropometric markers of cardiometabolic health. Findings support the need for comparison of whole-diet based methodologies that take into consideration the interactions between foods and nutrients. Longitudinal studies are warranted to better understand causal relationships between diet and cardiometabolic health.","author":[{"dropping-particle":"","family":"Livingstone","given":"Katherine M.","non-dropping-particle":"","parse-names":false,"suffix":""},{"dropping-particle":"","family":"McNaughton","given":"Sarah A.","non-dropping-particle":"","parse-names":false,"suffix":""}],"container-title":"Nutrition Journal","id":"ITEM-1","issue":"1","issued":{"date-parts":[["2018","12","12"]]},"page":"19","title":"Association between diet quality, dietary patterns and cardiometabolic health in Australian adults: a cross-sectional study","type":"article-journal","volume":"17"},"uris":["http://www.mendeley.com/documents/?uuid=50c189f6-1c56-3b81-a4b0-443f6ced238f"]}],"mendeley":{"formattedCitation":"(53)","plainTextFormattedCitation":"(53)","previouslyFormattedCitation":"(53)"},"properties":{"noteIndex":0},"schema":"https://github.com/citation-style-language/schema/raw/master/csl-citation.json"}</w:instrText>
            </w:r>
            <w:r w:rsidRPr="005F4695">
              <w:rPr>
                <w:rFonts w:asciiTheme="minorBidi" w:hAnsiTheme="minorBidi" w:cstheme="minorBidi"/>
                <w:color w:val="000000" w:themeColor="text1"/>
                <w:sz w:val="20"/>
                <w:szCs w:val="20"/>
                <w:lang w:val="en-GB" w:eastAsia="en-GB"/>
              </w:rPr>
              <w:fldChar w:fldCharType="separate"/>
            </w:r>
            <w:r w:rsidRPr="005F4695">
              <w:rPr>
                <w:rFonts w:asciiTheme="minorBidi" w:hAnsiTheme="minorBidi" w:cstheme="minorBidi"/>
                <w:noProof/>
                <w:color w:val="000000" w:themeColor="text1"/>
                <w:sz w:val="20"/>
                <w:szCs w:val="20"/>
                <w:lang w:val="en-GB" w:eastAsia="en-GB"/>
              </w:rPr>
              <w:t>(53)</w:t>
            </w:r>
            <w:r w:rsidRPr="005F4695">
              <w:rPr>
                <w:rFonts w:asciiTheme="minorBidi" w:hAnsiTheme="minorBidi" w:cstheme="minorBidi"/>
                <w:color w:val="000000" w:themeColor="text1"/>
                <w:sz w:val="20"/>
                <w:szCs w:val="20"/>
                <w:lang w:val="en-GB" w:eastAsia="en-GB"/>
              </w:rPr>
              <w:fldChar w:fldCharType="end"/>
            </w:r>
          </w:p>
        </w:tc>
      </w:tr>
      <w:tr w:rsidR="00743B47" w:rsidRPr="005F4695" w14:paraId="41E5794E" w14:textId="77777777" w:rsidTr="00B20E43">
        <w:trPr>
          <w:trHeight w:val="900"/>
        </w:trPr>
        <w:tc>
          <w:tcPr>
            <w:tcW w:w="1555" w:type="dxa"/>
          </w:tcPr>
          <w:p w14:paraId="6F6293BB" w14:textId="07A31C34" w:rsidR="00743B47" w:rsidRPr="005F4695" w:rsidRDefault="00743B47" w:rsidP="00743B47">
            <w:pPr>
              <w:rPr>
                <w:rFonts w:asciiTheme="minorBidi" w:hAnsiTheme="minorBidi" w:cstheme="minorBidi"/>
                <w:color w:val="000000" w:themeColor="text1"/>
                <w:sz w:val="20"/>
                <w:szCs w:val="20"/>
              </w:rPr>
            </w:pPr>
            <w:r w:rsidRPr="003754B5">
              <w:rPr>
                <w:rFonts w:asciiTheme="minorBidi" w:hAnsiTheme="minorBidi" w:cstheme="minorBidi"/>
                <w:color w:val="000000" w:themeColor="text1"/>
                <w:sz w:val="20"/>
                <w:szCs w:val="20"/>
                <w:lang w:val="en-GB" w:eastAsia="en-GB"/>
              </w:rPr>
              <w:lastRenderedPageBreak/>
              <w:t>Vissers et al</w:t>
            </w:r>
            <w:r>
              <w:rPr>
                <w:rFonts w:asciiTheme="minorBidi" w:hAnsiTheme="minorBidi" w:cstheme="minorBidi"/>
                <w:color w:val="000000" w:themeColor="text1"/>
                <w:sz w:val="20"/>
                <w:szCs w:val="20"/>
                <w:lang w:val="en-GB" w:eastAsia="en-GB"/>
              </w:rPr>
              <w:t>, 2016</w:t>
            </w:r>
            <w:r w:rsidRPr="003754B5">
              <w:rPr>
                <w:rFonts w:asciiTheme="minorBidi" w:hAnsiTheme="minorBidi" w:cstheme="minorBidi"/>
                <w:color w:val="000000" w:themeColor="text1"/>
                <w:sz w:val="20"/>
                <w:szCs w:val="20"/>
                <w:lang w:val="en-GB" w:eastAsia="en-GB"/>
              </w:rPr>
              <w:t xml:space="preserve"> </w:t>
            </w:r>
            <w:r w:rsidRPr="003754B5">
              <w:rPr>
                <w:rFonts w:asciiTheme="minorBidi" w:hAnsiTheme="minorBidi" w:cstheme="minorBidi"/>
                <w:color w:val="000000" w:themeColor="text1"/>
                <w:sz w:val="20"/>
                <w:szCs w:val="20"/>
                <w:lang w:val="en-GB" w:eastAsia="en-GB"/>
              </w:rPr>
              <w:fldChar w:fldCharType="begin" w:fldLock="1"/>
            </w:r>
            <w:r>
              <w:rPr>
                <w:rFonts w:asciiTheme="minorBidi" w:hAnsiTheme="minorBidi" w:cstheme="minorBidi"/>
                <w:color w:val="000000" w:themeColor="text1"/>
                <w:sz w:val="20"/>
                <w:szCs w:val="20"/>
                <w:lang w:val="en-GB" w:eastAsia="en-GB"/>
              </w:rPr>
              <w:instrText>ADDIN CSL_CITATION {"citationItems":[{"id":"ITEM-1","itemData":{"DOI":"10.1016/j.atherosclerosis.2016.07.929","ISSN":"00219150","PMID":"27498398","abstract":"BACKGROUND AND AIMS Recently, a pro-inflammatory diet based on a dietary inflammatory index (DII) has been related to higher CVD risk in general population, but this has not been investigated among women. METHODS We investigated the relationship between DII and risk of total CVD and CVD subgroups (myocardial infarction, ischemic heart disease, stroke and cerebrovascular disease) in a prospective cohort of 6972 Australian women aged 50-55 years at baseline in 2001. We used clinical and procedure information from inpatient hospital separation registries, information on use of health care services, and from the causes-of-death registry to ascertain CVD outcomes during 11-year follow up. The association between baseline DII score and cardiovascular endpoints was analysed through cox-regression, with correction for demographic and cardiovascular risk factors. RESULTS We identified 335 incident cases of CVD and 191 cases of ischaemic heart disease (including 69 myocardial infarctions) and 59 cases of cerebrovascular disease (including 40 cases of stroke). A statistically significant higher risk of myocardial infarction was observed in analyses using DII scores as a continuous variable with a hazard ratio of 1.46 (95% confidence interval 1.12-1.89), but this was attenuated by further adjustment for other known cardiovascular risk factors. No association was found for total CVD, ischaemic heart diseases, or cerebrovascular disease. CONCLUSIONS There was no statistically significant association between the dietary inflammatory index and risk of total cardiovascular disease, ischemic heart disease, myocardial infarction, cerebrovascular disease or stroke in this population of mid-aged Australian women. Associations were not different for postmenopausal women.","author":[{"dropping-particle":"","family":"Vissers","given":"Linda E.T.","non-dropping-particle":"","parse-names":false,"suffix":""},{"dropping-particle":"","family":"Waller","given":"Michael A.","non-dropping-particle":"","parse-names":false,"suffix":""},{"dropping-particle":"","family":"Schouw","given":"Yvonne T.","non-dropping-particle":"van der","parse-names":false,"suffix":""},{"dropping-particle":"","family":"Hebert","given":"James R.","non-dropping-particle":"","parse-names":false,"suffix":""},{"dropping-particle":"","family":"Shivappa","given":"Nitin","non-dropping-particle":"","parse-names":false,"suffix":""},{"dropping-particle":"","family":"Schoenaker","given":"Danielle A.J.M.","non-dropping-particle":"","parse-names":false,"suffix":""},{"dropping-particle":"","family":"Mishra","given":"Gita D.","non-dropping-particle":"","parse-names":false,"suffix":""}],"container-title":"Atherosclerosis","id":"ITEM-1","issued":{"date-parts":[["2016","10"]]},"page":"164-170","title":"The relationship between the dietary inflammatory index and risk of total cardiovascular disease, ischemic heart disease and cerebrovascular disease: Findings from an Australian population-based prospective cohort study of women","type":"article-journal","volume":"253"},"uris":["http://www.mendeley.com/documents/?uuid=53b76c5c-7f69-3feb-8657-cada7aa223de"]}],"mendeley":{"formattedCitation":"(55)","plainTextFormattedCitation":"(55)","previouslyFormattedCitation":"(55)"},"properties":{"noteIndex":0},"schema":"https://github.com/citation-style-language/schema/raw/master/csl-citation.json"}</w:instrText>
            </w:r>
            <w:r w:rsidRPr="003754B5">
              <w:rPr>
                <w:rFonts w:asciiTheme="minorBidi" w:hAnsiTheme="minorBidi" w:cstheme="minorBidi"/>
                <w:color w:val="000000" w:themeColor="text1"/>
                <w:sz w:val="20"/>
                <w:szCs w:val="20"/>
                <w:lang w:val="en-GB" w:eastAsia="en-GB"/>
              </w:rPr>
              <w:fldChar w:fldCharType="separate"/>
            </w:r>
            <w:r w:rsidRPr="003754B5">
              <w:rPr>
                <w:rFonts w:asciiTheme="minorBidi" w:hAnsiTheme="minorBidi" w:cstheme="minorBidi"/>
                <w:noProof/>
                <w:color w:val="000000" w:themeColor="text1"/>
                <w:sz w:val="20"/>
                <w:szCs w:val="20"/>
                <w:lang w:val="en-GB" w:eastAsia="en-GB"/>
              </w:rPr>
              <w:t>(55)</w:t>
            </w:r>
            <w:r w:rsidRPr="003754B5">
              <w:rPr>
                <w:rFonts w:asciiTheme="minorBidi" w:hAnsiTheme="minorBidi" w:cstheme="minorBidi"/>
                <w:color w:val="000000" w:themeColor="text1"/>
                <w:sz w:val="20"/>
                <w:szCs w:val="20"/>
                <w:lang w:val="en-GB" w:eastAsia="en-GB"/>
              </w:rPr>
              <w:fldChar w:fldCharType="end"/>
            </w:r>
          </w:p>
        </w:tc>
        <w:tc>
          <w:tcPr>
            <w:tcW w:w="1417" w:type="dxa"/>
          </w:tcPr>
          <w:p w14:paraId="33CA559C" w14:textId="4F276FAB" w:rsidR="00743B47" w:rsidRPr="005F4695" w:rsidRDefault="00743B47" w:rsidP="00743B47">
            <w:pPr>
              <w:rPr>
                <w:rFonts w:asciiTheme="minorBidi" w:hAnsiTheme="minorBidi" w:cstheme="minorBidi"/>
                <w:color w:val="000000" w:themeColor="text1"/>
                <w:sz w:val="20"/>
                <w:szCs w:val="20"/>
              </w:rPr>
            </w:pPr>
            <w:r w:rsidRPr="005F4695">
              <w:rPr>
                <w:rFonts w:asciiTheme="minorBidi" w:hAnsiTheme="minorBidi" w:cstheme="minorBidi"/>
                <w:color w:val="000000" w:themeColor="text1"/>
                <w:sz w:val="20"/>
                <w:szCs w:val="20"/>
                <w:lang w:val="en-GB" w:eastAsia="en-GB"/>
              </w:rPr>
              <w:t>Australia</w:t>
            </w:r>
          </w:p>
        </w:tc>
        <w:tc>
          <w:tcPr>
            <w:tcW w:w="1276" w:type="dxa"/>
          </w:tcPr>
          <w:p w14:paraId="74431211" w14:textId="4177F631" w:rsidR="00743B47" w:rsidRPr="005F4695" w:rsidRDefault="00743B47" w:rsidP="00743B47">
            <w:pPr>
              <w:rPr>
                <w:rFonts w:asciiTheme="minorBidi" w:hAnsiTheme="minorBidi" w:cstheme="minorBidi"/>
                <w:color w:val="000000" w:themeColor="text1"/>
                <w:sz w:val="20"/>
                <w:szCs w:val="20"/>
              </w:rPr>
            </w:pPr>
            <w:r w:rsidRPr="005F4695">
              <w:rPr>
                <w:rFonts w:asciiTheme="minorBidi" w:hAnsiTheme="minorBidi" w:cstheme="minorBidi"/>
                <w:color w:val="000000" w:themeColor="text1"/>
                <w:sz w:val="20"/>
                <w:szCs w:val="20"/>
                <w:lang w:val="en-GB" w:eastAsia="en-GB"/>
              </w:rPr>
              <w:t>6972, adults    (50-55)</w:t>
            </w:r>
          </w:p>
        </w:tc>
        <w:tc>
          <w:tcPr>
            <w:tcW w:w="1559" w:type="dxa"/>
          </w:tcPr>
          <w:p w14:paraId="4C19128E" w14:textId="44D96AB5" w:rsidR="00743B47" w:rsidRPr="005F4695" w:rsidRDefault="00743B47" w:rsidP="00743B47">
            <w:pPr>
              <w:rPr>
                <w:rFonts w:asciiTheme="minorBidi" w:hAnsiTheme="minorBidi" w:cstheme="minorBidi"/>
                <w:color w:val="000000" w:themeColor="text1"/>
                <w:sz w:val="20"/>
                <w:szCs w:val="20"/>
              </w:rPr>
            </w:pPr>
            <w:r w:rsidRPr="005F4695">
              <w:rPr>
                <w:rFonts w:asciiTheme="minorBidi" w:hAnsiTheme="minorBidi" w:cstheme="minorBidi"/>
                <w:color w:val="000000" w:themeColor="text1"/>
                <w:sz w:val="20"/>
                <w:szCs w:val="20"/>
                <w:lang w:val="en-GB" w:eastAsia="en-GB"/>
              </w:rPr>
              <w:t xml:space="preserve">The Dietary Questionnaire for Epidemiological Studies, version 2 </w:t>
            </w:r>
          </w:p>
        </w:tc>
        <w:tc>
          <w:tcPr>
            <w:tcW w:w="1559" w:type="dxa"/>
          </w:tcPr>
          <w:p w14:paraId="78E9BF81" w14:textId="63DF80B0" w:rsidR="00743B47" w:rsidRPr="005F4695" w:rsidRDefault="00743B47" w:rsidP="00743B47">
            <w:pPr>
              <w:rPr>
                <w:rFonts w:asciiTheme="minorBidi" w:hAnsiTheme="minorBidi" w:cstheme="minorBidi"/>
                <w:color w:val="000000" w:themeColor="text1"/>
                <w:sz w:val="20"/>
                <w:szCs w:val="20"/>
              </w:rPr>
            </w:pPr>
            <w:r w:rsidRPr="005F4695">
              <w:rPr>
                <w:rFonts w:asciiTheme="minorBidi" w:hAnsiTheme="minorBidi" w:cstheme="minorBidi"/>
                <w:color w:val="000000" w:themeColor="text1"/>
                <w:sz w:val="20"/>
                <w:szCs w:val="20"/>
                <w:lang w:val="en-GB" w:eastAsia="en-GB"/>
              </w:rPr>
              <w:t>DII</w:t>
            </w:r>
          </w:p>
        </w:tc>
        <w:tc>
          <w:tcPr>
            <w:tcW w:w="5305" w:type="dxa"/>
          </w:tcPr>
          <w:p w14:paraId="3A64A39C" w14:textId="1058BF1A" w:rsidR="00743B47" w:rsidRPr="005F4695" w:rsidRDefault="00743B47" w:rsidP="00743B47">
            <w:pPr>
              <w:rPr>
                <w:rFonts w:asciiTheme="minorBidi" w:hAnsiTheme="minorBidi" w:cstheme="minorBidi"/>
                <w:color w:val="000000" w:themeColor="text1"/>
                <w:sz w:val="20"/>
                <w:szCs w:val="20"/>
              </w:rPr>
            </w:pPr>
            <w:r w:rsidRPr="005F4695">
              <w:rPr>
                <w:rFonts w:asciiTheme="minorBidi" w:hAnsiTheme="minorBidi" w:cstheme="minorBidi"/>
                <w:color w:val="000000" w:themeColor="text1"/>
                <w:sz w:val="20"/>
                <w:szCs w:val="20"/>
                <w:lang w:val="en-GB" w:eastAsia="en-GB"/>
              </w:rPr>
              <w:t xml:space="preserve">25 </w:t>
            </w:r>
            <w:r w:rsidRPr="005F4695">
              <w:rPr>
                <w:rFonts w:asciiTheme="minorBidi" w:hAnsiTheme="minorBidi" w:cstheme="minorBidi"/>
                <w:color w:val="000000" w:themeColor="text1"/>
                <w:sz w:val="20"/>
                <w:szCs w:val="20"/>
              </w:rPr>
              <w:t xml:space="preserve">(positive: pro-inflammatory food/nutrient, negative: anti-inflammatory food/nutrient), 1 to 4 based on global means, </w:t>
            </w:r>
            <w:r w:rsidRPr="005F4695">
              <w:rPr>
                <w:rFonts w:asciiTheme="minorBidi" w:hAnsiTheme="minorBidi" w:cstheme="minorBidi"/>
                <w:color w:val="000000" w:themeColor="text1"/>
                <w:sz w:val="20"/>
                <w:szCs w:val="20"/>
                <w:shd w:val="clear" w:color="auto" w:fill="FFFFFF"/>
              </w:rPr>
              <w:t>overall score ranged from-8.87 (maximally anti-inflammatory) to +7.98 (maximally pro-inflammatory)</w:t>
            </w:r>
          </w:p>
        </w:tc>
      </w:tr>
      <w:tr w:rsidR="000226E3" w:rsidRPr="005F4695" w14:paraId="5553535C" w14:textId="77777777" w:rsidTr="00B20E43">
        <w:trPr>
          <w:trHeight w:val="900"/>
        </w:trPr>
        <w:tc>
          <w:tcPr>
            <w:tcW w:w="1555" w:type="dxa"/>
          </w:tcPr>
          <w:p w14:paraId="4184000D" w14:textId="03285ABA" w:rsidR="000226E3" w:rsidRPr="005F4695" w:rsidRDefault="000226E3" w:rsidP="00B20E43">
            <w:pPr>
              <w:rPr>
                <w:rFonts w:asciiTheme="minorBidi" w:hAnsiTheme="minorBidi" w:cstheme="minorBidi"/>
                <w:color w:val="000000" w:themeColor="text1"/>
                <w:sz w:val="20"/>
                <w:szCs w:val="20"/>
              </w:rPr>
            </w:pPr>
            <w:r w:rsidRPr="005F4695">
              <w:rPr>
                <w:rFonts w:asciiTheme="minorBidi" w:hAnsiTheme="minorBidi" w:cstheme="minorBidi"/>
                <w:b/>
                <w:color w:val="000000" w:themeColor="text1"/>
                <w:sz w:val="20"/>
                <w:szCs w:val="20"/>
              </w:rPr>
              <w:t>Middle East</w:t>
            </w:r>
          </w:p>
        </w:tc>
        <w:tc>
          <w:tcPr>
            <w:tcW w:w="1417" w:type="dxa"/>
          </w:tcPr>
          <w:p w14:paraId="0002B8A3" w14:textId="77777777" w:rsidR="000226E3" w:rsidRPr="005F4695" w:rsidRDefault="000226E3" w:rsidP="00B20E43">
            <w:pPr>
              <w:rPr>
                <w:rFonts w:asciiTheme="minorBidi" w:hAnsiTheme="minorBidi" w:cstheme="minorBidi"/>
                <w:color w:val="000000" w:themeColor="text1"/>
                <w:sz w:val="20"/>
                <w:szCs w:val="20"/>
              </w:rPr>
            </w:pPr>
          </w:p>
        </w:tc>
        <w:tc>
          <w:tcPr>
            <w:tcW w:w="1276" w:type="dxa"/>
          </w:tcPr>
          <w:p w14:paraId="0371E464" w14:textId="77777777" w:rsidR="000226E3" w:rsidRPr="005F4695" w:rsidRDefault="000226E3" w:rsidP="00B20E43">
            <w:pPr>
              <w:rPr>
                <w:rFonts w:asciiTheme="minorBidi" w:hAnsiTheme="minorBidi" w:cstheme="minorBidi"/>
                <w:color w:val="000000" w:themeColor="text1"/>
                <w:sz w:val="20"/>
                <w:szCs w:val="20"/>
              </w:rPr>
            </w:pPr>
          </w:p>
        </w:tc>
        <w:tc>
          <w:tcPr>
            <w:tcW w:w="1559" w:type="dxa"/>
          </w:tcPr>
          <w:p w14:paraId="43537305" w14:textId="77777777" w:rsidR="000226E3" w:rsidRPr="005F4695" w:rsidRDefault="000226E3" w:rsidP="00B20E43">
            <w:pPr>
              <w:rPr>
                <w:rFonts w:asciiTheme="minorBidi" w:hAnsiTheme="minorBidi" w:cstheme="minorBidi"/>
                <w:color w:val="000000" w:themeColor="text1"/>
                <w:sz w:val="20"/>
                <w:szCs w:val="20"/>
              </w:rPr>
            </w:pPr>
          </w:p>
        </w:tc>
        <w:tc>
          <w:tcPr>
            <w:tcW w:w="1559" w:type="dxa"/>
          </w:tcPr>
          <w:p w14:paraId="7370724F" w14:textId="77777777" w:rsidR="000226E3" w:rsidRPr="005F4695" w:rsidRDefault="000226E3" w:rsidP="00B20E43">
            <w:pPr>
              <w:rPr>
                <w:rFonts w:asciiTheme="minorBidi" w:hAnsiTheme="minorBidi" w:cstheme="minorBidi"/>
                <w:color w:val="000000" w:themeColor="text1"/>
                <w:sz w:val="20"/>
                <w:szCs w:val="20"/>
              </w:rPr>
            </w:pPr>
          </w:p>
        </w:tc>
        <w:tc>
          <w:tcPr>
            <w:tcW w:w="5305" w:type="dxa"/>
          </w:tcPr>
          <w:p w14:paraId="3BDE2C39" w14:textId="77777777" w:rsidR="000226E3" w:rsidRPr="005F4695" w:rsidRDefault="000226E3" w:rsidP="00B20E43">
            <w:pPr>
              <w:rPr>
                <w:rFonts w:asciiTheme="minorBidi" w:hAnsiTheme="minorBidi" w:cstheme="minorBidi"/>
                <w:color w:val="000000" w:themeColor="text1"/>
                <w:sz w:val="20"/>
                <w:szCs w:val="20"/>
              </w:rPr>
            </w:pPr>
          </w:p>
        </w:tc>
      </w:tr>
      <w:tr w:rsidR="00743B47" w:rsidRPr="005F4695" w14:paraId="0CD0BC91" w14:textId="77777777" w:rsidTr="00B20E43">
        <w:trPr>
          <w:trHeight w:val="900"/>
        </w:trPr>
        <w:tc>
          <w:tcPr>
            <w:tcW w:w="1555" w:type="dxa"/>
          </w:tcPr>
          <w:p w14:paraId="6B2C78BF" w14:textId="7E4B5FC6" w:rsidR="00743B47" w:rsidRPr="005F4695" w:rsidRDefault="00743B47" w:rsidP="00743B47">
            <w:pPr>
              <w:rPr>
                <w:rFonts w:asciiTheme="minorBidi" w:hAnsiTheme="minorBidi" w:cstheme="minorBidi"/>
                <w:color w:val="000000" w:themeColor="text1"/>
                <w:sz w:val="20"/>
                <w:szCs w:val="20"/>
              </w:rPr>
            </w:pPr>
            <w:r w:rsidRPr="003754B5">
              <w:rPr>
                <w:rFonts w:asciiTheme="minorBidi" w:hAnsiTheme="minorBidi" w:cstheme="minorBidi"/>
                <w:color w:val="000000" w:themeColor="text1"/>
                <w:sz w:val="20"/>
                <w:szCs w:val="20"/>
              </w:rPr>
              <w:t>Daneshzad et al</w:t>
            </w:r>
            <w:r>
              <w:rPr>
                <w:rFonts w:asciiTheme="minorBidi" w:hAnsiTheme="minorBidi" w:cstheme="minorBidi"/>
                <w:color w:val="000000" w:themeColor="text1"/>
                <w:sz w:val="20"/>
                <w:szCs w:val="20"/>
              </w:rPr>
              <w:t>, 2018</w:t>
            </w:r>
            <w:r w:rsidRPr="003754B5">
              <w:rPr>
                <w:rFonts w:asciiTheme="minorBidi" w:hAnsiTheme="minorBidi" w:cstheme="minorBidi"/>
                <w:color w:val="000000" w:themeColor="text1"/>
                <w:sz w:val="20"/>
                <w:szCs w:val="20"/>
              </w:rPr>
              <w:t xml:space="preserve"> </w:t>
            </w:r>
            <w:r w:rsidRPr="003754B5">
              <w:rPr>
                <w:rFonts w:asciiTheme="minorBidi" w:hAnsiTheme="minorBidi" w:cstheme="minorBidi"/>
                <w:color w:val="000000" w:themeColor="text1"/>
                <w:sz w:val="20"/>
                <w:szCs w:val="20"/>
              </w:rPr>
              <w:fldChar w:fldCharType="begin" w:fldLock="1"/>
            </w:r>
            <w:r>
              <w:rPr>
                <w:rFonts w:asciiTheme="minorBidi" w:hAnsiTheme="minorBidi" w:cstheme="minorBidi"/>
                <w:color w:val="000000" w:themeColor="text1"/>
                <w:sz w:val="20"/>
                <w:szCs w:val="20"/>
              </w:rPr>
              <w:instrText>ADDIN CSL_CITATION {"citationItems":[{"id":"ITEM-1","itemData":{"DOI":"10.15171/jcvtr.2018.25","ISSN":"2008-5117","PMID":"30386536","abstract":"Introduction: Cardiovascular disease (CVD) is one of the most important causes of mortality. Healthy diets can decrease CVDs and other chronic diseases especially in patients with type 2 diabetes. In this study, we investigate association between adherence to the modified Nordic diet and cardiovascular risk factors among patients with type 2 diabetes. Methods: This cross-sectional study was conducted among 339 type 2 diabetic patients. Anthropometric indices, blood pressure, and biochemical tests were evaluated. A validated and reliable semi-quantitative food frequency questionnaire (FFQ) was used to assess dietary intake. Nordic diet scores were calculated based on median intakes of six food groups. Results: Body mass index (BMI) was higher among participants who were in the lowest tertile of adherence to the Nordic diet (P=0.006). There was a significant association between socioeconomic status (SES) and adherence to the Nordic diet (P&lt;0.0001). Participants who were in the top category of adherence to the diet had significantly lower levels of aspartate aminotransferase (AST) (P&lt;0.0001). There was a significant inverse association between adherence to the Nordic diet and low density lipoprotein (LDL) levels (odds ratio [OR]=0.29 95% CI: 0.09, 0.91, P=0.025), high systolic blood pressure (SBP) levels (OR=0.35 95% CI=0.17-0.74, P=0.015), and risk of obesity (OR=0.25 95% CI: 0.10, 0.63, P=0.03). Conclusion: Results suggest that adherence to the Nordic diet is associated with reductions in the prevalence of obesity, LDL levels and blood pressure among type 2 diabetic patients. However, additional studies are needed to confirm these findings.","author":[{"dropping-particle":"","family":"Daneshzad","given":"Elnaz","non-dropping-particle":"","parse-names":false,"suffix":""},{"dropping-particle":"","family":"Emami","given":"Shaghayegh","non-dropping-particle":"","parse-names":false,"suffix":""},{"dropping-particle":"","family":"Darooghegi Mofrad","given":"Manije","non-dropping-particle":"","parse-names":false,"suffix":""},{"dropping-particle":"","family":"Saraf-Bank","given":"Sahar","non-dropping-particle":"","parse-names":false,"suffix":""},{"dropping-particle":"","family":"Surkan","given":"Pamela J.","non-dropping-particle":"","parse-names":false,"suffix":""},{"dropping-particle":"","family":"Azadbakht","given":"Leila","non-dropping-particle":"","parse-names":false,"suffix":""}],"container-title":"Journal of Cardiovascular and Thoracic Research","id":"ITEM-1","issue":"3","issued":{"date-parts":[["2018","9","27"]]},"page":"153-161","title":"Association of modified Nordic diet with cardiovascular risk factors among type 2 diabetes patients: a cross-sectional study","type":"article-journal","volume":"10"},"uris":["http://www.mendeley.com/documents/?uuid=a42866f8-c078-36e3-a44e-4e9bd687c1f2"]}],"mendeley":{"formattedCitation":"(56)","plainTextFormattedCitation":"(56)","previouslyFormattedCitation":"(56)"},"properties":{"noteIndex":0},"schema":"https://github.com/citation-style-language/schema/raw/master/csl-citation.json"}</w:instrText>
            </w:r>
            <w:r w:rsidRPr="003754B5">
              <w:rPr>
                <w:rFonts w:asciiTheme="minorBidi" w:hAnsiTheme="minorBidi" w:cstheme="minorBidi"/>
                <w:color w:val="000000" w:themeColor="text1"/>
                <w:sz w:val="20"/>
                <w:szCs w:val="20"/>
              </w:rPr>
              <w:fldChar w:fldCharType="separate"/>
            </w:r>
            <w:r w:rsidRPr="003754B5">
              <w:rPr>
                <w:rFonts w:asciiTheme="minorBidi" w:hAnsiTheme="minorBidi" w:cstheme="minorBidi"/>
                <w:noProof/>
                <w:color w:val="000000" w:themeColor="text1"/>
                <w:sz w:val="20"/>
                <w:szCs w:val="20"/>
              </w:rPr>
              <w:t>(56)</w:t>
            </w:r>
            <w:r w:rsidRPr="003754B5">
              <w:rPr>
                <w:rFonts w:asciiTheme="minorBidi" w:hAnsiTheme="minorBidi" w:cstheme="minorBidi"/>
                <w:color w:val="000000" w:themeColor="text1"/>
                <w:sz w:val="20"/>
                <w:szCs w:val="20"/>
              </w:rPr>
              <w:fldChar w:fldCharType="end"/>
            </w:r>
          </w:p>
        </w:tc>
        <w:tc>
          <w:tcPr>
            <w:tcW w:w="1417" w:type="dxa"/>
          </w:tcPr>
          <w:p w14:paraId="24211D24" w14:textId="2A888B24" w:rsidR="00743B47" w:rsidRPr="005F4695" w:rsidRDefault="00743B47" w:rsidP="00743B47">
            <w:pPr>
              <w:rPr>
                <w:rFonts w:asciiTheme="minorBidi" w:hAnsiTheme="minorBidi" w:cstheme="minorBidi"/>
                <w:color w:val="000000" w:themeColor="text1"/>
                <w:sz w:val="20"/>
                <w:szCs w:val="20"/>
              </w:rPr>
            </w:pPr>
            <w:r w:rsidRPr="005F4695">
              <w:rPr>
                <w:rFonts w:asciiTheme="minorBidi" w:hAnsiTheme="minorBidi" w:cstheme="minorBidi"/>
                <w:color w:val="000000" w:themeColor="text1"/>
                <w:sz w:val="20"/>
                <w:szCs w:val="20"/>
              </w:rPr>
              <w:t>Iran</w:t>
            </w:r>
          </w:p>
        </w:tc>
        <w:tc>
          <w:tcPr>
            <w:tcW w:w="1276" w:type="dxa"/>
          </w:tcPr>
          <w:p w14:paraId="2567BB55" w14:textId="0AEE5A4F" w:rsidR="00743B47" w:rsidRPr="005F4695" w:rsidRDefault="00743B47" w:rsidP="00743B47">
            <w:pPr>
              <w:rPr>
                <w:rFonts w:asciiTheme="minorBidi" w:hAnsiTheme="minorBidi" w:cstheme="minorBidi"/>
                <w:color w:val="000000" w:themeColor="text1"/>
                <w:sz w:val="20"/>
                <w:szCs w:val="20"/>
              </w:rPr>
            </w:pPr>
            <w:r w:rsidRPr="005F4695">
              <w:rPr>
                <w:rFonts w:asciiTheme="minorBidi" w:hAnsiTheme="minorBidi" w:cstheme="minorBidi"/>
                <w:color w:val="000000" w:themeColor="text1"/>
                <w:sz w:val="20"/>
                <w:szCs w:val="20"/>
              </w:rPr>
              <w:t>399,      adults (60±13)</w:t>
            </w:r>
          </w:p>
        </w:tc>
        <w:tc>
          <w:tcPr>
            <w:tcW w:w="1559" w:type="dxa"/>
          </w:tcPr>
          <w:p w14:paraId="178A69C6" w14:textId="0CFB8784" w:rsidR="00743B47" w:rsidRPr="005F4695" w:rsidRDefault="00743B47" w:rsidP="00743B47">
            <w:pPr>
              <w:rPr>
                <w:rFonts w:asciiTheme="minorBidi" w:hAnsiTheme="minorBidi" w:cstheme="minorBidi"/>
                <w:color w:val="000000" w:themeColor="text1"/>
                <w:sz w:val="20"/>
                <w:szCs w:val="20"/>
              </w:rPr>
            </w:pPr>
            <w:r w:rsidRPr="005F4695">
              <w:rPr>
                <w:rFonts w:asciiTheme="minorBidi" w:hAnsiTheme="minorBidi" w:cstheme="minorBidi"/>
                <w:color w:val="000000" w:themeColor="text1"/>
                <w:sz w:val="20"/>
                <w:szCs w:val="20"/>
              </w:rPr>
              <w:t>FFQ</w:t>
            </w:r>
          </w:p>
        </w:tc>
        <w:tc>
          <w:tcPr>
            <w:tcW w:w="1559" w:type="dxa"/>
          </w:tcPr>
          <w:p w14:paraId="340885C1" w14:textId="270FAE9F" w:rsidR="00743B47" w:rsidRPr="005F4695" w:rsidRDefault="00743B47" w:rsidP="00743B47">
            <w:pPr>
              <w:rPr>
                <w:rFonts w:asciiTheme="minorBidi" w:hAnsiTheme="minorBidi" w:cstheme="minorBidi"/>
                <w:color w:val="000000" w:themeColor="text1"/>
                <w:sz w:val="20"/>
                <w:szCs w:val="20"/>
              </w:rPr>
            </w:pPr>
            <w:r w:rsidRPr="005F4695">
              <w:rPr>
                <w:rFonts w:asciiTheme="minorBidi" w:hAnsiTheme="minorBidi" w:cstheme="minorBidi"/>
                <w:color w:val="000000" w:themeColor="text1"/>
                <w:sz w:val="20"/>
                <w:szCs w:val="20"/>
              </w:rPr>
              <w:t>Modified-Nordic diet score</w:t>
            </w:r>
          </w:p>
        </w:tc>
        <w:tc>
          <w:tcPr>
            <w:tcW w:w="5305" w:type="dxa"/>
          </w:tcPr>
          <w:p w14:paraId="11507A02" w14:textId="77777777" w:rsidR="00743B47" w:rsidRPr="005F4695" w:rsidRDefault="00743B47" w:rsidP="00743B47">
            <w:pPr>
              <w:autoSpaceDE w:val="0"/>
              <w:autoSpaceDN w:val="0"/>
              <w:adjustRightInd w:val="0"/>
              <w:rPr>
                <w:rFonts w:asciiTheme="minorBidi" w:eastAsiaTheme="minorHAnsi" w:hAnsiTheme="minorBidi" w:cstheme="minorBidi"/>
                <w:color w:val="000000" w:themeColor="text1"/>
                <w:sz w:val="20"/>
                <w:szCs w:val="20"/>
              </w:rPr>
            </w:pPr>
            <w:r w:rsidRPr="005F4695">
              <w:rPr>
                <w:rFonts w:asciiTheme="minorBidi" w:hAnsiTheme="minorBidi" w:cstheme="minorBidi"/>
                <w:color w:val="000000" w:themeColor="text1"/>
                <w:sz w:val="20"/>
                <w:szCs w:val="20"/>
              </w:rPr>
              <w:t xml:space="preserve">Nordic: 6 (whole grain and rye bread, </w:t>
            </w:r>
            <w:r w:rsidRPr="005F4695">
              <w:rPr>
                <w:rFonts w:asciiTheme="minorBidi" w:hAnsiTheme="minorBidi" w:cstheme="minorBidi"/>
                <w:color w:val="000000" w:themeColor="text1"/>
                <w:sz w:val="20"/>
                <w:szCs w:val="20"/>
                <w:shd w:val="clear" w:color="auto" w:fill="FFFFFF"/>
              </w:rPr>
              <w:t>fruits, low-fat dairy products, fatty fish such as salmon, cabbage and root vegetables</w:t>
            </w:r>
            <w:r w:rsidRPr="005F4695">
              <w:rPr>
                <w:rFonts w:asciiTheme="minorBidi" w:hAnsiTheme="minorBidi" w:cstheme="minorBidi"/>
                <w:color w:val="000000" w:themeColor="text1"/>
                <w:sz w:val="20"/>
                <w:szCs w:val="20"/>
              </w:rPr>
              <w:t xml:space="preserve">), </w:t>
            </w:r>
            <w:r w:rsidRPr="005F4695">
              <w:rPr>
                <w:rFonts w:asciiTheme="minorBidi" w:hAnsiTheme="minorBidi" w:cstheme="minorBidi"/>
                <w:color w:val="000000" w:themeColor="text1"/>
                <w:sz w:val="20"/>
                <w:szCs w:val="20"/>
                <w:shd w:val="clear" w:color="auto" w:fill="FFFFFF"/>
              </w:rPr>
              <w:t>consumption above and below median intake were given 1 and 0 points, respectively, overall score was summed and classified</w:t>
            </w:r>
            <w:r w:rsidRPr="005F4695">
              <w:rPr>
                <w:rFonts w:asciiTheme="minorBidi" w:eastAsiaTheme="minorHAnsi" w:hAnsiTheme="minorBidi" w:cstheme="minorBidi"/>
                <w:color w:val="000000" w:themeColor="text1"/>
                <w:sz w:val="20"/>
                <w:szCs w:val="20"/>
              </w:rPr>
              <w:t xml:space="preserve"> into to tertiles</w:t>
            </w:r>
          </w:p>
          <w:p w14:paraId="46001920" w14:textId="134320DD" w:rsidR="00743B47" w:rsidRPr="005F4695" w:rsidRDefault="00743B47" w:rsidP="00743B47">
            <w:pPr>
              <w:autoSpaceDE w:val="0"/>
              <w:autoSpaceDN w:val="0"/>
              <w:adjustRightInd w:val="0"/>
              <w:rPr>
                <w:rFonts w:asciiTheme="minorBidi" w:hAnsiTheme="minorBidi" w:cstheme="minorBidi"/>
                <w:color w:val="000000" w:themeColor="text1"/>
                <w:sz w:val="20"/>
                <w:szCs w:val="20"/>
              </w:rPr>
            </w:pPr>
          </w:p>
        </w:tc>
      </w:tr>
      <w:tr w:rsidR="00743B47" w:rsidRPr="005F4695" w14:paraId="73A79C55" w14:textId="77777777" w:rsidTr="00B20E43">
        <w:trPr>
          <w:trHeight w:val="900"/>
        </w:trPr>
        <w:tc>
          <w:tcPr>
            <w:tcW w:w="1555" w:type="dxa"/>
          </w:tcPr>
          <w:p w14:paraId="47E40535" w14:textId="0073459F" w:rsidR="00743B47" w:rsidRPr="005F4695" w:rsidRDefault="00743B47" w:rsidP="00743B47">
            <w:pPr>
              <w:rPr>
                <w:rFonts w:asciiTheme="minorBidi" w:hAnsiTheme="minorBidi" w:cstheme="minorBidi"/>
                <w:color w:val="000000" w:themeColor="text1"/>
                <w:sz w:val="20"/>
                <w:szCs w:val="20"/>
              </w:rPr>
            </w:pPr>
            <w:r w:rsidRPr="003754B5">
              <w:rPr>
                <w:rFonts w:asciiTheme="minorBidi" w:hAnsiTheme="minorBidi" w:cstheme="minorBidi"/>
                <w:sz w:val="20"/>
                <w:szCs w:val="20"/>
              </w:rPr>
              <w:t>Sakhaei et al</w:t>
            </w:r>
            <w:r>
              <w:rPr>
                <w:rFonts w:asciiTheme="minorBidi" w:hAnsiTheme="minorBidi" w:cstheme="minorBidi"/>
                <w:sz w:val="20"/>
                <w:szCs w:val="20"/>
              </w:rPr>
              <w:t>, 2018</w:t>
            </w:r>
            <w:r w:rsidRPr="003754B5">
              <w:rPr>
                <w:rFonts w:asciiTheme="minorBidi" w:hAnsiTheme="minorBidi" w:cstheme="minorBidi"/>
                <w:sz w:val="20"/>
                <w:szCs w:val="20"/>
              </w:rPr>
              <w:t xml:space="preserve"> </w:t>
            </w:r>
            <w:r w:rsidRPr="003754B5">
              <w:rPr>
                <w:rFonts w:asciiTheme="minorBidi" w:hAnsiTheme="minorBidi" w:cstheme="minorBidi"/>
                <w:sz w:val="20"/>
                <w:szCs w:val="20"/>
              </w:rPr>
              <w:fldChar w:fldCharType="begin" w:fldLock="1"/>
            </w:r>
            <w:r>
              <w:rPr>
                <w:rFonts w:asciiTheme="minorBidi" w:hAnsiTheme="minorBidi" w:cstheme="minorBidi"/>
                <w:sz w:val="20"/>
                <w:szCs w:val="20"/>
              </w:rPr>
              <w:instrText>ADDIN CSL_CITATION {"citationItems":[{"id":"ITEM-1","itemData":{"DOI":"10.1177/0379572118783950","ISSN":"0379-5721","PMID":"29969908","abstract":"BACKGROUND Studies on the association between a priori dietary patterns and serum highly sensitive C-reactive protein (hs-CRP) have led to inconsistent results, and we are not aware of any study on interleukin 17A (IL-17A) as an inflammatory marker associated with autoimmune diseases. OBJECTIVE The present study aimed to investigate the association between Dietary Approaches to Stop Hypertension (DASH) and the Mediterranean dietary patterns with circulating hs-CRP and IL-17A levels. METHODS In this cross-sectional study, female teachers (aged 20-50 years) who lived in Yazd, Iran, were randomly selected from elementary, guidance, and high schools from September 2015 to February 2016. Anthropometric data, as well as general information and dietary food intakes, were gathered, and each participant gave 1 blood sample. Participants were categorized into tertiles based on the DASH and the Mediterranean diet calculated scores. The associations between the dietary patterns and serum hs-CRP and IL-17A levels were assessed in the crude and multivariable models. In total, 320 female teachers aged 40.38 (8.08) years were included. RESULTS The DASH diet was associated with lower serum hs-CRP levels in the crude ( P = .05) and the fully adjusted models ( P = .02), while it was not significantly associated with IL-17A levels. The participants with the highest adherence to the Mediterranean diet had significantly lower circulating IL-17A levels ( P = .04) even controlling for all confounders ( P = .02); however, there was not a significant relationship between this diet and hs-CRP levels. CONCLUSIONS The DASH and the Mediterranean dietary patterns might be differently associated with inflammatory markers. Further prospective studies are recommended to confirm our results.","author":[{"dropping-particle":"","family":"Sakhaei","given":"Roya","non-dropping-particle":"","parse-names":false,"suffix":""},{"dropping-particle":"","family":"Shahvazi","given":"Simin","non-dropping-particle":"","parse-names":false,"suffix":""},{"dropping-particle":"","family":"Mozaffari-Khosravi","given":"Hassan","non-dropping-particle":"","parse-names":false,"suffix":""},{"dropping-particle":"","family":"Samadi","given":"Morteza","non-dropping-particle":"","parse-names":false,"suffix":""},{"dropping-particle":"","family":"Khatibi","given":"Nasim","non-dropping-particle":"","parse-names":false,"suffix":""},{"dropping-particle":"","family":"Nadjarzadeh","given":"Azadeh","non-dropping-particle":"","parse-names":false,"suffix":""},{"dropping-particle":"","family":"Zare","given":"Fateme","non-dropping-particle":"","parse-names":false,"suffix":""},{"dropping-particle":"","family":"Salehi-Abargouei","given":"Amin","non-dropping-particle":"","parse-names":false,"suffix":""}],"container-title":"Food and Nutrition Bulletin","id":"ITEM-1","issue":"3","issued":{"date-parts":[["2018","9","3"]]},"page":"361-376","title":"The Dietary Approaches to Stop Hypertension (DASH)-Style Diet and an Alternative Mediterranean Diet are Differently Associated with Serum Inflammatory Markers in Female Adults","type":"article-journal","volume":"39"},"uris":["http://www.mendeley.com/documents/?uuid=eb15e099-c0b0-38f9-a370-13f9b46395e3"]}],"mendeley":{"formattedCitation":"(57)","plainTextFormattedCitation":"(57)","previouslyFormattedCitation":"(57)"},"properties":{"noteIndex":0},"schema":"https://github.com/citation-style-language/schema/raw/master/csl-citation.json"}</w:instrText>
            </w:r>
            <w:r w:rsidRPr="003754B5">
              <w:rPr>
                <w:rFonts w:asciiTheme="minorBidi" w:hAnsiTheme="minorBidi" w:cstheme="minorBidi"/>
                <w:sz w:val="20"/>
                <w:szCs w:val="20"/>
              </w:rPr>
              <w:fldChar w:fldCharType="separate"/>
            </w:r>
            <w:r w:rsidRPr="003754B5">
              <w:rPr>
                <w:rFonts w:asciiTheme="minorBidi" w:hAnsiTheme="minorBidi" w:cstheme="minorBidi"/>
                <w:noProof/>
                <w:sz w:val="20"/>
                <w:szCs w:val="20"/>
              </w:rPr>
              <w:t>(57)</w:t>
            </w:r>
            <w:r w:rsidRPr="003754B5">
              <w:rPr>
                <w:rFonts w:asciiTheme="minorBidi" w:hAnsiTheme="minorBidi" w:cstheme="minorBidi"/>
                <w:sz w:val="20"/>
                <w:szCs w:val="20"/>
              </w:rPr>
              <w:fldChar w:fldCharType="end"/>
            </w:r>
          </w:p>
        </w:tc>
        <w:tc>
          <w:tcPr>
            <w:tcW w:w="1417" w:type="dxa"/>
          </w:tcPr>
          <w:p w14:paraId="11A8B007" w14:textId="5906EB97" w:rsidR="00743B47" w:rsidRPr="005F4695" w:rsidRDefault="00743B47" w:rsidP="00743B47">
            <w:pPr>
              <w:rPr>
                <w:rFonts w:asciiTheme="minorBidi" w:hAnsiTheme="minorBidi" w:cstheme="minorBidi"/>
                <w:color w:val="000000" w:themeColor="text1"/>
                <w:sz w:val="20"/>
                <w:szCs w:val="20"/>
              </w:rPr>
            </w:pPr>
            <w:r w:rsidRPr="005F4695">
              <w:rPr>
                <w:rFonts w:asciiTheme="minorBidi" w:hAnsiTheme="minorBidi" w:cstheme="minorBidi"/>
                <w:color w:val="000000" w:themeColor="text1"/>
                <w:sz w:val="20"/>
                <w:szCs w:val="20"/>
              </w:rPr>
              <w:t>Iran</w:t>
            </w:r>
          </w:p>
        </w:tc>
        <w:tc>
          <w:tcPr>
            <w:tcW w:w="1276" w:type="dxa"/>
          </w:tcPr>
          <w:p w14:paraId="0F75B3FE" w14:textId="5A98EB61" w:rsidR="00743B47" w:rsidRPr="005F4695" w:rsidRDefault="00743B47" w:rsidP="00743B47">
            <w:pPr>
              <w:rPr>
                <w:rFonts w:asciiTheme="minorBidi" w:hAnsiTheme="minorBidi" w:cstheme="minorBidi"/>
                <w:color w:val="000000" w:themeColor="text1"/>
                <w:sz w:val="20"/>
                <w:szCs w:val="20"/>
              </w:rPr>
            </w:pPr>
            <w:r w:rsidRPr="005F4695">
              <w:rPr>
                <w:rFonts w:asciiTheme="minorBidi" w:hAnsiTheme="minorBidi" w:cstheme="minorBidi"/>
                <w:color w:val="000000" w:themeColor="text1"/>
                <w:sz w:val="20"/>
                <w:szCs w:val="20"/>
              </w:rPr>
              <w:t>450,       adults       (25-50)</w:t>
            </w:r>
          </w:p>
        </w:tc>
        <w:tc>
          <w:tcPr>
            <w:tcW w:w="1559" w:type="dxa"/>
          </w:tcPr>
          <w:p w14:paraId="1108FF5E" w14:textId="2ED62DED" w:rsidR="00743B47" w:rsidRPr="005F4695" w:rsidRDefault="00743B47" w:rsidP="00743B47">
            <w:pPr>
              <w:rPr>
                <w:rFonts w:asciiTheme="minorBidi" w:hAnsiTheme="minorBidi" w:cstheme="minorBidi"/>
                <w:color w:val="000000" w:themeColor="text1"/>
                <w:sz w:val="20"/>
                <w:szCs w:val="20"/>
              </w:rPr>
            </w:pPr>
            <w:r w:rsidRPr="005F4695">
              <w:rPr>
                <w:rFonts w:asciiTheme="minorBidi" w:hAnsiTheme="minorBidi" w:cstheme="minorBidi"/>
                <w:color w:val="000000" w:themeColor="text1"/>
                <w:sz w:val="20"/>
                <w:szCs w:val="20"/>
              </w:rPr>
              <w:t>FFQ       (modified Willett format)</w:t>
            </w:r>
          </w:p>
          <w:p w14:paraId="3186DAA3" w14:textId="77777777" w:rsidR="00743B47" w:rsidRPr="005F4695" w:rsidRDefault="00743B47" w:rsidP="00743B47">
            <w:pPr>
              <w:rPr>
                <w:rFonts w:asciiTheme="minorBidi" w:hAnsiTheme="minorBidi" w:cstheme="minorBidi"/>
                <w:color w:val="000000" w:themeColor="text1"/>
                <w:sz w:val="20"/>
                <w:szCs w:val="20"/>
              </w:rPr>
            </w:pPr>
          </w:p>
        </w:tc>
        <w:tc>
          <w:tcPr>
            <w:tcW w:w="1559" w:type="dxa"/>
          </w:tcPr>
          <w:p w14:paraId="1D7E5E02" w14:textId="145A31A9" w:rsidR="00743B47" w:rsidRPr="005F4695" w:rsidRDefault="00743B47" w:rsidP="00743B47">
            <w:pPr>
              <w:rPr>
                <w:rFonts w:asciiTheme="minorBidi" w:hAnsiTheme="minorBidi" w:cstheme="minorBidi"/>
                <w:color w:val="000000" w:themeColor="text1"/>
                <w:sz w:val="20"/>
                <w:szCs w:val="20"/>
              </w:rPr>
            </w:pPr>
            <w:r w:rsidRPr="005F4695">
              <w:rPr>
                <w:rFonts w:asciiTheme="minorBidi" w:hAnsiTheme="minorBidi" w:cstheme="minorBidi"/>
                <w:color w:val="000000" w:themeColor="text1"/>
                <w:sz w:val="20"/>
                <w:szCs w:val="20"/>
              </w:rPr>
              <w:t xml:space="preserve">Comparison: </w:t>
            </w:r>
            <w:r w:rsidR="00A940F3">
              <w:rPr>
                <w:rFonts w:asciiTheme="minorBidi" w:hAnsiTheme="minorBidi" w:cstheme="minorBidi"/>
                <w:color w:val="000000" w:themeColor="text1"/>
                <w:sz w:val="20"/>
                <w:szCs w:val="20"/>
              </w:rPr>
              <w:t>DASH score</w:t>
            </w:r>
            <w:r w:rsidRPr="005F4695">
              <w:rPr>
                <w:rFonts w:asciiTheme="minorBidi" w:hAnsiTheme="minorBidi" w:cstheme="minorBidi"/>
                <w:color w:val="000000" w:themeColor="text1"/>
                <w:sz w:val="20"/>
                <w:szCs w:val="20"/>
              </w:rPr>
              <w:t>, MDS</w:t>
            </w:r>
          </w:p>
        </w:tc>
        <w:tc>
          <w:tcPr>
            <w:tcW w:w="5305" w:type="dxa"/>
          </w:tcPr>
          <w:p w14:paraId="32EC4917" w14:textId="668A75C7" w:rsidR="00743B47" w:rsidRPr="005F4695" w:rsidRDefault="00317777" w:rsidP="00743B47">
            <w:pPr>
              <w:rPr>
                <w:rFonts w:asciiTheme="minorBidi" w:hAnsiTheme="minorBidi" w:cstheme="minorBidi"/>
                <w:color w:val="000000" w:themeColor="text1"/>
                <w:sz w:val="20"/>
                <w:szCs w:val="20"/>
              </w:rPr>
            </w:pPr>
            <w:r>
              <w:rPr>
                <w:rFonts w:asciiTheme="minorBidi" w:hAnsiTheme="minorBidi" w:cstheme="minorBidi"/>
                <w:color w:val="000000" w:themeColor="text1"/>
                <w:sz w:val="20"/>
                <w:szCs w:val="20"/>
              </w:rPr>
              <w:t>MDS</w:t>
            </w:r>
            <w:r w:rsidR="00743B47" w:rsidRPr="005F4695">
              <w:rPr>
                <w:rFonts w:asciiTheme="minorBidi" w:hAnsiTheme="minorBidi" w:cstheme="minorBidi"/>
                <w:color w:val="000000" w:themeColor="text1"/>
                <w:sz w:val="20"/>
                <w:szCs w:val="20"/>
              </w:rPr>
              <w:t xml:space="preserve">: 11 (vegetables, legumes, fruits and nuts, fish and seafood, cereals, dairy products, poultry, meat, ratio of monounsaturated and saturated fats, and ethanol consumption), </w:t>
            </w:r>
            <w:r w:rsidR="00743B47" w:rsidRPr="005F4695">
              <w:rPr>
                <w:rFonts w:asciiTheme="minorBidi" w:hAnsiTheme="minorBidi" w:cstheme="minorBidi"/>
                <w:color w:val="000000" w:themeColor="text1"/>
                <w:sz w:val="20"/>
                <w:szCs w:val="20"/>
                <w:lang w:val="en-GB" w:eastAsia="en-GB"/>
              </w:rPr>
              <w:t>0 to 4, overall score ranged from 0 to 28 points</w:t>
            </w:r>
          </w:p>
          <w:p w14:paraId="63B955F3" w14:textId="3CFCA264" w:rsidR="00743B47" w:rsidRPr="005F4695" w:rsidRDefault="00A940F3" w:rsidP="00743B47">
            <w:pPr>
              <w:autoSpaceDE w:val="0"/>
              <w:autoSpaceDN w:val="0"/>
              <w:adjustRightInd w:val="0"/>
              <w:rPr>
                <w:rFonts w:asciiTheme="minorBidi" w:hAnsiTheme="minorBidi" w:cstheme="minorBidi"/>
                <w:color w:val="000000" w:themeColor="text1"/>
                <w:sz w:val="20"/>
                <w:szCs w:val="20"/>
                <w:lang w:val="en-GB" w:eastAsia="en-GB"/>
              </w:rPr>
            </w:pPr>
            <w:r>
              <w:rPr>
                <w:rFonts w:asciiTheme="minorBidi" w:hAnsiTheme="minorBidi" w:cstheme="minorBidi"/>
                <w:color w:val="000000" w:themeColor="text1"/>
                <w:sz w:val="20"/>
                <w:szCs w:val="20"/>
              </w:rPr>
              <w:t>DASH score</w:t>
            </w:r>
            <w:r w:rsidR="00743B47" w:rsidRPr="005F4695">
              <w:rPr>
                <w:rFonts w:asciiTheme="minorBidi" w:hAnsiTheme="minorBidi" w:cstheme="minorBidi"/>
                <w:color w:val="000000" w:themeColor="text1"/>
                <w:sz w:val="20"/>
                <w:szCs w:val="20"/>
              </w:rPr>
              <w:t>:</w:t>
            </w:r>
            <w:r w:rsidR="00743B47" w:rsidRPr="005F4695">
              <w:rPr>
                <w:rFonts w:asciiTheme="minorBidi" w:hAnsiTheme="minorBidi" w:cstheme="minorBidi"/>
                <w:color w:val="000000" w:themeColor="text1"/>
                <w:sz w:val="20"/>
                <w:szCs w:val="20"/>
                <w:lang w:val="en-GB" w:eastAsia="en-GB"/>
              </w:rPr>
              <w:t xml:space="preserve"> </w:t>
            </w:r>
            <w:r w:rsidR="00743B47" w:rsidRPr="005F4695">
              <w:rPr>
                <w:rFonts w:asciiTheme="minorBidi" w:hAnsiTheme="minorBidi" w:cstheme="minorBidi"/>
                <w:color w:val="000000" w:themeColor="text1"/>
                <w:sz w:val="20"/>
                <w:szCs w:val="20"/>
                <w:lang w:val="en-GB" w:eastAsia="en-GB"/>
              </w:rPr>
              <w:fldChar w:fldCharType="begin" w:fldLock="1"/>
            </w:r>
            <w:r w:rsidR="00743B47" w:rsidRPr="005F4695">
              <w:rPr>
                <w:rFonts w:asciiTheme="minorBidi" w:hAnsiTheme="minorBidi" w:cstheme="minorBidi"/>
                <w:color w:val="000000" w:themeColor="text1"/>
                <w:sz w:val="20"/>
                <w:szCs w:val="20"/>
                <w:lang w:val="en-GB" w:eastAsia="en-GB"/>
              </w:rPr>
              <w:instrText>ADDIN CSL_CITATION {"citationItems":[{"id":"ITEM-1","itemData":{"DOI":"10.1007/s00394-017-1562-4","ISSN":"1436-6207","PMID":"29098424","abstract":"PURPOSE The aims of this study were to (1) determine the association between diet quality using the Dietary Approaches to Stop Hypertension (DASH) score and cardiometabolic risk in a British working population and (2) identify employee characteristics associated with reporting a poorer quality dietary pattern. METHODS British police employees enrolled (2007-2012) into the Airwave Health Monitoring Study (n = 5527) were included for sex-specific cross-sectional analyses. Dietary intakes were measured using 7-day food records. DASH score was calculated to determine diet quality. Logistic regression evaluated associations between (1) diet quality and increased cardiometabolic risk (defined as ≥ 3 risk markers: dyslipidaemia, elevated blood pressure, waist circumference, CRP or HbA1c), and (2) poor diet quality (lowest fifth of DASH score distribution) and employee characteristics. RESULTS Employees recording a poor diet quality had greater odds (OR) of increased cardiometabolic risk independent of established risk factors (demographic, lifestyle and occupational) and BMI: men OR 1.50 (95% CI 1.12-2.00), women: OR 1.84 (95% CI 1.19-2.97) compared to the healthiest diet group. Characteristics associated with reporting a poor quality diet were employment in Scotland vs. England: men OR 1.88 (95% CI 1.53-2.32), women: OR 1.49 (95% CI 1.11-2.00), longer working hours (≥ 49 vs. ≤40 h) men: OR 1.53 (95% CI 1.21-1.92) women: OR 1.53 (95% CI 1.12-2.09). For men, job strain (high vs. low) was associated with reporting a poor diet quality OR 1.66 (95% CI 1.30-2.12). CONCLUSIONS The general population disparities in diet quality between England and Scotland were reflected in British police employees. The association of longer working hours and job strain with diet quality supports the targeting of workplace nutritional interventions.","author":[{"dropping-particle":"","family":"Gibson","given":"Rachel","non-dropping-particle":"","parse-names":false,"suffix":""},{"dropping-particle":"","family":"Eriksen","given":"Rebeca","non-dropping-particle":"","parse-names":false,"suffix":""},{"dropping-particle":"","family":"Singh","given":"Deepa","non-dropping-particle":"","parse-names":false,"suffix":""},{"dropping-particle":"","family":"Vergnaud","given":"Anne-Claire","non-dropping-particle":"","parse-names":false,"suffix":""},{"dropping-particle":"","family":"Heard","given":"Andrew","non-dropping-particle":"","parse-names":false,"suffix":""},{"dropping-particle":"","family":"Chan","given":"Queenie","non-dropping-particle":"","parse-names":false,"suffix":""},{"dropping-particle":"","family":"Elliott","given":"Paul","non-dropping-particle":"","parse-names":false,"suffix":""},{"dropping-particle":"","family":"Frost","given":"Gary","non-dropping-particle":"","parse-names":false,"suffix":""}],"container-title":"European Journal of Nutrition","id":"ITEM-1","issue":"8","issued":{"date-parts":[["2018","12","2"]]},"page":"2913-2926","title":"A cross-sectional investigation into the occupational and socio-demographic characteristics of British police force employees reporting a dietary pattern associated with cardiometabolic risk: findings from the Airwave Health Monitoring Study","type":"article-journal","volume":"57"},"uris":["http://www.mendeley.com/documents/?uuid=308b59cf-d657-32ee-a72f-ff29a9cd74fd"]}],"mendeley":{"formattedCitation":"(4)","plainTextFormattedCitation":"(4)","previouslyFormattedCitation":"(4)"},"properties":{"noteIndex":0},"schema":"https://github.com/citation-style-language/schema/raw/master/csl-citation.json"}</w:instrText>
            </w:r>
            <w:r w:rsidR="00743B47" w:rsidRPr="005F4695">
              <w:rPr>
                <w:rFonts w:asciiTheme="minorBidi" w:hAnsiTheme="minorBidi" w:cstheme="minorBidi"/>
                <w:color w:val="000000" w:themeColor="text1"/>
                <w:sz w:val="20"/>
                <w:szCs w:val="20"/>
                <w:lang w:val="en-GB" w:eastAsia="en-GB"/>
              </w:rPr>
              <w:fldChar w:fldCharType="separate"/>
            </w:r>
            <w:r w:rsidR="00743B47" w:rsidRPr="005F4695">
              <w:rPr>
                <w:rFonts w:asciiTheme="minorBidi" w:hAnsiTheme="minorBidi" w:cstheme="minorBidi"/>
                <w:noProof/>
                <w:color w:val="000000" w:themeColor="text1"/>
                <w:sz w:val="20"/>
                <w:szCs w:val="20"/>
                <w:lang w:val="en-GB" w:eastAsia="en-GB"/>
              </w:rPr>
              <w:t>(4)</w:t>
            </w:r>
            <w:r w:rsidR="00743B47" w:rsidRPr="005F4695">
              <w:rPr>
                <w:rFonts w:asciiTheme="minorBidi" w:hAnsiTheme="minorBidi" w:cstheme="minorBidi"/>
                <w:color w:val="000000" w:themeColor="text1"/>
                <w:sz w:val="20"/>
                <w:szCs w:val="20"/>
                <w:lang w:val="en-GB" w:eastAsia="en-GB"/>
              </w:rPr>
              <w:fldChar w:fldCharType="end"/>
            </w:r>
          </w:p>
          <w:p w14:paraId="13E92E73" w14:textId="57654949" w:rsidR="00743B47" w:rsidRPr="005F4695" w:rsidRDefault="00743B47" w:rsidP="00743B47">
            <w:pPr>
              <w:autoSpaceDE w:val="0"/>
              <w:autoSpaceDN w:val="0"/>
              <w:adjustRightInd w:val="0"/>
              <w:rPr>
                <w:rFonts w:asciiTheme="minorBidi" w:hAnsiTheme="minorBidi" w:cstheme="minorBidi"/>
                <w:color w:val="000000" w:themeColor="text1"/>
                <w:sz w:val="20"/>
                <w:szCs w:val="20"/>
              </w:rPr>
            </w:pPr>
          </w:p>
        </w:tc>
      </w:tr>
      <w:tr w:rsidR="00743B47" w:rsidRPr="005F4695" w14:paraId="2680B537" w14:textId="77777777" w:rsidTr="00B20E43">
        <w:trPr>
          <w:trHeight w:val="558"/>
        </w:trPr>
        <w:tc>
          <w:tcPr>
            <w:tcW w:w="1555" w:type="dxa"/>
            <w:tcBorders>
              <w:bottom w:val="nil"/>
            </w:tcBorders>
          </w:tcPr>
          <w:p w14:paraId="3F6CF75B" w14:textId="50396BF7" w:rsidR="00743B47" w:rsidRPr="005F4695" w:rsidRDefault="00743B47" w:rsidP="00743B47">
            <w:pPr>
              <w:rPr>
                <w:rFonts w:asciiTheme="minorBidi" w:hAnsiTheme="minorBidi" w:cstheme="minorBidi"/>
                <w:color w:val="000000" w:themeColor="text1"/>
                <w:sz w:val="20"/>
                <w:szCs w:val="20"/>
                <w:lang w:val="en-GB" w:eastAsia="en-GB"/>
              </w:rPr>
            </w:pPr>
            <w:r w:rsidRPr="003754B5">
              <w:rPr>
                <w:rFonts w:asciiTheme="minorBidi" w:hAnsiTheme="minorBidi" w:cstheme="minorBidi"/>
                <w:color w:val="000000" w:themeColor="text1"/>
                <w:sz w:val="20"/>
                <w:szCs w:val="20"/>
                <w:lang w:val="en-GB" w:eastAsia="en-GB"/>
              </w:rPr>
              <w:t>Saraf-Bank et al</w:t>
            </w:r>
            <w:r>
              <w:rPr>
                <w:rFonts w:asciiTheme="minorBidi" w:hAnsiTheme="minorBidi" w:cstheme="minorBidi"/>
                <w:color w:val="000000" w:themeColor="text1"/>
                <w:sz w:val="20"/>
                <w:szCs w:val="20"/>
                <w:lang w:val="en-GB" w:eastAsia="en-GB"/>
              </w:rPr>
              <w:t>, 2017</w:t>
            </w:r>
            <w:r w:rsidRPr="003754B5">
              <w:rPr>
                <w:rFonts w:asciiTheme="minorBidi" w:hAnsiTheme="minorBidi" w:cstheme="minorBidi"/>
                <w:color w:val="000000" w:themeColor="text1"/>
                <w:sz w:val="20"/>
                <w:szCs w:val="20"/>
                <w:lang w:val="en-GB" w:eastAsia="en-GB"/>
              </w:rPr>
              <w:t xml:space="preserve"> </w:t>
            </w:r>
            <w:r w:rsidRPr="003754B5">
              <w:rPr>
                <w:rFonts w:asciiTheme="minorBidi" w:hAnsiTheme="minorBidi" w:cstheme="minorBidi"/>
                <w:color w:val="000000" w:themeColor="text1"/>
                <w:sz w:val="20"/>
                <w:szCs w:val="20"/>
                <w:lang w:val="en-GB" w:eastAsia="en-GB"/>
              </w:rPr>
              <w:fldChar w:fldCharType="begin" w:fldLock="1"/>
            </w:r>
            <w:r>
              <w:rPr>
                <w:rFonts w:asciiTheme="minorBidi" w:hAnsiTheme="minorBidi" w:cstheme="minorBidi"/>
                <w:color w:val="000000" w:themeColor="text1"/>
                <w:sz w:val="20"/>
                <w:szCs w:val="20"/>
                <w:lang w:val="en-GB" w:eastAsia="en-GB"/>
              </w:rPr>
              <w:instrText>ADDIN CSL_CITATION {"citationItems":[{"id":"ITEM-1","itemData":{"DOI":"10.1038/ejcn.2016.173","ISSN":"0954-3007","author":[{"dropping-particle":"","family":"Saraf-Bank","given":"S","non-dropping-particle":"","parse-names":false,"suffix":""},{"dropping-particle":"","family":"Haghighatdoost","given":"F","non-dropping-particle":"","parse-names":false,"suffix":""},{"dropping-particle":"","family":"Esmaillzadeh","given":"A","non-dropping-particle":"","parse-names":false,"suffix":""},{"dropping-particle":"","family":"Larijani","given":"B","non-dropping-particle":"","parse-names":false,"suffix":""},{"dropping-particle":"","family":"Azadbakht","given":"L","non-dropping-particle":"","parse-names":false,"suffix":""}],"container-title":"European Journal of Clinical Nutrition","id":"ITEM-1","issue":"3","issued":{"date-parts":[["2017","3","28"]]},"page":"425-430","title":"Adherence to Healthy Eating Index-2010 is inversely associated with metabolic syndrome and its features among Iranian adult women","type":"article-journal","volume":"71"},"uris":["http://www.mendeley.com/documents/?uuid=9a288239-4026-3b0e-9078-ddb561c9128a"]}],"mendeley":{"formattedCitation":"(58)","plainTextFormattedCitation":"(58)","previouslyFormattedCitation":"(58)"},"properties":{"noteIndex":0},"schema":"https://github.com/citation-style-language/schema/raw/master/csl-citation.json"}</w:instrText>
            </w:r>
            <w:r w:rsidRPr="003754B5">
              <w:rPr>
                <w:rFonts w:asciiTheme="minorBidi" w:hAnsiTheme="minorBidi" w:cstheme="minorBidi"/>
                <w:color w:val="000000" w:themeColor="text1"/>
                <w:sz w:val="20"/>
                <w:szCs w:val="20"/>
                <w:lang w:val="en-GB" w:eastAsia="en-GB"/>
              </w:rPr>
              <w:fldChar w:fldCharType="separate"/>
            </w:r>
            <w:r w:rsidRPr="003754B5">
              <w:rPr>
                <w:rFonts w:asciiTheme="minorBidi" w:hAnsiTheme="minorBidi" w:cstheme="minorBidi"/>
                <w:noProof/>
                <w:color w:val="000000" w:themeColor="text1"/>
                <w:sz w:val="20"/>
                <w:szCs w:val="20"/>
                <w:lang w:val="en-GB" w:eastAsia="en-GB"/>
              </w:rPr>
              <w:t>(58)</w:t>
            </w:r>
            <w:r w:rsidRPr="003754B5">
              <w:rPr>
                <w:rFonts w:asciiTheme="minorBidi" w:hAnsiTheme="minorBidi" w:cstheme="minorBidi"/>
                <w:color w:val="000000" w:themeColor="text1"/>
                <w:sz w:val="20"/>
                <w:szCs w:val="20"/>
                <w:lang w:val="en-GB" w:eastAsia="en-GB"/>
              </w:rPr>
              <w:fldChar w:fldCharType="end"/>
            </w:r>
          </w:p>
        </w:tc>
        <w:tc>
          <w:tcPr>
            <w:tcW w:w="1417" w:type="dxa"/>
            <w:tcBorders>
              <w:bottom w:val="nil"/>
            </w:tcBorders>
          </w:tcPr>
          <w:p w14:paraId="525A3C64" w14:textId="35B3FAAE"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lang w:val="en-GB" w:eastAsia="en-GB"/>
              </w:rPr>
              <w:t>Iran</w:t>
            </w:r>
          </w:p>
        </w:tc>
        <w:tc>
          <w:tcPr>
            <w:tcW w:w="1276" w:type="dxa"/>
            <w:tcBorders>
              <w:bottom w:val="nil"/>
            </w:tcBorders>
          </w:tcPr>
          <w:p w14:paraId="6ACBBC77" w14:textId="3CAABE49"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lang w:val="en-GB" w:eastAsia="en-GB"/>
              </w:rPr>
              <w:t>1036, adults    (&gt;30)</w:t>
            </w:r>
          </w:p>
        </w:tc>
        <w:tc>
          <w:tcPr>
            <w:tcW w:w="1559" w:type="dxa"/>
            <w:tcBorders>
              <w:bottom w:val="nil"/>
            </w:tcBorders>
          </w:tcPr>
          <w:p w14:paraId="250A0FE7" w14:textId="23814FE0"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lang w:val="en-GB" w:eastAsia="en-GB"/>
              </w:rPr>
              <w:t>FFQ            (106 items)</w:t>
            </w:r>
          </w:p>
        </w:tc>
        <w:tc>
          <w:tcPr>
            <w:tcW w:w="1559" w:type="dxa"/>
            <w:tcBorders>
              <w:bottom w:val="nil"/>
            </w:tcBorders>
          </w:tcPr>
          <w:p w14:paraId="0E10CF56" w14:textId="6747201C"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lang w:val="en-GB" w:eastAsia="en-GB"/>
              </w:rPr>
              <w:t xml:space="preserve">HEI </w:t>
            </w:r>
          </w:p>
        </w:tc>
        <w:tc>
          <w:tcPr>
            <w:tcW w:w="5305" w:type="dxa"/>
            <w:tcBorders>
              <w:bottom w:val="nil"/>
            </w:tcBorders>
          </w:tcPr>
          <w:p w14:paraId="5BC32E7C" w14:textId="77777777"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lang w:val="en-GB" w:eastAsia="en-GB"/>
              </w:rPr>
              <w:t xml:space="preserve">12 (Total fruits, whole fruits, total vegetables, greens and beans, whole grains, dairy, total protein foods, seafood and plant proteins, fatty acids, refined grains, Na and empty energy), </w:t>
            </w:r>
            <w:r w:rsidRPr="005F4695">
              <w:rPr>
                <w:rFonts w:asciiTheme="minorBidi" w:hAnsiTheme="minorBidi" w:cstheme="minorBidi"/>
                <w:color w:val="000000" w:themeColor="text1"/>
                <w:sz w:val="20"/>
                <w:szCs w:val="20"/>
              </w:rPr>
              <w:t xml:space="preserve">each component has a minimum score of 0 and a maximum score of 10 using weighted means, </w:t>
            </w:r>
            <w:r w:rsidRPr="005F4695">
              <w:rPr>
                <w:rFonts w:asciiTheme="minorBidi" w:hAnsiTheme="minorBidi" w:cstheme="minorBidi"/>
                <w:color w:val="000000" w:themeColor="text1"/>
                <w:sz w:val="20"/>
                <w:szCs w:val="20"/>
                <w:lang w:val="en-GB" w:eastAsia="en-GB"/>
              </w:rPr>
              <w:t>overall score ranged from 0 to 100 points</w:t>
            </w:r>
          </w:p>
          <w:p w14:paraId="35EED57C" w14:textId="582342B6" w:rsidR="00743B47" w:rsidRPr="005F4695" w:rsidRDefault="00743B47" w:rsidP="00743B47">
            <w:pPr>
              <w:rPr>
                <w:rFonts w:asciiTheme="minorBidi" w:hAnsiTheme="minorBidi" w:cstheme="minorBidi"/>
                <w:color w:val="000000" w:themeColor="text1"/>
                <w:sz w:val="20"/>
                <w:szCs w:val="20"/>
                <w:lang w:val="en-GB" w:eastAsia="en-GB"/>
              </w:rPr>
            </w:pPr>
          </w:p>
        </w:tc>
      </w:tr>
      <w:tr w:rsidR="00743B47" w:rsidRPr="005F4695" w14:paraId="11AEDC1B" w14:textId="77777777" w:rsidTr="00C219A2">
        <w:trPr>
          <w:trHeight w:val="2114"/>
        </w:trPr>
        <w:tc>
          <w:tcPr>
            <w:tcW w:w="1555" w:type="dxa"/>
            <w:tcBorders>
              <w:top w:val="nil"/>
              <w:bottom w:val="single" w:sz="4" w:space="0" w:color="auto"/>
            </w:tcBorders>
          </w:tcPr>
          <w:p w14:paraId="0B588DBA" w14:textId="1AF3A9C3" w:rsidR="00743B47" w:rsidRPr="005F4695" w:rsidRDefault="00743B47" w:rsidP="00743B47">
            <w:pPr>
              <w:rPr>
                <w:rFonts w:asciiTheme="minorBidi" w:hAnsiTheme="minorBidi" w:cstheme="minorBidi"/>
                <w:color w:val="000000" w:themeColor="text1"/>
                <w:sz w:val="20"/>
                <w:szCs w:val="20"/>
                <w:lang w:val="en-GB" w:eastAsia="en-GB"/>
              </w:rPr>
            </w:pPr>
            <w:r w:rsidRPr="003754B5">
              <w:rPr>
                <w:rFonts w:asciiTheme="minorBidi" w:hAnsiTheme="minorBidi" w:cstheme="minorBidi"/>
                <w:color w:val="000000" w:themeColor="text1"/>
                <w:sz w:val="20"/>
                <w:szCs w:val="20"/>
                <w:lang w:val="en-GB" w:eastAsia="en-GB"/>
              </w:rPr>
              <w:t>Golzarand et al</w:t>
            </w:r>
            <w:r>
              <w:rPr>
                <w:rFonts w:asciiTheme="minorBidi" w:hAnsiTheme="minorBidi" w:cstheme="minorBidi"/>
                <w:color w:val="000000" w:themeColor="text1"/>
                <w:sz w:val="20"/>
                <w:szCs w:val="20"/>
                <w:lang w:val="en-GB" w:eastAsia="en-GB"/>
              </w:rPr>
              <w:t>, 2015</w:t>
            </w:r>
            <w:r w:rsidRPr="003754B5">
              <w:rPr>
                <w:rFonts w:asciiTheme="minorBidi" w:hAnsiTheme="minorBidi" w:cstheme="minorBidi"/>
                <w:color w:val="000000" w:themeColor="text1"/>
                <w:sz w:val="20"/>
                <w:szCs w:val="20"/>
                <w:lang w:val="en-GB" w:eastAsia="en-GB"/>
              </w:rPr>
              <w:t xml:space="preserve"> </w:t>
            </w:r>
            <w:r w:rsidRPr="003754B5">
              <w:rPr>
                <w:rFonts w:asciiTheme="minorBidi" w:hAnsiTheme="minorBidi" w:cstheme="minorBidi"/>
                <w:color w:val="000000" w:themeColor="text1"/>
                <w:sz w:val="20"/>
                <w:szCs w:val="20"/>
                <w:lang w:val="en-GB" w:eastAsia="en-GB"/>
              </w:rPr>
              <w:fldChar w:fldCharType="begin" w:fldLock="1"/>
            </w:r>
            <w:r>
              <w:rPr>
                <w:rFonts w:asciiTheme="minorBidi" w:hAnsiTheme="minorBidi" w:cstheme="minorBidi"/>
                <w:color w:val="000000" w:themeColor="text1"/>
                <w:sz w:val="20"/>
                <w:szCs w:val="20"/>
                <w:lang w:val="en-GB" w:eastAsia="en-GB"/>
              </w:rPr>
              <w:instrText>ADDIN CSL_CITATION {"citationItems":[{"id":"ITEM-1","itemData":{"DOI":"10.1038/ejcn.2014.233","ISSN":"0954-3007","author":[{"dropping-particle":"","family":"Golzarand","given":"M","non-dropping-particle":"","parse-names":false,"suffix":""},{"dropping-particle":"","family":"Bahadoran","given":"Z","non-dropping-particle":"","parse-names":false,"suffix":""},{"dropping-particle":"","family":"Mirmiran","given":"P","non-dropping-particle":"","parse-names":false,"suffix":""},{"dropping-particle":"","family":"Sadeghian-Sharif","given":"S","non-dropping-particle":"","parse-names":false,"suffix":""},{"dropping-particle":"","family":"Azizi","given":"F","non-dropping-particle":"","parse-names":false,"suffix":""}],"container-title":"European Journal of Clinical Nutrition","id":"ITEM-1","issue":"3","issued":{"date-parts":[["2015","3","12"]]},"page":"392-398","title":"Dietary phytochemical index is inversely associated with the occurrence of hypertension in adults: a 3-year follow-up (the Tehran Lipid and Glucose Study)","type":"article-journal","volume":"69"},"uris":["http://www.mendeley.com/documents/?uuid=2240c028-51ee-3e13-a396-2eddc0574ba9"]}],"mendeley":{"formattedCitation":"(59)","plainTextFormattedCitation":"(59)","previouslyFormattedCitation":"(59)"},"properties":{"noteIndex":0},"schema":"https://github.com/citation-style-language/schema/raw/master/csl-citation.json"}</w:instrText>
            </w:r>
            <w:r w:rsidRPr="003754B5">
              <w:rPr>
                <w:rFonts w:asciiTheme="minorBidi" w:hAnsiTheme="minorBidi" w:cstheme="minorBidi"/>
                <w:color w:val="000000" w:themeColor="text1"/>
                <w:sz w:val="20"/>
                <w:szCs w:val="20"/>
                <w:lang w:val="en-GB" w:eastAsia="en-GB"/>
              </w:rPr>
              <w:fldChar w:fldCharType="separate"/>
            </w:r>
            <w:r w:rsidRPr="003754B5">
              <w:rPr>
                <w:rFonts w:asciiTheme="minorBidi" w:hAnsiTheme="minorBidi" w:cstheme="minorBidi"/>
                <w:noProof/>
                <w:color w:val="000000" w:themeColor="text1"/>
                <w:sz w:val="20"/>
                <w:szCs w:val="20"/>
                <w:lang w:val="en-GB" w:eastAsia="en-GB"/>
              </w:rPr>
              <w:t>(59)</w:t>
            </w:r>
            <w:r w:rsidRPr="003754B5">
              <w:rPr>
                <w:rFonts w:asciiTheme="minorBidi" w:hAnsiTheme="minorBidi" w:cstheme="minorBidi"/>
                <w:color w:val="000000" w:themeColor="text1"/>
                <w:sz w:val="20"/>
                <w:szCs w:val="20"/>
                <w:lang w:val="en-GB" w:eastAsia="en-GB"/>
              </w:rPr>
              <w:fldChar w:fldCharType="end"/>
            </w:r>
          </w:p>
        </w:tc>
        <w:tc>
          <w:tcPr>
            <w:tcW w:w="1417" w:type="dxa"/>
            <w:tcBorders>
              <w:top w:val="nil"/>
              <w:bottom w:val="single" w:sz="4" w:space="0" w:color="auto"/>
            </w:tcBorders>
          </w:tcPr>
          <w:p w14:paraId="5F41E166" w14:textId="063D8659"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rPr>
              <w:t>Iran</w:t>
            </w:r>
          </w:p>
        </w:tc>
        <w:tc>
          <w:tcPr>
            <w:tcW w:w="1276" w:type="dxa"/>
            <w:tcBorders>
              <w:top w:val="nil"/>
              <w:bottom w:val="single" w:sz="4" w:space="0" w:color="auto"/>
            </w:tcBorders>
          </w:tcPr>
          <w:p w14:paraId="7D70F52B" w14:textId="5F5D8FEE"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lang w:val="en-GB" w:eastAsia="en-GB"/>
              </w:rPr>
              <w:t>1546, adults     (~38)</w:t>
            </w:r>
          </w:p>
        </w:tc>
        <w:tc>
          <w:tcPr>
            <w:tcW w:w="1559" w:type="dxa"/>
            <w:tcBorders>
              <w:top w:val="nil"/>
              <w:bottom w:val="single" w:sz="4" w:space="0" w:color="auto"/>
            </w:tcBorders>
          </w:tcPr>
          <w:p w14:paraId="717A8122" w14:textId="1D614FCE"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lang w:val="en-GB" w:eastAsia="en-GB"/>
              </w:rPr>
              <w:t>FFQ</w:t>
            </w:r>
          </w:p>
        </w:tc>
        <w:tc>
          <w:tcPr>
            <w:tcW w:w="1559" w:type="dxa"/>
            <w:tcBorders>
              <w:top w:val="nil"/>
              <w:bottom w:val="single" w:sz="4" w:space="0" w:color="auto"/>
            </w:tcBorders>
          </w:tcPr>
          <w:p w14:paraId="03B8E1C7" w14:textId="53BC7FDA"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lang w:val="en-GB" w:eastAsia="en-GB"/>
              </w:rPr>
              <w:t>Dietary phytochemical index (DPI)</w:t>
            </w:r>
          </w:p>
        </w:tc>
        <w:tc>
          <w:tcPr>
            <w:tcW w:w="5305" w:type="dxa"/>
            <w:tcBorders>
              <w:top w:val="nil"/>
              <w:bottom w:val="single" w:sz="4" w:space="0" w:color="auto"/>
            </w:tcBorders>
          </w:tcPr>
          <w:p w14:paraId="66BA3C79" w14:textId="4CDF9963" w:rsidR="00743B47" w:rsidRPr="005F4695" w:rsidRDefault="00743B47" w:rsidP="00743B47">
            <w:pPr>
              <w:rPr>
                <w:rFonts w:asciiTheme="minorBidi" w:hAnsiTheme="minorBidi" w:cstheme="minorBidi"/>
                <w:color w:val="000000" w:themeColor="text1"/>
                <w:sz w:val="20"/>
                <w:szCs w:val="20"/>
                <w:lang w:val="en-GB" w:eastAsia="en-GB"/>
              </w:rPr>
            </w:pPr>
            <w:r w:rsidRPr="005F4695">
              <w:rPr>
                <w:rFonts w:asciiTheme="minorBidi" w:hAnsiTheme="minorBidi" w:cstheme="minorBidi"/>
                <w:color w:val="000000" w:themeColor="text1"/>
                <w:sz w:val="20"/>
                <w:szCs w:val="20"/>
                <w:lang w:val="en-GB" w:eastAsia="en-GB"/>
              </w:rPr>
              <w:t>9 (whole grains (whole wheat bread, oat and bulgur), fruits (red, yellow and orange fruits), vegetables (dark green vegetables, red/orange vegetables, starchy vegetables and other vegetables), natural fruit and vegetable juices, tomato sauces, soy products (soy bean), nuts (peanut, almond, walnut, pistachio and hazelnut), legumes (lentil, beans, chickpea, split bean, mung bean and vicia faba), olive and olive oil), index was calculated using</w:t>
            </w:r>
            <w:r w:rsidRPr="005F4695">
              <w:rPr>
                <w:rFonts w:asciiTheme="minorBidi" w:hAnsiTheme="minorBidi" w:cstheme="minorBidi"/>
                <w:color w:val="000000" w:themeColor="text1"/>
                <w:spacing w:val="3"/>
                <w:sz w:val="20"/>
                <w:szCs w:val="20"/>
                <w:shd w:val="clear" w:color="auto" w:fill="FFFFFF"/>
              </w:rPr>
              <w:t xml:space="preserve"> McCarty equation</w:t>
            </w:r>
          </w:p>
        </w:tc>
      </w:tr>
    </w:tbl>
    <w:p w14:paraId="10497704" w14:textId="75F7465A" w:rsidR="0077786D" w:rsidRPr="005F4695" w:rsidRDefault="0077786D" w:rsidP="00960579">
      <w:pPr>
        <w:ind w:left="142"/>
        <w:outlineLvl w:val="0"/>
        <w:rPr>
          <w:rFonts w:asciiTheme="minorBidi" w:hAnsiTheme="minorBidi" w:cstheme="minorBidi"/>
          <w:bCs/>
          <w:sz w:val="20"/>
          <w:szCs w:val="20"/>
        </w:rPr>
      </w:pPr>
      <w:r w:rsidRPr="005F4695">
        <w:rPr>
          <w:rFonts w:asciiTheme="minorBidi" w:hAnsiTheme="minorBidi" w:cstheme="minorBidi"/>
          <w:bCs/>
          <w:sz w:val="20"/>
          <w:szCs w:val="20"/>
        </w:rPr>
        <w:t>DASH dietary approaches to stop hypertension, DII dietary inflammation index, FSA-NPS Food Standards Agency nutrient profile score, HEI healthy eating index, MDS Mediterranean diet score</w:t>
      </w:r>
    </w:p>
    <w:p w14:paraId="3B827CD8" w14:textId="77777777" w:rsidR="0077786D" w:rsidRPr="005F4695" w:rsidRDefault="0077786D" w:rsidP="0077786D">
      <w:pPr>
        <w:outlineLvl w:val="0"/>
        <w:rPr>
          <w:rFonts w:asciiTheme="minorBidi" w:hAnsiTheme="minorBidi"/>
          <w:b/>
          <w:bCs/>
          <w:i/>
          <w:iCs/>
          <w:color w:val="000000" w:themeColor="text1"/>
        </w:rPr>
      </w:pPr>
    </w:p>
    <w:p w14:paraId="430C256D" w14:textId="77777777" w:rsidR="0077786D" w:rsidRPr="005F4695" w:rsidRDefault="0077786D" w:rsidP="0077786D">
      <w:pPr>
        <w:outlineLvl w:val="0"/>
        <w:rPr>
          <w:rFonts w:asciiTheme="minorBidi" w:hAnsiTheme="minorBidi"/>
          <w:b/>
          <w:bCs/>
          <w:i/>
          <w:iCs/>
          <w:color w:val="000000" w:themeColor="text1"/>
        </w:rPr>
      </w:pPr>
    </w:p>
    <w:p w14:paraId="7DB75AF2" w14:textId="77777777" w:rsidR="0077786D" w:rsidRPr="005F4695" w:rsidRDefault="0077786D" w:rsidP="0077786D">
      <w:pPr>
        <w:outlineLvl w:val="0"/>
        <w:rPr>
          <w:rFonts w:asciiTheme="minorBidi" w:hAnsiTheme="minorBidi"/>
          <w:b/>
          <w:bCs/>
          <w:i/>
          <w:iCs/>
          <w:color w:val="000000" w:themeColor="text1"/>
        </w:rPr>
      </w:pPr>
    </w:p>
    <w:p w14:paraId="34ACF022" w14:textId="77777777" w:rsidR="007C7167" w:rsidRPr="005F4695" w:rsidRDefault="007C7167" w:rsidP="0077786D">
      <w:pPr>
        <w:outlineLvl w:val="0"/>
        <w:rPr>
          <w:rFonts w:asciiTheme="minorBidi" w:hAnsiTheme="minorBidi"/>
          <w:b/>
          <w:bCs/>
          <w:i/>
          <w:iCs/>
          <w:color w:val="000000" w:themeColor="text1"/>
        </w:rPr>
      </w:pPr>
    </w:p>
    <w:p w14:paraId="27A09222" w14:textId="77777777" w:rsidR="00C219A2" w:rsidRDefault="00C219A2" w:rsidP="00485300">
      <w:pPr>
        <w:outlineLvl w:val="0"/>
        <w:rPr>
          <w:rFonts w:asciiTheme="minorBidi" w:hAnsiTheme="minorBidi"/>
          <w:b/>
          <w:bCs/>
          <w:i/>
          <w:iCs/>
          <w:color w:val="000000" w:themeColor="text1"/>
        </w:rPr>
      </w:pPr>
    </w:p>
    <w:p w14:paraId="04CCEAC5" w14:textId="74101272" w:rsidR="0077786D" w:rsidRPr="005F4695" w:rsidRDefault="007C7167" w:rsidP="00485300">
      <w:pPr>
        <w:outlineLvl w:val="0"/>
        <w:rPr>
          <w:rFonts w:asciiTheme="minorBidi" w:hAnsiTheme="minorBidi"/>
          <w:b/>
          <w:bCs/>
          <w:i/>
          <w:iCs/>
          <w:color w:val="000000" w:themeColor="text1"/>
        </w:rPr>
      </w:pPr>
      <w:r w:rsidRPr="005F4695">
        <w:rPr>
          <w:rFonts w:asciiTheme="minorBidi" w:hAnsiTheme="minorBidi"/>
          <w:b/>
          <w:bCs/>
          <w:i/>
          <w:iCs/>
          <w:color w:val="000000" w:themeColor="text1"/>
        </w:rPr>
        <w:t>References</w:t>
      </w:r>
    </w:p>
    <w:p w14:paraId="592C6016" w14:textId="1AA54BB2" w:rsidR="004A7B72" w:rsidRPr="004A7B72" w:rsidRDefault="001D4306" w:rsidP="004A7B72">
      <w:pPr>
        <w:widowControl w:val="0"/>
        <w:autoSpaceDE w:val="0"/>
        <w:autoSpaceDN w:val="0"/>
        <w:adjustRightInd w:val="0"/>
        <w:ind w:left="640" w:hanging="640"/>
        <w:rPr>
          <w:rFonts w:ascii="Arial" w:hAnsi="Arial" w:cs="Arial"/>
          <w:noProof/>
        </w:rPr>
      </w:pPr>
      <w:r w:rsidRPr="005F4695">
        <w:rPr>
          <w:rFonts w:asciiTheme="minorBidi" w:hAnsiTheme="minorBidi"/>
          <w:b/>
          <w:bCs/>
          <w:i/>
          <w:iCs/>
          <w:color w:val="000000" w:themeColor="text1"/>
        </w:rPr>
        <w:fldChar w:fldCharType="begin" w:fldLock="1"/>
      </w:r>
      <w:r w:rsidRPr="005F4695">
        <w:rPr>
          <w:rFonts w:asciiTheme="minorBidi" w:hAnsiTheme="minorBidi"/>
          <w:b/>
          <w:bCs/>
          <w:i/>
          <w:iCs/>
          <w:color w:val="000000" w:themeColor="text1"/>
        </w:rPr>
        <w:instrText xml:space="preserve">ADDIN Mendeley Bibliography CSL_BIBLIOGRAPHY </w:instrText>
      </w:r>
      <w:r w:rsidRPr="005F4695">
        <w:rPr>
          <w:rFonts w:asciiTheme="minorBidi" w:hAnsiTheme="minorBidi"/>
          <w:b/>
          <w:bCs/>
          <w:i/>
          <w:iCs/>
          <w:color w:val="000000" w:themeColor="text1"/>
        </w:rPr>
        <w:fldChar w:fldCharType="separate"/>
      </w:r>
      <w:r w:rsidR="004A7B72" w:rsidRPr="004A7B72">
        <w:rPr>
          <w:rFonts w:ascii="Arial" w:hAnsi="Arial" w:cs="Arial"/>
          <w:noProof/>
        </w:rPr>
        <w:t xml:space="preserve">1. </w:t>
      </w:r>
      <w:r w:rsidR="004A7B72" w:rsidRPr="004A7B72">
        <w:rPr>
          <w:rFonts w:ascii="Arial" w:hAnsi="Arial" w:cs="Arial"/>
          <w:noProof/>
        </w:rPr>
        <w:tab/>
        <w:t xml:space="preserve">Aigner A, Becher H, Jacobs S, Wilkens LR, Boushey CJ, Le Marchand L, Haiman CA, Maskarinec G. Low diet quality and the risk of stroke mortality: the multiethnic cohort study. Eur J Clin Nutr. 2018;72:1035–45. </w:t>
      </w:r>
    </w:p>
    <w:p w14:paraId="166F1F16" w14:textId="77777777" w:rsidR="004A7B72" w:rsidRPr="004A7B72" w:rsidRDefault="004A7B72" w:rsidP="004A7B72">
      <w:pPr>
        <w:widowControl w:val="0"/>
        <w:autoSpaceDE w:val="0"/>
        <w:autoSpaceDN w:val="0"/>
        <w:adjustRightInd w:val="0"/>
        <w:ind w:left="640" w:hanging="640"/>
        <w:rPr>
          <w:rFonts w:ascii="Arial" w:hAnsi="Arial" w:cs="Arial"/>
          <w:noProof/>
        </w:rPr>
      </w:pPr>
      <w:r w:rsidRPr="004A7B72">
        <w:rPr>
          <w:rFonts w:ascii="Arial" w:hAnsi="Arial" w:cs="Arial"/>
          <w:noProof/>
        </w:rPr>
        <w:t xml:space="preserve">2. </w:t>
      </w:r>
      <w:r w:rsidRPr="004A7B72">
        <w:rPr>
          <w:rFonts w:ascii="Arial" w:hAnsi="Arial" w:cs="Arial"/>
          <w:noProof/>
        </w:rPr>
        <w:tab/>
        <w:t xml:space="preserve">Frazier-Wood AC, Kim J, Davis JS, Jung SY, Chang S. In cross-sectional observations, dietary quality is not associated with CVD risk in women; in men the positive association is accounted for by BMI. Br J Nutr. 2015;113:1244–53. </w:t>
      </w:r>
    </w:p>
    <w:p w14:paraId="40084278" w14:textId="77777777" w:rsidR="004A7B72" w:rsidRPr="004A7B72" w:rsidRDefault="004A7B72" w:rsidP="004A7B72">
      <w:pPr>
        <w:widowControl w:val="0"/>
        <w:autoSpaceDE w:val="0"/>
        <w:autoSpaceDN w:val="0"/>
        <w:adjustRightInd w:val="0"/>
        <w:ind w:left="640" w:hanging="640"/>
        <w:rPr>
          <w:rFonts w:ascii="Arial" w:hAnsi="Arial" w:cs="Arial"/>
          <w:noProof/>
        </w:rPr>
      </w:pPr>
      <w:r w:rsidRPr="004A7B72">
        <w:rPr>
          <w:rFonts w:ascii="Arial" w:hAnsi="Arial" w:cs="Arial"/>
          <w:noProof/>
        </w:rPr>
        <w:t xml:space="preserve">3. </w:t>
      </w:r>
      <w:r w:rsidRPr="004A7B72">
        <w:rPr>
          <w:rFonts w:ascii="Arial" w:hAnsi="Arial" w:cs="Arial"/>
          <w:noProof/>
        </w:rPr>
        <w:tab/>
        <w:t xml:space="preserve">Mattei J, Sotres-Alvarez D, Daviglus ML, Gallo LC, Gellman M, Hu FB, Tucker KL, Willett WC, Siega-Riz AM, Van Horn L, et al. Diet Quality and Its Association with Cardiometabolic Risk Factors Vary by Hispanic and Latino Ethnic Background in the Hispanic Community Health Study/Study of Latinos. J Nutr. 2016;146:2035–44. </w:t>
      </w:r>
    </w:p>
    <w:p w14:paraId="17EAC745" w14:textId="77777777" w:rsidR="004A7B72" w:rsidRPr="004A7B72" w:rsidRDefault="004A7B72" w:rsidP="004A7B72">
      <w:pPr>
        <w:widowControl w:val="0"/>
        <w:autoSpaceDE w:val="0"/>
        <w:autoSpaceDN w:val="0"/>
        <w:adjustRightInd w:val="0"/>
        <w:ind w:left="640" w:hanging="640"/>
        <w:rPr>
          <w:rFonts w:ascii="Arial" w:hAnsi="Arial" w:cs="Arial"/>
          <w:noProof/>
        </w:rPr>
      </w:pPr>
      <w:r w:rsidRPr="004A7B72">
        <w:rPr>
          <w:rFonts w:ascii="Arial" w:hAnsi="Arial" w:cs="Arial"/>
          <w:noProof/>
        </w:rPr>
        <w:t xml:space="preserve">4. </w:t>
      </w:r>
      <w:r w:rsidRPr="004A7B72">
        <w:rPr>
          <w:rFonts w:ascii="Arial" w:hAnsi="Arial" w:cs="Arial"/>
          <w:noProof/>
        </w:rPr>
        <w:tab/>
        <w:t xml:space="preserve">Gibson R, Eriksen R, Singh D, Vergnaud A-C, Heard A, Chan Q, Elliott P, Frost G. A cross-sectional investigation into the occupational and socio-demographic characteristics of British police force employees reporting a dietary pattern associated with cardiometabolic risk: findings from the Airwave Health Monitoring Study. Eur J Nutr. 2018;57:2913–26. </w:t>
      </w:r>
    </w:p>
    <w:p w14:paraId="24EB5518" w14:textId="77777777" w:rsidR="004A7B72" w:rsidRPr="004A7B72" w:rsidRDefault="004A7B72" w:rsidP="004A7B72">
      <w:pPr>
        <w:widowControl w:val="0"/>
        <w:autoSpaceDE w:val="0"/>
        <w:autoSpaceDN w:val="0"/>
        <w:adjustRightInd w:val="0"/>
        <w:ind w:left="640" w:hanging="640"/>
        <w:rPr>
          <w:rFonts w:ascii="Arial" w:hAnsi="Arial" w:cs="Arial"/>
          <w:noProof/>
        </w:rPr>
      </w:pPr>
      <w:r w:rsidRPr="004A7B72">
        <w:rPr>
          <w:rFonts w:ascii="Arial" w:hAnsi="Arial" w:cs="Arial"/>
          <w:noProof/>
        </w:rPr>
        <w:t xml:space="preserve">5. </w:t>
      </w:r>
      <w:r w:rsidRPr="004A7B72">
        <w:rPr>
          <w:rFonts w:ascii="Arial" w:hAnsi="Arial" w:cs="Arial"/>
          <w:noProof/>
        </w:rPr>
        <w:tab/>
        <w:t xml:space="preserve">Djoussé L, Ho Y, Nguyen XT, Gagnon DR, Wilson PWF, Cho K, Gaziano JM, Halasz I, Federman D, Beckham J, et al. DASH Score and Subsequent Risk of Coronary Artery Disease: The Findings From Million Veteran Program. J Am Heart Assoc. 2018;7:e008089. </w:t>
      </w:r>
    </w:p>
    <w:p w14:paraId="732C47F1" w14:textId="77777777" w:rsidR="004A7B72" w:rsidRPr="004A7B72" w:rsidRDefault="004A7B72" w:rsidP="004A7B72">
      <w:pPr>
        <w:widowControl w:val="0"/>
        <w:autoSpaceDE w:val="0"/>
        <w:autoSpaceDN w:val="0"/>
        <w:adjustRightInd w:val="0"/>
        <w:ind w:left="640" w:hanging="640"/>
        <w:rPr>
          <w:rFonts w:ascii="Arial" w:hAnsi="Arial" w:cs="Arial"/>
          <w:noProof/>
        </w:rPr>
      </w:pPr>
      <w:r w:rsidRPr="004A7B72">
        <w:rPr>
          <w:rFonts w:ascii="Arial" w:hAnsi="Arial" w:cs="Arial"/>
          <w:noProof/>
        </w:rPr>
        <w:t xml:space="preserve">6. </w:t>
      </w:r>
      <w:r w:rsidRPr="004A7B72">
        <w:rPr>
          <w:rFonts w:ascii="Arial" w:hAnsi="Arial" w:cs="Arial"/>
          <w:noProof/>
        </w:rPr>
        <w:tab/>
        <w:t xml:space="preserve">Fung TT, Isanaka S, Hu FB, Willett WC. International food group-based diet quality and risk of coronary heart disease in men and women. Am J Clin Nutr. 2018;107:120–9. </w:t>
      </w:r>
    </w:p>
    <w:p w14:paraId="04D0DAAC" w14:textId="77777777" w:rsidR="004A7B72" w:rsidRPr="004A7B72" w:rsidRDefault="004A7B72" w:rsidP="004A7B72">
      <w:pPr>
        <w:widowControl w:val="0"/>
        <w:autoSpaceDE w:val="0"/>
        <w:autoSpaceDN w:val="0"/>
        <w:adjustRightInd w:val="0"/>
        <w:ind w:left="640" w:hanging="640"/>
        <w:rPr>
          <w:rFonts w:ascii="Arial" w:hAnsi="Arial" w:cs="Arial"/>
          <w:noProof/>
        </w:rPr>
      </w:pPr>
      <w:r w:rsidRPr="004A7B72">
        <w:rPr>
          <w:rFonts w:ascii="Arial" w:hAnsi="Arial" w:cs="Arial"/>
          <w:noProof/>
        </w:rPr>
        <w:t xml:space="preserve">7. </w:t>
      </w:r>
      <w:r w:rsidRPr="004A7B72">
        <w:rPr>
          <w:rFonts w:ascii="Arial" w:hAnsi="Arial" w:cs="Arial"/>
          <w:noProof/>
        </w:rPr>
        <w:tab/>
        <w:t xml:space="preserve">Satija A, Bhupathiraju SN, Spiegelman D, Chiuve SE, Manson JE, Willett W, Rexrode KM, Rimm EB, Hu FB. Healthful and Unhealthful Plant-Based Diets and the Risk of Coronary Heart Disease in U.S. Adults. J Am Coll Cardiol. 2017;70:411–22. </w:t>
      </w:r>
    </w:p>
    <w:p w14:paraId="5B619E2C" w14:textId="77777777" w:rsidR="004A7B72" w:rsidRPr="004A7B72" w:rsidRDefault="004A7B72" w:rsidP="004A7B72">
      <w:pPr>
        <w:widowControl w:val="0"/>
        <w:autoSpaceDE w:val="0"/>
        <w:autoSpaceDN w:val="0"/>
        <w:adjustRightInd w:val="0"/>
        <w:ind w:left="640" w:hanging="640"/>
        <w:rPr>
          <w:rFonts w:ascii="Arial" w:hAnsi="Arial" w:cs="Arial"/>
          <w:noProof/>
        </w:rPr>
      </w:pPr>
      <w:r w:rsidRPr="004A7B72">
        <w:rPr>
          <w:rFonts w:ascii="Arial" w:hAnsi="Arial" w:cs="Arial"/>
          <w:noProof/>
        </w:rPr>
        <w:t xml:space="preserve">8. </w:t>
      </w:r>
      <w:r w:rsidRPr="004A7B72">
        <w:rPr>
          <w:rFonts w:ascii="Arial" w:hAnsi="Arial" w:cs="Arial"/>
          <w:noProof/>
        </w:rPr>
        <w:tab/>
        <w:t xml:space="preserve">Shivappa N, Steck SE, Hussey JR, Ma Y, Hebert JR. Inflammatory potential of diet and all-cause, cardiovascular, and cancer mortality in National Health and Nutrition Examination Survey III Study. Eur J Nutr. 2017;56:683–92. </w:t>
      </w:r>
    </w:p>
    <w:p w14:paraId="4AFDE5D6" w14:textId="77777777" w:rsidR="004A7B72" w:rsidRPr="004A7B72" w:rsidRDefault="004A7B72" w:rsidP="004A7B72">
      <w:pPr>
        <w:widowControl w:val="0"/>
        <w:autoSpaceDE w:val="0"/>
        <w:autoSpaceDN w:val="0"/>
        <w:adjustRightInd w:val="0"/>
        <w:ind w:left="640" w:hanging="640"/>
        <w:rPr>
          <w:rFonts w:ascii="Arial" w:hAnsi="Arial" w:cs="Arial"/>
          <w:noProof/>
        </w:rPr>
      </w:pPr>
      <w:r w:rsidRPr="004A7B72">
        <w:rPr>
          <w:rFonts w:ascii="Arial" w:hAnsi="Arial" w:cs="Arial"/>
          <w:noProof/>
        </w:rPr>
        <w:t xml:space="preserve">9. </w:t>
      </w:r>
      <w:r w:rsidRPr="004A7B72">
        <w:rPr>
          <w:rFonts w:ascii="Arial" w:hAnsi="Arial" w:cs="Arial"/>
          <w:noProof/>
        </w:rPr>
        <w:tab/>
        <w:t xml:space="preserve">Fung TT, Pan A, Hou T, Mozaffarian D, Rexrode KM, Willett WC, Hu FB. Food quality score and the risk of coronary artery disease: a prospective analysis in 3 cohorts. Am J Clin Nutr. 2016;104:65–72. </w:t>
      </w:r>
    </w:p>
    <w:p w14:paraId="09671325" w14:textId="77777777" w:rsidR="004A7B72" w:rsidRPr="004A7B72" w:rsidRDefault="004A7B72" w:rsidP="004A7B72">
      <w:pPr>
        <w:widowControl w:val="0"/>
        <w:autoSpaceDE w:val="0"/>
        <w:autoSpaceDN w:val="0"/>
        <w:adjustRightInd w:val="0"/>
        <w:ind w:left="640" w:hanging="640"/>
        <w:rPr>
          <w:rFonts w:ascii="Arial" w:hAnsi="Arial" w:cs="Arial"/>
          <w:noProof/>
        </w:rPr>
      </w:pPr>
      <w:r w:rsidRPr="004A7B72">
        <w:rPr>
          <w:rFonts w:ascii="Arial" w:hAnsi="Arial" w:cs="Arial"/>
          <w:noProof/>
        </w:rPr>
        <w:t xml:space="preserve">10. </w:t>
      </w:r>
      <w:r w:rsidRPr="004A7B72">
        <w:rPr>
          <w:rFonts w:ascii="Arial" w:hAnsi="Arial" w:cs="Arial"/>
          <w:noProof/>
        </w:rPr>
        <w:tab/>
        <w:t xml:space="preserve">Li S, Zhu Y, Chavarro JE, Bao W, Tobias DK, Ley SH, Forman JP, Liu A, Mills J, Bowers K, et al. Healthful Dietary Patterns and the Risk of Hypertension Among Women With a History of Gestational Diabetes Mellitus. Hypertension. 2016;67:1157–65. </w:t>
      </w:r>
    </w:p>
    <w:p w14:paraId="52562218" w14:textId="77777777" w:rsidR="004A7B72" w:rsidRPr="004A7B72" w:rsidRDefault="004A7B72" w:rsidP="004A7B72">
      <w:pPr>
        <w:widowControl w:val="0"/>
        <w:autoSpaceDE w:val="0"/>
        <w:autoSpaceDN w:val="0"/>
        <w:adjustRightInd w:val="0"/>
        <w:ind w:left="640" w:hanging="640"/>
        <w:rPr>
          <w:rFonts w:ascii="Arial" w:hAnsi="Arial" w:cs="Arial"/>
          <w:noProof/>
        </w:rPr>
      </w:pPr>
      <w:r w:rsidRPr="004A7B72">
        <w:rPr>
          <w:rFonts w:ascii="Arial" w:hAnsi="Arial" w:cs="Arial"/>
          <w:noProof/>
        </w:rPr>
        <w:t xml:space="preserve">11. </w:t>
      </w:r>
      <w:r w:rsidRPr="004A7B72">
        <w:rPr>
          <w:rFonts w:ascii="Arial" w:hAnsi="Arial" w:cs="Arial"/>
          <w:noProof/>
        </w:rPr>
        <w:tab/>
        <w:t xml:space="preserve">Tsivgoulis G, Psaltopoulou T, Wadley VG, Alexandrov A V., Howard G, Unverzagt FW, Moy C, Howard VJ, Kissela </w:t>
      </w:r>
      <w:r w:rsidRPr="004A7B72">
        <w:rPr>
          <w:rFonts w:ascii="Arial" w:hAnsi="Arial" w:cs="Arial"/>
          <w:noProof/>
        </w:rPr>
        <w:lastRenderedPageBreak/>
        <w:t xml:space="preserve">B, Judd SE. Adherence to a Mediterranean Diet and Prediction of Incident Stroke. Stroke. 2015;46:780–5. </w:t>
      </w:r>
    </w:p>
    <w:p w14:paraId="4D66E0A3" w14:textId="77777777" w:rsidR="004A7B72" w:rsidRPr="004A7B72" w:rsidRDefault="004A7B72" w:rsidP="004A7B72">
      <w:pPr>
        <w:widowControl w:val="0"/>
        <w:autoSpaceDE w:val="0"/>
        <w:autoSpaceDN w:val="0"/>
        <w:adjustRightInd w:val="0"/>
        <w:ind w:left="640" w:hanging="640"/>
        <w:rPr>
          <w:rFonts w:ascii="Arial" w:hAnsi="Arial" w:cs="Arial"/>
          <w:noProof/>
        </w:rPr>
      </w:pPr>
      <w:r w:rsidRPr="004A7B72">
        <w:rPr>
          <w:rFonts w:ascii="Arial" w:hAnsi="Arial" w:cs="Arial"/>
          <w:noProof/>
        </w:rPr>
        <w:t xml:space="preserve">12. </w:t>
      </w:r>
      <w:r w:rsidRPr="004A7B72">
        <w:rPr>
          <w:rFonts w:ascii="Arial" w:hAnsi="Arial" w:cs="Arial"/>
          <w:noProof/>
        </w:rPr>
        <w:tab/>
        <w:t xml:space="preserve">Sotos-Prieto M, Bhupathiraju SN, Mattei J, Fung TT, Li Y, Pan A, Willett WC, Rimm EB, Hu FB. Changes in diet quality scores and risk of cardiovascular disease among US men and women. Circulation. 2015;132:2212–9. </w:t>
      </w:r>
    </w:p>
    <w:p w14:paraId="7EC4B8F5" w14:textId="77777777" w:rsidR="004A7B72" w:rsidRPr="004A7B72" w:rsidRDefault="004A7B72" w:rsidP="004A7B72">
      <w:pPr>
        <w:widowControl w:val="0"/>
        <w:autoSpaceDE w:val="0"/>
        <w:autoSpaceDN w:val="0"/>
        <w:adjustRightInd w:val="0"/>
        <w:ind w:left="640" w:hanging="640"/>
        <w:rPr>
          <w:rFonts w:ascii="Arial" w:hAnsi="Arial" w:cs="Arial"/>
          <w:noProof/>
        </w:rPr>
      </w:pPr>
      <w:r w:rsidRPr="004A7B72">
        <w:rPr>
          <w:rFonts w:ascii="Arial" w:hAnsi="Arial" w:cs="Arial"/>
          <w:noProof/>
        </w:rPr>
        <w:t xml:space="preserve">13. </w:t>
      </w:r>
      <w:r w:rsidRPr="004A7B72">
        <w:rPr>
          <w:rFonts w:ascii="Arial" w:hAnsi="Arial" w:cs="Arial"/>
          <w:noProof/>
        </w:rPr>
        <w:tab/>
        <w:t xml:space="preserve">Shivappa N, Tavani A, Hébert JR, Rosato V, La Vecchia C. Dietary inflammatory index and acute myocardial infarction in a large Italian case–control study. Eur J Public Health. 2018;28:161–6. </w:t>
      </w:r>
    </w:p>
    <w:p w14:paraId="5BF896D9" w14:textId="77777777" w:rsidR="004A7B72" w:rsidRPr="004A7B72" w:rsidRDefault="004A7B72" w:rsidP="004A7B72">
      <w:pPr>
        <w:widowControl w:val="0"/>
        <w:autoSpaceDE w:val="0"/>
        <w:autoSpaceDN w:val="0"/>
        <w:adjustRightInd w:val="0"/>
        <w:ind w:left="640" w:hanging="640"/>
        <w:rPr>
          <w:rFonts w:ascii="Arial" w:hAnsi="Arial" w:cs="Arial"/>
          <w:noProof/>
        </w:rPr>
      </w:pPr>
      <w:r w:rsidRPr="004A7B72">
        <w:rPr>
          <w:rFonts w:ascii="Arial" w:hAnsi="Arial" w:cs="Arial"/>
          <w:noProof/>
        </w:rPr>
        <w:t xml:space="preserve">14. </w:t>
      </w:r>
      <w:r w:rsidRPr="004A7B72">
        <w:rPr>
          <w:rFonts w:ascii="Arial" w:hAnsi="Arial" w:cs="Arial"/>
          <w:noProof/>
        </w:rPr>
        <w:tab/>
        <w:t xml:space="preserve">La Verde M, Mulè S, Zappalà G, Privitera G, Maugeri G, Pecora F, Marranzano M. Higher adherence to the Mediterranean diet is inversely associated with having hypertension: is low salt intake a mediating factor? Int J Food Sci Nutr. 2018;69:235–44. </w:t>
      </w:r>
    </w:p>
    <w:p w14:paraId="6ABFE8CF" w14:textId="77777777" w:rsidR="004A7B72" w:rsidRPr="004A7B72" w:rsidRDefault="004A7B72" w:rsidP="004A7B72">
      <w:pPr>
        <w:widowControl w:val="0"/>
        <w:autoSpaceDE w:val="0"/>
        <w:autoSpaceDN w:val="0"/>
        <w:adjustRightInd w:val="0"/>
        <w:ind w:left="640" w:hanging="640"/>
        <w:rPr>
          <w:rFonts w:ascii="Arial" w:hAnsi="Arial" w:cs="Arial"/>
          <w:noProof/>
        </w:rPr>
      </w:pPr>
      <w:r w:rsidRPr="004A7B72">
        <w:rPr>
          <w:rFonts w:ascii="Arial" w:hAnsi="Arial" w:cs="Arial"/>
          <w:noProof/>
        </w:rPr>
        <w:t xml:space="preserve">15. </w:t>
      </w:r>
      <w:r w:rsidRPr="004A7B72">
        <w:rPr>
          <w:rFonts w:ascii="Arial" w:hAnsi="Arial" w:cs="Arial"/>
          <w:noProof/>
        </w:rPr>
        <w:tab/>
        <w:t xml:space="preserve">Vitale M, Masulli M, Calabrese I, Rivellese A, Bonora E, Signorini S, Perriello G, Squatrito S, Buzzetti R, Sartore G, et al. Impact of a Mediterranean Dietary Pattern and Its Components on Cardiovascular Risk Factors, Glucose Control, and Body Weight in People with Type 2 Diabetes: A Real-Life Study. Nutrients. 2018;10:1067. </w:t>
      </w:r>
    </w:p>
    <w:p w14:paraId="5F532F34" w14:textId="77777777" w:rsidR="004A7B72" w:rsidRPr="004A7B72" w:rsidRDefault="004A7B72" w:rsidP="004A7B72">
      <w:pPr>
        <w:widowControl w:val="0"/>
        <w:autoSpaceDE w:val="0"/>
        <w:autoSpaceDN w:val="0"/>
        <w:adjustRightInd w:val="0"/>
        <w:ind w:left="640" w:hanging="640"/>
        <w:rPr>
          <w:rFonts w:ascii="Arial" w:hAnsi="Arial" w:cs="Arial"/>
          <w:noProof/>
        </w:rPr>
      </w:pPr>
      <w:r w:rsidRPr="004A7B72">
        <w:rPr>
          <w:rFonts w:ascii="Arial" w:hAnsi="Arial" w:cs="Arial"/>
          <w:noProof/>
        </w:rPr>
        <w:t xml:space="preserve">16. </w:t>
      </w:r>
      <w:r w:rsidRPr="004A7B72">
        <w:rPr>
          <w:rFonts w:ascii="Arial" w:hAnsi="Arial" w:cs="Arial"/>
          <w:noProof/>
        </w:rPr>
        <w:tab/>
        <w:t xml:space="preserve">Bendinelli B, Masala G, Bruno RM, Caini S, Saieva C, Boninsegni A, Ungar A, Ghiadoni L, Palli D. A priori dietary patterns and blood pressure in the EPIC Florence cohort: a cross-sectional study. Eur J Nutr. 2018;1–12. http://doi: 10.1007/s00394–018–1758–2. </w:t>
      </w:r>
    </w:p>
    <w:p w14:paraId="1546CE36" w14:textId="77777777" w:rsidR="004A7B72" w:rsidRPr="004A7B72" w:rsidRDefault="004A7B72" w:rsidP="004A7B72">
      <w:pPr>
        <w:widowControl w:val="0"/>
        <w:autoSpaceDE w:val="0"/>
        <w:autoSpaceDN w:val="0"/>
        <w:adjustRightInd w:val="0"/>
        <w:ind w:left="640" w:hanging="640"/>
        <w:rPr>
          <w:rFonts w:ascii="Arial" w:hAnsi="Arial" w:cs="Arial"/>
          <w:noProof/>
        </w:rPr>
      </w:pPr>
      <w:r w:rsidRPr="004A7B72">
        <w:rPr>
          <w:rFonts w:ascii="Arial" w:hAnsi="Arial" w:cs="Arial"/>
          <w:noProof/>
        </w:rPr>
        <w:t xml:space="preserve">17. </w:t>
      </w:r>
      <w:r w:rsidRPr="004A7B72">
        <w:rPr>
          <w:rFonts w:ascii="Arial" w:hAnsi="Arial" w:cs="Arial"/>
          <w:noProof/>
        </w:rPr>
        <w:tab/>
        <w:t xml:space="preserve">Waldeyer C, Brunner FJ, Braetz J, Ruebsamen N, Zyriax B-C, Blaum C, Kroeger F, Kohsiack R, Schrage B, Sinning C, et al. Adherence to Mediterranean diet, high-sensitive C-reactive protein, and severity of coronary artery disease: Contemporary data from the INTERCATH cohort. Atherosclerosis. 2018;275:256–61. </w:t>
      </w:r>
    </w:p>
    <w:p w14:paraId="5861ABCE" w14:textId="77777777" w:rsidR="004A7B72" w:rsidRPr="004A7B72" w:rsidRDefault="004A7B72" w:rsidP="004A7B72">
      <w:pPr>
        <w:widowControl w:val="0"/>
        <w:autoSpaceDE w:val="0"/>
        <w:autoSpaceDN w:val="0"/>
        <w:adjustRightInd w:val="0"/>
        <w:ind w:left="640" w:hanging="640"/>
        <w:rPr>
          <w:rFonts w:ascii="Arial" w:hAnsi="Arial" w:cs="Arial"/>
          <w:noProof/>
        </w:rPr>
      </w:pPr>
      <w:r w:rsidRPr="004A7B72">
        <w:rPr>
          <w:rFonts w:ascii="Arial" w:hAnsi="Arial" w:cs="Arial"/>
          <w:noProof/>
        </w:rPr>
        <w:t xml:space="preserve">18. </w:t>
      </w:r>
      <w:r w:rsidRPr="004A7B72">
        <w:rPr>
          <w:rFonts w:ascii="Arial" w:hAnsi="Arial" w:cs="Arial"/>
          <w:noProof/>
        </w:rPr>
        <w:tab/>
        <w:t xml:space="preserve">Bonaccio M, Di Castelnuovo A, Pounis G, Costanzo S, Persichillo M, Cerletti C, Donati MB, de Gaetano G, Iacoviello L. High adherence to the Mediterranean diet is associated with cardiovascular protection in higher but not in lower socioeconomic groups: prospective findings from the Moli-sani study. Int J Epidemiol. 2017;46:1478–87. </w:t>
      </w:r>
    </w:p>
    <w:p w14:paraId="3608F4E6" w14:textId="77777777" w:rsidR="004A7B72" w:rsidRPr="004A7B72" w:rsidRDefault="004A7B72" w:rsidP="004A7B72">
      <w:pPr>
        <w:widowControl w:val="0"/>
        <w:autoSpaceDE w:val="0"/>
        <w:autoSpaceDN w:val="0"/>
        <w:adjustRightInd w:val="0"/>
        <w:ind w:left="640" w:hanging="640"/>
        <w:rPr>
          <w:rFonts w:ascii="Arial" w:hAnsi="Arial" w:cs="Arial"/>
          <w:noProof/>
        </w:rPr>
      </w:pPr>
      <w:r w:rsidRPr="004A7B72">
        <w:rPr>
          <w:rFonts w:ascii="Arial" w:hAnsi="Arial" w:cs="Arial"/>
          <w:noProof/>
        </w:rPr>
        <w:t xml:space="preserve">19. </w:t>
      </w:r>
      <w:r w:rsidRPr="004A7B72">
        <w:rPr>
          <w:rFonts w:ascii="Arial" w:hAnsi="Arial" w:cs="Arial"/>
          <w:noProof/>
        </w:rPr>
        <w:tab/>
        <w:t xml:space="preserve">Alvarez-Alvarez I, de Rojas JP, Fernandez-Montero A, Zazpe I, Ruiz-Canela M, Hidalgo-Santamaría M, Bes-Rastrollo M, Martínez-González MÁ. Strong inverse associations of Mediterranean diet, physical activity and their combination with cardiovascular disease: The Seguimiento Universidad de Navarra (SUN) cohort. Eur J Prev Cardiol. 2018;25:1186–97. </w:t>
      </w:r>
    </w:p>
    <w:p w14:paraId="10A7E716" w14:textId="77777777" w:rsidR="004A7B72" w:rsidRPr="004A7B72" w:rsidRDefault="004A7B72" w:rsidP="004A7B72">
      <w:pPr>
        <w:widowControl w:val="0"/>
        <w:autoSpaceDE w:val="0"/>
        <w:autoSpaceDN w:val="0"/>
        <w:adjustRightInd w:val="0"/>
        <w:ind w:left="640" w:hanging="640"/>
        <w:rPr>
          <w:rFonts w:ascii="Arial" w:hAnsi="Arial" w:cs="Arial"/>
          <w:noProof/>
        </w:rPr>
      </w:pPr>
      <w:r w:rsidRPr="004A7B72">
        <w:rPr>
          <w:rFonts w:ascii="Arial" w:hAnsi="Arial" w:cs="Arial"/>
          <w:noProof/>
        </w:rPr>
        <w:t xml:space="preserve">20. </w:t>
      </w:r>
      <w:r w:rsidRPr="004A7B72">
        <w:rPr>
          <w:rFonts w:ascii="Arial" w:hAnsi="Arial" w:cs="Arial"/>
          <w:noProof/>
        </w:rPr>
        <w:tab/>
        <w:t xml:space="preserve">Abellán Alemán J, Zafrilla Rentero M, Montoro-García S, Mulero J, Pérez Garrido A, Leal M, Guerrero L, Ramos E, Ruilope L, Abellán Alemán J, et al. Adherence to the “Mediterranean Diet” in Spain and Its Relationship with Cardiovascular Risk (DIMERICA Study). Nutrients. 2016;8:680. </w:t>
      </w:r>
    </w:p>
    <w:p w14:paraId="1458EE11" w14:textId="77777777" w:rsidR="004A7B72" w:rsidRPr="004A7B72" w:rsidRDefault="004A7B72" w:rsidP="004A7B72">
      <w:pPr>
        <w:widowControl w:val="0"/>
        <w:autoSpaceDE w:val="0"/>
        <w:autoSpaceDN w:val="0"/>
        <w:adjustRightInd w:val="0"/>
        <w:ind w:left="640" w:hanging="640"/>
        <w:rPr>
          <w:rFonts w:ascii="Arial" w:hAnsi="Arial" w:cs="Arial"/>
          <w:noProof/>
        </w:rPr>
      </w:pPr>
      <w:r w:rsidRPr="004A7B72">
        <w:rPr>
          <w:rFonts w:ascii="Arial" w:hAnsi="Arial" w:cs="Arial"/>
          <w:noProof/>
        </w:rPr>
        <w:t xml:space="preserve">21. </w:t>
      </w:r>
      <w:r w:rsidRPr="004A7B72">
        <w:rPr>
          <w:rFonts w:ascii="Arial" w:hAnsi="Arial" w:cs="Arial"/>
          <w:noProof/>
        </w:rPr>
        <w:tab/>
        <w:t xml:space="preserve">Eguaras S, Toledo E, Hernández-Hernández A, Cervantes S, Martínez-González M. Better Adherence to the Mediterranean Diet Could Mitigate the Adverse Consequences of Obesity on Cardiovascular Disease: The SUN Prospective Cohort. Nutrients. 2015;7:9154–62. </w:t>
      </w:r>
    </w:p>
    <w:p w14:paraId="32B1C90F" w14:textId="77777777" w:rsidR="004A7B72" w:rsidRPr="004A7B72" w:rsidRDefault="004A7B72" w:rsidP="004A7B72">
      <w:pPr>
        <w:widowControl w:val="0"/>
        <w:autoSpaceDE w:val="0"/>
        <w:autoSpaceDN w:val="0"/>
        <w:adjustRightInd w:val="0"/>
        <w:ind w:left="640" w:hanging="640"/>
        <w:rPr>
          <w:rFonts w:ascii="Arial" w:hAnsi="Arial" w:cs="Arial"/>
          <w:noProof/>
        </w:rPr>
      </w:pPr>
      <w:r w:rsidRPr="004A7B72">
        <w:rPr>
          <w:rFonts w:ascii="Arial" w:hAnsi="Arial" w:cs="Arial"/>
          <w:noProof/>
        </w:rPr>
        <w:t xml:space="preserve">22. </w:t>
      </w:r>
      <w:r w:rsidRPr="004A7B72">
        <w:rPr>
          <w:rFonts w:ascii="Arial" w:hAnsi="Arial" w:cs="Arial"/>
          <w:noProof/>
        </w:rPr>
        <w:tab/>
        <w:t xml:space="preserve">Garcia-Arellano A, Ramallal R, Ruiz-Canela M, Salas-Salvadó J, Corella D, Shivappa N, Schröder H, Hébert J, Ros E, Gómez-Garcia E, et al. Dietary Inflammatory Index and Incidence of Cardiovascular Disease in the PREDIMED Study. Nutrients. 2015;7:4124–38. </w:t>
      </w:r>
    </w:p>
    <w:p w14:paraId="697B17D8" w14:textId="77777777" w:rsidR="004A7B72" w:rsidRPr="004A7B72" w:rsidRDefault="004A7B72" w:rsidP="004A7B72">
      <w:pPr>
        <w:widowControl w:val="0"/>
        <w:autoSpaceDE w:val="0"/>
        <w:autoSpaceDN w:val="0"/>
        <w:adjustRightInd w:val="0"/>
        <w:ind w:left="640" w:hanging="640"/>
        <w:rPr>
          <w:rFonts w:ascii="Arial" w:hAnsi="Arial" w:cs="Arial"/>
          <w:noProof/>
        </w:rPr>
      </w:pPr>
      <w:r w:rsidRPr="004A7B72">
        <w:rPr>
          <w:rFonts w:ascii="Arial" w:hAnsi="Arial" w:cs="Arial"/>
          <w:noProof/>
        </w:rPr>
        <w:t xml:space="preserve">23. </w:t>
      </w:r>
      <w:r w:rsidRPr="004A7B72">
        <w:rPr>
          <w:rFonts w:ascii="Arial" w:hAnsi="Arial" w:cs="Arial"/>
          <w:noProof/>
        </w:rPr>
        <w:tab/>
        <w:t xml:space="preserve">Ramallal R, Toledo E, Martínez-González MA, Hernández-Hernández A, García-Arellano A, Shivappa N, Hébert </w:t>
      </w:r>
      <w:r w:rsidRPr="004A7B72">
        <w:rPr>
          <w:rFonts w:ascii="Arial" w:hAnsi="Arial" w:cs="Arial"/>
          <w:noProof/>
        </w:rPr>
        <w:lastRenderedPageBreak/>
        <w:t xml:space="preserve">JR, Ruiz-Canela M. Dietary Inflammatory Index and Incidence of Cardiovascular Disease in the SUN Cohort. PLoS One. 2015;10:e0135221. </w:t>
      </w:r>
    </w:p>
    <w:p w14:paraId="324E99AE" w14:textId="77777777" w:rsidR="004A7B72" w:rsidRPr="004A7B72" w:rsidRDefault="004A7B72" w:rsidP="004A7B72">
      <w:pPr>
        <w:widowControl w:val="0"/>
        <w:autoSpaceDE w:val="0"/>
        <w:autoSpaceDN w:val="0"/>
        <w:adjustRightInd w:val="0"/>
        <w:ind w:left="640" w:hanging="640"/>
        <w:rPr>
          <w:rFonts w:ascii="Arial" w:hAnsi="Arial" w:cs="Arial"/>
          <w:noProof/>
        </w:rPr>
      </w:pPr>
      <w:r w:rsidRPr="004A7B72">
        <w:rPr>
          <w:rFonts w:ascii="Arial" w:hAnsi="Arial" w:cs="Arial"/>
          <w:noProof/>
        </w:rPr>
        <w:t xml:space="preserve">24. </w:t>
      </w:r>
      <w:r w:rsidRPr="004A7B72">
        <w:rPr>
          <w:rFonts w:ascii="Arial" w:hAnsi="Arial" w:cs="Arial"/>
          <w:noProof/>
        </w:rPr>
        <w:tab/>
        <w:t xml:space="preserve">Georgousopoulou EN, Kouli G-M, Panagiotakos DB, Kalogeropoulou A, Zana A, Chrysohoou C, Tsigos C, Tousoulis D, Stefanadis C, Pitsavos C. Anti-inflammatory diet and 10-year (2002–2012) cardiovascular disease incidence: The ATTICA study. Int J Cardiol. 2016;222:473–8. </w:t>
      </w:r>
    </w:p>
    <w:p w14:paraId="0C6A6462" w14:textId="77777777" w:rsidR="004A7B72" w:rsidRPr="004A7B72" w:rsidRDefault="004A7B72" w:rsidP="004A7B72">
      <w:pPr>
        <w:widowControl w:val="0"/>
        <w:autoSpaceDE w:val="0"/>
        <w:autoSpaceDN w:val="0"/>
        <w:adjustRightInd w:val="0"/>
        <w:ind w:left="640" w:hanging="640"/>
        <w:rPr>
          <w:rFonts w:ascii="Arial" w:hAnsi="Arial" w:cs="Arial"/>
          <w:noProof/>
        </w:rPr>
      </w:pPr>
      <w:r w:rsidRPr="004A7B72">
        <w:rPr>
          <w:rFonts w:ascii="Arial" w:hAnsi="Arial" w:cs="Arial"/>
          <w:noProof/>
        </w:rPr>
        <w:t xml:space="preserve">25. </w:t>
      </w:r>
      <w:r w:rsidRPr="004A7B72">
        <w:rPr>
          <w:rFonts w:ascii="Arial" w:hAnsi="Arial" w:cs="Arial"/>
          <w:noProof/>
        </w:rPr>
        <w:tab/>
        <w:t xml:space="preserve">Kastorini C-M, Panagiotakos DB, Chrysohoou C, Georgousopoulou E, Pitaraki E, Puddu PE, Tousoulis D, Stefanadis C, Pitsavos C, ATTICA Study Group. Metabolic syndrome, adherence to the Mediterranean diet and 10-year cardiovascular disease incidence: The ATTICA study. Atherosclerosis. 2016;246:87–93. </w:t>
      </w:r>
    </w:p>
    <w:p w14:paraId="6899B19B" w14:textId="77777777" w:rsidR="004A7B72" w:rsidRPr="004A7B72" w:rsidRDefault="004A7B72" w:rsidP="004A7B72">
      <w:pPr>
        <w:widowControl w:val="0"/>
        <w:autoSpaceDE w:val="0"/>
        <w:autoSpaceDN w:val="0"/>
        <w:adjustRightInd w:val="0"/>
        <w:ind w:left="640" w:hanging="640"/>
        <w:rPr>
          <w:rFonts w:ascii="Arial" w:hAnsi="Arial" w:cs="Arial"/>
          <w:noProof/>
        </w:rPr>
      </w:pPr>
      <w:r w:rsidRPr="004A7B72">
        <w:rPr>
          <w:rFonts w:ascii="Arial" w:hAnsi="Arial" w:cs="Arial"/>
          <w:noProof/>
        </w:rPr>
        <w:t xml:space="preserve">26. </w:t>
      </w:r>
      <w:r w:rsidRPr="004A7B72">
        <w:rPr>
          <w:rFonts w:ascii="Arial" w:hAnsi="Arial" w:cs="Arial"/>
          <w:noProof/>
        </w:rPr>
        <w:tab/>
        <w:t xml:space="preserve">Adriouch S, Julia C, Kesse-Guyot E, Ducrot P, Péneau S, Méjean C, Assmann KE, Deschasaux M, Hercberg S, Touvier M, et al. Association between a dietary quality index based on the food standard agency nutrient profiling system and cardiovascular disease risk among French adults. Int J Cardiol. 2017;234:22–7. </w:t>
      </w:r>
    </w:p>
    <w:p w14:paraId="6B3F7560" w14:textId="77777777" w:rsidR="004A7B72" w:rsidRPr="004A7B72" w:rsidRDefault="004A7B72" w:rsidP="004A7B72">
      <w:pPr>
        <w:widowControl w:val="0"/>
        <w:autoSpaceDE w:val="0"/>
        <w:autoSpaceDN w:val="0"/>
        <w:adjustRightInd w:val="0"/>
        <w:ind w:left="640" w:hanging="640"/>
        <w:rPr>
          <w:rFonts w:ascii="Arial" w:hAnsi="Arial" w:cs="Arial"/>
          <w:noProof/>
        </w:rPr>
      </w:pPr>
      <w:r w:rsidRPr="004A7B72">
        <w:rPr>
          <w:rFonts w:ascii="Arial" w:hAnsi="Arial" w:cs="Arial"/>
          <w:noProof/>
        </w:rPr>
        <w:t xml:space="preserve">27. </w:t>
      </w:r>
      <w:r w:rsidRPr="004A7B72">
        <w:rPr>
          <w:rFonts w:ascii="Arial" w:hAnsi="Arial" w:cs="Arial"/>
          <w:noProof/>
        </w:rPr>
        <w:tab/>
        <w:t xml:space="preserve">Lelong H, Blacher J, Menai M, Galan P, Fezeu L, Hercberg S, Kesse-Guyot E. Association Between Blood Pressure and Adherence to French Dietary Guidelines. Am J Hypertens. 2016;29:948–58. </w:t>
      </w:r>
    </w:p>
    <w:p w14:paraId="7C86DD8E" w14:textId="77777777" w:rsidR="004A7B72" w:rsidRPr="004A7B72" w:rsidRDefault="004A7B72" w:rsidP="004A7B72">
      <w:pPr>
        <w:widowControl w:val="0"/>
        <w:autoSpaceDE w:val="0"/>
        <w:autoSpaceDN w:val="0"/>
        <w:adjustRightInd w:val="0"/>
        <w:ind w:left="640" w:hanging="640"/>
        <w:rPr>
          <w:rFonts w:ascii="Arial" w:hAnsi="Arial" w:cs="Arial"/>
          <w:noProof/>
        </w:rPr>
      </w:pPr>
      <w:r w:rsidRPr="004A7B72">
        <w:rPr>
          <w:rFonts w:ascii="Arial" w:hAnsi="Arial" w:cs="Arial"/>
          <w:noProof/>
        </w:rPr>
        <w:t xml:space="preserve">28. </w:t>
      </w:r>
      <w:r w:rsidRPr="004A7B72">
        <w:rPr>
          <w:rFonts w:ascii="Arial" w:hAnsi="Arial" w:cs="Arial"/>
          <w:noProof/>
        </w:rPr>
        <w:tab/>
        <w:t xml:space="preserve">Neufcourt L, Assmann KE, Fezeu LK, Touvier M, Graffouillère L, Shivappa N, Hébert JR, Wirth MD, Hercberg S, Galan P, et al. Prospective Association Between the Dietary Inflammatory Index and Cardiovascular Diseases in the SUpplémentation en VItamines et Minéraux AntioXydants (SU.VI.MAX) Cohort. J Am Heart Assoc. 2016;5:e002735. </w:t>
      </w:r>
    </w:p>
    <w:p w14:paraId="5CEE9030" w14:textId="77777777" w:rsidR="004A7B72" w:rsidRPr="004A7B72" w:rsidRDefault="004A7B72" w:rsidP="004A7B72">
      <w:pPr>
        <w:widowControl w:val="0"/>
        <w:autoSpaceDE w:val="0"/>
        <w:autoSpaceDN w:val="0"/>
        <w:adjustRightInd w:val="0"/>
        <w:ind w:left="640" w:hanging="640"/>
        <w:rPr>
          <w:rFonts w:ascii="Arial" w:hAnsi="Arial" w:cs="Arial"/>
          <w:noProof/>
        </w:rPr>
      </w:pPr>
      <w:r w:rsidRPr="004A7B72">
        <w:rPr>
          <w:rFonts w:ascii="Arial" w:hAnsi="Arial" w:cs="Arial"/>
          <w:noProof/>
        </w:rPr>
        <w:t xml:space="preserve">29. </w:t>
      </w:r>
      <w:r w:rsidRPr="004A7B72">
        <w:rPr>
          <w:rFonts w:ascii="Arial" w:hAnsi="Arial" w:cs="Arial"/>
          <w:noProof/>
        </w:rPr>
        <w:tab/>
        <w:t xml:space="preserve">Alkerwi A, Vernier C, Crichton GE, Sauvageot N, Shivappa N, Hébert JR. Cross-comparison of diet quality indices for predicting chronic disease risk: Findings from the Observation of Cardiovascular Risk Factors in Luxembourg (ORISCAV-LUX) study. Br J Nutr. 2015;113:259–69. </w:t>
      </w:r>
    </w:p>
    <w:p w14:paraId="471E682A" w14:textId="77777777" w:rsidR="004A7B72" w:rsidRPr="004A7B72" w:rsidRDefault="004A7B72" w:rsidP="004A7B72">
      <w:pPr>
        <w:widowControl w:val="0"/>
        <w:autoSpaceDE w:val="0"/>
        <w:autoSpaceDN w:val="0"/>
        <w:adjustRightInd w:val="0"/>
        <w:ind w:left="640" w:hanging="640"/>
        <w:rPr>
          <w:rFonts w:ascii="Arial" w:hAnsi="Arial" w:cs="Arial"/>
          <w:noProof/>
        </w:rPr>
      </w:pPr>
      <w:r w:rsidRPr="004A7B72">
        <w:rPr>
          <w:rFonts w:ascii="Arial" w:hAnsi="Arial" w:cs="Arial"/>
          <w:noProof/>
        </w:rPr>
        <w:t xml:space="preserve">30. </w:t>
      </w:r>
      <w:r w:rsidRPr="004A7B72">
        <w:rPr>
          <w:rFonts w:ascii="Arial" w:hAnsi="Arial" w:cs="Arial"/>
          <w:noProof/>
        </w:rPr>
        <w:tab/>
        <w:t xml:space="preserve">Sijtsma FPC, Soedamah-Muthu SS, de Goede J, Oude Griep LM, Geleijnse JM, Giltay EJ, de Boer MJ, Jacobs DR, Kromhout D, Kromhout D. Healthy eating and lower mortality risk in a large cohort of cardiac patients who received state-of-the-art drug treatment. 2015;102:1527–33. </w:t>
      </w:r>
    </w:p>
    <w:p w14:paraId="748EEE38" w14:textId="77777777" w:rsidR="004A7B72" w:rsidRPr="004A7B72" w:rsidRDefault="004A7B72" w:rsidP="004A7B72">
      <w:pPr>
        <w:widowControl w:val="0"/>
        <w:autoSpaceDE w:val="0"/>
        <w:autoSpaceDN w:val="0"/>
        <w:adjustRightInd w:val="0"/>
        <w:ind w:left="640" w:hanging="640"/>
        <w:rPr>
          <w:rFonts w:ascii="Arial" w:hAnsi="Arial" w:cs="Arial"/>
          <w:noProof/>
        </w:rPr>
      </w:pPr>
      <w:r w:rsidRPr="004A7B72">
        <w:rPr>
          <w:rFonts w:ascii="Arial" w:hAnsi="Arial" w:cs="Arial"/>
          <w:noProof/>
        </w:rPr>
        <w:t xml:space="preserve">31. </w:t>
      </w:r>
      <w:r w:rsidRPr="004A7B72">
        <w:rPr>
          <w:rFonts w:ascii="Arial" w:hAnsi="Arial" w:cs="Arial"/>
          <w:noProof/>
        </w:rPr>
        <w:tab/>
        <w:t xml:space="preserve">Warensjö Lemming E, Byberg L, Wolk A, Michaëlsson K, Lemming EW, Byberg L, Wolk A, Michaëlsson K, Warensjö Lemming E, Byberg L, et al. A comparison between two healthy diet scores, the modified Mediterranean diet score and the Healthy Nordic Food Index, in relation to all-cause and cause-specific mortality. Br J Nutr. 2018;119:836–46. </w:t>
      </w:r>
    </w:p>
    <w:p w14:paraId="2A55C7D1" w14:textId="77777777" w:rsidR="004A7B72" w:rsidRPr="004A7B72" w:rsidRDefault="004A7B72" w:rsidP="004A7B72">
      <w:pPr>
        <w:widowControl w:val="0"/>
        <w:autoSpaceDE w:val="0"/>
        <w:autoSpaceDN w:val="0"/>
        <w:adjustRightInd w:val="0"/>
        <w:ind w:left="640" w:hanging="640"/>
        <w:rPr>
          <w:rFonts w:ascii="Arial" w:hAnsi="Arial" w:cs="Arial"/>
          <w:noProof/>
        </w:rPr>
      </w:pPr>
      <w:r w:rsidRPr="004A7B72">
        <w:rPr>
          <w:rFonts w:ascii="Arial" w:hAnsi="Arial" w:cs="Arial"/>
          <w:noProof/>
        </w:rPr>
        <w:t xml:space="preserve">32. </w:t>
      </w:r>
      <w:r w:rsidRPr="004A7B72">
        <w:rPr>
          <w:rFonts w:ascii="Arial" w:hAnsi="Arial" w:cs="Arial"/>
          <w:noProof/>
        </w:rPr>
        <w:tab/>
        <w:t xml:space="preserve">Tektonidis TG, Åkesson A, Gigante B, Wolk A, Larsson SC. A Mediterranean diet and risk of myocardial infarction, heart failure and stroke: A population-based cohort study. Atherosclerosis. 2015;243:93–8. </w:t>
      </w:r>
    </w:p>
    <w:p w14:paraId="37DF5EF0" w14:textId="77777777" w:rsidR="004A7B72" w:rsidRPr="004A7B72" w:rsidRDefault="004A7B72" w:rsidP="004A7B72">
      <w:pPr>
        <w:widowControl w:val="0"/>
        <w:autoSpaceDE w:val="0"/>
        <w:autoSpaceDN w:val="0"/>
        <w:adjustRightInd w:val="0"/>
        <w:ind w:left="640" w:hanging="640"/>
        <w:rPr>
          <w:rFonts w:ascii="Arial" w:hAnsi="Arial" w:cs="Arial"/>
          <w:noProof/>
        </w:rPr>
      </w:pPr>
      <w:r w:rsidRPr="004A7B72">
        <w:rPr>
          <w:rFonts w:ascii="Arial" w:hAnsi="Arial" w:cs="Arial"/>
          <w:noProof/>
        </w:rPr>
        <w:t xml:space="preserve">33. </w:t>
      </w:r>
      <w:r w:rsidRPr="004A7B72">
        <w:rPr>
          <w:rFonts w:ascii="Arial" w:hAnsi="Arial" w:cs="Arial"/>
          <w:noProof/>
        </w:rPr>
        <w:tab/>
        <w:t xml:space="preserve">Roswall N, Sandin S, Scragg R, Löf M, Skeie G, Olsen A, Adami H-O, Weiderpass E. No association between adherence to the healthy Nordic food index and cardiovascular disease amongst Swedish women: a cohort study. J Intern Med. 2015;278:531–41. </w:t>
      </w:r>
    </w:p>
    <w:p w14:paraId="0F49F801" w14:textId="77777777" w:rsidR="004A7B72" w:rsidRPr="004A7B72" w:rsidRDefault="004A7B72" w:rsidP="004A7B72">
      <w:pPr>
        <w:widowControl w:val="0"/>
        <w:autoSpaceDE w:val="0"/>
        <w:autoSpaceDN w:val="0"/>
        <w:adjustRightInd w:val="0"/>
        <w:ind w:left="640" w:hanging="640"/>
        <w:rPr>
          <w:rFonts w:ascii="Arial" w:hAnsi="Arial" w:cs="Arial"/>
          <w:noProof/>
        </w:rPr>
      </w:pPr>
      <w:r w:rsidRPr="004A7B72">
        <w:rPr>
          <w:rFonts w:ascii="Arial" w:hAnsi="Arial" w:cs="Arial"/>
          <w:noProof/>
        </w:rPr>
        <w:t xml:space="preserve">34. </w:t>
      </w:r>
      <w:r w:rsidRPr="004A7B72">
        <w:rPr>
          <w:rFonts w:ascii="Arial" w:hAnsi="Arial" w:cs="Arial"/>
          <w:noProof/>
        </w:rPr>
        <w:tab/>
        <w:t xml:space="preserve">Bodén S, Wennberg M, Van Guelpen B, Johansson I, Lindahl B, Andersson J, Shivappa N, Hebert JR, Nilsson LM. Dietary inflammatory index and risk of first myocardial infarction; a prospective population-based study. Nutr J. </w:t>
      </w:r>
      <w:r w:rsidRPr="004A7B72">
        <w:rPr>
          <w:rFonts w:ascii="Arial" w:hAnsi="Arial" w:cs="Arial"/>
          <w:noProof/>
        </w:rPr>
        <w:lastRenderedPageBreak/>
        <w:t xml:space="preserve">2017;16:21. </w:t>
      </w:r>
    </w:p>
    <w:p w14:paraId="23BBF789" w14:textId="77777777" w:rsidR="004A7B72" w:rsidRPr="004A7B72" w:rsidRDefault="004A7B72" w:rsidP="004A7B72">
      <w:pPr>
        <w:widowControl w:val="0"/>
        <w:autoSpaceDE w:val="0"/>
        <w:autoSpaceDN w:val="0"/>
        <w:adjustRightInd w:val="0"/>
        <w:ind w:left="640" w:hanging="640"/>
        <w:rPr>
          <w:rFonts w:ascii="Arial" w:hAnsi="Arial" w:cs="Arial"/>
          <w:noProof/>
        </w:rPr>
      </w:pPr>
      <w:r w:rsidRPr="004A7B72">
        <w:rPr>
          <w:rFonts w:ascii="Arial" w:hAnsi="Arial" w:cs="Arial"/>
          <w:noProof/>
        </w:rPr>
        <w:t xml:space="preserve">35. </w:t>
      </w:r>
      <w:r w:rsidRPr="004A7B72">
        <w:rPr>
          <w:rFonts w:ascii="Arial" w:hAnsi="Arial" w:cs="Arial"/>
          <w:noProof/>
        </w:rPr>
        <w:tab/>
        <w:t xml:space="preserve">Galbete C, Kröger J, Jannasch F, Iqbal K, Schwingshackl L, Schwedhelm C, Weikert C, Boeing H, Schulze MB. Nordic diet, Mediterranean diet, and the risk of chronic diseases: the EPIC-Potsdam study. BMC Med. 2018;16:99. </w:t>
      </w:r>
    </w:p>
    <w:p w14:paraId="7D140CF2" w14:textId="77777777" w:rsidR="004A7B72" w:rsidRPr="004A7B72" w:rsidRDefault="004A7B72" w:rsidP="004A7B72">
      <w:pPr>
        <w:widowControl w:val="0"/>
        <w:autoSpaceDE w:val="0"/>
        <w:autoSpaceDN w:val="0"/>
        <w:adjustRightInd w:val="0"/>
        <w:ind w:left="640" w:hanging="640"/>
        <w:rPr>
          <w:rFonts w:ascii="Arial" w:hAnsi="Arial" w:cs="Arial"/>
          <w:noProof/>
        </w:rPr>
      </w:pPr>
      <w:r w:rsidRPr="004A7B72">
        <w:rPr>
          <w:rFonts w:ascii="Arial" w:hAnsi="Arial" w:cs="Arial"/>
          <w:noProof/>
        </w:rPr>
        <w:t xml:space="preserve">36. </w:t>
      </w:r>
      <w:r w:rsidRPr="004A7B72">
        <w:rPr>
          <w:rFonts w:ascii="Arial" w:hAnsi="Arial" w:cs="Arial"/>
          <w:noProof/>
        </w:rPr>
        <w:tab/>
        <w:t xml:space="preserve">Phillips CM, Harrington JM, Perry IJ. Relationship between dietary quality, determined by DASH score, and cardiometabolic health biomarkers: A cross-sectional analysis in adults. Clin Nutr. 2018;pii: S0261. </w:t>
      </w:r>
    </w:p>
    <w:p w14:paraId="05419960" w14:textId="77777777" w:rsidR="004A7B72" w:rsidRPr="004A7B72" w:rsidRDefault="004A7B72" w:rsidP="004A7B72">
      <w:pPr>
        <w:widowControl w:val="0"/>
        <w:autoSpaceDE w:val="0"/>
        <w:autoSpaceDN w:val="0"/>
        <w:adjustRightInd w:val="0"/>
        <w:ind w:left="640" w:hanging="640"/>
        <w:rPr>
          <w:rFonts w:ascii="Arial" w:hAnsi="Arial" w:cs="Arial"/>
          <w:noProof/>
        </w:rPr>
      </w:pPr>
      <w:r w:rsidRPr="004A7B72">
        <w:rPr>
          <w:rFonts w:ascii="Arial" w:hAnsi="Arial" w:cs="Arial"/>
          <w:noProof/>
        </w:rPr>
        <w:t xml:space="preserve">37. </w:t>
      </w:r>
      <w:r w:rsidRPr="004A7B72">
        <w:rPr>
          <w:rFonts w:ascii="Arial" w:hAnsi="Arial" w:cs="Arial"/>
          <w:noProof/>
        </w:rPr>
        <w:tab/>
        <w:t xml:space="preserve">Arentoft JL, Hoppe C, Andersen EW, Overvad K, Tetens I. Associations between adherence to the Danish Food-Based Dietary Guidelines and cardiometabolic risk factors in a Danish adult population: the DIPI study. Br J Nutr. 2018;119:664–73. </w:t>
      </w:r>
    </w:p>
    <w:p w14:paraId="40A5BC49" w14:textId="77777777" w:rsidR="004A7B72" w:rsidRPr="004A7B72" w:rsidRDefault="004A7B72" w:rsidP="004A7B72">
      <w:pPr>
        <w:widowControl w:val="0"/>
        <w:autoSpaceDE w:val="0"/>
        <w:autoSpaceDN w:val="0"/>
        <w:adjustRightInd w:val="0"/>
        <w:ind w:left="640" w:hanging="640"/>
        <w:rPr>
          <w:rFonts w:ascii="Arial" w:hAnsi="Arial" w:cs="Arial"/>
          <w:noProof/>
        </w:rPr>
      </w:pPr>
      <w:r w:rsidRPr="004A7B72">
        <w:rPr>
          <w:rFonts w:ascii="Arial" w:hAnsi="Arial" w:cs="Arial"/>
          <w:noProof/>
        </w:rPr>
        <w:t xml:space="preserve">38. </w:t>
      </w:r>
      <w:r w:rsidRPr="004A7B72">
        <w:rPr>
          <w:rFonts w:ascii="Arial" w:hAnsi="Arial" w:cs="Arial"/>
          <w:noProof/>
        </w:rPr>
        <w:tab/>
        <w:t xml:space="preserve">Hansen SH, Overvad K, Hansen CP, Dahm CC. Adherence to national food-based dietary guidelines and incidence of stroke: A cohort study of Danish men and women. PLoS One. 2018;13:e0206242. </w:t>
      </w:r>
    </w:p>
    <w:p w14:paraId="31351024" w14:textId="77777777" w:rsidR="004A7B72" w:rsidRPr="004A7B72" w:rsidRDefault="004A7B72" w:rsidP="004A7B72">
      <w:pPr>
        <w:widowControl w:val="0"/>
        <w:autoSpaceDE w:val="0"/>
        <w:autoSpaceDN w:val="0"/>
        <w:adjustRightInd w:val="0"/>
        <w:ind w:left="640" w:hanging="640"/>
        <w:rPr>
          <w:rFonts w:ascii="Arial" w:hAnsi="Arial" w:cs="Arial"/>
          <w:noProof/>
        </w:rPr>
      </w:pPr>
      <w:r w:rsidRPr="004A7B72">
        <w:rPr>
          <w:rFonts w:ascii="Arial" w:hAnsi="Arial" w:cs="Arial"/>
          <w:noProof/>
        </w:rPr>
        <w:t xml:space="preserve">39. </w:t>
      </w:r>
      <w:r w:rsidRPr="004A7B72">
        <w:rPr>
          <w:rFonts w:ascii="Arial" w:hAnsi="Arial" w:cs="Arial"/>
          <w:noProof/>
        </w:rPr>
        <w:tab/>
        <w:t xml:space="preserve">Stefler D, Malyutina S, Kubinova R, Pajak A, Peasey A, Pikhart H, Brunner EJ, Bobak M. Mediterranean diet score and total and cardiovascular mortality in Eastern Europe: the HAPIEE study. Eur J Nutr. 2017;56:421–9. </w:t>
      </w:r>
    </w:p>
    <w:p w14:paraId="5BB903D4" w14:textId="77777777" w:rsidR="004A7B72" w:rsidRPr="004A7B72" w:rsidRDefault="004A7B72" w:rsidP="004A7B72">
      <w:pPr>
        <w:widowControl w:val="0"/>
        <w:autoSpaceDE w:val="0"/>
        <w:autoSpaceDN w:val="0"/>
        <w:adjustRightInd w:val="0"/>
        <w:ind w:left="640" w:hanging="640"/>
        <w:rPr>
          <w:rFonts w:ascii="Arial" w:hAnsi="Arial" w:cs="Arial"/>
          <w:noProof/>
        </w:rPr>
      </w:pPr>
      <w:r w:rsidRPr="004A7B72">
        <w:rPr>
          <w:rFonts w:ascii="Arial" w:hAnsi="Arial" w:cs="Arial"/>
          <w:noProof/>
        </w:rPr>
        <w:t xml:space="preserve">40. </w:t>
      </w:r>
      <w:r w:rsidRPr="004A7B72">
        <w:rPr>
          <w:rFonts w:ascii="Arial" w:hAnsi="Arial" w:cs="Arial"/>
          <w:noProof/>
        </w:rPr>
        <w:tab/>
        <w:t xml:space="preserve">Eriksen R, Gibson R, Lamb K, McMeel Y, Vergnaud A-C, Spear J, Aresu M, Chan Q, Elliott P, Frost G. Nutrient profiling and adherence to components of the UK national dietary guidelines association with metabolic risk factors for CVD and diabetes: Airwave Health Monitoring Study. Br J Nutr. 2018;119:695–705. </w:t>
      </w:r>
    </w:p>
    <w:p w14:paraId="63D4B22E" w14:textId="77777777" w:rsidR="004A7B72" w:rsidRPr="004A7B72" w:rsidRDefault="004A7B72" w:rsidP="004A7B72">
      <w:pPr>
        <w:widowControl w:val="0"/>
        <w:autoSpaceDE w:val="0"/>
        <w:autoSpaceDN w:val="0"/>
        <w:adjustRightInd w:val="0"/>
        <w:ind w:left="640" w:hanging="640"/>
        <w:rPr>
          <w:rFonts w:ascii="Arial" w:hAnsi="Arial" w:cs="Arial"/>
          <w:noProof/>
        </w:rPr>
      </w:pPr>
      <w:r w:rsidRPr="004A7B72">
        <w:rPr>
          <w:rFonts w:ascii="Arial" w:hAnsi="Arial" w:cs="Arial"/>
          <w:noProof/>
        </w:rPr>
        <w:t xml:space="preserve">41. </w:t>
      </w:r>
      <w:r w:rsidRPr="004A7B72">
        <w:rPr>
          <w:rFonts w:ascii="Arial" w:hAnsi="Arial" w:cs="Arial"/>
          <w:noProof/>
        </w:rPr>
        <w:tab/>
        <w:t xml:space="preserve">Jones NR V., Forouhi NG, Khaw K-T, Wareham NJ, Monsivais P. Accordance to the Dietary Approaches to Stop Hypertension diet pattern and cardiovascular disease in a British, population-based cohort. Eur J Epidemiol. 2018;33:235–44. </w:t>
      </w:r>
    </w:p>
    <w:p w14:paraId="71C48A91" w14:textId="77777777" w:rsidR="004A7B72" w:rsidRPr="004A7B72" w:rsidRDefault="004A7B72" w:rsidP="004A7B72">
      <w:pPr>
        <w:widowControl w:val="0"/>
        <w:autoSpaceDE w:val="0"/>
        <w:autoSpaceDN w:val="0"/>
        <w:adjustRightInd w:val="0"/>
        <w:ind w:left="640" w:hanging="640"/>
        <w:rPr>
          <w:rFonts w:ascii="Arial" w:hAnsi="Arial" w:cs="Arial"/>
          <w:noProof/>
        </w:rPr>
      </w:pPr>
      <w:r w:rsidRPr="004A7B72">
        <w:rPr>
          <w:rFonts w:ascii="Arial" w:hAnsi="Arial" w:cs="Arial"/>
          <w:noProof/>
        </w:rPr>
        <w:t xml:space="preserve">42. </w:t>
      </w:r>
      <w:r w:rsidRPr="004A7B72">
        <w:rPr>
          <w:rFonts w:ascii="Arial" w:hAnsi="Arial" w:cs="Arial"/>
          <w:noProof/>
        </w:rPr>
        <w:tab/>
        <w:t xml:space="preserve">Mytton OT, Forouhi NG, Scarborough P, Lentjes M, Luben R, Rayner M, Khaw KT, Wareham NJ, Monsivais P. Association between intake of less-healthy foods defined by the United Kingdom’s nutrient profile model and cardiovascular disease: A population-based cohort study. PLOS Med. 2018;15:e1002484. </w:t>
      </w:r>
    </w:p>
    <w:p w14:paraId="1C04C02F" w14:textId="77777777" w:rsidR="004A7B72" w:rsidRPr="004A7B72" w:rsidRDefault="004A7B72" w:rsidP="004A7B72">
      <w:pPr>
        <w:widowControl w:val="0"/>
        <w:autoSpaceDE w:val="0"/>
        <w:autoSpaceDN w:val="0"/>
        <w:adjustRightInd w:val="0"/>
        <w:ind w:left="640" w:hanging="640"/>
        <w:rPr>
          <w:rFonts w:ascii="Arial" w:hAnsi="Arial" w:cs="Arial"/>
          <w:noProof/>
        </w:rPr>
      </w:pPr>
      <w:r w:rsidRPr="004A7B72">
        <w:rPr>
          <w:rFonts w:ascii="Arial" w:hAnsi="Arial" w:cs="Arial"/>
          <w:noProof/>
        </w:rPr>
        <w:t xml:space="preserve">43. </w:t>
      </w:r>
      <w:r w:rsidRPr="004A7B72">
        <w:rPr>
          <w:rFonts w:ascii="Arial" w:hAnsi="Arial" w:cs="Arial"/>
          <w:noProof/>
        </w:rPr>
        <w:tab/>
        <w:t xml:space="preserve">Maddock J, Ziauddeen N, Ambrosini GL, Wong A, Hardy R, Ray S. Adherence to a Dietary Approaches to Stop Hypertension (DASH)-type diet over the life course and associated vascular function: a study based on the MRC 1946 British birth cohort. Br J Nutr. 2018;119:581–9. </w:t>
      </w:r>
    </w:p>
    <w:p w14:paraId="7D4D86F0" w14:textId="77777777" w:rsidR="004A7B72" w:rsidRPr="004A7B72" w:rsidRDefault="004A7B72" w:rsidP="004A7B72">
      <w:pPr>
        <w:widowControl w:val="0"/>
        <w:autoSpaceDE w:val="0"/>
        <w:autoSpaceDN w:val="0"/>
        <w:adjustRightInd w:val="0"/>
        <w:ind w:left="640" w:hanging="640"/>
        <w:rPr>
          <w:rFonts w:ascii="Arial" w:hAnsi="Arial" w:cs="Arial"/>
          <w:noProof/>
        </w:rPr>
      </w:pPr>
      <w:r w:rsidRPr="004A7B72">
        <w:rPr>
          <w:rFonts w:ascii="Arial" w:hAnsi="Arial" w:cs="Arial"/>
          <w:noProof/>
        </w:rPr>
        <w:t xml:space="preserve">44. </w:t>
      </w:r>
      <w:r w:rsidRPr="004A7B72">
        <w:rPr>
          <w:rFonts w:ascii="Arial" w:hAnsi="Arial" w:cs="Arial"/>
          <w:noProof/>
        </w:rPr>
        <w:tab/>
        <w:t xml:space="preserve">Tong TYN, Wareham NJ, Khaw K-T, Imamura F, Forouhi NG. Prospective association of the Mediterranean diet with cardiovascular disease incidence and mortality and its population impact in a non-Mediterranean population: the EPIC-Norfolk study. BMC Med. 2016;14:135. </w:t>
      </w:r>
    </w:p>
    <w:p w14:paraId="223EAA6A" w14:textId="77777777" w:rsidR="004A7B72" w:rsidRPr="004A7B72" w:rsidRDefault="004A7B72" w:rsidP="004A7B72">
      <w:pPr>
        <w:widowControl w:val="0"/>
        <w:autoSpaceDE w:val="0"/>
        <w:autoSpaceDN w:val="0"/>
        <w:adjustRightInd w:val="0"/>
        <w:ind w:left="640" w:hanging="640"/>
        <w:rPr>
          <w:rFonts w:ascii="Arial" w:hAnsi="Arial" w:cs="Arial"/>
          <w:noProof/>
        </w:rPr>
      </w:pPr>
      <w:r w:rsidRPr="004A7B72">
        <w:rPr>
          <w:rFonts w:ascii="Arial" w:hAnsi="Arial" w:cs="Arial"/>
          <w:noProof/>
        </w:rPr>
        <w:t xml:space="preserve">45. </w:t>
      </w:r>
      <w:r w:rsidRPr="004A7B72">
        <w:rPr>
          <w:rFonts w:ascii="Arial" w:hAnsi="Arial" w:cs="Arial"/>
          <w:noProof/>
        </w:rPr>
        <w:tab/>
        <w:t xml:space="preserve">Lassale C, Gunter MJ, Romaguera D, Peelen LM, Van der Schouw YT, Beulens JWJ, Freisling H, Muller DC, Ferrari P, Huybrechts I, et al. Diet Quality Scores and Prediction of All-Cause, Cardiovascular and Cancer Mortality in a Pan-European Cohort Study. PLoS One. 2016;11:e0159025. </w:t>
      </w:r>
    </w:p>
    <w:p w14:paraId="591C567C" w14:textId="77777777" w:rsidR="004A7B72" w:rsidRPr="004A7B72" w:rsidRDefault="004A7B72" w:rsidP="004A7B72">
      <w:pPr>
        <w:widowControl w:val="0"/>
        <w:autoSpaceDE w:val="0"/>
        <w:autoSpaceDN w:val="0"/>
        <w:adjustRightInd w:val="0"/>
        <w:ind w:left="640" w:hanging="640"/>
        <w:rPr>
          <w:rFonts w:ascii="Arial" w:hAnsi="Arial" w:cs="Arial"/>
          <w:noProof/>
        </w:rPr>
      </w:pPr>
      <w:r w:rsidRPr="004A7B72">
        <w:rPr>
          <w:rFonts w:ascii="Arial" w:hAnsi="Arial" w:cs="Arial"/>
          <w:noProof/>
        </w:rPr>
        <w:t xml:space="preserve">46. </w:t>
      </w:r>
      <w:r w:rsidRPr="004A7B72">
        <w:rPr>
          <w:rFonts w:ascii="Arial" w:hAnsi="Arial" w:cs="Arial"/>
          <w:noProof/>
        </w:rPr>
        <w:tab/>
        <w:t xml:space="preserve">Bai G, Zhang J, Zhao C, Wang Y, Qi Y, Zhang B. Adherence to a healthy lifestyle and a DASH-style diet and risk of hypertension in Chinese individuals. Hypertens Res. 2017;40:196–202. </w:t>
      </w:r>
    </w:p>
    <w:p w14:paraId="2F2EB2CE" w14:textId="77777777" w:rsidR="004A7B72" w:rsidRPr="004A7B72" w:rsidRDefault="004A7B72" w:rsidP="004A7B72">
      <w:pPr>
        <w:widowControl w:val="0"/>
        <w:autoSpaceDE w:val="0"/>
        <w:autoSpaceDN w:val="0"/>
        <w:adjustRightInd w:val="0"/>
        <w:ind w:left="640" w:hanging="640"/>
        <w:rPr>
          <w:rFonts w:ascii="Arial" w:hAnsi="Arial" w:cs="Arial"/>
          <w:noProof/>
        </w:rPr>
      </w:pPr>
      <w:r w:rsidRPr="004A7B72">
        <w:rPr>
          <w:rFonts w:ascii="Arial" w:hAnsi="Arial" w:cs="Arial"/>
          <w:noProof/>
        </w:rPr>
        <w:t xml:space="preserve">47. </w:t>
      </w:r>
      <w:r w:rsidRPr="004A7B72">
        <w:rPr>
          <w:rFonts w:ascii="Arial" w:hAnsi="Arial" w:cs="Arial"/>
          <w:noProof/>
        </w:rPr>
        <w:tab/>
        <w:t xml:space="preserve">Lau K-K, Wong Y-K, Chan Y-H, Li O-Y, Lee PY-S, Yuen GG, Wong Y-K, Tong S, Wong D, Chan K-H, et al. Mediterranean-Style Diet Is Associated With Reduced Blood Pressure Variability and Subsequent Stroke Risk in </w:t>
      </w:r>
      <w:r w:rsidRPr="004A7B72">
        <w:rPr>
          <w:rFonts w:ascii="Arial" w:hAnsi="Arial" w:cs="Arial"/>
          <w:noProof/>
        </w:rPr>
        <w:lastRenderedPageBreak/>
        <w:t xml:space="preserve">Patients With Coronary Artery Disease. Am J Hypertens. 2015;28:501–7. </w:t>
      </w:r>
    </w:p>
    <w:p w14:paraId="2D8E67EC" w14:textId="77777777" w:rsidR="004A7B72" w:rsidRPr="004A7B72" w:rsidRDefault="004A7B72" w:rsidP="004A7B72">
      <w:pPr>
        <w:widowControl w:val="0"/>
        <w:autoSpaceDE w:val="0"/>
        <w:autoSpaceDN w:val="0"/>
        <w:adjustRightInd w:val="0"/>
        <w:ind w:left="640" w:hanging="640"/>
        <w:rPr>
          <w:rFonts w:ascii="Arial" w:hAnsi="Arial" w:cs="Arial"/>
          <w:noProof/>
        </w:rPr>
      </w:pPr>
      <w:r w:rsidRPr="004A7B72">
        <w:rPr>
          <w:rFonts w:ascii="Arial" w:hAnsi="Arial" w:cs="Arial"/>
          <w:noProof/>
        </w:rPr>
        <w:t xml:space="preserve">48. </w:t>
      </w:r>
      <w:r w:rsidRPr="004A7B72">
        <w:rPr>
          <w:rFonts w:ascii="Arial" w:hAnsi="Arial" w:cs="Arial"/>
          <w:noProof/>
        </w:rPr>
        <w:tab/>
        <w:t xml:space="preserve">Murakami K, Livingstone MBE, Sasaki S. Diet quality scores in relation to metabolic risk factors in Japanese adults: a cross-sectional analysis from the 2012 National Health and Nutrition Survey, Japan. Eur J Nutr. 2018;http:// do. </w:t>
      </w:r>
    </w:p>
    <w:p w14:paraId="4B358F77" w14:textId="77777777" w:rsidR="004A7B72" w:rsidRPr="004A7B72" w:rsidRDefault="004A7B72" w:rsidP="004A7B72">
      <w:pPr>
        <w:widowControl w:val="0"/>
        <w:autoSpaceDE w:val="0"/>
        <w:autoSpaceDN w:val="0"/>
        <w:adjustRightInd w:val="0"/>
        <w:ind w:left="640" w:hanging="640"/>
        <w:rPr>
          <w:rFonts w:ascii="Arial" w:hAnsi="Arial" w:cs="Arial"/>
          <w:noProof/>
        </w:rPr>
      </w:pPr>
      <w:r w:rsidRPr="004A7B72">
        <w:rPr>
          <w:rFonts w:ascii="Arial" w:hAnsi="Arial" w:cs="Arial"/>
          <w:noProof/>
        </w:rPr>
        <w:t xml:space="preserve">49. </w:t>
      </w:r>
      <w:r w:rsidRPr="004A7B72">
        <w:rPr>
          <w:rFonts w:ascii="Arial" w:hAnsi="Arial" w:cs="Arial"/>
          <w:noProof/>
        </w:rPr>
        <w:tab/>
        <w:t xml:space="preserve">Kim D-Y, Kim SH, Lim H. Association between dietary carbohydrate quality and the prevalence of obesity and hypertension. J Hum Nutr Diet. 2018;31:587–96. </w:t>
      </w:r>
    </w:p>
    <w:p w14:paraId="60CDB40D" w14:textId="77777777" w:rsidR="004A7B72" w:rsidRPr="004A7B72" w:rsidRDefault="004A7B72" w:rsidP="004A7B72">
      <w:pPr>
        <w:widowControl w:val="0"/>
        <w:autoSpaceDE w:val="0"/>
        <w:autoSpaceDN w:val="0"/>
        <w:adjustRightInd w:val="0"/>
        <w:ind w:left="640" w:hanging="640"/>
        <w:rPr>
          <w:rFonts w:ascii="Arial" w:hAnsi="Arial" w:cs="Arial"/>
          <w:noProof/>
        </w:rPr>
      </w:pPr>
      <w:r w:rsidRPr="004A7B72">
        <w:rPr>
          <w:rFonts w:ascii="Arial" w:hAnsi="Arial" w:cs="Arial"/>
          <w:noProof/>
        </w:rPr>
        <w:t xml:space="preserve">50. </w:t>
      </w:r>
      <w:r w:rsidRPr="004A7B72">
        <w:rPr>
          <w:rFonts w:ascii="Arial" w:hAnsi="Arial" w:cs="Arial"/>
          <w:noProof/>
        </w:rPr>
        <w:tab/>
        <w:t xml:space="preserve">Tiong XT, Nursara Shahirah A, Pun VC, Wong KY, Fong AYY, Sy RG, Castillo-Carandang NT, Nang EEK, Woodward M, van Dam RM, et al. The association of the dietary approach to stop hypertension (DASH) diet with blood pressure, glucose and lipid profiles in Malaysian and Philippines populations. Nutr Metab Cardiovasc Dis. 2018;28:856–63. </w:t>
      </w:r>
    </w:p>
    <w:p w14:paraId="4E813F2C" w14:textId="77777777" w:rsidR="004A7B72" w:rsidRPr="004A7B72" w:rsidRDefault="004A7B72" w:rsidP="004A7B72">
      <w:pPr>
        <w:widowControl w:val="0"/>
        <w:autoSpaceDE w:val="0"/>
        <w:autoSpaceDN w:val="0"/>
        <w:adjustRightInd w:val="0"/>
        <w:ind w:left="640" w:hanging="640"/>
        <w:rPr>
          <w:rFonts w:ascii="Arial" w:hAnsi="Arial" w:cs="Arial"/>
          <w:noProof/>
        </w:rPr>
      </w:pPr>
      <w:r w:rsidRPr="004A7B72">
        <w:rPr>
          <w:rFonts w:ascii="Arial" w:hAnsi="Arial" w:cs="Arial"/>
          <w:noProof/>
        </w:rPr>
        <w:t xml:space="preserve">51. </w:t>
      </w:r>
      <w:r w:rsidRPr="004A7B72">
        <w:rPr>
          <w:rFonts w:ascii="Arial" w:hAnsi="Arial" w:cs="Arial"/>
          <w:noProof/>
        </w:rPr>
        <w:tab/>
        <w:t xml:space="preserve">Neelakantan N, Koh W-P, Yuan J-M, van Dam RM. Diet-Quality Indexes Are Associated with a Lower Risk of Cardiovascular, Respiratory, and All-Cause Mortality among Chinese Adults. J Nutr. 2018;148:1323–32. </w:t>
      </w:r>
    </w:p>
    <w:p w14:paraId="4F615CC4" w14:textId="77777777" w:rsidR="004A7B72" w:rsidRPr="004A7B72" w:rsidRDefault="004A7B72" w:rsidP="004A7B72">
      <w:pPr>
        <w:widowControl w:val="0"/>
        <w:autoSpaceDE w:val="0"/>
        <w:autoSpaceDN w:val="0"/>
        <w:adjustRightInd w:val="0"/>
        <w:ind w:left="640" w:hanging="640"/>
        <w:rPr>
          <w:rFonts w:ascii="Arial" w:hAnsi="Arial" w:cs="Arial"/>
          <w:noProof/>
        </w:rPr>
      </w:pPr>
      <w:r w:rsidRPr="004A7B72">
        <w:rPr>
          <w:rFonts w:ascii="Arial" w:hAnsi="Arial" w:cs="Arial"/>
          <w:noProof/>
        </w:rPr>
        <w:t xml:space="preserve">52. </w:t>
      </w:r>
      <w:r w:rsidRPr="004A7B72">
        <w:rPr>
          <w:rFonts w:ascii="Arial" w:hAnsi="Arial" w:cs="Arial"/>
          <w:noProof/>
        </w:rPr>
        <w:tab/>
        <w:t xml:space="preserve">Hodge AMM, Bassett JKK, Dugué P-AA, Shivappa N, Hébert JRR, Milne RLL, English DRR, Giles GGG. Dietary inflammatory index or Mediterranean diet score as risk factors for total and cardiovascular mortality. Nutr Metab Cardiovasc Dis. 2018;28:461–9. </w:t>
      </w:r>
    </w:p>
    <w:p w14:paraId="6530A69D" w14:textId="77777777" w:rsidR="004A7B72" w:rsidRPr="004A7B72" w:rsidRDefault="004A7B72" w:rsidP="004A7B72">
      <w:pPr>
        <w:widowControl w:val="0"/>
        <w:autoSpaceDE w:val="0"/>
        <w:autoSpaceDN w:val="0"/>
        <w:adjustRightInd w:val="0"/>
        <w:ind w:left="640" w:hanging="640"/>
        <w:rPr>
          <w:rFonts w:ascii="Arial" w:hAnsi="Arial" w:cs="Arial"/>
          <w:noProof/>
        </w:rPr>
      </w:pPr>
      <w:r w:rsidRPr="004A7B72">
        <w:rPr>
          <w:rFonts w:ascii="Arial" w:hAnsi="Arial" w:cs="Arial"/>
          <w:noProof/>
        </w:rPr>
        <w:t xml:space="preserve">53. </w:t>
      </w:r>
      <w:r w:rsidRPr="004A7B72">
        <w:rPr>
          <w:rFonts w:ascii="Arial" w:hAnsi="Arial" w:cs="Arial"/>
          <w:noProof/>
        </w:rPr>
        <w:tab/>
        <w:t xml:space="preserve">Livingstone KM, McNaughton SA. Association between diet quality, dietary patterns and cardiometabolic health in Australian adults: a cross-sectional study. Nutr J. 2018;17:19. </w:t>
      </w:r>
    </w:p>
    <w:p w14:paraId="1674C5F4" w14:textId="77777777" w:rsidR="004A7B72" w:rsidRPr="004A7B72" w:rsidRDefault="004A7B72" w:rsidP="004A7B72">
      <w:pPr>
        <w:widowControl w:val="0"/>
        <w:autoSpaceDE w:val="0"/>
        <w:autoSpaceDN w:val="0"/>
        <w:adjustRightInd w:val="0"/>
        <w:ind w:left="640" w:hanging="640"/>
        <w:rPr>
          <w:rFonts w:ascii="Arial" w:hAnsi="Arial" w:cs="Arial"/>
          <w:noProof/>
        </w:rPr>
      </w:pPr>
      <w:r w:rsidRPr="004A7B72">
        <w:rPr>
          <w:rFonts w:ascii="Arial" w:hAnsi="Arial" w:cs="Arial"/>
          <w:noProof/>
        </w:rPr>
        <w:t xml:space="preserve">54. </w:t>
      </w:r>
      <w:r w:rsidRPr="004A7B72">
        <w:rPr>
          <w:rFonts w:ascii="Arial" w:hAnsi="Arial" w:cs="Arial"/>
          <w:noProof/>
        </w:rPr>
        <w:tab/>
        <w:t xml:space="preserve">Livingstone KM, McNaughton SA. Diet quality is associated with obesity and hypertension in Australian adults: a cross sectional study. BMC Public Health. 2016;16:1037. </w:t>
      </w:r>
    </w:p>
    <w:p w14:paraId="18DAF138" w14:textId="77777777" w:rsidR="004A7B72" w:rsidRPr="004A7B72" w:rsidRDefault="004A7B72" w:rsidP="004A7B72">
      <w:pPr>
        <w:widowControl w:val="0"/>
        <w:autoSpaceDE w:val="0"/>
        <w:autoSpaceDN w:val="0"/>
        <w:adjustRightInd w:val="0"/>
        <w:ind w:left="640" w:hanging="640"/>
        <w:rPr>
          <w:rFonts w:ascii="Arial" w:hAnsi="Arial" w:cs="Arial"/>
          <w:noProof/>
        </w:rPr>
      </w:pPr>
      <w:r w:rsidRPr="004A7B72">
        <w:rPr>
          <w:rFonts w:ascii="Arial" w:hAnsi="Arial" w:cs="Arial"/>
          <w:noProof/>
        </w:rPr>
        <w:t xml:space="preserve">55. </w:t>
      </w:r>
      <w:r w:rsidRPr="004A7B72">
        <w:rPr>
          <w:rFonts w:ascii="Arial" w:hAnsi="Arial" w:cs="Arial"/>
          <w:noProof/>
        </w:rPr>
        <w:tab/>
        <w:t xml:space="preserve">Vissers LET, Waller MA, van der Schouw YT, Hebert JR, Shivappa N, Schoenaker DAJM, Mishra GD. The relationship between the dietary inflammatory index and risk of total cardiovascular disease, ischemic heart disease and cerebrovascular disease: Findings from an Australian population-based prospective cohort study of women. Atherosclerosis. 2016;253:164–70. </w:t>
      </w:r>
    </w:p>
    <w:p w14:paraId="2264A113" w14:textId="77777777" w:rsidR="004A7B72" w:rsidRPr="004A7B72" w:rsidRDefault="004A7B72" w:rsidP="004A7B72">
      <w:pPr>
        <w:widowControl w:val="0"/>
        <w:autoSpaceDE w:val="0"/>
        <w:autoSpaceDN w:val="0"/>
        <w:adjustRightInd w:val="0"/>
        <w:ind w:left="640" w:hanging="640"/>
        <w:rPr>
          <w:rFonts w:ascii="Arial" w:hAnsi="Arial" w:cs="Arial"/>
          <w:noProof/>
        </w:rPr>
      </w:pPr>
      <w:r w:rsidRPr="004A7B72">
        <w:rPr>
          <w:rFonts w:ascii="Arial" w:hAnsi="Arial" w:cs="Arial"/>
          <w:noProof/>
        </w:rPr>
        <w:t xml:space="preserve">56. </w:t>
      </w:r>
      <w:r w:rsidRPr="004A7B72">
        <w:rPr>
          <w:rFonts w:ascii="Arial" w:hAnsi="Arial" w:cs="Arial"/>
          <w:noProof/>
        </w:rPr>
        <w:tab/>
        <w:t xml:space="preserve">Daneshzad E, Emami S, Darooghegi Mofrad M, Saraf-Bank S, Surkan PJ, Azadbakht L. Association of modified Nordic diet with cardiovascular risk factors among type 2 diabetes patients: a cross-sectional study. J Cardiovasc Thorac Res. 2018;10:153–61. </w:t>
      </w:r>
    </w:p>
    <w:p w14:paraId="0984246E" w14:textId="77777777" w:rsidR="004A7B72" w:rsidRPr="004A7B72" w:rsidRDefault="004A7B72" w:rsidP="004A7B72">
      <w:pPr>
        <w:widowControl w:val="0"/>
        <w:autoSpaceDE w:val="0"/>
        <w:autoSpaceDN w:val="0"/>
        <w:adjustRightInd w:val="0"/>
        <w:ind w:left="640" w:hanging="640"/>
        <w:rPr>
          <w:rFonts w:ascii="Arial" w:hAnsi="Arial" w:cs="Arial"/>
          <w:noProof/>
        </w:rPr>
      </w:pPr>
      <w:r w:rsidRPr="004A7B72">
        <w:rPr>
          <w:rFonts w:ascii="Arial" w:hAnsi="Arial" w:cs="Arial"/>
          <w:noProof/>
        </w:rPr>
        <w:t xml:space="preserve">57. </w:t>
      </w:r>
      <w:r w:rsidRPr="004A7B72">
        <w:rPr>
          <w:rFonts w:ascii="Arial" w:hAnsi="Arial" w:cs="Arial"/>
          <w:noProof/>
        </w:rPr>
        <w:tab/>
        <w:t xml:space="preserve">Sakhaei R, Shahvazi S, Mozaffari-Khosravi H, Samadi M, Khatibi N, Nadjarzadeh A, Zare F, Salehi-Abargouei A. The Dietary Approaches to Stop Hypertension (DASH)-Style Diet and an Alternative Mediterranean Diet are Differently Associated with Serum Inflammatory Markers in Female Adults. Food Nutr Bull. 2018;39:361–76. </w:t>
      </w:r>
    </w:p>
    <w:p w14:paraId="2D76513A" w14:textId="77777777" w:rsidR="004A7B72" w:rsidRPr="004A7B72" w:rsidRDefault="004A7B72" w:rsidP="004A7B72">
      <w:pPr>
        <w:widowControl w:val="0"/>
        <w:autoSpaceDE w:val="0"/>
        <w:autoSpaceDN w:val="0"/>
        <w:adjustRightInd w:val="0"/>
        <w:ind w:left="640" w:hanging="640"/>
        <w:rPr>
          <w:rFonts w:ascii="Arial" w:hAnsi="Arial" w:cs="Arial"/>
          <w:noProof/>
        </w:rPr>
      </w:pPr>
      <w:r w:rsidRPr="004A7B72">
        <w:rPr>
          <w:rFonts w:ascii="Arial" w:hAnsi="Arial" w:cs="Arial"/>
          <w:noProof/>
        </w:rPr>
        <w:t xml:space="preserve">58. </w:t>
      </w:r>
      <w:r w:rsidRPr="004A7B72">
        <w:rPr>
          <w:rFonts w:ascii="Arial" w:hAnsi="Arial" w:cs="Arial"/>
          <w:noProof/>
        </w:rPr>
        <w:tab/>
        <w:t xml:space="preserve">Saraf-Bank S, Haghighatdoost F, Esmaillzadeh A, Larijani B, Azadbakht L. Adherence to Healthy Eating Index-2010 is inversely associated with metabolic syndrome and its features among Iranian adult women. Eur J Clin Nutr. 2017;71:425–30. </w:t>
      </w:r>
    </w:p>
    <w:p w14:paraId="2F16D991" w14:textId="77777777" w:rsidR="004A7B72" w:rsidRPr="004A7B72" w:rsidRDefault="004A7B72" w:rsidP="004A7B72">
      <w:pPr>
        <w:widowControl w:val="0"/>
        <w:autoSpaceDE w:val="0"/>
        <w:autoSpaceDN w:val="0"/>
        <w:adjustRightInd w:val="0"/>
        <w:ind w:left="640" w:hanging="640"/>
        <w:rPr>
          <w:rFonts w:ascii="Arial" w:hAnsi="Arial" w:cs="Arial"/>
          <w:noProof/>
        </w:rPr>
      </w:pPr>
      <w:r w:rsidRPr="004A7B72">
        <w:rPr>
          <w:rFonts w:ascii="Arial" w:hAnsi="Arial" w:cs="Arial"/>
          <w:noProof/>
        </w:rPr>
        <w:t xml:space="preserve">59. </w:t>
      </w:r>
      <w:r w:rsidRPr="004A7B72">
        <w:rPr>
          <w:rFonts w:ascii="Arial" w:hAnsi="Arial" w:cs="Arial"/>
          <w:noProof/>
        </w:rPr>
        <w:tab/>
        <w:t xml:space="preserve">Golzarand M, Bahadoran Z, Mirmiran P, Sadeghian-Sharif S, Azizi F. Dietary phytochemical index is inversely associated with the occurrence of hypertension in adults: a 3-year follow-up (the Tehran Lipid and Glucose Study). Eur J Clin Nutr. 2015;69:392–8. </w:t>
      </w:r>
    </w:p>
    <w:p w14:paraId="23B17141" w14:textId="140D08BB" w:rsidR="00BE19FB" w:rsidRPr="00773A52" w:rsidRDefault="001D4306" w:rsidP="004A7B72">
      <w:pPr>
        <w:widowControl w:val="0"/>
        <w:autoSpaceDE w:val="0"/>
        <w:autoSpaceDN w:val="0"/>
        <w:adjustRightInd w:val="0"/>
        <w:ind w:left="640" w:hanging="640"/>
        <w:rPr>
          <w:rFonts w:asciiTheme="minorBidi" w:hAnsiTheme="minorBidi"/>
          <w:b/>
          <w:bCs/>
          <w:i/>
          <w:iCs/>
          <w:color w:val="000000" w:themeColor="text1"/>
        </w:rPr>
      </w:pPr>
      <w:r w:rsidRPr="005F4695">
        <w:rPr>
          <w:rFonts w:asciiTheme="minorBidi" w:hAnsiTheme="minorBidi"/>
          <w:b/>
          <w:bCs/>
          <w:i/>
          <w:iCs/>
          <w:color w:val="000000" w:themeColor="text1"/>
        </w:rPr>
        <w:lastRenderedPageBreak/>
        <w:fldChar w:fldCharType="end"/>
      </w:r>
    </w:p>
    <w:sectPr w:rsidR="00BE19FB" w:rsidRPr="00773A52" w:rsidSect="00C219A2">
      <w:headerReference w:type="default" r:id="rId8"/>
      <w:pgSz w:w="15840" w:h="12240" w:orient="landscape"/>
      <w:pgMar w:top="1258" w:right="1440" w:bottom="1199"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A90BCA" w14:textId="77777777" w:rsidR="00A62B75" w:rsidRDefault="00A62B75" w:rsidP="00440ED2">
      <w:r>
        <w:separator/>
      </w:r>
    </w:p>
  </w:endnote>
  <w:endnote w:type="continuationSeparator" w:id="0">
    <w:p w14:paraId="25ABD680" w14:textId="77777777" w:rsidR="00A62B75" w:rsidRDefault="00A62B75" w:rsidP="00440E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altName w:val="Calibr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E30ED4" w14:textId="77777777" w:rsidR="00A62B75" w:rsidRDefault="00A62B75" w:rsidP="00440ED2">
      <w:r>
        <w:separator/>
      </w:r>
    </w:p>
  </w:footnote>
  <w:footnote w:type="continuationSeparator" w:id="0">
    <w:p w14:paraId="1FC2AA10" w14:textId="77777777" w:rsidR="00A62B75" w:rsidRDefault="00A62B75" w:rsidP="00440E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3BB9ED" w14:textId="4F515F36" w:rsidR="005E069D" w:rsidRPr="00440ED2" w:rsidRDefault="005E069D" w:rsidP="00440ED2">
    <w:pPr>
      <w:pStyle w:val="Caption"/>
      <w:keepNext/>
      <w:ind w:left="90"/>
      <w:rPr>
        <w:rFonts w:asciiTheme="minorBidi" w:hAnsiTheme="minorBidi" w:cstheme="minorBidi"/>
        <w:b/>
        <w:bCs/>
        <w:i w:val="0"/>
        <w:iCs w:val="0"/>
        <w:color w:val="2A2A2A"/>
        <w:sz w:val="24"/>
        <w:szCs w:val="24"/>
        <w:shd w:val="clear" w:color="auto" w:fill="FFFFFF"/>
      </w:rPr>
    </w:pPr>
    <w:r w:rsidRPr="00440ED2">
      <w:rPr>
        <w:rFonts w:asciiTheme="minorBidi" w:hAnsiTheme="minorBidi" w:cstheme="minorBidi"/>
        <w:b/>
        <w:bCs/>
        <w:i w:val="0"/>
        <w:iCs w:val="0"/>
        <w:color w:val="2A2A2A"/>
        <w:sz w:val="24"/>
        <w:szCs w:val="24"/>
        <w:shd w:val="clear" w:color="auto" w:fill="FFFFFF"/>
      </w:rPr>
      <w:t>Supplementary data</w:t>
    </w:r>
  </w:p>
  <w:p w14:paraId="1764E9F1" w14:textId="77777777" w:rsidR="005E069D" w:rsidRDefault="005E06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4F5DB3"/>
    <w:multiLevelType w:val="hybridMultilevel"/>
    <w:tmpl w:val="9036FE92"/>
    <w:lvl w:ilvl="0" w:tplc="FA808C7A">
      <w:start w:val="36"/>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2B8A"/>
    <w:rsid w:val="0000646E"/>
    <w:rsid w:val="000102FE"/>
    <w:rsid w:val="00011B2E"/>
    <w:rsid w:val="00016150"/>
    <w:rsid w:val="000226E3"/>
    <w:rsid w:val="0002352C"/>
    <w:rsid w:val="000272E8"/>
    <w:rsid w:val="00035046"/>
    <w:rsid w:val="00044CB7"/>
    <w:rsid w:val="00046E2C"/>
    <w:rsid w:val="00047B14"/>
    <w:rsid w:val="000913EC"/>
    <w:rsid w:val="00091DB9"/>
    <w:rsid w:val="00094050"/>
    <w:rsid w:val="000960F7"/>
    <w:rsid w:val="000A150A"/>
    <w:rsid w:val="000A68FE"/>
    <w:rsid w:val="000A7019"/>
    <w:rsid w:val="000B2A6E"/>
    <w:rsid w:val="000B3FDF"/>
    <w:rsid w:val="000B5309"/>
    <w:rsid w:val="000B64A7"/>
    <w:rsid w:val="000C1284"/>
    <w:rsid w:val="000D12DF"/>
    <w:rsid w:val="000D3C9A"/>
    <w:rsid w:val="000D6AF5"/>
    <w:rsid w:val="000E0871"/>
    <w:rsid w:val="000F15EC"/>
    <w:rsid w:val="000F28BA"/>
    <w:rsid w:val="000F36CE"/>
    <w:rsid w:val="000F44C5"/>
    <w:rsid w:val="000F4E42"/>
    <w:rsid w:val="000F7478"/>
    <w:rsid w:val="000F7512"/>
    <w:rsid w:val="00107096"/>
    <w:rsid w:val="00111E08"/>
    <w:rsid w:val="0011506B"/>
    <w:rsid w:val="00116F68"/>
    <w:rsid w:val="00121E41"/>
    <w:rsid w:val="00122DAD"/>
    <w:rsid w:val="001275EA"/>
    <w:rsid w:val="00132FA1"/>
    <w:rsid w:val="00137B59"/>
    <w:rsid w:val="0014278A"/>
    <w:rsid w:val="00143D62"/>
    <w:rsid w:val="001458A5"/>
    <w:rsid w:val="001461C2"/>
    <w:rsid w:val="00147F25"/>
    <w:rsid w:val="00151515"/>
    <w:rsid w:val="001605F5"/>
    <w:rsid w:val="00162AFB"/>
    <w:rsid w:val="001765A4"/>
    <w:rsid w:val="00177D73"/>
    <w:rsid w:val="00183F36"/>
    <w:rsid w:val="001862AC"/>
    <w:rsid w:val="00194121"/>
    <w:rsid w:val="00197261"/>
    <w:rsid w:val="001976B9"/>
    <w:rsid w:val="001A4D9A"/>
    <w:rsid w:val="001A5CDD"/>
    <w:rsid w:val="001A628D"/>
    <w:rsid w:val="001B5EDE"/>
    <w:rsid w:val="001B73FD"/>
    <w:rsid w:val="001B7905"/>
    <w:rsid w:val="001C0CCB"/>
    <w:rsid w:val="001D25C1"/>
    <w:rsid w:val="001D4306"/>
    <w:rsid w:val="001D50F1"/>
    <w:rsid w:val="001D6F3D"/>
    <w:rsid w:val="001E184A"/>
    <w:rsid w:val="001E2474"/>
    <w:rsid w:val="001E6EC5"/>
    <w:rsid w:val="001F76F8"/>
    <w:rsid w:val="002135B5"/>
    <w:rsid w:val="002303CB"/>
    <w:rsid w:val="0023278F"/>
    <w:rsid w:val="0023448D"/>
    <w:rsid w:val="00234D13"/>
    <w:rsid w:val="00236380"/>
    <w:rsid w:val="002417C2"/>
    <w:rsid w:val="00242546"/>
    <w:rsid w:val="00245EAE"/>
    <w:rsid w:val="002474AA"/>
    <w:rsid w:val="00255BE2"/>
    <w:rsid w:val="002618AD"/>
    <w:rsid w:val="00262E25"/>
    <w:rsid w:val="002666EE"/>
    <w:rsid w:val="00267F87"/>
    <w:rsid w:val="002712DE"/>
    <w:rsid w:val="00277DB6"/>
    <w:rsid w:val="00296720"/>
    <w:rsid w:val="002A1A22"/>
    <w:rsid w:val="002A49B1"/>
    <w:rsid w:val="002A4D18"/>
    <w:rsid w:val="002A5FF8"/>
    <w:rsid w:val="002B193E"/>
    <w:rsid w:val="002C08CB"/>
    <w:rsid w:val="002C14EB"/>
    <w:rsid w:val="002C1AB7"/>
    <w:rsid w:val="002C3F70"/>
    <w:rsid w:val="002C7F80"/>
    <w:rsid w:val="002D4E04"/>
    <w:rsid w:val="002D7F6E"/>
    <w:rsid w:val="002E039B"/>
    <w:rsid w:val="002E2526"/>
    <w:rsid w:val="002E37DD"/>
    <w:rsid w:val="002E4603"/>
    <w:rsid w:val="002E47A0"/>
    <w:rsid w:val="002E62A9"/>
    <w:rsid w:val="002F4D65"/>
    <w:rsid w:val="00300B6E"/>
    <w:rsid w:val="0030617A"/>
    <w:rsid w:val="003061CC"/>
    <w:rsid w:val="00306640"/>
    <w:rsid w:val="0030757A"/>
    <w:rsid w:val="00310161"/>
    <w:rsid w:val="00315468"/>
    <w:rsid w:val="00316575"/>
    <w:rsid w:val="00316952"/>
    <w:rsid w:val="00317777"/>
    <w:rsid w:val="00330256"/>
    <w:rsid w:val="00330C34"/>
    <w:rsid w:val="003332FD"/>
    <w:rsid w:val="00333DAA"/>
    <w:rsid w:val="00335FD0"/>
    <w:rsid w:val="00337D42"/>
    <w:rsid w:val="00342643"/>
    <w:rsid w:val="003453A8"/>
    <w:rsid w:val="0035684C"/>
    <w:rsid w:val="00363E84"/>
    <w:rsid w:val="003653D0"/>
    <w:rsid w:val="003729AC"/>
    <w:rsid w:val="003746E6"/>
    <w:rsid w:val="00386375"/>
    <w:rsid w:val="0039649D"/>
    <w:rsid w:val="00397775"/>
    <w:rsid w:val="003A3267"/>
    <w:rsid w:val="003A5938"/>
    <w:rsid w:val="003B1BA5"/>
    <w:rsid w:val="003C1B61"/>
    <w:rsid w:val="003C4651"/>
    <w:rsid w:val="003C584E"/>
    <w:rsid w:val="003C67A8"/>
    <w:rsid w:val="003C6AE2"/>
    <w:rsid w:val="003C7AF5"/>
    <w:rsid w:val="003D01C6"/>
    <w:rsid w:val="003D108F"/>
    <w:rsid w:val="003D4893"/>
    <w:rsid w:val="003D4D9E"/>
    <w:rsid w:val="003E7128"/>
    <w:rsid w:val="003F061E"/>
    <w:rsid w:val="003F65BB"/>
    <w:rsid w:val="003F7863"/>
    <w:rsid w:val="00401266"/>
    <w:rsid w:val="00402270"/>
    <w:rsid w:val="00404058"/>
    <w:rsid w:val="00415513"/>
    <w:rsid w:val="00416A09"/>
    <w:rsid w:val="004337A8"/>
    <w:rsid w:val="00440ED2"/>
    <w:rsid w:val="004449E9"/>
    <w:rsid w:val="0044597A"/>
    <w:rsid w:val="00447FCA"/>
    <w:rsid w:val="00453449"/>
    <w:rsid w:val="00453820"/>
    <w:rsid w:val="00463766"/>
    <w:rsid w:val="0046601C"/>
    <w:rsid w:val="00485300"/>
    <w:rsid w:val="00487CA4"/>
    <w:rsid w:val="00493A05"/>
    <w:rsid w:val="00494DAA"/>
    <w:rsid w:val="004A3F5D"/>
    <w:rsid w:val="004A6AFF"/>
    <w:rsid w:val="004A7B72"/>
    <w:rsid w:val="004B0077"/>
    <w:rsid w:val="004B07F0"/>
    <w:rsid w:val="004B1636"/>
    <w:rsid w:val="004B24A1"/>
    <w:rsid w:val="004B5916"/>
    <w:rsid w:val="004B620B"/>
    <w:rsid w:val="004C1089"/>
    <w:rsid w:val="004C5A8F"/>
    <w:rsid w:val="004C5AC3"/>
    <w:rsid w:val="004D210D"/>
    <w:rsid w:val="004D6489"/>
    <w:rsid w:val="004E349C"/>
    <w:rsid w:val="004E39DD"/>
    <w:rsid w:val="004E3B28"/>
    <w:rsid w:val="004F52CE"/>
    <w:rsid w:val="004F5A11"/>
    <w:rsid w:val="00503A43"/>
    <w:rsid w:val="005072A9"/>
    <w:rsid w:val="00507587"/>
    <w:rsid w:val="00510EC8"/>
    <w:rsid w:val="00513257"/>
    <w:rsid w:val="00514DB0"/>
    <w:rsid w:val="005204CB"/>
    <w:rsid w:val="00521EC0"/>
    <w:rsid w:val="00524BC9"/>
    <w:rsid w:val="005266A8"/>
    <w:rsid w:val="00527228"/>
    <w:rsid w:val="00540874"/>
    <w:rsid w:val="00557232"/>
    <w:rsid w:val="0055736B"/>
    <w:rsid w:val="005611B7"/>
    <w:rsid w:val="005614BE"/>
    <w:rsid w:val="00562566"/>
    <w:rsid w:val="0057673E"/>
    <w:rsid w:val="00576D68"/>
    <w:rsid w:val="005802D8"/>
    <w:rsid w:val="00581ADE"/>
    <w:rsid w:val="00581D47"/>
    <w:rsid w:val="00583846"/>
    <w:rsid w:val="00583EC7"/>
    <w:rsid w:val="0058595D"/>
    <w:rsid w:val="00590184"/>
    <w:rsid w:val="00596E53"/>
    <w:rsid w:val="005A60A5"/>
    <w:rsid w:val="005A7646"/>
    <w:rsid w:val="005B3881"/>
    <w:rsid w:val="005B4F6C"/>
    <w:rsid w:val="005B580D"/>
    <w:rsid w:val="005C4B99"/>
    <w:rsid w:val="005C5EC9"/>
    <w:rsid w:val="005D34C4"/>
    <w:rsid w:val="005E069D"/>
    <w:rsid w:val="005E4492"/>
    <w:rsid w:val="005E5166"/>
    <w:rsid w:val="005E6C97"/>
    <w:rsid w:val="005F0CDF"/>
    <w:rsid w:val="005F4695"/>
    <w:rsid w:val="005F7E98"/>
    <w:rsid w:val="00604870"/>
    <w:rsid w:val="00607259"/>
    <w:rsid w:val="00614189"/>
    <w:rsid w:val="006240E5"/>
    <w:rsid w:val="006254A1"/>
    <w:rsid w:val="00626C55"/>
    <w:rsid w:val="006317F2"/>
    <w:rsid w:val="00651F17"/>
    <w:rsid w:val="00654F6F"/>
    <w:rsid w:val="00656293"/>
    <w:rsid w:val="00666126"/>
    <w:rsid w:val="0067190F"/>
    <w:rsid w:val="00675E91"/>
    <w:rsid w:val="00676578"/>
    <w:rsid w:val="006826F0"/>
    <w:rsid w:val="00683DD5"/>
    <w:rsid w:val="00684BBA"/>
    <w:rsid w:val="00684BCF"/>
    <w:rsid w:val="00693C83"/>
    <w:rsid w:val="00695D76"/>
    <w:rsid w:val="006A111E"/>
    <w:rsid w:val="006A3B1E"/>
    <w:rsid w:val="006A7EC7"/>
    <w:rsid w:val="006B54D2"/>
    <w:rsid w:val="006B6050"/>
    <w:rsid w:val="006C41E9"/>
    <w:rsid w:val="006C552F"/>
    <w:rsid w:val="006E1D53"/>
    <w:rsid w:val="006E60CB"/>
    <w:rsid w:val="006E677E"/>
    <w:rsid w:val="006F056D"/>
    <w:rsid w:val="006F40DA"/>
    <w:rsid w:val="006F5034"/>
    <w:rsid w:val="00702E88"/>
    <w:rsid w:val="00712906"/>
    <w:rsid w:val="007226A4"/>
    <w:rsid w:val="00724DA7"/>
    <w:rsid w:val="00724FE7"/>
    <w:rsid w:val="00733527"/>
    <w:rsid w:val="0073379A"/>
    <w:rsid w:val="0073605C"/>
    <w:rsid w:val="007360F0"/>
    <w:rsid w:val="00737CE2"/>
    <w:rsid w:val="00743B47"/>
    <w:rsid w:val="00747A9B"/>
    <w:rsid w:val="00750A18"/>
    <w:rsid w:val="00763A38"/>
    <w:rsid w:val="0077276F"/>
    <w:rsid w:val="00773A52"/>
    <w:rsid w:val="0077570E"/>
    <w:rsid w:val="0077786D"/>
    <w:rsid w:val="007804C4"/>
    <w:rsid w:val="007820D6"/>
    <w:rsid w:val="00793184"/>
    <w:rsid w:val="00795DA7"/>
    <w:rsid w:val="00796B59"/>
    <w:rsid w:val="007B2FAA"/>
    <w:rsid w:val="007B4DE3"/>
    <w:rsid w:val="007C069B"/>
    <w:rsid w:val="007C7167"/>
    <w:rsid w:val="007D35F3"/>
    <w:rsid w:val="007D3870"/>
    <w:rsid w:val="007D4271"/>
    <w:rsid w:val="007F03EE"/>
    <w:rsid w:val="007F2013"/>
    <w:rsid w:val="007F2253"/>
    <w:rsid w:val="007F460F"/>
    <w:rsid w:val="007F47EC"/>
    <w:rsid w:val="007F55C9"/>
    <w:rsid w:val="007F7A0B"/>
    <w:rsid w:val="008123EA"/>
    <w:rsid w:val="0081708E"/>
    <w:rsid w:val="00823EFE"/>
    <w:rsid w:val="00834287"/>
    <w:rsid w:val="0084400C"/>
    <w:rsid w:val="00845F35"/>
    <w:rsid w:val="00846203"/>
    <w:rsid w:val="0085676F"/>
    <w:rsid w:val="00864087"/>
    <w:rsid w:val="0086491C"/>
    <w:rsid w:val="00872D3A"/>
    <w:rsid w:val="00872F49"/>
    <w:rsid w:val="00874199"/>
    <w:rsid w:val="00874724"/>
    <w:rsid w:val="00875CF8"/>
    <w:rsid w:val="00883E6D"/>
    <w:rsid w:val="00896414"/>
    <w:rsid w:val="008967CE"/>
    <w:rsid w:val="008A23A5"/>
    <w:rsid w:val="008A4B60"/>
    <w:rsid w:val="008B1911"/>
    <w:rsid w:val="008B1D6E"/>
    <w:rsid w:val="008B4753"/>
    <w:rsid w:val="008B4847"/>
    <w:rsid w:val="008B5227"/>
    <w:rsid w:val="008C11B4"/>
    <w:rsid w:val="008C2125"/>
    <w:rsid w:val="008C22C5"/>
    <w:rsid w:val="008C4894"/>
    <w:rsid w:val="008D6C31"/>
    <w:rsid w:val="008D7C1D"/>
    <w:rsid w:val="008E1FDC"/>
    <w:rsid w:val="008E34CC"/>
    <w:rsid w:val="008E4C00"/>
    <w:rsid w:val="00904A02"/>
    <w:rsid w:val="00905E36"/>
    <w:rsid w:val="00914B07"/>
    <w:rsid w:val="00916B79"/>
    <w:rsid w:val="00917167"/>
    <w:rsid w:val="009222B3"/>
    <w:rsid w:val="00924CD9"/>
    <w:rsid w:val="009307CD"/>
    <w:rsid w:val="009455AE"/>
    <w:rsid w:val="00945AC0"/>
    <w:rsid w:val="00947463"/>
    <w:rsid w:val="00947B51"/>
    <w:rsid w:val="00952F00"/>
    <w:rsid w:val="00953A35"/>
    <w:rsid w:val="00956D5A"/>
    <w:rsid w:val="00957414"/>
    <w:rsid w:val="00960579"/>
    <w:rsid w:val="009656FE"/>
    <w:rsid w:val="009733C1"/>
    <w:rsid w:val="00976B4A"/>
    <w:rsid w:val="0098232A"/>
    <w:rsid w:val="00987EF7"/>
    <w:rsid w:val="009953B8"/>
    <w:rsid w:val="009A0538"/>
    <w:rsid w:val="009A4FA8"/>
    <w:rsid w:val="009A5229"/>
    <w:rsid w:val="009A7ED9"/>
    <w:rsid w:val="009B626B"/>
    <w:rsid w:val="009C24B1"/>
    <w:rsid w:val="009C31CC"/>
    <w:rsid w:val="009C530E"/>
    <w:rsid w:val="009C6D4B"/>
    <w:rsid w:val="009D19A6"/>
    <w:rsid w:val="009D4FAE"/>
    <w:rsid w:val="009D582C"/>
    <w:rsid w:val="009E20D0"/>
    <w:rsid w:val="009E65A5"/>
    <w:rsid w:val="009F108D"/>
    <w:rsid w:val="009F1A0D"/>
    <w:rsid w:val="009F1ABA"/>
    <w:rsid w:val="009F5690"/>
    <w:rsid w:val="009F6DFD"/>
    <w:rsid w:val="00A02ED7"/>
    <w:rsid w:val="00A033C0"/>
    <w:rsid w:val="00A06D9E"/>
    <w:rsid w:val="00A07C12"/>
    <w:rsid w:val="00A10808"/>
    <w:rsid w:val="00A10E26"/>
    <w:rsid w:val="00A11FA5"/>
    <w:rsid w:val="00A126A0"/>
    <w:rsid w:val="00A12731"/>
    <w:rsid w:val="00A13DCB"/>
    <w:rsid w:val="00A25F33"/>
    <w:rsid w:val="00A3273A"/>
    <w:rsid w:val="00A36732"/>
    <w:rsid w:val="00A370C1"/>
    <w:rsid w:val="00A40CCA"/>
    <w:rsid w:val="00A50BDA"/>
    <w:rsid w:val="00A524ED"/>
    <w:rsid w:val="00A57F3E"/>
    <w:rsid w:val="00A61D02"/>
    <w:rsid w:val="00A62B75"/>
    <w:rsid w:val="00A63CB8"/>
    <w:rsid w:val="00A72AFA"/>
    <w:rsid w:val="00A822D8"/>
    <w:rsid w:val="00A940F3"/>
    <w:rsid w:val="00AA3A2B"/>
    <w:rsid w:val="00AA3C33"/>
    <w:rsid w:val="00AB553D"/>
    <w:rsid w:val="00AC07D4"/>
    <w:rsid w:val="00AC2264"/>
    <w:rsid w:val="00AC4A59"/>
    <w:rsid w:val="00AC4ACE"/>
    <w:rsid w:val="00AD11E4"/>
    <w:rsid w:val="00AD3DFC"/>
    <w:rsid w:val="00AD417E"/>
    <w:rsid w:val="00AD4460"/>
    <w:rsid w:val="00AE2374"/>
    <w:rsid w:val="00AE2BE5"/>
    <w:rsid w:val="00AE3BF2"/>
    <w:rsid w:val="00AE5016"/>
    <w:rsid w:val="00AE5CE1"/>
    <w:rsid w:val="00AF7BD9"/>
    <w:rsid w:val="00B01B68"/>
    <w:rsid w:val="00B02A7A"/>
    <w:rsid w:val="00B119A4"/>
    <w:rsid w:val="00B1215A"/>
    <w:rsid w:val="00B17416"/>
    <w:rsid w:val="00B20E43"/>
    <w:rsid w:val="00B23146"/>
    <w:rsid w:val="00B25DEB"/>
    <w:rsid w:val="00B26899"/>
    <w:rsid w:val="00B30F87"/>
    <w:rsid w:val="00B31262"/>
    <w:rsid w:val="00B31295"/>
    <w:rsid w:val="00B443D0"/>
    <w:rsid w:val="00B4758F"/>
    <w:rsid w:val="00B5066F"/>
    <w:rsid w:val="00B51391"/>
    <w:rsid w:val="00B520B1"/>
    <w:rsid w:val="00B53C48"/>
    <w:rsid w:val="00B54A1A"/>
    <w:rsid w:val="00B56680"/>
    <w:rsid w:val="00B61D9D"/>
    <w:rsid w:val="00B626C5"/>
    <w:rsid w:val="00B67548"/>
    <w:rsid w:val="00B675CD"/>
    <w:rsid w:val="00B707CD"/>
    <w:rsid w:val="00B70CF7"/>
    <w:rsid w:val="00B7108D"/>
    <w:rsid w:val="00B717C4"/>
    <w:rsid w:val="00B73ECB"/>
    <w:rsid w:val="00B75306"/>
    <w:rsid w:val="00B84D98"/>
    <w:rsid w:val="00B857D4"/>
    <w:rsid w:val="00B9531A"/>
    <w:rsid w:val="00B96C23"/>
    <w:rsid w:val="00BA0291"/>
    <w:rsid w:val="00BA48E8"/>
    <w:rsid w:val="00BA52D3"/>
    <w:rsid w:val="00BA5DDB"/>
    <w:rsid w:val="00BA688D"/>
    <w:rsid w:val="00BB212A"/>
    <w:rsid w:val="00BB32A4"/>
    <w:rsid w:val="00BB3929"/>
    <w:rsid w:val="00BC4BC3"/>
    <w:rsid w:val="00BD3FC6"/>
    <w:rsid w:val="00BD4EFE"/>
    <w:rsid w:val="00BE19FB"/>
    <w:rsid w:val="00BE5009"/>
    <w:rsid w:val="00BE6D92"/>
    <w:rsid w:val="00BF1305"/>
    <w:rsid w:val="00BF6D79"/>
    <w:rsid w:val="00C05336"/>
    <w:rsid w:val="00C067FB"/>
    <w:rsid w:val="00C1033C"/>
    <w:rsid w:val="00C111B9"/>
    <w:rsid w:val="00C12CF4"/>
    <w:rsid w:val="00C15426"/>
    <w:rsid w:val="00C15ED1"/>
    <w:rsid w:val="00C17C16"/>
    <w:rsid w:val="00C219A2"/>
    <w:rsid w:val="00C21E2A"/>
    <w:rsid w:val="00C257AD"/>
    <w:rsid w:val="00C25B57"/>
    <w:rsid w:val="00C32093"/>
    <w:rsid w:val="00C37E76"/>
    <w:rsid w:val="00C41D95"/>
    <w:rsid w:val="00C41EAA"/>
    <w:rsid w:val="00C43EF4"/>
    <w:rsid w:val="00C4572B"/>
    <w:rsid w:val="00C46A05"/>
    <w:rsid w:val="00C523DB"/>
    <w:rsid w:val="00C54A2A"/>
    <w:rsid w:val="00C6374A"/>
    <w:rsid w:val="00C753DA"/>
    <w:rsid w:val="00C8002E"/>
    <w:rsid w:val="00C820BB"/>
    <w:rsid w:val="00C83209"/>
    <w:rsid w:val="00C83C55"/>
    <w:rsid w:val="00C869B4"/>
    <w:rsid w:val="00C95BFD"/>
    <w:rsid w:val="00C97F7F"/>
    <w:rsid w:val="00CA0519"/>
    <w:rsid w:val="00CA113B"/>
    <w:rsid w:val="00CB0350"/>
    <w:rsid w:val="00CB1B3E"/>
    <w:rsid w:val="00CB50F4"/>
    <w:rsid w:val="00CB5E76"/>
    <w:rsid w:val="00CB79F8"/>
    <w:rsid w:val="00CC2453"/>
    <w:rsid w:val="00CC4D99"/>
    <w:rsid w:val="00CC7387"/>
    <w:rsid w:val="00CD0BEA"/>
    <w:rsid w:val="00CD5B7B"/>
    <w:rsid w:val="00CE07D3"/>
    <w:rsid w:val="00CE2439"/>
    <w:rsid w:val="00CE2503"/>
    <w:rsid w:val="00CE3980"/>
    <w:rsid w:val="00CF35B3"/>
    <w:rsid w:val="00D0358D"/>
    <w:rsid w:val="00D03D8C"/>
    <w:rsid w:val="00D10A1C"/>
    <w:rsid w:val="00D11283"/>
    <w:rsid w:val="00D120AD"/>
    <w:rsid w:val="00D14740"/>
    <w:rsid w:val="00D22C91"/>
    <w:rsid w:val="00D27A64"/>
    <w:rsid w:val="00D336DD"/>
    <w:rsid w:val="00D40D5F"/>
    <w:rsid w:val="00D43FC0"/>
    <w:rsid w:val="00D53B51"/>
    <w:rsid w:val="00D5499B"/>
    <w:rsid w:val="00D578C9"/>
    <w:rsid w:val="00D7216D"/>
    <w:rsid w:val="00D8122A"/>
    <w:rsid w:val="00D824D4"/>
    <w:rsid w:val="00D870EE"/>
    <w:rsid w:val="00D905F5"/>
    <w:rsid w:val="00D96450"/>
    <w:rsid w:val="00D97B91"/>
    <w:rsid w:val="00DA0A27"/>
    <w:rsid w:val="00DA4059"/>
    <w:rsid w:val="00DB3763"/>
    <w:rsid w:val="00DB4D40"/>
    <w:rsid w:val="00DB7E39"/>
    <w:rsid w:val="00DC5255"/>
    <w:rsid w:val="00DE1F32"/>
    <w:rsid w:val="00DE3301"/>
    <w:rsid w:val="00DE6B9D"/>
    <w:rsid w:val="00DF5657"/>
    <w:rsid w:val="00DF6EA2"/>
    <w:rsid w:val="00E05DFC"/>
    <w:rsid w:val="00E07EBB"/>
    <w:rsid w:val="00E125E2"/>
    <w:rsid w:val="00E14CAF"/>
    <w:rsid w:val="00E16E5E"/>
    <w:rsid w:val="00E212BB"/>
    <w:rsid w:val="00E21614"/>
    <w:rsid w:val="00E25237"/>
    <w:rsid w:val="00E25E63"/>
    <w:rsid w:val="00E26111"/>
    <w:rsid w:val="00E405F9"/>
    <w:rsid w:val="00E47E7D"/>
    <w:rsid w:val="00E52B8A"/>
    <w:rsid w:val="00E72827"/>
    <w:rsid w:val="00E816DF"/>
    <w:rsid w:val="00E8270F"/>
    <w:rsid w:val="00E83BC0"/>
    <w:rsid w:val="00E86D5E"/>
    <w:rsid w:val="00E86FF8"/>
    <w:rsid w:val="00E94555"/>
    <w:rsid w:val="00E95844"/>
    <w:rsid w:val="00E96AB0"/>
    <w:rsid w:val="00E97D7F"/>
    <w:rsid w:val="00EA0A1D"/>
    <w:rsid w:val="00EA5F5D"/>
    <w:rsid w:val="00EB1C0D"/>
    <w:rsid w:val="00EB43D8"/>
    <w:rsid w:val="00EC7C3D"/>
    <w:rsid w:val="00ED1905"/>
    <w:rsid w:val="00ED1E06"/>
    <w:rsid w:val="00ED35FA"/>
    <w:rsid w:val="00ED3BA1"/>
    <w:rsid w:val="00ED52D3"/>
    <w:rsid w:val="00EE4F0F"/>
    <w:rsid w:val="00EF1F9B"/>
    <w:rsid w:val="00EF4A74"/>
    <w:rsid w:val="00F02EDC"/>
    <w:rsid w:val="00F07FAF"/>
    <w:rsid w:val="00F12C15"/>
    <w:rsid w:val="00F1662A"/>
    <w:rsid w:val="00F17FA2"/>
    <w:rsid w:val="00F20CBE"/>
    <w:rsid w:val="00F25A29"/>
    <w:rsid w:val="00F31BEC"/>
    <w:rsid w:val="00F34B2E"/>
    <w:rsid w:val="00F352FD"/>
    <w:rsid w:val="00F42CB1"/>
    <w:rsid w:val="00F504C8"/>
    <w:rsid w:val="00F5330F"/>
    <w:rsid w:val="00F54411"/>
    <w:rsid w:val="00F554E8"/>
    <w:rsid w:val="00F557AF"/>
    <w:rsid w:val="00F567DB"/>
    <w:rsid w:val="00F625BB"/>
    <w:rsid w:val="00F65FB5"/>
    <w:rsid w:val="00F67440"/>
    <w:rsid w:val="00F73BF6"/>
    <w:rsid w:val="00F8059A"/>
    <w:rsid w:val="00F85892"/>
    <w:rsid w:val="00F87087"/>
    <w:rsid w:val="00F942EB"/>
    <w:rsid w:val="00F979FE"/>
    <w:rsid w:val="00F97C9C"/>
    <w:rsid w:val="00FA0683"/>
    <w:rsid w:val="00FA11DE"/>
    <w:rsid w:val="00FA1862"/>
    <w:rsid w:val="00FB1F1E"/>
    <w:rsid w:val="00FB37FC"/>
    <w:rsid w:val="00FC2CA2"/>
    <w:rsid w:val="00FC360D"/>
    <w:rsid w:val="00FC3944"/>
    <w:rsid w:val="00FC3F95"/>
    <w:rsid w:val="00FC5895"/>
    <w:rsid w:val="00FC668F"/>
    <w:rsid w:val="00FD4628"/>
    <w:rsid w:val="00FD6E5E"/>
    <w:rsid w:val="00FD75C7"/>
    <w:rsid w:val="00FF10B2"/>
    <w:rsid w:val="00FF1F94"/>
    <w:rsid w:val="00FF2B14"/>
    <w:rsid w:val="00FF3407"/>
    <w:rsid w:val="00FF448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09070"/>
  <w15:chartTrackingRefBased/>
  <w15:docId w15:val="{0CDA6894-0839-4BC0-8EEF-BF9666561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6E2C"/>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3F7863"/>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52B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E52B8A"/>
    <w:pPr>
      <w:spacing w:after="200"/>
    </w:pPr>
    <w:rPr>
      <w:i/>
      <w:iCs/>
      <w:color w:val="44546A" w:themeColor="text2"/>
      <w:sz w:val="18"/>
      <w:szCs w:val="18"/>
    </w:rPr>
  </w:style>
  <w:style w:type="character" w:styleId="Hyperlink">
    <w:name w:val="Hyperlink"/>
    <w:basedOn w:val="DefaultParagraphFont"/>
    <w:uiPriority w:val="99"/>
    <w:unhideWhenUsed/>
    <w:rsid w:val="007360F0"/>
    <w:rPr>
      <w:color w:val="0563C1" w:themeColor="hyperlink"/>
      <w:u w:val="single"/>
    </w:rPr>
  </w:style>
  <w:style w:type="character" w:customStyle="1" w:styleId="UnresolvedMention1">
    <w:name w:val="Unresolved Mention1"/>
    <w:basedOn w:val="DefaultParagraphFont"/>
    <w:uiPriority w:val="99"/>
    <w:semiHidden/>
    <w:unhideWhenUsed/>
    <w:rsid w:val="007360F0"/>
    <w:rPr>
      <w:color w:val="605E5C"/>
      <w:shd w:val="clear" w:color="auto" w:fill="E1DFDD"/>
    </w:rPr>
  </w:style>
  <w:style w:type="character" w:styleId="CommentReference">
    <w:name w:val="annotation reference"/>
    <w:basedOn w:val="DefaultParagraphFont"/>
    <w:uiPriority w:val="99"/>
    <w:semiHidden/>
    <w:unhideWhenUsed/>
    <w:rsid w:val="00B520B1"/>
    <w:rPr>
      <w:sz w:val="16"/>
      <w:szCs w:val="16"/>
    </w:rPr>
  </w:style>
  <w:style w:type="paragraph" w:styleId="CommentText">
    <w:name w:val="annotation text"/>
    <w:basedOn w:val="Normal"/>
    <w:link w:val="CommentTextChar"/>
    <w:uiPriority w:val="99"/>
    <w:semiHidden/>
    <w:unhideWhenUsed/>
    <w:rsid w:val="00B520B1"/>
    <w:rPr>
      <w:sz w:val="20"/>
      <w:szCs w:val="20"/>
    </w:rPr>
  </w:style>
  <w:style w:type="character" w:customStyle="1" w:styleId="CommentTextChar">
    <w:name w:val="Comment Text Char"/>
    <w:basedOn w:val="DefaultParagraphFont"/>
    <w:link w:val="CommentText"/>
    <w:uiPriority w:val="99"/>
    <w:semiHidden/>
    <w:rsid w:val="00B520B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520B1"/>
    <w:rPr>
      <w:b/>
      <w:bCs/>
    </w:rPr>
  </w:style>
  <w:style w:type="character" w:customStyle="1" w:styleId="CommentSubjectChar">
    <w:name w:val="Comment Subject Char"/>
    <w:basedOn w:val="CommentTextChar"/>
    <w:link w:val="CommentSubject"/>
    <w:uiPriority w:val="99"/>
    <w:semiHidden/>
    <w:rsid w:val="00B520B1"/>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B520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20B1"/>
    <w:rPr>
      <w:rFonts w:ascii="Segoe UI" w:eastAsia="Times New Roman" w:hAnsi="Segoe UI" w:cs="Segoe UI"/>
      <w:sz w:val="18"/>
      <w:szCs w:val="18"/>
    </w:rPr>
  </w:style>
  <w:style w:type="paragraph" w:styleId="ListParagraph">
    <w:name w:val="List Paragraph"/>
    <w:basedOn w:val="Normal"/>
    <w:uiPriority w:val="34"/>
    <w:qFormat/>
    <w:rsid w:val="00DB3763"/>
    <w:pPr>
      <w:ind w:left="720"/>
      <w:contextualSpacing/>
    </w:pPr>
  </w:style>
  <w:style w:type="character" w:customStyle="1" w:styleId="Heading1Char">
    <w:name w:val="Heading 1 Char"/>
    <w:basedOn w:val="DefaultParagraphFont"/>
    <w:link w:val="Heading1"/>
    <w:uiPriority w:val="9"/>
    <w:rsid w:val="003F7863"/>
    <w:rPr>
      <w:rFonts w:ascii="Times New Roman" w:eastAsia="Times New Roman" w:hAnsi="Times New Roman" w:cs="Times New Roman"/>
      <w:b/>
      <w:bCs/>
      <w:kern w:val="36"/>
      <w:sz w:val="48"/>
      <w:szCs w:val="48"/>
    </w:rPr>
  </w:style>
  <w:style w:type="paragraph" w:styleId="Header">
    <w:name w:val="header"/>
    <w:basedOn w:val="Normal"/>
    <w:link w:val="HeaderChar"/>
    <w:uiPriority w:val="99"/>
    <w:unhideWhenUsed/>
    <w:rsid w:val="00440ED2"/>
    <w:pPr>
      <w:tabs>
        <w:tab w:val="center" w:pos="4680"/>
        <w:tab w:val="right" w:pos="9360"/>
      </w:tabs>
    </w:pPr>
  </w:style>
  <w:style w:type="character" w:customStyle="1" w:styleId="HeaderChar">
    <w:name w:val="Header Char"/>
    <w:basedOn w:val="DefaultParagraphFont"/>
    <w:link w:val="Header"/>
    <w:uiPriority w:val="99"/>
    <w:rsid w:val="00440ED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40ED2"/>
    <w:pPr>
      <w:tabs>
        <w:tab w:val="center" w:pos="4680"/>
        <w:tab w:val="right" w:pos="9360"/>
      </w:tabs>
    </w:pPr>
  </w:style>
  <w:style w:type="character" w:customStyle="1" w:styleId="FooterChar">
    <w:name w:val="Footer Char"/>
    <w:basedOn w:val="DefaultParagraphFont"/>
    <w:link w:val="Footer"/>
    <w:uiPriority w:val="99"/>
    <w:rsid w:val="00440ED2"/>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89638">
      <w:bodyDiv w:val="1"/>
      <w:marLeft w:val="0"/>
      <w:marRight w:val="0"/>
      <w:marTop w:val="0"/>
      <w:marBottom w:val="0"/>
      <w:divBdr>
        <w:top w:val="none" w:sz="0" w:space="0" w:color="auto"/>
        <w:left w:val="none" w:sz="0" w:space="0" w:color="auto"/>
        <w:bottom w:val="none" w:sz="0" w:space="0" w:color="auto"/>
        <w:right w:val="none" w:sz="0" w:space="0" w:color="auto"/>
      </w:divBdr>
    </w:div>
    <w:div w:id="77481961">
      <w:bodyDiv w:val="1"/>
      <w:marLeft w:val="0"/>
      <w:marRight w:val="0"/>
      <w:marTop w:val="0"/>
      <w:marBottom w:val="0"/>
      <w:divBdr>
        <w:top w:val="none" w:sz="0" w:space="0" w:color="auto"/>
        <w:left w:val="none" w:sz="0" w:space="0" w:color="auto"/>
        <w:bottom w:val="none" w:sz="0" w:space="0" w:color="auto"/>
        <w:right w:val="none" w:sz="0" w:space="0" w:color="auto"/>
      </w:divBdr>
    </w:div>
    <w:div w:id="81802270">
      <w:bodyDiv w:val="1"/>
      <w:marLeft w:val="0"/>
      <w:marRight w:val="0"/>
      <w:marTop w:val="0"/>
      <w:marBottom w:val="0"/>
      <w:divBdr>
        <w:top w:val="none" w:sz="0" w:space="0" w:color="auto"/>
        <w:left w:val="none" w:sz="0" w:space="0" w:color="auto"/>
        <w:bottom w:val="none" w:sz="0" w:space="0" w:color="auto"/>
        <w:right w:val="none" w:sz="0" w:space="0" w:color="auto"/>
      </w:divBdr>
    </w:div>
    <w:div w:id="300967007">
      <w:bodyDiv w:val="1"/>
      <w:marLeft w:val="0"/>
      <w:marRight w:val="0"/>
      <w:marTop w:val="0"/>
      <w:marBottom w:val="0"/>
      <w:divBdr>
        <w:top w:val="none" w:sz="0" w:space="0" w:color="auto"/>
        <w:left w:val="none" w:sz="0" w:space="0" w:color="auto"/>
        <w:bottom w:val="none" w:sz="0" w:space="0" w:color="auto"/>
        <w:right w:val="none" w:sz="0" w:space="0" w:color="auto"/>
      </w:divBdr>
    </w:div>
    <w:div w:id="332029990">
      <w:bodyDiv w:val="1"/>
      <w:marLeft w:val="0"/>
      <w:marRight w:val="0"/>
      <w:marTop w:val="0"/>
      <w:marBottom w:val="0"/>
      <w:divBdr>
        <w:top w:val="none" w:sz="0" w:space="0" w:color="auto"/>
        <w:left w:val="none" w:sz="0" w:space="0" w:color="auto"/>
        <w:bottom w:val="none" w:sz="0" w:space="0" w:color="auto"/>
        <w:right w:val="none" w:sz="0" w:space="0" w:color="auto"/>
      </w:divBdr>
    </w:div>
    <w:div w:id="504320645">
      <w:bodyDiv w:val="1"/>
      <w:marLeft w:val="0"/>
      <w:marRight w:val="0"/>
      <w:marTop w:val="0"/>
      <w:marBottom w:val="0"/>
      <w:divBdr>
        <w:top w:val="none" w:sz="0" w:space="0" w:color="auto"/>
        <w:left w:val="none" w:sz="0" w:space="0" w:color="auto"/>
        <w:bottom w:val="none" w:sz="0" w:space="0" w:color="auto"/>
        <w:right w:val="none" w:sz="0" w:space="0" w:color="auto"/>
      </w:divBdr>
    </w:div>
    <w:div w:id="558631732">
      <w:bodyDiv w:val="1"/>
      <w:marLeft w:val="0"/>
      <w:marRight w:val="0"/>
      <w:marTop w:val="0"/>
      <w:marBottom w:val="0"/>
      <w:divBdr>
        <w:top w:val="none" w:sz="0" w:space="0" w:color="auto"/>
        <w:left w:val="none" w:sz="0" w:space="0" w:color="auto"/>
        <w:bottom w:val="none" w:sz="0" w:space="0" w:color="auto"/>
        <w:right w:val="none" w:sz="0" w:space="0" w:color="auto"/>
      </w:divBdr>
    </w:div>
    <w:div w:id="674379775">
      <w:bodyDiv w:val="1"/>
      <w:marLeft w:val="0"/>
      <w:marRight w:val="0"/>
      <w:marTop w:val="0"/>
      <w:marBottom w:val="0"/>
      <w:divBdr>
        <w:top w:val="none" w:sz="0" w:space="0" w:color="auto"/>
        <w:left w:val="none" w:sz="0" w:space="0" w:color="auto"/>
        <w:bottom w:val="none" w:sz="0" w:space="0" w:color="auto"/>
        <w:right w:val="none" w:sz="0" w:space="0" w:color="auto"/>
      </w:divBdr>
      <w:divsChild>
        <w:div w:id="13083138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0580199">
              <w:marLeft w:val="0"/>
              <w:marRight w:val="0"/>
              <w:marTop w:val="0"/>
              <w:marBottom w:val="0"/>
              <w:divBdr>
                <w:top w:val="none" w:sz="0" w:space="0" w:color="auto"/>
                <w:left w:val="none" w:sz="0" w:space="0" w:color="auto"/>
                <w:bottom w:val="none" w:sz="0" w:space="0" w:color="auto"/>
                <w:right w:val="none" w:sz="0" w:space="0" w:color="auto"/>
              </w:divBdr>
              <w:divsChild>
                <w:div w:id="143073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509220">
      <w:bodyDiv w:val="1"/>
      <w:marLeft w:val="0"/>
      <w:marRight w:val="0"/>
      <w:marTop w:val="0"/>
      <w:marBottom w:val="0"/>
      <w:divBdr>
        <w:top w:val="none" w:sz="0" w:space="0" w:color="auto"/>
        <w:left w:val="none" w:sz="0" w:space="0" w:color="auto"/>
        <w:bottom w:val="none" w:sz="0" w:space="0" w:color="auto"/>
        <w:right w:val="none" w:sz="0" w:space="0" w:color="auto"/>
      </w:divBdr>
    </w:div>
    <w:div w:id="731972741">
      <w:bodyDiv w:val="1"/>
      <w:marLeft w:val="0"/>
      <w:marRight w:val="0"/>
      <w:marTop w:val="0"/>
      <w:marBottom w:val="0"/>
      <w:divBdr>
        <w:top w:val="none" w:sz="0" w:space="0" w:color="auto"/>
        <w:left w:val="none" w:sz="0" w:space="0" w:color="auto"/>
        <w:bottom w:val="none" w:sz="0" w:space="0" w:color="auto"/>
        <w:right w:val="none" w:sz="0" w:space="0" w:color="auto"/>
      </w:divBdr>
    </w:div>
    <w:div w:id="911621767">
      <w:bodyDiv w:val="1"/>
      <w:marLeft w:val="0"/>
      <w:marRight w:val="0"/>
      <w:marTop w:val="0"/>
      <w:marBottom w:val="0"/>
      <w:divBdr>
        <w:top w:val="none" w:sz="0" w:space="0" w:color="auto"/>
        <w:left w:val="none" w:sz="0" w:space="0" w:color="auto"/>
        <w:bottom w:val="none" w:sz="0" w:space="0" w:color="auto"/>
        <w:right w:val="none" w:sz="0" w:space="0" w:color="auto"/>
      </w:divBdr>
    </w:div>
    <w:div w:id="1054964212">
      <w:bodyDiv w:val="1"/>
      <w:marLeft w:val="0"/>
      <w:marRight w:val="0"/>
      <w:marTop w:val="0"/>
      <w:marBottom w:val="0"/>
      <w:divBdr>
        <w:top w:val="none" w:sz="0" w:space="0" w:color="auto"/>
        <w:left w:val="none" w:sz="0" w:space="0" w:color="auto"/>
        <w:bottom w:val="none" w:sz="0" w:space="0" w:color="auto"/>
        <w:right w:val="none" w:sz="0" w:space="0" w:color="auto"/>
      </w:divBdr>
    </w:div>
    <w:div w:id="1182432899">
      <w:bodyDiv w:val="1"/>
      <w:marLeft w:val="0"/>
      <w:marRight w:val="0"/>
      <w:marTop w:val="0"/>
      <w:marBottom w:val="0"/>
      <w:divBdr>
        <w:top w:val="none" w:sz="0" w:space="0" w:color="auto"/>
        <w:left w:val="none" w:sz="0" w:space="0" w:color="auto"/>
        <w:bottom w:val="none" w:sz="0" w:space="0" w:color="auto"/>
        <w:right w:val="none" w:sz="0" w:space="0" w:color="auto"/>
      </w:divBdr>
    </w:div>
    <w:div w:id="1209148599">
      <w:bodyDiv w:val="1"/>
      <w:marLeft w:val="0"/>
      <w:marRight w:val="0"/>
      <w:marTop w:val="0"/>
      <w:marBottom w:val="0"/>
      <w:divBdr>
        <w:top w:val="none" w:sz="0" w:space="0" w:color="auto"/>
        <w:left w:val="none" w:sz="0" w:space="0" w:color="auto"/>
        <w:bottom w:val="none" w:sz="0" w:space="0" w:color="auto"/>
        <w:right w:val="none" w:sz="0" w:space="0" w:color="auto"/>
      </w:divBdr>
    </w:div>
    <w:div w:id="1766535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3E8A6F-6369-45DC-9D19-9AA59573F9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1607</TotalTime>
  <Pages>18</Pages>
  <Words>54342</Words>
  <Characters>309754</Characters>
  <Application>Microsoft Office Word</Application>
  <DocSecurity>0</DocSecurity>
  <Lines>2581</Lines>
  <Paragraphs>726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Ghadeer S Aljuraiban</dc:creator>
  <cp:keywords/>
  <dc:description/>
  <cp:lastModifiedBy>Ghadeer S Aljuraiban</cp:lastModifiedBy>
  <cp:revision>327</cp:revision>
  <cp:lastPrinted>2019-01-09T06:30:00Z</cp:lastPrinted>
  <dcterms:created xsi:type="dcterms:W3CDTF">2018-12-04T05:32:00Z</dcterms:created>
  <dcterms:modified xsi:type="dcterms:W3CDTF">2019-01-09T07:18:00Z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79f5bedc-ae63-347b-b835-4ef8ad7d4fa7</vt:lpwstr>
  </property>
  <property fmtid="{D5CDD505-2E9C-101B-9397-08002B2CF9AE}" pid="4" name="Mendeley Citation Style_1">
    <vt:lpwstr>http://www.zotero.org/styles/advances-in-nutrition</vt:lpwstr>
  </property>
  <property fmtid="{D5CDD505-2E9C-101B-9397-08002B2CF9AE}" pid="5" name="Mendeley Recent Style Id 0_1">
    <vt:lpwstr>http://www.zotero.org/styles/advances-in-nutrition</vt:lpwstr>
  </property>
  <property fmtid="{D5CDD505-2E9C-101B-9397-08002B2CF9AE}" pid="6" name="Mendeley Recent Style Name 0_1">
    <vt:lpwstr>Advances in Nutrition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16th edition (author-date)</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(author-date)</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7th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http://www.zotero.org/styles/public-health-nutrition</vt:lpwstr>
  </property>
  <property fmtid="{D5CDD505-2E9C-101B-9397-08002B2CF9AE}" pid="24" name="Mendeley Recent Style Name 9_1">
    <vt:lpwstr>Public Health Nutrition</vt:lpwstr>
  </property>
</Properties>
</file>