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47" w:rsidRPr="00FA4747" w:rsidRDefault="00FA4747" w:rsidP="00FA4747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en-GB"/>
        </w:rPr>
      </w:pPr>
      <w:r w:rsidRPr="00FA4747">
        <w:rPr>
          <w:rFonts w:eastAsia="Times New Roman" w:cstheme="minorHAnsi"/>
          <w:b/>
          <w:bCs/>
          <w:kern w:val="36"/>
          <w:lang w:eastAsia="en-GB"/>
        </w:rPr>
        <w:t xml:space="preserve">Late Breaking Abstract - </w:t>
      </w:r>
      <w:bookmarkStart w:id="0" w:name="_GoBack"/>
      <w:r w:rsidRPr="00FA4747">
        <w:rPr>
          <w:rFonts w:eastAsia="Times New Roman" w:cstheme="minorHAnsi"/>
          <w:b/>
          <w:bCs/>
          <w:kern w:val="36"/>
          <w:lang w:eastAsia="en-GB"/>
        </w:rPr>
        <w:t xml:space="preserve">Matrix </w:t>
      </w:r>
      <w:proofErr w:type="spellStart"/>
      <w:r w:rsidRPr="00FA4747">
        <w:rPr>
          <w:rFonts w:eastAsia="Times New Roman" w:cstheme="minorHAnsi"/>
          <w:b/>
          <w:bCs/>
          <w:kern w:val="36"/>
          <w:lang w:eastAsia="en-GB"/>
        </w:rPr>
        <w:t>metalloproteinases</w:t>
      </w:r>
      <w:proofErr w:type="spellEnd"/>
      <w:r w:rsidRPr="00FA4747">
        <w:rPr>
          <w:rFonts w:eastAsia="Times New Roman" w:cstheme="minorHAnsi"/>
          <w:b/>
          <w:bCs/>
          <w:kern w:val="36"/>
          <w:lang w:eastAsia="en-GB"/>
        </w:rPr>
        <w:t xml:space="preserve"> in serum and sputum reflect distinct processes of relevance to asthma</w:t>
      </w:r>
      <w:bookmarkEnd w:id="0"/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lang w:eastAsia="en-GB"/>
        </w:rPr>
        <w:t>Anna James, Cristina Gomez, John-</w:t>
      </w:r>
      <w:proofErr w:type="spellStart"/>
      <w:r w:rsidRPr="00FA4747">
        <w:rPr>
          <w:rFonts w:eastAsia="Times New Roman" w:cstheme="minorHAnsi"/>
          <w:lang w:eastAsia="en-GB"/>
        </w:rPr>
        <w:t>Olof</w:t>
      </w:r>
      <w:proofErr w:type="spellEnd"/>
      <w:r w:rsidRPr="00FA4747">
        <w:rPr>
          <w:rFonts w:eastAsia="Times New Roman" w:cstheme="minorHAnsi"/>
          <w:lang w:eastAsia="en-GB"/>
        </w:rPr>
        <w:t xml:space="preserve"> </w:t>
      </w:r>
      <w:proofErr w:type="spellStart"/>
      <w:r w:rsidRPr="00FA4747">
        <w:rPr>
          <w:rFonts w:eastAsia="Times New Roman" w:cstheme="minorHAnsi"/>
          <w:lang w:eastAsia="en-GB"/>
        </w:rPr>
        <w:t>Thörngren</w:t>
      </w:r>
      <w:proofErr w:type="spellEnd"/>
      <w:r w:rsidRPr="00FA4747">
        <w:rPr>
          <w:rFonts w:eastAsia="Times New Roman" w:cstheme="minorHAnsi"/>
          <w:lang w:eastAsia="en-GB"/>
        </w:rPr>
        <w:t xml:space="preserve">, Magnus Ericsson, Johan </w:t>
      </w:r>
      <w:proofErr w:type="spellStart"/>
      <w:r w:rsidRPr="00FA4747">
        <w:rPr>
          <w:rFonts w:eastAsia="Times New Roman" w:cstheme="minorHAnsi"/>
          <w:lang w:eastAsia="en-GB"/>
        </w:rPr>
        <w:t>Kolmert</w:t>
      </w:r>
      <w:proofErr w:type="spellEnd"/>
      <w:r w:rsidRPr="00FA4747">
        <w:rPr>
          <w:rFonts w:eastAsia="Times New Roman" w:cstheme="minorHAnsi"/>
          <w:lang w:eastAsia="en-GB"/>
        </w:rPr>
        <w:t xml:space="preserve">, Craig Wheelock, Richard Knowles, Ian Adcock, Sven-Erik </w:t>
      </w:r>
      <w:proofErr w:type="spellStart"/>
      <w:r w:rsidRPr="00FA4747">
        <w:rPr>
          <w:rFonts w:eastAsia="Times New Roman" w:cstheme="minorHAnsi"/>
          <w:lang w:eastAsia="en-GB"/>
        </w:rPr>
        <w:t>Dahlén</w:t>
      </w:r>
      <w:proofErr w:type="spellEnd"/>
      <w:r w:rsidRPr="00FA4747">
        <w:rPr>
          <w:rFonts w:eastAsia="Times New Roman" w:cstheme="minorHAnsi"/>
          <w:lang w:eastAsia="en-GB"/>
        </w:rPr>
        <w:t>, . U-</w:t>
      </w:r>
      <w:proofErr w:type="spellStart"/>
      <w:r w:rsidRPr="00FA4747">
        <w:rPr>
          <w:rFonts w:eastAsia="Times New Roman" w:cstheme="minorHAnsi"/>
          <w:lang w:eastAsia="en-GB"/>
        </w:rPr>
        <w:t>Biopred</w:t>
      </w:r>
      <w:proofErr w:type="spellEnd"/>
      <w:r w:rsidRPr="00FA4747">
        <w:rPr>
          <w:rFonts w:eastAsia="Times New Roman" w:cstheme="minorHAnsi"/>
          <w:lang w:eastAsia="en-GB"/>
        </w:rPr>
        <w:t xml:space="preserve"> &amp; </w:t>
      </w:r>
      <w:proofErr w:type="spellStart"/>
      <w:r w:rsidRPr="00FA4747">
        <w:rPr>
          <w:rFonts w:eastAsia="Times New Roman" w:cstheme="minorHAnsi"/>
          <w:lang w:eastAsia="en-GB"/>
        </w:rPr>
        <w:t>Bioair</w:t>
      </w:r>
      <w:proofErr w:type="spellEnd"/>
      <w:r w:rsidRPr="00FA4747">
        <w:rPr>
          <w:rFonts w:eastAsia="Times New Roman" w:cstheme="minorHAnsi"/>
          <w:lang w:eastAsia="en-GB"/>
        </w:rPr>
        <w:t xml:space="preserve"> Study Groups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lang w:eastAsia="en-GB"/>
        </w:rPr>
        <w:t xml:space="preserve">European Respiratory Journal 2019 54: OA3802; DOI: 10.1183/13993003.congress-2019.OA3802 </w:t>
      </w:r>
    </w:p>
    <w:p w:rsidR="00FA4747" w:rsidRDefault="00FA4747" w:rsidP="00FA4747">
      <w:pPr>
        <w:spacing w:after="0" w:line="240" w:lineRule="auto"/>
        <w:jc w:val="both"/>
        <w:outlineLvl w:val="1"/>
        <w:rPr>
          <w:rFonts w:eastAsia="Times New Roman" w:cstheme="minorHAnsi"/>
          <w:lang w:eastAsia="en-GB"/>
        </w:rPr>
      </w:pPr>
    </w:p>
    <w:p w:rsidR="00FA4747" w:rsidRPr="00FA4747" w:rsidRDefault="00FA4747" w:rsidP="00FA4747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Abstract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Background:</w:t>
      </w:r>
      <w:r w:rsidRPr="00FA4747">
        <w:rPr>
          <w:rFonts w:eastAsia="Times New Roman" w:cstheme="minorHAnsi"/>
          <w:lang w:eastAsia="en-GB"/>
        </w:rPr>
        <w:t xml:space="preserve"> Local airway matrix metalloproteinase (MMP) expression associates with specific severe asthma phenotypes, but it is unknown whether circulating MMPs are useful biomarkers of asthma severity.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Aim:</w:t>
      </w:r>
      <w:r w:rsidRPr="00FA4747">
        <w:rPr>
          <w:rFonts w:eastAsia="Times New Roman" w:cstheme="minorHAnsi"/>
          <w:lang w:eastAsia="en-GB"/>
        </w:rPr>
        <w:t xml:space="preserve"> To examine relationships between serum and sputum MMPs with asthma severity and steroid use.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Methods:</w:t>
      </w:r>
      <w:r w:rsidRPr="00FA4747">
        <w:rPr>
          <w:rFonts w:eastAsia="Times New Roman" w:cstheme="minorHAnsi"/>
          <w:lang w:eastAsia="en-GB"/>
        </w:rPr>
        <w:t xml:space="preserve"> Samples were from mild-to-moderate (MA) and severe asthmatics (SA) in two European studies, U-BIOPRED (87 MA, 413 SA) and BIOAIR (55 MA, 63 SA) (ERJ 2015</w:t>
      </w:r>
      <w:proofErr w:type="gramStart"/>
      <w:r w:rsidRPr="00FA4747">
        <w:rPr>
          <w:rFonts w:eastAsia="Times New Roman" w:cstheme="minorHAnsi"/>
          <w:lang w:eastAsia="en-GB"/>
        </w:rPr>
        <w:t>;46:1308</w:t>
      </w:r>
      <w:proofErr w:type="gramEnd"/>
      <w:r w:rsidRPr="00FA4747">
        <w:rPr>
          <w:rFonts w:eastAsia="Times New Roman" w:cstheme="minorHAnsi"/>
          <w:lang w:eastAsia="en-GB"/>
        </w:rPr>
        <w:t xml:space="preserve"> &amp; Thorax 2013;68:611). MMPs (1, 2, 3, 7, 8, 9, 10, 12, 13, 14, 16, </w:t>
      </w:r>
      <w:proofErr w:type="gramStart"/>
      <w:r w:rsidRPr="00FA4747">
        <w:rPr>
          <w:rFonts w:eastAsia="Times New Roman" w:cstheme="minorHAnsi"/>
          <w:lang w:eastAsia="en-GB"/>
        </w:rPr>
        <w:t>17</w:t>
      </w:r>
      <w:proofErr w:type="gramEnd"/>
      <w:r w:rsidRPr="00FA4747">
        <w:rPr>
          <w:rFonts w:eastAsia="Times New Roman" w:cstheme="minorHAnsi"/>
          <w:lang w:eastAsia="en-GB"/>
        </w:rPr>
        <w:t>) were measured by proteomic array (</w:t>
      </w:r>
      <w:proofErr w:type="spellStart"/>
      <w:r w:rsidRPr="00FA4747">
        <w:rPr>
          <w:rFonts w:eastAsia="Times New Roman" w:cstheme="minorHAnsi"/>
          <w:lang w:eastAsia="en-GB"/>
        </w:rPr>
        <w:t>SomaScan</w:t>
      </w:r>
      <w:proofErr w:type="spellEnd"/>
      <w:r w:rsidRPr="00FA4747">
        <w:rPr>
          <w:rFonts w:eastAsia="Times New Roman" w:cstheme="minorHAnsi"/>
          <w:lang w:eastAsia="en-GB"/>
        </w:rPr>
        <w:t xml:space="preserve">®, </w:t>
      </w:r>
      <w:proofErr w:type="spellStart"/>
      <w:r w:rsidRPr="00FA4747">
        <w:rPr>
          <w:rFonts w:eastAsia="Times New Roman" w:cstheme="minorHAnsi"/>
          <w:lang w:eastAsia="en-GB"/>
        </w:rPr>
        <w:t>SomaLogic</w:t>
      </w:r>
      <w:proofErr w:type="spellEnd"/>
      <w:r w:rsidRPr="00FA4747">
        <w:rPr>
          <w:rFonts w:eastAsia="Times New Roman" w:cstheme="minorHAnsi"/>
          <w:lang w:eastAsia="en-GB"/>
        </w:rPr>
        <w:t xml:space="preserve">), MMP-3 by </w:t>
      </w:r>
      <w:proofErr w:type="spellStart"/>
      <w:r w:rsidRPr="00FA4747">
        <w:rPr>
          <w:rFonts w:eastAsia="Times New Roman" w:cstheme="minorHAnsi"/>
          <w:lang w:eastAsia="en-GB"/>
        </w:rPr>
        <w:t>Luminex</w:t>
      </w:r>
      <w:proofErr w:type="spellEnd"/>
      <w:r w:rsidRPr="00FA4747">
        <w:rPr>
          <w:rFonts w:eastAsia="Times New Roman" w:cstheme="minorHAnsi"/>
          <w:lang w:eastAsia="en-GB"/>
        </w:rPr>
        <w:t>® (R&amp;D Systems) and urinary prednisolone by mass spectrometry. BIOAIR included a 2-week intervention with oral prednisolone (0.5mg/kg/day).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Results:</w:t>
      </w:r>
      <w:r w:rsidRPr="00FA4747">
        <w:rPr>
          <w:rFonts w:eastAsia="Times New Roman" w:cstheme="minorHAnsi"/>
          <w:lang w:eastAsia="en-GB"/>
        </w:rPr>
        <w:t xml:space="preserve"> MMP levels in serum and sputum were not strongly related and showed varying associations with disease severity (fig 1A &amp; B). Serum MMP-3 was markedly elevated in SA patients taking oral steroids, an effect not observed in sputum, and confirmed by the BIOAIR steroid intervention which increased serum MMP-3 4-fold (fig 1C).</w:t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noProof/>
          <w:color w:val="0000FF"/>
          <w:lang w:eastAsia="en-GB"/>
        </w:rPr>
        <w:drawing>
          <wp:inline distT="0" distB="0" distL="0" distR="0">
            <wp:extent cx="2463165" cy="4189730"/>
            <wp:effectExtent l="0" t="0" r="0" b="1270"/>
            <wp:docPr id="2" name="Picture 2" descr="Figure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747" w:rsidRPr="00FA4747" w:rsidRDefault="00FA4747" w:rsidP="00FA4747">
      <w:pPr>
        <w:spacing w:after="0" w:line="240" w:lineRule="auto"/>
        <w:jc w:val="both"/>
        <w:rPr>
          <w:rFonts w:eastAsia="Times New Roman" w:cstheme="minorHAnsi"/>
          <w:lang w:eastAsia="en-GB"/>
        </w:rPr>
      </w:pPr>
      <w:r w:rsidRPr="00FA4747">
        <w:rPr>
          <w:rFonts w:eastAsia="Times New Roman" w:cstheme="minorHAnsi"/>
          <w:b/>
          <w:bCs/>
          <w:lang w:eastAsia="en-GB"/>
        </w:rPr>
        <w:t>Conclusion:</w:t>
      </w:r>
      <w:r w:rsidRPr="00FA4747">
        <w:rPr>
          <w:rFonts w:eastAsia="Times New Roman" w:cstheme="minorHAnsi"/>
          <w:lang w:eastAsia="en-GB"/>
        </w:rPr>
        <w:t xml:space="preserve"> As local airway MMPs emerge as biomarkers of novel asthma phenotypes we find that serum and sputum MMPs differ regarding associations with disease severity and steroid use. Serum MMP-3 stands out as being strongly upregulated by steroid use, questioning its usefulness and highlighting a need to determine therapeutic effects on new biomarkers.</w:t>
      </w:r>
    </w:p>
    <w:p w:rsidR="00CB3E43" w:rsidRPr="00FA4747" w:rsidRDefault="00CB3E43" w:rsidP="00FA4747">
      <w:pPr>
        <w:spacing w:after="0" w:line="240" w:lineRule="auto"/>
        <w:jc w:val="both"/>
        <w:rPr>
          <w:rFonts w:cstheme="minorHAnsi"/>
        </w:rPr>
      </w:pPr>
    </w:p>
    <w:sectPr w:rsidR="00CB3E43" w:rsidRPr="00FA4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1391"/>
    <w:multiLevelType w:val="multilevel"/>
    <w:tmpl w:val="ACC2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671F51"/>
    <w:multiLevelType w:val="multilevel"/>
    <w:tmpl w:val="1E9E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47"/>
    <w:rsid w:val="00402C7F"/>
    <w:rsid w:val="008E1E18"/>
    <w:rsid w:val="00B05857"/>
    <w:rsid w:val="00CB3E43"/>
    <w:rsid w:val="00FA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FA52"/>
  <w15:chartTrackingRefBased/>
  <w15:docId w15:val="{98D4272C-F7F3-427D-ABD7-1386F4B6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4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A4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74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A47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ighwire-citation-authors">
    <w:name w:val="highwire-citation-authors"/>
    <w:basedOn w:val="DefaultParagraphFont"/>
    <w:rsid w:val="00FA4747"/>
  </w:style>
  <w:style w:type="character" w:customStyle="1" w:styleId="highwire-citation-author">
    <w:name w:val="highwire-citation-author"/>
    <w:basedOn w:val="DefaultParagraphFont"/>
    <w:rsid w:val="00FA4747"/>
  </w:style>
  <w:style w:type="character" w:customStyle="1" w:styleId="nlm-given-names">
    <w:name w:val="nlm-given-names"/>
    <w:basedOn w:val="DefaultParagraphFont"/>
    <w:rsid w:val="00FA4747"/>
  </w:style>
  <w:style w:type="character" w:customStyle="1" w:styleId="nlm-surname">
    <w:name w:val="nlm-surname"/>
    <w:basedOn w:val="DefaultParagraphFont"/>
    <w:rsid w:val="00FA4747"/>
  </w:style>
  <w:style w:type="character" w:customStyle="1" w:styleId="highwire-cite-metadata-journal">
    <w:name w:val="highwire-cite-metadata-journal"/>
    <w:basedOn w:val="DefaultParagraphFont"/>
    <w:rsid w:val="00FA4747"/>
  </w:style>
  <w:style w:type="character" w:customStyle="1" w:styleId="highwire-cite-metadata-date">
    <w:name w:val="highwire-cite-metadata-date"/>
    <w:basedOn w:val="DefaultParagraphFont"/>
    <w:rsid w:val="00FA4747"/>
  </w:style>
  <w:style w:type="character" w:customStyle="1" w:styleId="highwire-cite-metadata-volume">
    <w:name w:val="highwire-cite-metadata-volume"/>
    <w:basedOn w:val="DefaultParagraphFont"/>
    <w:rsid w:val="00FA4747"/>
  </w:style>
  <w:style w:type="character" w:customStyle="1" w:styleId="highwire-cite-metadata-pages">
    <w:name w:val="highwire-cite-metadata-pages"/>
    <w:basedOn w:val="DefaultParagraphFont"/>
    <w:rsid w:val="00FA4747"/>
  </w:style>
  <w:style w:type="character" w:customStyle="1" w:styleId="highwire-cite-metadata-doi">
    <w:name w:val="highwire-cite-metadata-doi"/>
    <w:basedOn w:val="DefaultParagraphFont"/>
    <w:rsid w:val="00FA4747"/>
  </w:style>
  <w:style w:type="character" w:customStyle="1" w:styleId="label">
    <w:name w:val="label"/>
    <w:basedOn w:val="DefaultParagraphFont"/>
    <w:rsid w:val="00FA4747"/>
  </w:style>
  <w:style w:type="character" w:styleId="Hyperlink">
    <w:name w:val="Hyperlink"/>
    <w:basedOn w:val="DefaultParagraphFont"/>
    <w:uiPriority w:val="99"/>
    <w:semiHidden/>
    <w:unhideWhenUsed/>
    <w:rsid w:val="00FA47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A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A4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0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06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7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6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9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53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0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24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32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88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358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5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10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0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3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631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319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544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9122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96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30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96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6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3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7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64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48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5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76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61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488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01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116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386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881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783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393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erj.ersjournals.com/content/erj/54/suppl_63/OA3802/F1.large.jpg?width=800&amp;height=600&amp;carousel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1578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Adcock, Ian M</dc:creator>
  <cp:keywords/>
  <dc:description/>
  <cp:lastModifiedBy>Adcock, Ian M</cp:lastModifiedBy>
  <cp:revision>1</cp:revision>
  <dcterms:created xsi:type="dcterms:W3CDTF">2020-02-11T06:47:00Z</dcterms:created>
  <dcterms:modified xsi:type="dcterms:W3CDTF">2020-02-11T06:48:00Z</dcterms:modified>
</cp:coreProperties>
</file>