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2DB" w:rsidRPr="00A042FF" w:rsidRDefault="00AB32DB" w:rsidP="00AB32DB">
      <w:pPr>
        <w:rPr>
          <w:rFonts w:ascii="Arial" w:hAnsi="Arial" w:cs="Arial"/>
          <w:sz w:val="36"/>
          <w:szCs w:val="36"/>
        </w:rPr>
      </w:pPr>
      <w:r w:rsidRPr="00A042FF">
        <w:rPr>
          <w:rFonts w:ascii="Arial" w:hAnsi="Arial" w:cs="Arial"/>
          <w:sz w:val="36"/>
          <w:szCs w:val="36"/>
        </w:rPr>
        <w:t xml:space="preserve">Commentary </w:t>
      </w:r>
    </w:p>
    <w:p w:rsidR="00AB32DB" w:rsidRPr="00A042FF" w:rsidRDefault="00AB32DB" w:rsidP="00AB32DB">
      <w:pPr>
        <w:rPr>
          <w:rFonts w:ascii="Arial" w:eastAsia="Times New Roman" w:hAnsi="Arial" w:cs="Arial"/>
          <w:iCs/>
          <w:sz w:val="22"/>
          <w:szCs w:val="22"/>
          <w:lang w:eastAsia="en-GB"/>
        </w:rPr>
      </w:pPr>
      <w:r w:rsidRPr="00A042FF">
        <w:rPr>
          <w:rFonts w:ascii="Arial" w:hAnsi="Arial" w:cs="Arial"/>
        </w:rPr>
        <w:t xml:space="preserve">Corresponding author: </w:t>
      </w:r>
      <w:r w:rsidRPr="00A042FF">
        <w:rPr>
          <w:rFonts w:ascii="Arial" w:hAnsi="Arial" w:cs="Arial"/>
          <w:sz w:val="22"/>
          <w:szCs w:val="22"/>
        </w:rPr>
        <w:t xml:space="preserve">May CI van </w:t>
      </w:r>
      <w:proofErr w:type="spellStart"/>
      <w:r w:rsidRPr="00A042FF">
        <w:rPr>
          <w:rFonts w:ascii="Arial" w:hAnsi="Arial" w:cs="Arial"/>
          <w:sz w:val="22"/>
          <w:szCs w:val="22"/>
        </w:rPr>
        <w:t>Schalkwyk</w:t>
      </w:r>
      <w:proofErr w:type="spellEnd"/>
      <w:r w:rsidRPr="00A042FF">
        <w:rPr>
          <w:rFonts w:ascii="Arial" w:hAnsi="Arial" w:cs="Arial"/>
          <w:sz w:val="22"/>
          <w:szCs w:val="22"/>
        </w:rPr>
        <w:t xml:space="preserve">, </w:t>
      </w:r>
      <w:r w:rsidRPr="00A042FF">
        <w:rPr>
          <w:rFonts w:ascii="Arial" w:eastAsia="Times New Roman" w:hAnsi="Arial" w:cs="Arial"/>
          <w:bCs/>
          <w:sz w:val="22"/>
          <w:szCs w:val="22"/>
          <w:lang w:eastAsia="en-GB"/>
        </w:rPr>
        <w:t>Specialist Registrar in Public Health &amp; Academic Clinical Fellow,</w:t>
      </w:r>
      <w:r w:rsidRPr="00A042FF">
        <w:rPr>
          <w:rFonts w:ascii="Arial" w:eastAsia="Times New Roman" w:hAnsi="Arial" w:cs="Arial"/>
          <w:b/>
          <w:bCs/>
          <w:sz w:val="18"/>
          <w:szCs w:val="18"/>
          <w:lang w:eastAsia="en-GB"/>
        </w:rPr>
        <w:t xml:space="preserve"> </w:t>
      </w:r>
      <w:r w:rsidRPr="00A042FF">
        <w:rPr>
          <w:rFonts w:ascii="Arial" w:eastAsia="Times New Roman" w:hAnsi="Arial" w:cs="Arial"/>
          <w:iCs/>
          <w:sz w:val="22"/>
          <w:szCs w:val="22"/>
          <w:lang w:eastAsia="en-GB"/>
        </w:rPr>
        <w:t>Department of Primary Care and Public Health, Imperial College London, London W6 6RP, UK</w:t>
      </w:r>
      <w:r w:rsidRPr="00A042FF">
        <w:rPr>
          <w:rFonts w:ascii="Arial" w:eastAsia="Times New Roman" w:hAnsi="Arial" w:cs="Arial"/>
          <w:iCs/>
          <w:sz w:val="22"/>
          <w:szCs w:val="22"/>
          <w:lang w:eastAsia="en-GB"/>
        </w:rPr>
        <w:br/>
        <w:t>Email: maizie333@icloud.com</w:t>
      </w:r>
    </w:p>
    <w:p w:rsidR="00AB32DB" w:rsidRDefault="00AB32DB" w:rsidP="00AB32DB">
      <w:pPr>
        <w:rPr>
          <w:rFonts w:ascii="Arial" w:hAnsi="Arial" w:cs="Arial"/>
          <w:color w:val="FF0000"/>
          <w:sz w:val="36"/>
          <w:szCs w:val="36"/>
        </w:rPr>
      </w:pPr>
      <w:r w:rsidRPr="009D57B5">
        <w:rPr>
          <w:rFonts w:ascii="Arial" w:hAnsi="Arial" w:cs="Arial"/>
          <w:color w:val="FF0000"/>
          <w:sz w:val="36"/>
          <w:szCs w:val="36"/>
        </w:rPr>
        <w:t>Translational Health Policy: from paper to policy to practice</w:t>
      </w:r>
      <w:r>
        <w:rPr>
          <w:rFonts w:ascii="Arial" w:hAnsi="Arial" w:cs="Arial"/>
          <w:color w:val="FF0000"/>
          <w:sz w:val="36"/>
          <w:szCs w:val="36"/>
        </w:rPr>
        <w:t>, or</w:t>
      </w:r>
      <w:r w:rsidRPr="009D57B5">
        <w:rPr>
          <w:rFonts w:ascii="Arial" w:hAnsi="Arial" w:cs="Arial"/>
          <w:color w:val="FF0000"/>
          <w:sz w:val="36"/>
          <w:szCs w:val="36"/>
        </w:rPr>
        <w:t xml:space="preserve"> </w:t>
      </w:r>
    </w:p>
    <w:p w:rsidR="00AB32DB" w:rsidRDefault="00AB32DB" w:rsidP="00AB32DB">
      <w:pPr>
        <w:rPr>
          <w:rFonts w:ascii="Arial" w:hAnsi="Arial" w:cs="Arial"/>
          <w:color w:val="FF0000"/>
          <w:sz w:val="36"/>
          <w:szCs w:val="36"/>
        </w:rPr>
      </w:pPr>
      <w:r w:rsidRPr="009D57B5">
        <w:rPr>
          <w:rFonts w:ascii="Arial" w:hAnsi="Arial" w:cs="Arial"/>
          <w:color w:val="FF0000"/>
          <w:sz w:val="36"/>
          <w:szCs w:val="36"/>
        </w:rPr>
        <w:t xml:space="preserve">Translational Health Policy: </w:t>
      </w:r>
      <w:r>
        <w:rPr>
          <w:rFonts w:ascii="Arial" w:hAnsi="Arial" w:cs="Arial"/>
          <w:color w:val="FF0000"/>
          <w:sz w:val="36"/>
          <w:szCs w:val="36"/>
        </w:rPr>
        <w:t>policies for people</w:t>
      </w:r>
    </w:p>
    <w:p w:rsidR="00AB32DB" w:rsidRPr="00A042FF" w:rsidRDefault="00AB32DB" w:rsidP="00AB32DB">
      <w:pPr>
        <w:pStyle w:val="Heading3"/>
        <w:jc w:val="both"/>
        <w:rPr>
          <w:rFonts w:ascii="Arial" w:hAnsi="Arial" w:cs="Arial"/>
          <w:sz w:val="32"/>
          <w:szCs w:val="32"/>
          <w:vertAlign w:val="superscript"/>
        </w:rPr>
      </w:pPr>
      <w:r w:rsidRPr="00A042FF">
        <w:rPr>
          <w:rFonts w:ascii="Arial" w:hAnsi="Arial" w:cs="Arial"/>
          <w:sz w:val="32"/>
          <w:szCs w:val="32"/>
        </w:rPr>
        <w:t>May CI van Schalkwyk</w:t>
      </w:r>
      <w:r w:rsidRPr="00A042FF">
        <w:rPr>
          <w:rFonts w:ascii="Arial" w:hAnsi="Arial" w:cs="Arial"/>
          <w:sz w:val="32"/>
          <w:szCs w:val="32"/>
          <w:vertAlign w:val="superscript"/>
        </w:rPr>
        <w:t>1</w:t>
      </w:r>
      <w:r w:rsidRPr="00A042FF">
        <w:rPr>
          <w:rFonts w:ascii="Arial" w:hAnsi="Arial" w:cs="Arial"/>
          <w:sz w:val="32"/>
          <w:szCs w:val="32"/>
        </w:rPr>
        <w:t>, Matt Harris</w:t>
      </w:r>
      <w:r w:rsidRPr="00A042FF">
        <w:rPr>
          <w:rFonts w:ascii="Arial" w:hAnsi="Arial" w:cs="Arial"/>
          <w:sz w:val="32"/>
          <w:szCs w:val="32"/>
          <w:vertAlign w:val="superscript"/>
        </w:rPr>
        <w:t>1</w:t>
      </w:r>
    </w:p>
    <w:p w:rsidR="00AB32DB" w:rsidRPr="00A042FF" w:rsidRDefault="00AB32DB" w:rsidP="00AB32DB">
      <w:pPr>
        <w:pStyle w:val="p1"/>
        <w:jc w:val="both"/>
        <w:rPr>
          <w:rFonts w:ascii="Arial" w:hAnsi="Arial" w:cs="Arial"/>
          <w:color w:val="000000" w:themeColor="text1"/>
          <w:sz w:val="22"/>
          <w:szCs w:val="22"/>
          <w:lang w:val="en-GB" w:eastAsia="en-GB"/>
        </w:rPr>
      </w:pPr>
    </w:p>
    <w:p w:rsidR="00AB32DB" w:rsidRPr="00A042FF" w:rsidRDefault="00AB32DB" w:rsidP="00AB32DB">
      <w:pPr>
        <w:spacing w:after="0" w:line="360" w:lineRule="auto"/>
        <w:rPr>
          <w:rFonts w:ascii="Arial" w:eastAsia="Times New Roman" w:hAnsi="Arial" w:cs="Arial"/>
          <w:lang w:eastAsia="en-GB"/>
        </w:rPr>
      </w:pPr>
      <w:r w:rsidRPr="00A042FF">
        <w:rPr>
          <w:rFonts w:ascii="Arial" w:hAnsi="Arial" w:cs="Arial"/>
          <w:sz w:val="22"/>
          <w:szCs w:val="22"/>
          <w:vertAlign w:val="superscript"/>
        </w:rPr>
        <w:t>1</w:t>
      </w:r>
      <w:r w:rsidRPr="00A042FF">
        <w:rPr>
          <w:rFonts w:ascii="Arial" w:eastAsia="Times New Roman" w:hAnsi="Arial" w:cs="Arial"/>
          <w:bCs/>
          <w:sz w:val="22"/>
          <w:szCs w:val="22"/>
          <w:lang w:val="en-GB" w:eastAsia="en-GB"/>
        </w:rPr>
        <w:t xml:space="preserve"> </w:t>
      </w:r>
      <w:r w:rsidRPr="00A042FF">
        <w:rPr>
          <w:rFonts w:ascii="Arial" w:eastAsia="Times New Roman" w:hAnsi="Arial" w:cs="Arial"/>
          <w:iCs/>
          <w:sz w:val="22"/>
          <w:szCs w:val="22"/>
          <w:lang w:eastAsia="en-GB"/>
        </w:rPr>
        <w:t>Department of Primary Care and Public Health, Imperial College London, London W6 6RP, UK</w:t>
      </w:r>
    </w:p>
    <w:p w:rsidR="00AB32DB" w:rsidRPr="00A042FF" w:rsidRDefault="00AB32DB" w:rsidP="00AB32DB">
      <w:pPr>
        <w:jc w:val="both"/>
        <w:rPr>
          <w:rFonts w:ascii="Arial" w:hAnsi="Arial" w:cs="Arial"/>
          <w:sz w:val="22"/>
          <w:szCs w:val="22"/>
        </w:rPr>
      </w:pPr>
    </w:p>
    <w:p w:rsidR="00AB32DB" w:rsidRPr="00A042FF"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t>C</w:t>
      </w:r>
      <w:r w:rsidRPr="00A042FF">
        <w:rPr>
          <w:rFonts w:ascii="Arial" w:hAnsi="Arial" w:cs="Arial"/>
          <w:color w:val="000000" w:themeColor="text1"/>
          <w:sz w:val="24"/>
          <w:szCs w:val="24"/>
        </w:rPr>
        <w:t xml:space="preserve">ommitment to investing substantial resources into biomedical research is common in developed countries, </w:t>
      </w:r>
      <w:r>
        <w:rPr>
          <w:rFonts w:ascii="Arial" w:hAnsi="Arial" w:cs="Arial"/>
          <w:color w:val="000000" w:themeColor="text1"/>
          <w:sz w:val="24"/>
          <w:szCs w:val="24"/>
        </w:rPr>
        <w:t>however translating this into</w:t>
      </w:r>
      <w:r w:rsidRPr="00A042FF">
        <w:rPr>
          <w:rFonts w:ascii="Arial" w:hAnsi="Arial" w:cs="Arial"/>
          <w:color w:val="000000" w:themeColor="text1"/>
          <w:sz w:val="24"/>
          <w:szCs w:val="24"/>
        </w:rPr>
        <w:t xml:space="preserve"> meaningful changes </w:t>
      </w:r>
      <w:r>
        <w:rPr>
          <w:rFonts w:ascii="Arial" w:hAnsi="Arial" w:cs="Arial"/>
          <w:color w:val="000000" w:themeColor="text1"/>
          <w:sz w:val="24"/>
          <w:szCs w:val="24"/>
        </w:rPr>
        <w:t>in</w:t>
      </w:r>
      <w:r w:rsidRPr="00A042FF">
        <w:rPr>
          <w:rFonts w:ascii="Arial" w:hAnsi="Arial" w:cs="Arial"/>
          <w:color w:val="000000" w:themeColor="text1"/>
          <w:sz w:val="24"/>
          <w:szCs w:val="24"/>
        </w:rPr>
        <w:t xml:space="preserve"> </w:t>
      </w:r>
      <w:r w:rsidRPr="00C72D0D">
        <w:rPr>
          <w:rFonts w:ascii="Arial" w:hAnsi="Arial" w:cs="Arial"/>
          <w:color w:val="auto"/>
          <w:sz w:val="24"/>
          <w:szCs w:val="24"/>
        </w:rPr>
        <w:t xml:space="preserve">clinical </w:t>
      </w:r>
      <w:r w:rsidRPr="00A042FF">
        <w:rPr>
          <w:rFonts w:ascii="Arial" w:hAnsi="Arial" w:cs="Arial"/>
          <w:color w:val="000000" w:themeColor="text1"/>
          <w:sz w:val="24"/>
          <w:szCs w:val="24"/>
        </w:rPr>
        <w:t>practice</w:t>
      </w:r>
      <w:r>
        <w:rPr>
          <w:rFonts w:ascii="Arial" w:hAnsi="Arial" w:cs="Arial"/>
          <w:color w:val="000000" w:themeColor="text1"/>
          <w:sz w:val="24"/>
          <w:szCs w:val="24"/>
        </w:rPr>
        <w:t xml:space="preserve"> can be challenging</w:t>
      </w:r>
      <w:r w:rsidRPr="00A042FF">
        <w:rPr>
          <w:rFonts w:ascii="Arial" w:hAnsi="Arial" w:cs="Arial"/>
          <w:color w:val="000000" w:themeColor="text1"/>
          <w:sz w:val="24"/>
          <w:szCs w:val="24"/>
        </w:rPr>
        <w:t xml:space="preserve">. </w:t>
      </w:r>
      <w:r>
        <w:rPr>
          <w:rFonts w:ascii="Arial" w:hAnsi="Arial" w:cs="Arial"/>
          <w:color w:val="000000" w:themeColor="text1"/>
          <w:sz w:val="24"/>
          <w:szCs w:val="24"/>
        </w:rPr>
        <w:t>T</w:t>
      </w:r>
      <w:r w:rsidRPr="00A042FF">
        <w:rPr>
          <w:rFonts w:ascii="Arial" w:hAnsi="Arial" w:cs="Arial"/>
          <w:color w:val="000000" w:themeColor="text1"/>
          <w:sz w:val="24"/>
          <w:szCs w:val="24"/>
        </w:rPr>
        <w:t xml:space="preserve">ranslational research began over a decade ago, </w:t>
      </w:r>
      <w:r>
        <w:rPr>
          <w:rFonts w:ascii="Arial" w:hAnsi="Arial" w:cs="Arial"/>
          <w:color w:val="000000" w:themeColor="text1"/>
          <w:sz w:val="24"/>
          <w:szCs w:val="24"/>
        </w:rPr>
        <w:t>smoothening the transition from</w:t>
      </w:r>
      <w:r w:rsidRPr="00A042FF">
        <w:rPr>
          <w:rFonts w:ascii="Arial" w:hAnsi="Arial" w:cs="Arial"/>
          <w:color w:val="000000" w:themeColor="text1"/>
          <w:sz w:val="24"/>
          <w:szCs w:val="24"/>
        </w:rPr>
        <w:t xml:space="preserve"> theory </w:t>
      </w:r>
      <w:r>
        <w:rPr>
          <w:rFonts w:ascii="Arial" w:hAnsi="Arial" w:cs="Arial"/>
          <w:color w:val="000000" w:themeColor="text1"/>
          <w:sz w:val="24"/>
          <w:szCs w:val="24"/>
        </w:rPr>
        <w:t>to</w:t>
      </w:r>
      <w:r w:rsidRPr="00A042FF">
        <w:rPr>
          <w:rFonts w:ascii="Arial" w:hAnsi="Arial" w:cs="Arial"/>
          <w:color w:val="000000" w:themeColor="text1"/>
          <w:sz w:val="24"/>
          <w:szCs w:val="24"/>
        </w:rPr>
        <w:t xml:space="preserve"> practice</w:t>
      </w:r>
      <w:r>
        <w:rPr>
          <w:rFonts w:ascii="Arial" w:hAnsi="Arial" w:cs="Arial"/>
          <w:color w:val="000000" w:themeColor="text1"/>
          <w:sz w:val="24"/>
          <w:szCs w:val="24"/>
        </w:rPr>
        <w:t>, and furthering the evidence-based medicine movement</w:t>
      </w:r>
      <w:r w:rsidRPr="00A042FF">
        <w:rPr>
          <w:rFonts w:ascii="Arial" w:hAnsi="Arial" w:cs="Arial"/>
          <w:color w:val="000000" w:themeColor="text1"/>
          <w:sz w:val="24"/>
          <w:szCs w:val="24"/>
        </w:rPr>
        <w:t>. “Bench to bedside”</w:t>
      </w:r>
      <w:r>
        <w:rPr>
          <w:rFonts w:ascii="Arial" w:hAnsi="Arial" w:cs="Arial"/>
          <w:color w:val="000000" w:themeColor="text1"/>
          <w:sz w:val="24"/>
          <w:szCs w:val="24"/>
        </w:rPr>
        <w:t xml:space="preserve"> </w:t>
      </w:r>
      <w:r w:rsidRPr="00A042FF">
        <w:rPr>
          <w:rFonts w:ascii="Arial" w:hAnsi="Arial" w:cs="Arial"/>
          <w:color w:val="000000" w:themeColor="text1"/>
          <w:sz w:val="24"/>
          <w:szCs w:val="24"/>
        </w:rPr>
        <w:t>translational research is now an established concept and in</w:t>
      </w:r>
      <w:r>
        <w:rPr>
          <w:rFonts w:ascii="Arial" w:hAnsi="Arial" w:cs="Arial"/>
          <w:color w:val="000000" w:themeColor="text1"/>
          <w:sz w:val="24"/>
          <w:szCs w:val="24"/>
        </w:rPr>
        <w:t>volves</w:t>
      </w:r>
      <w:r w:rsidRPr="00A042FF">
        <w:rPr>
          <w:rFonts w:ascii="Arial" w:hAnsi="Arial" w:cs="Arial"/>
          <w:color w:val="000000" w:themeColor="text1"/>
          <w:sz w:val="24"/>
          <w:szCs w:val="24"/>
        </w:rPr>
        <w:t xml:space="preserve"> </w:t>
      </w:r>
      <w:r>
        <w:rPr>
          <w:rFonts w:ascii="Arial" w:hAnsi="Arial" w:cs="Arial"/>
          <w:color w:val="000000" w:themeColor="text1"/>
          <w:sz w:val="24"/>
          <w:szCs w:val="24"/>
        </w:rPr>
        <w:t xml:space="preserve">close collaboration of researchers and clinicians in designing and </w:t>
      </w:r>
      <w:r w:rsidRPr="00A042FF">
        <w:rPr>
          <w:rFonts w:ascii="Arial" w:hAnsi="Arial" w:cs="Arial"/>
          <w:color w:val="000000" w:themeColor="text1"/>
          <w:sz w:val="24"/>
          <w:szCs w:val="24"/>
        </w:rPr>
        <w:t xml:space="preserve">conducting clinical trials and testing novel therapeutic methods in </w:t>
      </w:r>
      <w:r>
        <w:rPr>
          <w:rFonts w:ascii="Arial" w:hAnsi="Arial" w:cs="Arial"/>
          <w:color w:val="000000" w:themeColor="text1"/>
          <w:sz w:val="24"/>
          <w:szCs w:val="24"/>
        </w:rPr>
        <w:t>fields</w:t>
      </w:r>
      <w:r w:rsidRPr="00A042FF">
        <w:rPr>
          <w:rFonts w:ascii="Arial" w:hAnsi="Arial" w:cs="Arial"/>
          <w:color w:val="000000" w:themeColor="text1"/>
          <w:sz w:val="24"/>
          <w:szCs w:val="24"/>
        </w:rPr>
        <w:t xml:space="preserve"> such as </w:t>
      </w:r>
      <w:r>
        <w:rPr>
          <w:rFonts w:ascii="Arial" w:hAnsi="Arial" w:cs="Arial"/>
          <w:color w:val="000000" w:themeColor="text1"/>
          <w:sz w:val="24"/>
          <w:szCs w:val="24"/>
        </w:rPr>
        <w:t>oncology</w:t>
      </w:r>
      <w:r w:rsidRPr="00A042FF">
        <w:rPr>
          <w:rFonts w:ascii="Arial" w:hAnsi="Arial" w:cs="Arial"/>
          <w:color w:val="000000" w:themeColor="text1"/>
          <w:sz w:val="24"/>
          <w:szCs w:val="24"/>
        </w:rPr>
        <w:t>.</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"10.1186/1479-5876-1-1", "ISSN" : "14795876", "PMID" : "14527344", "abstract" : "The purpose of translational research is to test, in humans, novel therapeutic strategies developed through experimentation. Translational research should be regarded as a two-way road: Bench to Bedside and Bedside to Bench. However, Bedside to Bench efforts have regrettably been limited because the scientific aspects are poorly understood by full time clinicians and the difficulty of dealing with humans poorly appreciated by basic scientists. Translational research would be most useful to the scientific community at large if journals would foster specific interest for the publication of ex vivo human observation. The review process for such work should be assigned to clinical scientists competent not only in the intricacies of molecular or cell biology but also intimate with the reality of Internal Review Boards, ethics committees, Governmental Regulatory Agencies and most importantly the humane aspects of dealing with sick individuals and their families. This approach may focus both basic and clinical scientists and those struggling to fill the gap between them on the effective treatment of diseases affecting women, men and children making translational research more than an interesting concept.", "author" : [ { "dropping-particle" : "", "family" : "Marincola", "given" : "Francesco M", "non-dropping-particle" : "", "parse-names" : false, "suffix" : "" } ], "container-title" : "Journal of Translational Medicine", "id" : "ITEM-1", "issue" : "1", "issued" : { "date-parts" : [ [ "2003", "7", "24" ] ] }, "page" : "1", "title" : "Translational Medicine: A two-way road.", "type" : "article-journal", "volume" : "1" }, "uris" : [ "http://www.mendeley.com/documents/?uuid=ea7c17f0-8e2a-3b21-8b24-77e7f854fb1c" ] } ], "mendeley" : { "formattedCitation" : "&lt;sup&gt;1&lt;/sup&gt;", "plainTextFormattedCitation" : "1", "previouslyFormattedCitation" : "&lt;sup&gt;1&lt;/sup&gt;"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ED57CC">
        <w:rPr>
          <w:rFonts w:ascii="Arial" w:hAnsi="Arial" w:cs="Arial"/>
          <w:noProof/>
          <w:color w:val="000000" w:themeColor="text1"/>
          <w:sz w:val="24"/>
          <w:szCs w:val="24"/>
          <w:vertAlign w:val="superscript"/>
        </w:rPr>
        <w:t>1</w:t>
      </w:r>
      <w:r>
        <w:rPr>
          <w:rFonts w:ascii="Arial" w:hAnsi="Arial" w:cs="Arial"/>
          <w:color w:val="000000" w:themeColor="text1"/>
          <w:sz w:val="24"/>
          <w:szCs w:val="24"/>
        </w:rPr>
        <w:fldChar w:fldCharType="end"/>
      </w:r>
      <w:r>
        <w:rPr>
          <w:rFonts w:ascii="Arial" w:hAnsi="Arial" w:cs="Arial"/>
          <w:color w:val="000000" w:themeColor="text1"/>
          <w:sz w:val="24"/>
          <w:szCs w:val="24"/>
          <w:vertAlign w:val="superscript"/>
        </w:rPr>
        <w:t>,</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"ISSN" : "1943-8141", "PMID" : "20182579", "abstract" : "Cancer is responsible for one in eight deaths worldwide, with more than twelve million new cases diagnosed yearly. A large percentage of patients die after developing cancer despite aggressive treatment, indicating a need for new approaches to cancer therapy. The push for development of novel diagnostic and therapeutic agents has allowed translational cancer research to flourish. Genomic and proteomic technologies have generated an enormous amount of information critical to expanding our understanding of cancer biology. New research on the differences between normal and malignant cell biology has paved the way for the development of drugs targeted to specific biological molecules, potentially increasing antitumor efficacy while minimizing the toxicity to the patient that is seen with conventional therapeutics. Current targets in include regulators of cell cycle, angiogenesis, apoptosis, DNA repair, and growth factors and their receptors. Collaboration among researchers, clinicians, and pharmaceutical companies is vital to conducting clinical trials to translate laboratory findings into clinically applicable therapeutics. In this review, we discuss current therapeutic approaches and present an introduction to a wide range of topics undergoing investigation in an effort to highlight the importance of translational research in the development of clinically relevant therapeutic strategies.", "author" : [ { "dropping-particle" : "", "family" : "Goldblatt", "given" : "Erin M", "non-dropping-particle" : "", "parse-names" : false, "suffix" : "" }, { "dropping-particle" : "", "family" : "Lee", "given" : "Wen-Hwa", "non-dropping-particle" : "", "parse-names" : false, "suffix" : "" } ], "container-title" : "American journal of translational research", "id" : "ITEM-1", "issue" : "1", "issued" : { "date-parts" : [ [ "2010", "1", "1" ] ] }, "page" : "1-18", "title" : "From bench to bedside: the growing use of translational research in cancer medicine.", "type" : "article-journal", "volume" : "2" }, "uris" : [ "http://www.mendeley.com/documents/?uuid=89341b46-4ef6-3212-a40c-c27adf8101a6" ] } ], "mendeley" : { "formattedCitation" : "&lt;sup&gt;2&lt;/sup&gt;", "plainTextFormattedCitation" : "2", "previouslyFormattedCitation" : "&lt;sup&gt;2&lt;/sup&gt;"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ED57CC">
        <w:rPr>
          <w:rFonts w:ascii="Arial" w:hAnsi="Arial" w:cs="Arial"/>
          <w:noProof/>
          <w:color w:val="000000" w:themeColor="text1"/>
          <w:sz w:val="24"/>
          <w:szCs w:val="24"/>
          <w:vertAlign w:val="superscript"/>
        </w:rPr>
        <w:t>2</w:t>
      </w:r>
      <w:r>
        <w:rPr>
          <w:rFonts w:ascii="Arial" w:hAnsi="Arial" w:cs="Arial"/>
          <w:color w:val="000000" w:themeColor="text1"/>
          <w:sz w:val="24"/>
          <w:szCs w:val="24"/>
        </w:rPr>
        <w:fldChar w:fldCharType="end"/>
      </w:r>
      <w:r w:rsidRPr="00A042FF">
        <w:rPr>
          <w:rFonts w:ascii="Arial" w:hAnsi="Arial" w:cs="Arial"/>
          <w:color w:val="000000" w:themeColor="text1"/>
          <w:sz w:val="24"/>
          <w:szCs w:val="24"/>
        </w:rPr>
        <w:t xml:space="preserve"> Although translational research was initially confined to medical applications, other specialties followed,</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"10.1001/jama.2007.26", "ISSN" : "1538-3598", "PMID" : "18182604", "author" : [ { "dropping-particle" : "", "family" : "Woolf", "given" : "Steven H", "non-dropping-particle" : "", "parse-names" : false, "suffix" : "" } ], "container-title" : "JAMA", "id" : "ITEM-1", "issue" : "2", "issued" : { "date-parts" : [ [ "2008", "1", "9" ] ] }, "page" : "211-3", "title" : "The meaning of translational research and why it matters.", "type" : "article-journal", "volume" : "299" }, "uris" : [ "http://www.mendeley.com/documents/?uuid=e149b11f-59ae-39f7-ac35-2c87cd147252" ] } ], "mendeley" : { "formattedCitation" : "&lt;sup&gt;3&lt;/sup&gt;", "plainTextFormattedCitation" : "3", "previouslyFormattedCitation" : "&lt;sup&gt;3&lt;/sup&gt;"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150DE6">
        <w:rPr>
          <w:rFonts w:ascii="Arial" w:hAnsi="Arial" w:cs="Arial"/>
          <w:noProof/>
          <w:color w:val="000000" w:themeColor="text1"/>
          <w:sz w:val="24"/>
          <w:szCs w:val="24"/>
          <w:vertAlign w:val="superscript"/>
        </w:rPr>
        <w:t>3</w:t>
      </w:r>
      <w:r>
        <w:rPr>
          <w:rFonts w:ascii="Arial" w:hAnsi="Arial" w:cs="Arial"/>
          <w:color w:val="000000" w:themeColor="text1"/>
          <w:sz w:val="24"/>
          <w:szCs w:val="24"/>
        </w:rPr>
        <w:fldChar w:fldCharType="end"/>
      </w:r>
      <w:r w:rsidRPr="00A042FF">
        <w:rPr>
          <w:rFonts w:ascii="Arial" w:hAnsi="Arial" w:cs="Arial"/>
          <w:color w:val="000000" w:themeColor="text1"/>
          <w:sz w:val="24"/>
          <w:szCs w:val="24"/>
        </w:rPr>
        <w:t xml:space="preserve"> and “bench to bedside to curbside” is an emerging field that applies to translational health disparities research.</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"10.2105/AJPH.2009.189167", "ISSN" : "1541-0048", "PMID" : "20147662", "abstract" : "Translational, transdisciplinary, and transformational research stands to become a paradigm-shifting mantra for research in health disparities. A windfall of research discoveries using these 3 approaches has increased our understanding of the health disparities in racial, ethnic, and low socioeconomic status groups. These distinct but related research spheres possess unique environments, which, when integrated, can lead to innovation in health disparities science. In this article, we review these approaches and propose integrating them to advance health disparities research through a change in philosophical position and an increased emphasis on community engagement. We argue that a balanced combination of these research approaches is needed to inform evidence-based practice, social action, and effective policy change to improve health in disparity communities.", "author" : [ { "dropping-particle" : "", "family" : "Dankwa-Mullan", "given" : "Irene", "non-dropping-particle" : "", "parse-names" : false, "suffix" : "" }, { "dropping-particle" : "", "family" : "Rhee", "given" : "Kyu B", "non-dropping-particle" : "", "parse-names" : false, "suffix" : "" }, { "dropping-particle" : "", "family" : "Stoff", "given" : "David M", "non-dropping-particle" : "", "parse-names" : false, "suffix" : "" }, { "dropping-particle" : "", "family" : "Pohlhaus", "given" : "Jennifer Reineke", "non-dropping-particle" : "", "parse-names" : false, "suffix" : "" }, { "dropping-particle" : "", "family" : "Sy", "given" : "Francisco S", "non-dropping-particle" : "", "parse-names" : false, "suffix" : "" }, { "dropping-particle" : "", "family" : "Stinson", "given" : "Nathaniel", "non-dropping-particle" : "", "parse-names" : false, "suffix" : "" }, { "dropping-particle" : "", "family" : "Ruffin", "given" : "John", "non-dropping-particle" : "", "parse-names" : false, "suffix" : "" } ], "container-title" : "American journal of public health", "id" : "ITEM-1", "issue" : "S1", "issued" : { "date-parts" : [ [ "2010", "4", "1" ] ] }, "page" : "S19-24", "title" : "Moving toward paradigm-shifting research in health disparities through translational, transformational, and transdisciplinary approaches.", "type" : "article-journal", "volume" : "100 Suppl " }, "uris" : [ "http://www.mendeley.com/documents/?uuid=de0d9fd8-4638-389a-9392-9c0c7934b6cd" ] } ], "mendeley" : { "formattedCitation" : "&lt;sup&gt;4&lt;/sup&gt;", "plainTextFormattedCitation" : "4", "previouslyFormattedCitation" : "&lt;sup&gt;4&lt;/sup&gt;"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150DE6">
        <w:rPr>
          <w:rFonts w:ascii="Arial" w:hAnsi="Arial" w:cs="Arial"/>
          <w:noProof/>
          <w:color w:val="000000" w:themeColor="text1"/>
          <w:sz w:val="24"/>
          <w:szCs w:val="24"/>
          <w:vertAlign w:val="superscript"/>
        </w:rPr>
        <w:t>4</w:t>
      </w:r>
      <w:r>
        <w:rPr>
          <w:rFonts w:ascii="Arial" w:hAnsi="Arial" w:cs="Arial"/>
          <w:color w:val="000000" w:themeColor="text1"/>
          <w:sz w:val="24"/>
          <w:szCs w:val="24"/>
        </w:rPr>
        <w:fldChar w:fldCharType="end"/>
      </w:r>
    </w:p>
    <w:p w:rsidR="00AB32DB" w:rsidRPr="00A042FF" w:rsidRDefault="00AB32DB" w:rsidP="00AB32DB">
      <w:pPr>
        <w:pStyle w:val="p1"/>
        <w:spacing w:line="480" w:lineRule="auto"/>
        <w:jc w:val="both"/>
        <w:rPr>
          <w:rFonts w:ascii="Arial" w:hAnsi="Arial" w:cs="Arial"/>
          <w:color w:val="000000" w:themeColor="text1"/>
          <w:sz w:val="24"/>
          <w:szCs w:val="24"/>
        </w:rPr>
      </w:pPr>
    </w:p>
    <w:p w:rsidR="00AB32DB" w:rsidRPr="001106AB"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In the policy space, s</w:t>
      </w:r>
      <w:r w:rsidRPr="00A042FF">
        <w:rPr>
          <w:rFonts w:ascii="Arial" w:hAnsi="Arial" w:cs="Arial"/>
          <w:color w:val="000000" w:themeColor="text1"/>
          <w:sz w:val="24"/>
          <w:szCs w:val="24"/>
        </w:rPr>
        <w:t xml:space="preserve">ubstantial amounts of resources and investment are dedicated to producing policy documents, however, they do not always lead to practice change or yield desired benefits. Swaths of </w:t>
      </w:r>
      <w:r>
        <w:rPr>
          <w:rFonts w:ascii="Arial" w:hAnsi="Arial" w:cs="Arial"/>
          <w:color w:val="000000" w:themeColor="text1"/>
          <w:sz w:val="24"/>
          <w:szCs w:val="24"/>
        </w:rPr>
        <w:t>high</w:t>
      </w:r>
      <w:r w:rsidRPr="00A042FF">
        <w:rPr>
          <w:rFonts w:ascii="Arial" w:hAnsi="Arial" w:cs="Arial"/>
          <w:color w:val="000000" w:themeColor="text1"/>
          <w:sz w:val="24"/>
          <w:szCs w:val="24"/>
        </w:rPr>
        <w:t xml:space="preserve"> quality policy research remain largely unknown </w:t>
      </w:r>
      <w:r>
        <w:rPr>
          <w:rFonts w:ascii="Arial" w:hAnsi="Arial" w:cs="Arial"/>
          <w:color w:val="000000" w:themeColor="text1"/>
          <w:sz w:val="24"/>
          <w:szCs w:val="24"/>
        </w:rPr>
        <w:t xml:space="preserve">or </w:t>
      </w:r>
      <w:r w:rsidRPr="00A042FF">
        <w:rPr>
          <w:rFonts w:ascii="Arial" w:hAnsi="Arial" w:cs="Arial"/>
          <w:color w:val="000000" w:themeColor="text1"/>
          <w:sz w:val="24"/>
          <w:szCs w:val="24"/>
        </w:rPr>
        <w:t xml:space="preserve">wasted with no real-life change or population benefit being observed. </w:t>
      </w:r>
      <w:r>
        <w:rPr>
          <w:rFonts w:ascii="Arial" w:hAnsi="Arial" w:cs="Arial"/>
          <w:color w:val="000000" w:themeColor="text1"/>
          <w:sz w:val="24"/>
          <w:szCs w:val="24"/>
        </w:rPr>
        <w:t>S</w:t>
      </w:r>
      <w:r w:rsidRPr="00A042FF">
        <w:rPr>
          <w:rFonts w:ascii="Arial" w:hAnsi="Arial" w:cs="Arial"/>
          <w:color w:val="000000" w:themeColor="text1"/>
          <w:sz w:val="24"/>
          <w:szCs w:val="24"/>
        </w:rPr>
        <w:t>everal reasons</w:t>
      </w:r>
      <w:r>
        <w:rPr>
          <w:rFonts w:ascii="Arial" w:hAnsi="Arial" w:cs="Arial"/>
          <w:color w:val="000000" w:themeColor="text1"/>
          <w:sz w:val="24"/>
          <w:szCs w:val="24"/>
        </w:rPr>
        <w:t xml:space="preserve"> could explain this. </w:t>
      </w:r>
      <w:r>
        <w:rPr>
          <w:rFonts w:ascii="Arial" w:hAnsi="Arial" w:cs="Arial"/>
          <w:color w:val="000000" w:themeColor="text1"/>
          <w:sz w:val="24"/>
          <w:szCs w:val="24"/>
        </w:rPr>
        <w:t>For instance, there are many powerful actors that shape the policymaking process to serve, what are often, conflicting interests (e.g., the tobacco industry’s influence on tobacco control policies, (2) there are considerably varying views as to what constitutes legitimate interference from the state (3) there is a lack of a common language to unite all parties involved and (4) there is a need to balance values among researchers, policymakers and the public which may often be at odds.</w:t>
      </w:r>
    </w:p>
    <w:p w:rsidR="00AB32DB" w:rsidRPr="00A042FF"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t>Much</w:t>
      </w:r>
      <w:r>
        <w:rPr>
          <w:rFonts w:ascii="Arial" w:hAnsi="Arial" w:cs="Arial"/>
          <w:color w:val="000000" w:themeColor="text1"/>
          <w:sz w:val="24"/>
          <w:szCs w:val="24"/>
        </w:rPr>
        <w:t xml:space="preserve"> can be learned from progress in other fields to improve and standardize the use of evidence for impact.</w:t>
      </w:r>
      <w:r>
        <w:rPr>
          <w:rFonts w:ascii="Arial" w:hAnsi="Arial" w:cs="Arial"/>
          <w:color w:val="000000" w:themeColor="text1"/>
          <w:sz w:val="24"/>
          <w:szCs w:val="24"/>
        </w:rPr>
        <w:t xml:space="preserve"> </w:t>
      </w:r>
      <w:r w:rsidRPr="00A042FF">
        <w:rPr>
          <w:rFonts w:ascii="Arial" w:hAnsi="Arial" w:cs="Arial"/>
          <w:color w:val="000000" w:themeColor="text1"/>
          <w:sz w:val="24"/>
          <w:szCs w:val="24"/>
        </w:rPr>
        <w:t>Polic</w:t>
      </w:r>
      <w:r>
        <w:rPr>
          <w:rFonts w:ascii="Arial" w:hAnsi="Arial" w:cs="Arial"/>
          <w:color w:val="000000" w:themeColor="text1"/>
          <w:sz w:val="24"/>
          <w:szCs w:val="24"/>
        </w:rPr>
        <w:t>ies</w:t>
      </w:r>
      <w:r w:rsidRPr="00A042FF">
        <w:rPr>
          <w:rFonts w:ascii="Arial" w:hAnsi="Arial" w:cs="Arial"/>
          <w:color w:val="000000" w:themeColor="text1"/>
          <w:sz w:val="24"/>
          <w:szCs w:val="24"/>
        </w:rPr>
        <w:t xml:space="preserve"> need to be treated </w:t>
      </w:r>
      <w:r>
        <w:rPr>
          <w:rFonts w:ascii="Arial" w:hAnsi="Arial" w:cs="Arial"/>
          <w:color w:val="000000" w:themeColor="text1"/>
          <w:sz w:val="24"/>
          <w:szCs w:val="24"/>
        </w:rPr>
        <w:t xml:space="preserve">as per </w:t>
      </w:r>
      <w:r w:rsidRPr="00A042FF">
        <w:rPr>
          <w:rFonts w:ascii="Arial" w:hAnsi="Arial" w:cs="Arial"/>
          <w:color w:val="000000" w:themeColor="text1"/>
          <w:sz w:val="24"/>
          <w:szCs w:val="24"/>
        </w:rPr>
        <w:t>health interventions</w:t>
      </w:r>
      <w:r>
        <w:rPr>
          <w:rFonts w:ascii="Arial" w:hAnsi="Arial" w:cs="Arial"/>
          <w:color w:val="000000" w:themeColor="text1"/>
          <w:sz w:val="24"/>
          <w:szCs w:val="24"/>
        </w:rPr>
        <w:t>. They should be</w:t>
      </w:r>
      <w:r w:rsidRPr="00A042FF">
        <w:rPr>
          <w:rFonts w:ascii="Arial" w:hAnsi="Arial" w:cs="Arial"/>
          <w:color w:val="000000" w:themeColor="text1"/>
          <w:sz w:val="24"/>
          <w:szCs w:val="24"/>
        </w:rPr>
        <w:t xml:space="preserve"> held to account, adopting ethical and safety standards by weighing up the likely harms, burdens and benefits using validated, standardized tools and frameworks building upon those used in other fi</w:t>
      </w:r>
      <w:r>
        <w:rPr>
          <w:rFonts w:ascii="Arial" w:hAnsi="Arial" w:cs="Arial"/>
          <w:color w:val="000000" w:themeColor="text1"/>
          <w:sz w:val="24"/>
          <w:szCs w:val="24"/>
        </w:rPr>
        <w:t>elds of translational research.</w:t>
      </w:r>
      <w:r>
        <w:rPr>
          <w:rFonts w:ascii="Arial" w:hAnsi="Arial" w:cs="Arial"/>
          <w:color w:val="000000" w:themeColor="text1"/>
          <w:sz w:val="24"/>
          <w:szCs w:val="24"/>
        </w:rPr>
        <w:t xml:space="preserve">  </w:t>
      </w:r>
      <w:r w:rsidRPr="00A042FF">
        <w:rPr>
          <w:rFonts w:ascii="Arial" w:hAnsi="Arial" w:cs="Arial"/>
          <w:color w:val="000000" w:themeColor="text1"/>
          <w:sz w:val="24"/>
          <w:szCs w:val="24"/>
        </w:rPr>
        <w:t xml:space="preserve">Health policy research </w:t>
      </w:r>
      <w:r>
        <w:rPr>
          <w:rFonts w:ascii="Arial" w:hAnsi="Arial" w:cs="Arial"/>
          <w:color w:val="000000" w:themeColor="text1"/>
          <w:sz w:val="24"/>
          <w:szCs w:val="24"/>
        </w:rPr>
        <w:t xml:space="preserve">and </w:t>
      </w:r>
      <w:r w:rsidRPr="00A042FF">
        <w:rPr>
          <w:rFonts w:ascii="Arial" w:hAnsi="Arial" w:cs="Arial"/>
          <w:color w:val="000000" w:themeColor="text1"/>
          <w:sz w:val="24"/>
          <w:szCs w:val="24"/>
        </w:rPr>
        <w:t xml:space="preserve">implementation should be guided by the principles of translational </w:t>
      </w:r>
      <w:r>
        <w:rPr>
          <w:rFonts w:ascii="Arial" w:hAnsi="Arial" w:cs="Arial"/>
          <w:color w:val="000000" w:themeColor="text1"/>
          <w:sz w:val="24"/>
          <w:szCs w:val="24"/>
        </w:rPr>
        <w:t xml:space="preserve">biomedical </w:t>
      </w:r>
      <w:proofErr w:type="gramStart"/>
      <w:r w:rsidRPr="00A042FF">
        <w:rPr>
          <w:rFonts w:ascii="Arial" w:hAnsi="Arial" w:cs="Arial"/>
          <w:color w:val="000000" w:themeColor="text1"/>
          <w:sz w:val="24"/>
          <w:szCs w:val="24"/>
        </w:rPr>
        <w:t>research</w:t>
      </w:r>
      <w:r>
        <w:rPr>
          <w:rFonts w:ascii="Arial" w:hAnsi="Arial" w:cs="Arial"/>
          <w:color w:val="000000" w:themeColor="text1"/>
          <w:sz w:val="24"/>
          <w:szCs w:val="24"/>
        </w:rPr>
        <w:t xml:space="preserve">  where</w:t>
      </w:r>
      <w:proofErr w:type="gramEnd"/>
      <w:r>
        <w:rPr>
          <w:rFonts w:ascii="Arial" w:hAnsi="Arial" w:cs="Arial"/>
          <w:color w:val="000000" w:themeColor="text1"/>
          <w:sz w:val="24"/>
          <w:szCs w:val="24"/>
        </w:rPr>
        <w:t xml:space="preserve"> researchers, clinicians and regulators all play integral roles in the translational process, every stage of which is transparent, refined over time and formally documented using standardized methods. </w:t>
      </w:r>
    </w:p>
    <w:p w:rsidR="00AB32DB" w:rsidRDefault="00AB32DB" w:rsidP="00AB32DB">
      <w:pPr>
        <w:pStyle w:val="p1"/>
        <w:spacing w:line="480" w:lineRule="auto"/>
        <w:jc w:val="both"/>
        <w:rPr>
          <w:rFonts w:ascii="Arial" w:hAnsi="Arial" w:cs="Arial"/>
          <w:color w:val="000000" w:themeColor="text1"/>
          <w:sz w:val="24"/>
          <w:szCs w:val="24"/>
        </w:rPr>
      </w:pPr>
    </w:p>
    <w:p w:rsidR="00AB32DB" w:rsidRPr="00B671B9"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A more strategic and meaningful approach to the use of evidence in policy is not new. The evidence-based policy movement is well </w:t>
      </w:r>
      <w:proofErr w:type="spellStart"/>
      <w:r>
        <w:rPr>
          <w:rFonts w:ascii="Arial" w:hAnsi="Arial" w:cs="Arial"/>
          <w:color w:val="000000" w:themeColor="text1"/>
          <w:sz w:val="24"/>
          <w:szCs w:val="24"/>
        </w:rPr>
        <w:t>recognised</w:t>
      </w:r>
      <w:proofErr w:type="spellEnd"/>
      <w:r>
        <w:rPr>
          <w:rFonts w:ascii="Arial" w:hAnsi="Arial" w:cs="Arial"/>
          <w:color w:val="000000" w:themeColor="text1"/>
          <w:sz w:val="24"/>
          <w:szCs w:val="24"/>
        </w:rPr>
        <w:t xml:space="preserve"> and literature describing this endeavor has appeared since the 1970s and continues to this day. Indeed, few researchers or policymakers would publicly deny the common goal of evidence-based policy.</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"10.1186/1478-4505-12-34", "ISSN" : "1478-4505", "PMID" : "25023520", "abstract" : "Despite 40 years of research into evidence-based policy (EBP) and a continued drive from both policymakers and researchers to increase research uptake in policy, barriers to the use of evidence are persistently identified in the literature. However, it is not clear what explains this persistence - whether they represent real factors, or if they are artefacts of approaches used to study EBP. Based on an updated review, this paper analyses this literature to explain persistent barriers and facilitators. We critically describe the literature in terms of its theoretical underpinnings, definitions of 'evidence', methods, and underlying assumptions of research in the field, and aim to illuminate the EBP discourse by comparison with approaches from other fields. Much of the research in this area is theoretically naive, focusing primarily on the uptake of research evidence as opposed to evidence defined more broadly, and privileging academics' research priorities over those of policymakers. Little empirical data analysing the processes or impact of evidence use in policy is available to inform researchers or decision-makers. EBP research often assumes that policymakers do not use evidence and that more evidence - meaning research evidence - use would benefit policymakers and populations. We argue that these assumptions are unsupported, biasing much of EBP research. The agenda of 'getting evidence into policy' has side-lined the empirical description and analysis of how research and policy actually interact in vivo. Rather than asking how research evidence can be made more influential, academics should aim to understand what influences and constitutes policy, and produce more critically and theoretically informed studies of decision-making. We question the main assumptions made by EBP researchers, explore the implications of doing so, and propose new directions for EBP research, and health policy.", "author" : [ { "dropping-particle" : "", "family" : "Oliver", "given" : "Kathryn", "non-dropping-particle" : "", "parse-names" : false, "suffix" : "" }, { "dropping-particle" : "", "family" : "Lorenc", "given" : "Theo", "non-dropping-particle" : "", "parse-names" : false, "suffix" : "" }, { "dropping-particle" : "", "family" : "Innv\u00e6r", "given" : "Simon", "non-dropping-particle" : "", "parse-names" : false, "suffix" : "" } ], "container-title" : "Health research policy and systems", "id" : "ITEM-1", "issue" : "1", "issued" : { "date-parts" : [ [ "2014", "7", "14" ] ] }, "page" : "34", "title" : "New directions in evidence-based policy research: a critical analysis of the literature.", "type" : "article-journal", "volume" : "12" }, "uris" : [ "http://www.mendeley.com/documents/?uuid=d2dba879-f88b-325f-b6b2-1fb9b5581d46" ] } ], "mendeley" : { "formattedCitation" : "&lt;sup&gt;5&lt;/sup&gt;", "plainTextFormattedCitation" : "5", "previouslyFormattedCitation" : "&lt;sup&gt;5&lt;/sup&gt;"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5</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Attempts to fulfill this goal have led to mixed outcomes, however, and have predominantly focused on bridging a “gap” between research and policy and on describing the actions taken by academics in their attempt to overcome the “barriers” to the use of their research by policymakers. The limitations of this approach are well articulated by Oliver </w:t>
      </w:r>
      <w:r w:rsidRPr="00E768AE">
        <w:rPr>
          <w:rFonts w:ascii="Arial" w:hAnsi="Arial" w:cs="Arial"/>
          <w:i/>
          <w:color w:val="000000" w:themeColor="text1"/>
          <w:sz w:val="24"/>
          <w:szCs w:val="24"/>
        </w:rPr>
        <w:t>et al</w:t>
      </w:r>
      <w:r>
        <w:rPr>
          <w:rFonts w:ascii="Arial" w:hAnsi="Arial" w:cs="Arial"/>
          <w:i/>
          <w:color w:val="000000" w:themeColor="text1"/>
          <w:sz w:val="24"/>
          <w:szCs w:val="24"/>
        </w:rPr>
        <w:t xml:space="preserve"> </w:t>
      </w:r>
      <w:r>
        <w:rPr>
          <w:rFonts w:ascii="Arial" w:hAnsi="Arial" w:cs="Arial"/>
          <w:color w:val="000000" w:themeColor="text1"/>
          <w:sz w:val="24"/>
          <w:szCs w:val="24"/>
        </w:rPr>
        <w:t>who highlight the need for, and propose a different approach to, the field of evidence-based policy research.</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"10.1186/1478-4505-12-34", "ISSN" : "1478-4505", "PMID" : "25023520", "abstract" : "Despite 40 years of research into evidence-based policy (EBP) and a continued drive from both policymakers and researchers to increase research uptake in policy, barriers to the use of evidence are persistently identified in the literature. However, it is not clear what explains this persistence - whether they represent real factors, or if they are artefacts of approaches used to study EBP. Based on an updated review, this paper analyses this literature to explain persistent barriers and facilitators. We critically describe the literature in terms of its theoretical underpinnings, definitions of 'evidence', methods, and underlying assumptions of research in the field, and aim to illuminate the EBP discourse by comparison with approaches from other fields. Much of the research in this area is theoretically naive, focusing primarily on the uptake of research evidence as opposed to evidence defined more broadly, and privileging academics' research priorities over those of policymakers. Little empirical data analysing the processes or impact of evidence use in policy is available to inform researchers or decision-makers. EBP research often assumes that policymakers do not use evidence and that more evidence - meaning research evidence - use would benefit policymakers and populations. We argue that these assumptions are unsupported, biasing much of EBP research. The agenda of 'getting evidence into policy' has side-lined the empirical description and analysis of how research and policy actually interact in vivo. Rather than asking how research evidence can be made more influential, academics should aim to understand what influences and constitutes policy, and produce more critically and theoretically informed studies of decision-making. We question the main assumptions made by EBP researchers, explore the implications of doing so, and propose new directions for EBP research, and health policy.", "author" : [ { "dropping-particle" : "", "family" : "Oliver", "given" : "Kathryn", "non-dropping-particle" : "", "parse-names" : false, "suffix" : "" }, { "dropping-particle" : "", "family" : "Lorenc", "given" : "Theo", "non-dropping-particle" : "", "parse-names" : false, "suffix" : "" }, { "dropping-particle" : "", "family" : "Innv\u00e6r", "given" : "Simon", "non-dropping-particle" : "", "parse-names" : false, "suffix" : "" } ], "container-title" : "Health research policy and systems", "id" : "ITEM-1", "issue" : "1", "issued" : { "date-parts" : [ [ "2014", "7", "14" ] ] }, "page" : "34", "title" : "New directions in evidence-based policy research: a critical analysis of the literature.", "type" : "article-journal", "volume" : "12" }, "uris" : [ "http://www.mendeley.com/documents/?uuid=d2dba879-f88b-325f-b6b2-1fb9b5581d46" ] } ], "mendeley" : { "formattedCitation" : "&lt;sup&gt;5&lt;/sup&gt;", "plainTextFormattedCitation" : "5", "previouslyFormattedCitation" : "&lt;sup&gt;5&lt;/sup&gt;"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5</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They advocate for a shift away from asking how to increase the influence of evidence to aiming towards a greater understanding of what constitutes and influences policy, and produce studies of decision-making more informed by critique and theory.</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"10.1186/1478-4505-12-34", "ISSN" : "1478-4505", "PMID" : "25023520", "abstract" : "Despite 40 years of research into evidence-based policy (EBP) and a continued drive from both policymakers and researchers to increase research uptake in policy, barriers to the use of evidence are persistently identified in the literature. However, it is not clear what explains this persistence - whether they represent real factors, or if they are artefacts of approaches used to study EBP. Based on an updated review, this paper analyses this literature to explain persistent barriers and facilitators. We critically describe the literature in terms of its theoretical underpinnings, definitions of 'evidence', methods, and underlying assumptions of research in the field, and aim to illuminate the EBP discourse by comparison with approaches from other fields. Much of the research in this area is theoretically naive, focusing primarily on the uptake of research evidence as opposed to evidence defined more broadly, and privileging academics' research priorities over those of policymakers. Little empirical data analysing the processes or impact of evidence use in policy is available to inform researchers or decision-makers. EBP research often assumes that policymakers do not use evidence and that more evidence - meaning research evidence - use would benefit policymakers and populations. We argue that these assumptions are unsupported, biasing much of EBP research. The agenda of 'getting evidence into policy' has side-lined the empirical description and analysis of how research and policy actually interact in vivo. Rather than asking how research evidence can be made more influential, academics should aim to understand what influences and constitutes policy, and produce more critically and theoretically informed studies of decision-making. We question the main assumptions made by EBP researchers, explore the implications of doing so, and propose new directions for EBP research, and health policy.", "author" : [ { "dropping-particle" : "", "family" : "Oliver", "given" : "Kathryn", "non-dropping-particle" : "", "parse-names" : false, "suffix" : "" }, { "dropping-particle" : "", "family" : "Lorenc", "given" : "Theo", "non-dropping-particle" : "", "parse-names" : false, "suffix" : "" }, { "dropping-particle" : "", "family" : "Innv\u00e6r", "given" : "Simon", "non-dropping-particle" : "", "parse-names" : false, "suffix" : "" } ], "container-title" : "Health research policy and systems", "id" : "ITEM-1", "issue" : "1", "issued" : { "date-parts" : [ [ "2014", "7", "14" ] ] }, "page" : "34", "title" : "New directions in evidence-based policy research: a critical analysis of the literature.", "type" : "article-journal", "volume" : "12" }, "uris" : [ "http://www.mendeley.com/documents/?uuid=d2dba879-f88b-325f-b6b2-1fb9b5581d46" ] } ], "mendeley" : { "formattedCitation" : "&lt;sup&gt;5&lt;/sup&gt;", "plainTextFormattedCitation" : "5", "previouslyFormattedCitation" : "&lt;sup&gt;5&lt;/sup&gt;"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5</w:t>
      </w:r>
      <w:r>
        <w:rPr>
          <w:rFonts w:ascii="Arial" w:hAnsi="Arial" w:cs="Arial"/>
          <w:color w:val="000000" w:themeColor="text1"/>
          <w:sz w:val="24"/>
          <w:szCs w:val="24"/>
        </w:rPr>
        <w:fldChar w:fldCharType="end"/>
      </w:r>
      <w:proofErr w:type="gramStart"/>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Cairney</w:t>
      </w:r>
      <w:proofErr w:type="spellEnd"/>
      <w:proofErr w:type="gramEnd"/>
      <w:r>
        <w:rPr>
          <w:rFonts w:ascii="Arial" w:hAnsi="Arial" w:cs="Arial"/>
          <w:color w:val="000000" w:themeColor="text1"/>
          <w:sz w:val="24"/>
          <w:szCs w:val="24"/>
        </w:rPr>
        <w:t xml:space="preserve"> and Oliver suggest that effective researchers combine evidence with manipulative emotional appeals to influence policy.  They also suggest that evidence-based policymaking requires co-production.</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"10.1186/s12961-017-0192-x", "ISSN" : "1478-4505", "PMID" : "28446185", "abstract" : "There is extensive health and public health literature on the 'evidence-policy gap', exploring the frustrating experiences of scientists trying to secure a response to the problems and solutions they raise and identifying the need for better evidence to reduce policymaker uncertainty. We offer a new perspective by using policy theory to propose research with greater impact, identifying the need to use persuasion to reduce ambiguity, and to adapt to multi-level policymaking systems.We identify insights from secondary data, namely systematic reviews, critical analysis and policy theories relevant to evidence-based policymaking. The studies are drawn primarily from countries such as the United States, United Kingdom, Canada, Australia and New Zealand. We combine empirical and normative elements to identify the ways in which scientists can, do and could influence policy.We identify two important dilemmas, for scientists and researchers, that arise from our initial advice. First, effective actors combine evidence with manipulative emotional appeals to influence the policy agenda - should scientists do the same, or would the reputational costs outweigh the policy benefits? Second, when adapting to multi-level policymaking, should scientists prioritise 'evidence-based' policymaking above other factors? The latter includes governance principles such the 'co-production' of policy between local public bodies, interest groups and service users. This process may be based primarily on values and involve actors with no commitment to a hierarchy of evidence.We conclude that successful engagement in 'evidence-based policymaking' requires pragmatism, combining scientific evidence with governance principles, and persuasion to translate complex evidence into simple stories. To maximise the use of scientific evidence in health and public health policy, researchers should recognise the tendency of policymakers to base judgements on their beliefs, and shortcuts based on their emotions and familiarity with information; learn 'where the action is', and be prepared to engage in long-term strategies to be able to influence policy; and, in both cases, decide how far you are willing to go to persuade policymakers to act and secure a hierarchy of evidence underpinning policy. These are value-driven and political, not just 'evidence-based', choices.", "author" : [ { "dropping-particle" : "", "family" : "Cairney", "given" : "Paul", "non-dropping-particle" : "", "parse-names" : false, "suffix" : "" }, { "dropping-particle" : "", "family" : "Oliver", "given" : "Kathryn", "non-dropping-particle" : "", "parse-names" : false, "suffix" : "" } ], "container-title" : "Health Research Policy and Systems", "id" : "ITEM-1", "issue" : "1", "issued" : { "date-parts" : [ [ "2017", "12", "26" ] ] }, "page" : "35", "title" : "Evidence-based policymaking is not like evidence-based medicine, so how far should you go to bridge the divide between evidence and policy?", "type" : "article-journal", "volume" : "15" }, "uris" : [ "http://www.mendeley.com/documents/?uuid=4bd0d80f-2c03-35b7-987f-cba17c267c87" ] } ], "mendeley" : { "formattedCitation" : "&lt;sup&gt;6&lt;/sup&gt;", "plainTextFormattedCitation" : "6", "previouslyFormattedCitation" : "&lt;sup&gt;6&lt;/sup&gt;"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6</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Drawing insights from their review of secondary data, the authors describe pragmatic options to combine scientific evidence with governance principles.</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"10.1186/s12961-017-0192-x", "ISSN" : "1478-4505", "PMID" : "28446185", "abstract" : "There is extensive health and public health literature on the 'evidence-policy gap', exploring the frustrating experiences of scientists trying to secure a response to the problems and solutions they raise and identifying the need for better evidence to reduce policymaker uncertainty. We offer a new perspective by using policy theory to propose research with greater impact, identifying the need to use persuasion to reduce ambiguity, and to adapt to multi-level policymaking systems.We identify insights from secondary data, namely systematic reviews, critical analysis and policy theories relevant to evidence-based policymaking. The studies are drawn primarily from countries such as the United States, United Kingdom, Canada, Australia and New Zealand. We combine empirical and normative elements to identify the ways in which scientists can, do and could influence policy.We identify two important dilemmas, for scientists and researchers, that arise from our initial advice. First, effective actors combine evidence with manipulative emotional appeals to influence the policy agenda - should scientists do the same, or would the reputational costs outweigh the policy benefits? Second, when adapting to multi-level policymaking, should scientists prioritise 'evidence-based' policymaking above other factors? The latter includes governance principles such the 'co-production' of policy between local public bodies, interest groups and service users. This process may be based primarily on values and involve actors with no commitment to a hierarchy of evidence.We conclude that successful engagement in 'evidence-based policymaking' requires pragmatism, combining scientific evidence with governance principles, and persuasion to translate complex evidence into simple stories. To maximise the use of scientific evidence in health and public health policy, researchers should recognise the tendency of policymakers to base judgements on their beliefs, and shortcuts based on their emotions and familiarity with information; learn 'where the action is', and be prepared to engage in long-term strategies to be able to influence policy; and, in both cases, decide how far you are willing to go to persuade policymakers to act and secure a hierarchy of evidence underpinning policy. These are value-driven and political, not just 'evidence-based', choices.", "author" : [ { "dropping-particle" : "", "family" : "Cairney", "given" : "Paul", "non-dropping-particle" : "", "parse-names" : false, "suffix" : "" }, { "dropping-particle" : "", "family" : "Oliver", "given" : "Kathryn", "non-dropping-particle" : "", "parse-names" : false, "suffix" : "" } ], "container-title" : "Health Research Policy and Systems", "id" : "ITEM-1", "issue" : "1", "issued" : { "date-parts" : [ [ "2017", "12", "26" ] ] }, "page" : "35", "title" : "Evidence-based policymaking is not like evidence-based medicine, so how far should you go to bridge the divide between evidence and policy?", "type" : "article-journal", "volume" : "15" }, "uris" : [ "http://www.mendeley.com/documents/?uuid=4bd0d80f-2c03-35b7-987f-cba17c267c87" ] } ], "mendeley" : { "formattedCitation" : "&lt;sup&gt;6&lt;/sup&gt;", "plainTextFormattedCitation" : "6", "previouslyFormattedCitation" : "&lt;sup&gt;6&lt;/sup&gt;"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6</w:t>
      </w:r>
      <w:r>
        <w:rPr>
          <w:rFonts w:ascii="Arial" w:hAnsi="Arial" w:cs="Arial"/>
          <w:color w:val="000000" w:themeColor="text1"/>
          <w:sz w:val="24"/>
          <w:szCs w:val="24"/>
        </w:rPr>
        <w:fldChar w:fldCharType="end"/>
      </w:r>
    </w:p>
    <w:p w:rsidR="00AB32DB"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t>Funding allocation, producing and disseminating evidence, are all predominately overseen by researchers and this may hinder progress in the pursuit of translation. A senior academic recently stated that is was not their role to help shape policies but to deliver the evidence alone,</w:t>
      </w:r>
      <w:r>
        <w:rPr>
          <w:rFonts w:ascii="Arial" w:hAnsi="Arial" w:cs="Arial"/>
        </w:rPr>
        <w:fldChar w:fldCharType="begin" w:fldLock="1"/>
      </w:r>
      <w:r>
        <w:rPr>
          <w:rFonts w:ascii="Arial" w:hAnsi="Arial" w:cs="Arial"/>
          <w:color w:val="000000" w:themeColor="text1"/>
          <w:sz w:val="24"/>
          <w:szCs w:val="24"/>
        </w:rPr>
        <w:instrText>ADDIN CSL_CITATION { "citationItems" : [ { "id" : "ITEM-1", "itemData" : { "URL" : "http://www.bbc.co.uk/programmes/b090vdk1?ns_mchannel=social&amp;", "accessed" : { "date-parts" : [ [ "2017", "8", "26" ] ] }, "id" : "ITEM-1", "issued" : { "date-parts" : [ [ "0" ] ] }, "title" : "BBC Radio 4 - Today, 18/08/2017", "type" : "webpage" }, "uris" : [ "http://www.mendeley.com/documents/?uuid=689c1815-32b4-3836-b7ee-594347d4af0d" ] } ], "mendeley" : { "formattedCitation" : "&lt;sup&gt;7&lt;/sup&gt;", "plainTextFormattedCitation" : "7", "previouslyFormattedCitation" : "&lt;sup&gt;7&lt;/sup&gt;" }, "properties" : { "noteIndex" : 0 }, "schema" : "https://github.com/citation-style-language/schema/raw/master/csl-citation.json" }</w:instrText>
      </w:r>
      <w:r>
        <w:rPr>
          <w:rFonts w:ascii="Arial" w:hAnsi="Arial" w:cs="Arial"/>
        </w:rPr>
        <w:fldChar w:fldCharType="separate"/>
      </w:r>
      <w:r w:rsidRPr="00CF4D23">
        <w:rPr>
          <w:rFonts w:ascii="Arial" w:hAnsi="Arial" w:cs="Arial"/>
          <w:noProof/>
          <w:color w:val="000000" w:themeColor="text1"/>
          <w:sz w:val="24"/>
          <w:szCs w:val="24"/>
          <w:vertAlign w:val="superscript"/>
        </w:rPr>
        <w:t>7</w:t>
      </w:r>
      <w:r>
        <w:rPr>
          <w:rFonts w:ascii="Arial" w:hAnsi="Arial" w:cs="Arial"/>
        </w:rPr>
        <w:fldChar w:fldCharType="end"/>
      </w:r>
      <w:r>
        <w:rPr>
          <w:rFonts w:ascii="Arial" w:hAnsi="Arial" w:cs="Arial"/>
          <w:color w:val="000000" w:themeColor="text1"/>
          <w:sz w:val="24"/>
          <w:szCs w:val="24"/>
        </w:rPr>
        <w:t xml:space="preserve"> a statement described as “laughably passive” in a recent Lancet editorial.</w:t>
      </w:r>
      <w:r>
        <w:rPr>
          <w:rFonts w:ascii="Arial" w:hAnsi="Arial" w:cs="Arial"/>
        </w:rPr>
        <w:fldChar w:fldCharType="begin" w:fldLock="1"/>
      </w:r>
      <w:r>
        <w:rPr>
          <w:rFonts w:ascii="Arial" w:hAnsi="Arial" w:cs="Arial"/>
          <w:color w:val="000000" w:themeColor="text1"/>
          <w:sz w:val="24"/>
          <w:szCs w:val="24"/>
        </w:rPr>
        <w:instrText>ADDIN CSL_CITATION { "citationItems" : [ { "id" : "ITEM-1", "itemData" : { "DOI" : "10.1016/S0140-6736(17)32286-9", "author" : [ { "dropping-particle" : "", "family" : "The Lancet", "given" : "", "non-dropping-particle" : "", "parse-names" : false, "suffix" : "" } ], "container-title" : "The Lancet", "id" : "ITEM-1", "issue" : "10097", "issued" : { "date-parts" : [ [ "2017", "8", "26" ] ] }, "page" : "822", "publisher" : "Elsevier", "title" : "The UK's inadequate plan for reducing childhood obesity", "type" : "article-journal", "volume" : "390" }, "uris" : [ "http://www.mendeley.com/documents/?uuid=3db22aba-c8b7-3076-9072-12cbfaaaab87" ] } ], "mendeley" : { "formattedCitation" : "&lt;sup&gt;8&lt;/sup&gt;", "plainTextFormattedCitation" : "8", "previouslyFormattedCitation" : "&lt;sup&gt;8&lt;/sup&gt;" }, "properties" : { "noteIndex" : 0 }, "schema" : "https://github.com/citation-style-language/schema/raw/master/csl-citation.json" }</w:instrText>
      </w:r>
      <w:r>
        <w:rPr>
          <w:rFonts w:ascii="Arial" w:hAnsi="Arial" w:cs="Arial"/>
        </w:rPr>
        <w:fldChar w:fldCharType="separate"/>
      </w:r>
      <w:r w:rsidRPr="00CF4D23">
        <w:rPr>
          <w:rFonts w:ascii="Arial" w:hAnsi="Arial" w:cs="Arial"/>
          <w:noProof/>
          <w:color w:val="000000" w:themeColor="text1"/>
          <w:sz w:val="24"/>
          <w:szCs w:val="24"/>
          <w:vertAlign w:val="superscript"/>
        </w:rPr>
        <w:t>8</w:t>
      </w:r>
      <w:r>
        <w:rPr>
          <w:rFonts w:ascii="Arial" w:hAnsi="Arial" w:cs="Arial"/>
        </w:rPr>
        <w:fldChar w:fldCharType="end"/>
      </w:r>
      <w:r>
        <w:rPr>
          <w:rFonts w:ascii="Arial" w:hAnsi="Arial" w:cs="Arial"/>
        </w:rPr>
        <w:t xml:space="preserve"> </w:t>
      </w:r>
      <w:r w:rsidRPr="00633DD7">
        <w:rPr>
          <w:rFonts w:ascii="Arial" w:hAnsi="Arial" w:cs="Arial"/>
          <w:sz w:val="24"/>
          <w:szCs w:val="24"/>
        </w:rPr>
        <w:t xml:space="preserve">Equally, </w:t>
      </w:r>
      <w:r w:rsidRPr="00C13B31">
        <w:rPr>
          <w:rFonts w:ascii="Arial" w:hAnsi="Arial" w:cs="Arial"/>
          <w:color w:val="000000" w:themeColor="text1"/>
          <w:sz w:val="24"/>
          <w:szCs w:val="24"/>
        </w:rPr>
        <w:t xml:space="preserve">the </w:t>
      </w:r>
      <w:r>
        <w:rPr>
          <w:rFonts w:ascii="Arial" w:hAnsi="Arial" w:cs="Arial"/>
          <w:color w:val="000000" w:themeColor="text1"/>
          <w:sz w:val="24"/>
          <w:szCs w:val="24"/>
        </w:rPr>
        <w:t>UK government has been criticized for its failure to translate the best available evidence provided to it in the context of the NHS and financing of public health.</w:t>
      </w:r>
      <w:r>
        <w:rPr>
          <w:rFonts w:ascii="Arial" w:hAnsi="Arial" w:cs="Arial"/>
        </w:rPr>
        <w:fldChar w:fldCharType="begin" w:fldLock="1"/>
      </w:r>
      <w:r>
        <w:rPr>
          <w:rFonts w:ascii="Arial" w:hAnsi="Arial" w:cs="Arial"/>
          <w:color w:val="000000" w:themeColor="text1"/>
          <w:sz w:val="24"/>
          <w:szCs w:val="24"/>
        </w:rPr>
        <w:instrText>ADDIN CSL_CITATION { "citationItems" : [ { "id" : "ITEM-1", "itemData" : { "DOI" : "10.1016/S2468-2667(17)30077-4", "author" : [ { "dropping-particle" : "", "family" : "The Lancet Public Health", "given" : "", "non-dropping-particle" : "", "parse-names" : false, "suffix" : "" } ], "container-title" : "The Lancet Public Health", "id" : "ITEM-1", "issue" : "5", "issued" : { "date-parts" : [ [ "2017", "5", "1" ] ] }, "page" : "e202", "publisher" : "Elsevier", "title" : "Prospects for public health in a sustainable NHS", "type" : "article-journal", "volume" : "2" }, "uris" : [ "http://www.mendeley.com/documents/?uuid=252d5038-ed9a-3d2b-b670-63f99beafd19" ] } ], "mendeley" : { "formattedCitation" : "&lt;sup&gt;9&lt;/sup&gt;", "plainTextFormattedCitation" : "9", "previouslyFormattedCitation" : "&lt;sup&gt;9&lt;/sup&gt;" }, "properties" : { "noteIndex" : 0 }, "schema" : "https://github.com/citation-style-language/schema/raw/master/csl-citation.json" }</w:instrText>
      </w:r>
      <w:r>
        <w:rPr>
          <w:rFonts w:ascii="Arial" w:hAnsi="Arial" w:cs="Arial"/>
        </w:rPr>
        <w:fldChar w:fldCharType="separate"/>
      </w:r>
      <w:r w:rsidRPr="00CF4D23">
        <w:rPr>
          <w:rFonts w:ascii="Arial" w:hAnsi="Arial" w:cs="Arial"/>
          <w:noProof/>
          <w:color w:val="000000" w:themeColor="text1"/>
          <w:sz w:val="24"/>
          <w:szCs w:val="24"/>
          <w:vertAlign w:val="superscript"/>
        </w:rPr>
        <w:t>9</w:t>
      </w:r>
      <w:r>
        <w:rPr>
          <w:rFonts w:ascii="Arial" w:hAnsi="Arial" w:cs="Arial"/>
        </w:rPr>
        <w:fldChar w:fldCharType="end"/>
      </w:r>
      <w:r>
        <w:rPr>
          <w:rFonts w:ascii="Arial" w:hAnsi="Arial" w:cs="Arial"/>
        </w:rPr>
        <w:t xml:space="preserve"> </w:t>
      </w:r>
    </w:p>
    <w:p w:rsidR="00AB32DB" w:rsidRPr="00A042FF"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t>Researchers and policymakers alike need to acknowledge the value that others outside of their immediate fields can add to achieving desired outcomes. The role of the social sciences should not be underestimated and the impacts of human thinking, behavior and bias cannot be overlooked. As discussed in The World Development Report 2015, Mind Society and Behavior</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"10.1596/978-1-4648-0342-0", "ISBN" : "978-1-4648-0342-0", "ISSN" : "0163-5085", "author" : [ { "dropping-particle" : "", "family" : "Group", "given" : "World Bank", "non-dropping-particle" : "", "parse-names" : false, "suffix" : "" } ], "id" : "ITEM-1", "issued" : { "date-parts" : [ [ "2014", "12", "4" ] ] }, "publisher" : "The World Bank", "title" : "World Development Report 2015: Mind, Society, and Behavior", "type" : "book" }, "uris" : [ "http://www.mendeley.com/documents/?uuid=045fca04-acf2-314d-a161-595ccc639731" ] } ], "mendeley" : { "formattedCitation" : "&lt;sup&gt;12&lt;/sup&gt;", "plainTextFormattedCitation" : "12", "previouslyFormattedCitation" : "&lt;sup&gt;12&lt;/sup&gt;"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12</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three principles relating to human </w:t>
      </w:r>
      <w:proofErr w:type="spellStart"/>
      <w:r>
        <w:rPr>
          <w:rFonts w:ascii="Arial" w:hAnsi="Arial" w:cs="Arial"/>
          <w:color w:val="000000" w:themeColor="text1"/>
          <w:sz w:val="24"/>
          <w:szCs w:val="24"/>
        </w:rPr>
        <w:t>behaviour</w:t>
      </w:r>
      <w:proofErr w:type="spellEnd"/>
      <w:r>
        <w:rPr>
          <w:rFonts w:ascii="Arial" w:hAnsi="Arial" w:cs="Arial"/>
          <w:color w:val="000000" w:themeColor="text1"/>
          <w:sz w:val="24"/>
          <w:szCs w:val="24"/>
        </w:rPr>
        <w:t xml:space="preserve"> – “thinking automatically”, “thinking socially” and “thinking through mental models” – can lead to considerable gains.</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"10.1596/978-1-4648-0342-0", "ISBN" : "978-1-4648-0342-0", "ISSN" : "0163-5085", "author" : [ { "dropping-particle" : "", "family" : "Group", "given" : "World Bank", "non-dropping-particle" : "", "parse-names" : false, "suffix" : "" } ], "id" : "ITEM-1", "issued" : { "date-parts" : [ [ "2014", "12", "4" ] ] }, "publisher" : "The World Bank", "title" : "World Development Report 2015: Mind, Society, and Behavior", "type" : "book" }, "uris" : [ "http://www.mendeley.com/documents/?uuid=045fca04-acf2-314d-a161-595ccc639731" ] } ], "mendeley" : { "formattedCitation" : "&lt;sup&gt;12&lt;/sup&gt;", "plainTextFormattedCitation" : "12", "previouslyFormattedCitation" : "&lt;sup&gt;12&lt;/sup&gt;"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12</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These principles not only aid understanding the population for whom the intervention or policy is intended, thereby increasing the likelihood of positive outcomes, they describe the cognitive processes used by researchers and policymakers themselves and the biases, such as confirmation and sunk cost bias, thereby introduced. The use of evidence and policymaking can be improved using established methods to mitigate the negative impacts introduced by our thought processes and biases.</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"10.1596/978-1-4648-0342-0", "ISBN" : "978-1-4648-0342-0", "ISSN" : "0163-5085", "author" : [ { "dropping-particle" : "", "family" : "Group", "given" : "World Bank", "non-dropping-particle" : "", "parse-names" : false, "suffix" : "" } ], "id" : "ITEM-1", "issued" : { "date-parts" : [ [ "2014", "12", "4" ] ] }, "publisher" : "The World Bank", "title" : "World Development Report 2015: Mind, Society, and Behavior", "type" : "book" }, "uris" : [ "http://www.mendeley.com/documents/?uuid=045fca04-acf2-314d-a161-595ccc639731" ] } ], "mendeley" : { "formattedCitation" : "&lt;sup&gt;12&lt;/sup&gt;", "plainTextFormattedCitation" : "12", "previouslyFormattedCitation" : "&lt;sup&gt;12&lt;/sup&gt;"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12</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w:t>
      </w:r>
    </w:p>
    <w:p w:rsidR="00AB32DB"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t>Then there is the need to establish what constitutes acceptable use of evidence, an example of which is the recent public criticism by Stephen Hawking of what he viewed as inappropriate use of evidence to justify policy establishing a 7-day NHS.</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"author" : [ { "dropping-particle" : "", "family" : "Hawking", "given" : "S", "non-dropping-particle" : "", "parse-names" : false, "suffix" : "" } ], "container-title" : "The Guardian", "id" : "ITEM-1", "issued" : { "date-parts" : [ [ "2017", "8", "18" ] ] }, "title" : "The NHS saved me. As a scientist, I must help to save it | Stephen Hawking | Opinion | The Guardian", "type" : "article-newspaper" }, "uris" : [ "http://www.mendeley.com/documents/?uuid=8c329f5e-0cc6-37d8-9e6f-3e7678333dca" ] } ], "mendeley" : { "formattedCitation" : "&lt;sup&gt;10&lt;/sup&gt;", "plainTextFormattedCitation" : "10", "previouslyFormattedCitation" : "&lt;sup&gt;10&lt;/sup&gt;"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58169B">
        <w:rPr>
          <w:rFonts w:ascii="Arial" w:hAnsi="Arial" w:cs="Arial"/>
          <w:noProof/>
          <w:color w:val="000000" w:themeColor="text1"/>
          <w:sz w:val="24"/>
          <w:szCs w:val="24"/>
          <w:vertAlign w:val="superscript"/>
        </w:rPr>
        <w:t>10</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Unfortunately,</w:t>
      </w:r>
      <w:r w:rsidRPr="003032CD">
        <w:rPr>
          <w:rFonts w:ascii="Arial" w:hAnsi="Arial" w:cs="Arial"/>
          <w:color w:val="000000" w:themeColor="text1"/>
          <w:sz w:val="24"/>
          <w:szCs w:val="24"/>
        </w:rPr>
        <w:t xml:space="preserve"> </w:t>
      </w:r>
      <w:r>
        <w:rPr>
          <w:rFonts w:ascii="Arial" w:hAnsi="Arial" w:cs="Arial"/>
          <w:color w:val="000000" w:themeColor="text1"/>
          <w:sz w:val="24"/>
          <w:szCs w:val="24"/>
        </w:rPr>
        <w:t>healthy and important debate did not follow, in part owing to a lack of effective channels, and the concerns were dismissed by the Health Minister.</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"author" : [ { "dropping-particle" : "", "family" : "Slawson", "given" : "N", "non-dropping-particle" : "", "parse-names" : false, "suffix" : "" }, { "dropping-particle" : "", "family" : "Gayle", "given" : "D", "non-dropping-particle" : "", "parse-names" : false, "suffix" : "" } ], "container-title" : "The Guardian", "id" : "ITEM-1", "issued" : { "date-parts" : [ [ "2017", "8", "19" ] ] }, "title" : "Jeremy Hunt accuses Stephen Hawking of 'pernicious falsehood' in NHS row | Politics | The Guardian", "type" : "article-newspaper" }, "uris" : [ "http://www.mendeley.com/documents/?uuid=429be182-2d74-3cdd-b08c-c2d0a4136ef5" ] } ], "mendeley" : { "formattedCitation" : "&lt;sup&gt;11&lt;/sup&gt;", "plainTextFormattedCitation" : "11", "previouslyFormattedCitation" : "&lt;sup&gt;11&lt;/sup&gt;"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11</w:t>
      </w:r>
      <w:r>
        <w:rPr>
          <w:rFonts w:ascii="Arial" w:hAnsi="Arial" w:cs="Arial"/>
          <w:color w:val="000000" w:themeColor="text1"/>
          <w:sz w:val="24"/>
          <w:szCs w:val="24"/>
        </w:rPr>
        <w:fldChar w:fldCharType="end"/>
      </w:r>
    </w:p>
    <w:p w:rsidR="00AB32DB" w:rsidRPr="00A042FF"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In light of the above, we propose that steps need to be taken to reach consensus on how to use evidence optimally for meaningful outcomes. These can be broadly </w:t>
      </w:r>
      <w:proofErr w:type="spellStart"/>
      <w:r>
        <w:rPr>
          <w:rFonts w:ascii="Arial" w:hAnsi="Arial" w:cs="Arial"/>
          <w:color w:val="000000" w:themeColor="text1"/>
          <w:sz w:val="24"/>
          <w:szCs w:val="24"/>
        </w:rPr>
        <w:t>conceptualised</w:t>
      </w:r>
      <w:proofErr w:type="spellEnd"/>
      <w:r>
        <w:rPr>
          <w:rFonts w:ascii="Arial" w:hAnsi="Arial" w:cs="Arial"/>
          <w:color w:val="000000" w:themeColor="text1"/>
          <w:sz w:val="24"/>
          <w:szCs w:val="24"/>
        </w:rPr>
        <w:t xml:space="preserve"> as</w:t>
      </w:r>
      <w:proofErr w:type="gramStart"/>
      <w:r>
        <w:rPr>
          <w:rFonts w:ascii="Arial" w:hAnsi="Arial" w:cs="Arial"/>
          <w:color w:val="000000" w:themeColor="text1"/>
          <w:sz w:val="24"/>
          <w:szCs w:val="24"/>
        </w:rPr>
        <w:t>;</w:t>
      </w:r>
      <w:proofErr w:type="gramEnd"/>
      <w:r>
        <w:rPr>
          <w:rFonts w:ascii="Arial" w:hAnsi="Arial" w:cs="Arial"/>
          <w:color w:val="000000" w:themeColor="text1"/>
          <w:sz w:val="24"/>
          <w:szCs w:val="24"/>
        </w:rPr>
        <w:t xml:space="preserve"> what, who, how, and why?</w:t>
      </w:r>
    </w:p>
    <w:p w:rsidR="00AB32DB" w:rsidRDefault="00AB32DB" w:rsidP="00AB32DB">
      <w:pPr>
        <w:pStyle w:val="p1"/>
        <w:spacing w:line="480" w:lineRule="auto"/>
        <w:jc w:val="both"/>
        <w:rPr>
          <w:rFonts w:ascii="Arial" w:hAnsi="Arial" w:cs="Arial"/>
          <w:color w:val="000000" w:themeColor="text1"/>
          <w:sz w:val="24"/>
          <w:szCs w:val="24"/>
        </w:rPr>
      </w:pPr>
      <w:r w:rsidRPr="00D2119B">
        <w:rPr>
          <w:rFonts w:ascii="Arial" w:hAnsi="Arial" w:cs="Arial"/>
          <w:b/>
          <w:color w:val="000000" w:themeColor="text1"/>
          <w:sz w:val="24"/>
          <w:szCs w:val="24"/>
        </w:rPr>
        <w:t>What:</w:t>
      </w:r>
      <w:r>
        <w:rPr>
          <w:rFonts w:ascii="Arial" w:hAnsi="Arial" w:cs="Arial"/>
          <w:color w:val="000000" w:themeColor="text1"/>
          <w:sz w:val="24"/>
          <w:szCs w:val="24"/>
        </w:rPr>
        <w:t xml:space="preserve"> What defines the translation of evidence into policy? Acceptable and realistic answers to what constitutes evidence, whose evidence to use, how much, and of what quality using what measures, should be sought. An agreed minimal amount of sound multi-sourced evidence to be used in guiding policymaking and a </w:t>
      </w:r>
      <w:proofErr w:type="spellStart"/>
      <w:r>
        <w:rPr>
          <w:rFonts w:ascii="Arial" w:hAnsi="Arial" w:cs="Arial"/>
          <w:color w:val="000000" w:themeColor="text1"/>
          <w:sz w:val="24"/>
          <w:szCs w:val="24"/>
        </w:rPr>
        <w:t>recognised</w:t>
      </w:r>
      <w:proofErr w:type="spellEnd"/>
      <w:r>
        <w:rPr>
          <w:rFonts w:ascii="Arial" w:hAnsi="Arial" w:cs="Arial"/>
          <w:color w:val="000000" w:themeColor="text1"/>
          <w:sz w:val="24"/>
          <w:szCs w:val="24"/>
        </w:rPr>
        <w:t xml:space="preserve"> threshold weight of evidence that cannot be ignored could be reasonable starting points. We also advocate that reasons for including or not including evidence should be transparent and documented consistently.</w:t>
      </w:r>
    </w:p>
    <w:p w:rsidR="00AB32DB" w:rsidRPr="00A74970" w:rsidRDefault="00AB32DB" w:rsidP="00AB32DB">
      <w:pPr>
        <w:pStyle w:val="p1"/>
        <w:spacing w:line="480" w:lineRule="auto"/>
        <w:jc w:val="both"/>
        <w:rPr>
          <w:rFonts w:ascii="Arial" w:hAnsi="Arial" w:cs="Arial"/>
        </w:rPr>
      </w:pPr>
      <w:r w:rsidRPr="00D2119B">
        <w:rPr>
          <w:rFonts w:ascii="Arial" w:hAnsi="Arial" w:cs="Arial"/>
          <w:b/>
          <w:color w:val="000000" w:themeColor="text1"/>
          <w:sz w:val="24"/>
          <w:szCs w:val="24"/>
        </w:rPr>
        <w:t>Who:</w:t>
      </w:r>
      <w:r>
        <w:rPr>
          <w:rFonts w:ascii="Arial" w:hAnsi="Arial" w:cs="Arial"/>
          <w:color w:val="000000" w:themeColor="text1"/>
          <w:sz w:val="24"/>
          <w:szCs w:val="24"/>
        </w:rPr>
        <w:t xml:space="preserve"> Who is tasked with the challenge of evidence translation and policy adaptation in real-world contexts? We would argue that all those tasked with forwarding the lives of people and the communities and </w:t>
      </w:r>
      <w:proofErr w:type="gramStart"/>
      <w:r>
        <w:rPr>
          <w:rFonts w:ascii="Arial" w:hAnsi="Arial" w:cs="Arial"/>
          <w:color w:val="000000" w:themeColor="text1"/>
          <w:sz w:val="24"/>
          <w:szCs w:val="24"/>
        </w:rPr>
        <w:t>environments</w:t>
      </w:r>
      <w:proofErr w:type="gramEnd"/>
      <w:r>
        <w:rPr>
          <w:rFonts w:ascii="Arial" w:hAnsi="Arial" w:cs="Arial"/>
          <w:color w:val="000000" w:themeColor="text1"/>
          <w:sz w:val="24"/>
          <w:szCs w:val="24"/>
        </w:rPr>
        <w:t xml:space="preserve"> in which they live, including researchers and policymakers, have a key role. W</w:t>
      </w:r>
      <w:r w:rsidRPr="00A042FF">
        <w:rPr>
          <w:rFonts w:ascii="Arial" w:hAnsi="Arial" w:cs="Arial"/>
          <w:color w:val="000000" w:themeColor="text1"/>
          <w:sz w:val="24"/>
          <w:szCs w:val="24"/>
        </w:rPr>
        <w:t>e recommend that strong collaborative partnerships be established between all specialties and institutions involved across the life-course of policy, from inception to implementation and enforcement to review and evaluation. We need to shift away the inherent disconnect between those who form and implement policy from those who research the health impact</w:t>
      </w:r>
      <w:r>
        <w:rPr>
          <w:rFonts w:ascii="Arial" w:hAnsi="Arial" w:cs="Arial"/>
          <w:color w:val="000000" w:themeColor="text1"/>
          <w:sz w:val="24"/>
          <w:szCs w:val="24"/>
        </w:rPr>
        <w:t>s</w:t>
      </w:r>
      <w:r w:rsidRPr="00A042FF">
        <w:rPr>
          <w:rFonts w:ascii="Arial" w:hAnsi="Arial" w:cs="Arial"/>
          <w:color w:val="000000" w:themeColor="text1"/>
          <w:sz w:val="24"/>
          <w:szCs w:val="24"/>
        </w:rPr>
        <w:t>. Novel approaches of working in u</w:t>
      </w:r>
      <w:r>
        <w:rPr>
          <w:rFonts w:ascii="Arial" w:hAnsi="Arial" w:cs="Arial"/>
          <w:color w:val="000000" w:themeColor="text1"/>
          <w:sz w:val="24"/>
          <w:szCs w:val="24"/>
        </w:rPr>
        <w:t>nison, for example between policy</w:t>
      </w:r>
      <w:r w:rsidRPr="00A042FF">
        <w:rPr>
          <w:rFonts w:ascii="Arial" w:hAnsi="Arial" w:cs="Arial"/>
          <w:color w:val="000000" w:themeColor="text1"/>
          <w:sz w:val="24"/>
          <w:szCs w:val="24"/>
        </w:rPr>
        <w:t xml:space="preserve">makers, academia, non-governmental </w:t>
      </w:r>
      <w:proofErr w:type="spellStart"/>
      <w:r w:rsidRPr="00A042FF">
        <w:rPr>
          <w:rFonts w:ascii="Arial" w:hAnsi="Arial" w:cs="Arial"/>
          <w:color w:val="000000" w:themeColor="text1"/>
          <w:sz w:val="24"/>
          <w:szCs w:val="24"/>
        </w:rPr>
        <w:t>organisations</w:t>
      </w:r>
      <w:proofErr w:type="spellEnd"/>
      <w:r w:rsidRPr="00A042FF">
        <w:rPr>
          <w:rFonts w:ascii="Arial" w:hAnsi="Arial" w:cs="Arial"/>
          <w:color w:val="000000" w:themeColor="text1"/>
          <w:sz w:val="24"/>
          <w:szCs w:val="24"/>
        </w:rPr>
        <w:t xml:space="preserve"> and the media, are gaining traction and have shown positive outcomes, as </w:t>
      </w:r>
      <w:proofErr w:type="spellStart"/>
      <w:r w:rsidRPr="00A042FF">
        <w:rPr>
          <w:rFonts w:ascii="Arial" w:hAnsi="Arial" w:cs="Arial"/>
          <w:color w:val="000000" w:themeColor="text1"/>
          <w:sz w:val="24"/>
          <w:szCs w:val="24"/>
        </w:rPr>
        <w:t>summarised</w:t>
      </w:r>
      <w:proofErr w:type="spellEnd"/>
      <w:r w:rsidRPr="00A042FF">
        <w:rPr>
          <w:rFonts w:ascii="Arial" w:hAnsi="Arial" w:cs="Arial"/>
          <w:color w:val="000000" w:themeColor="text1"/>
          <w:sz w:val="24"/>
          <w:szCs w:val="24"/>
        </w:rPr>
        <w:t xml:space="preserve"> </w:t>
      </w:r>
      <w:r>
        <w:rPr>
          <w:rFonts w:ascii="Arial" w:hAnsi="Arial" w:cs="Arial"/>
          <w:color w:val="000000" w:themeColor="text1"/>
          <w:sz w:val="24"/>
          <w:szCs w:val="24"/>
        </w:rPr>
        <w:t xml:space="preserve">comprehensively </w:t>
      </w:r>
      <w:r w:rsidRPr="00A042FF">
        <w:rPr>
          <w:rFonts w:ascii="Arial" w:hAnsi="Arial" w:cs="Arial"/>
          <w:color w:val="000000" w:themeColor="text1"/>
          <w:sz w:val="24"/>
          <w:szCs w:val="24"/>
        </w:rPr>
        <w:t xml:space="preserve">by </w:t>
      </w:r>
      <w:proofErr w:type="spellStart"/>
      <w:r w:rsidRPr="00A042FF">
        <w:rPr>
          <w:rFonts w:ascii="Arial" w:hAnsi="Arial" w:cs="Arial"/>
          <w:color w:val="000000" w:themeColor="text1"/>
          <w:sz w:val="24"/>
          <w:szCs w:val="24"/>
        </w:rPr>
        <w:t>Sallis</w:t>
      </w:r>
      <w:proofErr w:type="spellEnd"/>
      <w:r w:rsidRPr="00A042FF">
        <w:rPr>
          <w:rFonts w:ascii="Arial" w:hAnsi="Arial" w:cs="Arial"/>
          <w:color w:val="000000" w:themeColor="text1"/>
          <w:sz w:val="24"/>
          <w:szCs w:val="24"/>
        </w:rPr>
        <w:t xml:space="preserve"> and colleagues</w:t>
      </w:r>
      <w:r>
        <w:rPr>
          <w:rFonts w:ascii="Arial" w:hAnsi="Arial" w:cs="Arial"/>
          <w:color w:val="000000" w:themeColor="text1"/>
          <w:sz w:val="24"/>
          <w:szCs w:val="24"/>
        </w:rPr>
        <w:t>.</w:t>
      </w:r>
      <w:r>
        <w:rPr>
          <w:rFonts w:ascii="Arial" w:hAnsi="Arial" w:cs="Arial"/>
        </w:rPr>
        <w:fldChar w:fldCharType="begin" w:fldLock="1"/>
      </w:r>
      <w:r>
        <w:rPr>
          <w:rFonts w:ascii="Arial" w:hAnsi="Arial" w:cs="Arial"/>
          <w:color w:val="000000" w:themeColor="text1"/>
          <w:sz w:val="24"/>
          <w:szCs w:val="24"/>
        </w:rPr>
        <w:instrText>ADDIN CSL_CITATION { "citationItems" : [ { "id" : "ITEM-1", "itemData" : { "DOI" : "10.1016/S0140-6736(16)30068-X", "ISSN" : "01406736", "author" : [ { "dropping-particle" : "", "family" : "Sallis", "given" : "James F", "non-dropping-particle" : "", "parse-names" : false, "suffix" : "" }, { "dropping-particle" : "", "family" : "Bull", "given" : "Fiona", "non-dropping-particle" : "", "parse-names" : false, "suffix" : "" }, { "dropping-particle" : "", "family" : "Burdett", "given" : "Ricky", "non-dropping-particle" : "", "parse-names" : false, "suffix" : "" }, { "dropping-particle" : "", "family" : "Frank", "given" : "Lawrence D", "non-dropping-particle" : "", "parse-names" : false, "suffix" : "" }, { "dropping-particle" : "", "family" : "Griffiths", "given" : "Peter", "non-dropping-particle" : "", "parse-names" : false, "suffix" : "" }, { "dropping-particle" : "", "family" : "Giles-Corti", "given" : "Billie", "non-dropping-particle" : "", "parse-names" : false, "suffix" : "" }, { "dropping-particle" : "", "family" : "Stevenson", "given" : "Mark", "non-dropping-particle" : "", "parse-names" : false, "suffix" : "" } ], "container-title" : "The Lancet", "id" : "ITEM-1", "issue" : "10062", "issued" : { "date-parts" : [ [ "2016", "12" ] ] }, "page" : "2936-2947", "title" : "Use of science to guide city planning policy and practice: how to achieve healthy and sustainable future cities", "type" : "article-journal", "volume" : "388" }, "uris" : [ "http://www.mendeley.com/documents/?uuid=afcbe61c-5cc9-36d4-b81a-863e7f354f8e" ] } ], "mendeley" : { "formattedCitation" : "&lt;sup&gt;13&lt;/sup&gt;", "plainTextFormattedCitation" : "13", "previouslyFormattedCitation" : "&lt;sup&gt;13&lt;/sup&gt;" }, "properties" : { "noteIndex" : 0 }, "schema" : "https://github.com/citation-style-language/schema/raw/master/csl-citation.json" }</w:instrText>
      </w:r>
      <w:r>
        <w:rPr>
          <w:rFonts w:ascii="Arial" w:hAnsi="Arial" w:cs="Arial"/>
        </w:rPr>
        <w:fldChar w:fldCharType="separate"/>
      </w:r>
      <w:r w:rsidRPr="00CF4D23">
        <w:rPr>
          <w:rFonts w:ascii="Arial" w:hAnsi="Arial" w:cs="Arial"/>
          <w:noProof/>
          <w:color w:val="000000" w:themeColor="text1"/>
          <w:sz w:val="24"/>
          <w:szCs w:val="24"/>
          <w:vertAlign w:val="superscript"/>
        </w:rPr>
        <w:t>13</w:t>
      </w:r>
      <w:r>
        <w:rPr>
          <w:rFonts w:ascii="Arial" w:hAnsi="Arial" w:cs="Arial"/>
        </w:rPr>
        <w:fldChar w:fldCharType="end"/>
      </w:r>
      <w:r>
        <w:rPr>
          <w:rFonts w:ascii="Arial" w:hAnsi="Arial" w:cs="Arial"/>
          <w:color w:val="000000" w:themeColor="text1"/>
          <w:sz w:val="24"/>
          <w:szCs w:val="24"/>
        </w:rPr>
        <w:t xml:space="preserve"> Additionally, who contributes to the policymaking process should be transparent and known to all parties involved to </w:t>
      </w:r>
      <w:proofErr w:type="spellStart"/>
      <w:r>
        <w:rPr>
          <w:rFonts w:ascii="Arial" w:hAnsi="Arial" w:cs="Arial"/>
          <w:color w:val="000000" w:themeColor="text1"/>
          <w:sz w:val="24"/>
          <w:szCs w:val="24"/>
        </w:rPr>
        <w:t>optimise</w:t>
      </w:r>
      <w:proofErr w:type="spellEnd"/>
      <w:r>
        <w:rPr>
          <w:rFonts w:ascii="Arial" w:hAnsi="Arial" w:cs="Arial"/>
          <w:color w:val="000000" w:themeColor="text1"/>
          <w:sz w:val="24"/>
          <w:szCs w:val="24"/>
        </w:rPr>
        <w:t xml:space="preserve"> the use of both evidence and governance principles, and collaborative working. </w:t>
      </w:r>
    </w:p>
    <w:p w:rsidR="00AB32DB" w:rsidRPr="001F61B9" w:rsidRDefault="00AB32DB" w:rsidP="00AB32DB">
      <w:pPr>
        <w:pStyle w:val="p1"/>
        <w:spacing w:line="480" w:lineRule="auto"/>
        <w:jc w:val="both"/>
        <w:rPr>
          <w:rFonts w:ascii="Helvetica" w:hAnsi="Helvetica"/>
          <w:color w:val="181A18"/>
          <w:sz w:val="15"/>
          <w:szCs w:val="15"/>
          <w:lang w:val="en-GB" w:eastAsia="en-GB"/>
        </w:rPr>
      </w:pPr>
      <w:r w:rsidRPr="00E65D4A">
        <w:rPr>
          <w:rFonts w:ascii="Arial" w:hAnsi="Arial" w:cs="Arial"/>
          <w:b/>
          <w:color w:val="000000" w:themeColor="text1"/>
          <w:sz w:val="24"/>
          <w:szCs w:val="24"/>
        </w:rPr>
        <w:t>How:</w:t>
      </w:r>
      <w:r>
        <w:rPr>
          <w:rFonts w:ascii="Arial" w:hAnsi="Arial" w:cs="Arial"/>
          <w:color w:val="000000" w:themeColor="text1"/>
          <w:sz w:val="24"/>
          <w:szCs w:val="24"/>
        </w:rPr>
        <w:t xml:space="preserve"> How</w:t>
      </w:r>
      <w:r w:rsidRPr="00A042FF">
        <w:rPr>
          <w:rFonts w:ascii="Arial" w:hAnsi="Arial" w:cs="Arial"/>
          <w:color w:val="000000" w:themeColor="text1"/>
          <w:sz w:val="24"/>
          <w:szCs w:val="24"/>
        </w:rPr>
        <w:t xml:space="preserve"> to ensure that health research is </w:t>
      </w:r>
      <w:r>
        <w:rPr>
          <w:rFonts w:ascii="Arial" w:hAnsi="Arial" w:cs="Arial"/>
          <w:color w:val="000000" w:themeColor="text1"/>
          <w:sz w:val="24"/>
          <w:szCs w:val="24"/>
        </w:rPr>
        <w:t xml:space="preserve">relevant and </w:t>
      </w:r>
      <w:r w:rsidRPr="00A042FF">
        <w:rPr>
          <w:rFonts w:ascii="Arial" w:hAnsi="Arial" w:cs="Arial"/>
          <w:color w:val="000000" w:themeColor="text1"/>
          <w:sz w:val="24"/>
          <w:szCs w:val="24"/>
        </w:rPr>
        <w:t>used routinely an</w:t>
      </w:r>
      <w:r>
        <w:rPr>
          <w:rFonts w:ascii="Arial" w:hAnsi="Arial" w:cs="Arial"/>
          <w:color w:val="000000" w:themeColor="text1"/>
          <w:sz w:val="24"/>
          <w:szCs w:val="24"/>
        </w:rPr>
        <w:t xml:space="preserve">d effectively? </w:t>
      </w:r>
      <w:r w:rsidRPr="00A042FF">
        <w:rPr>
          <w:rFonts w:ascii="Arial" w:hAnsi="Arial" w:cs="Arial"/>
          <w:color w:val="000000" w:themeColor="text1"/>
          <w:sz w:val="24"/>
          <w:szCs w:val="24"/>
        </w:rPr>
        <w:t>This will require a more systematic approach to the translation of research that involves ongoing collaboration between resear</w:t>
      </w:r>
      <w:r>
        <w:rPr>
          <w:rFonts w:ascii="Arial" w:hAnsi="Arial" w:cs="Arial"/>
          <w:color w:val="000000" w:themeColor="text1"/>
          <w:sz w:val="24"/>
          <w:szCs w:val="24"/>
        </w:rPr>
        <w:t>chers, practitioners and policy</w:t>
      </w:r>
      <w:r w:rsidRPr="00A042FF">
        <w:rPr>
          <w:rFonts w:ascii="Arial" w:hAnsi="Arial" w:cs="Arial"/>
          <w:color w:val="000000" w:themeColor="text1"/>
          <w:sz w:val="24"/>
          <w:szCs w:val="24"/>
        </w:rPr>
        <w:t xml:space="preserve">makers supported by </w:t>
      </w:r>
      <w:r>
        <w:rPr>
          <w:rFonts w:ascii="Arial" w:hAnsi="Arial" w:cs="Arial"/>
          <w:color w:val="000000" w:themeColor="text1"/>
          <w:sz w:val="24"/>
          <w:szCs w:val="24"/>
        </w:rPr>
        <w:t xml:space="preserve">the adoption of </w:t>
      </w:r>
      <w:proofErr w:type="spellStart"/>
      <w:r>
        <w:rPr>
          <w:rFonts w:ascii="Arial" w:hAnsi="Arial" w:cs="Arial"/>
          <w:color w:val="000000" w:themeColor="text1"/>
          <w:sz w:val="24"/>
          <w:szCs w:val="24"/>
        </w:rPr>
        <w:t>standardised</w:t>
      </w:r>
      <w:proofErr w:type="spellEnd"/>
      <w:r>
        <w:rPr>
          <w:rFonts w:ascii="Arial" w:hAnsi="Arial" w:cs="Arial"/>
          <w:color w:val="000000" w:themeColor="text1"/>
          <w:sz w:val="24"/>
          <w:szCs w:val="24"/>
        </w:rPr>
        <w:t xml:space="preserve"> transparency and </w:t>
      </w:r>
      <w:r w:rsidRPr="00A042FF">
        <w:rPr>
          <w:rFonts w:ascii="Arial" w:hAnsi="Arial" w:cs="Arial"/>
          <w:color w:val="000000" w:themeColor="text1"/>
          <w:sz w:val="24"/>
          <w:szCs w:val="24"/>
        </w:rPr>
        <w:t>accountability structures</w:t>
      </w:r>
      <w:r>
        <w:rPr>
          <w:rFonts w:ascii="Arial" w:hAnsi="Arial" w:cs="Arial"/>
          <w:color w:val="000000" w:themeColor="text1"/>
          <w:sz w:val="24"/>
          <w:szCs w:val="24"/>
        </w:rPr>
        <w:t xml:space="preserve"> and indicators of progress building upon the framework established to review transparency in UK government policy proposals.</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"URL" : "http://senseaboutscience.org/activities/transparency-evidence/", "accessed" : { "date-parts" : [ [ "2017", "8", "28" ] ] }, "author" : [ { "dropping-particle" : "", "family" : "Sense about Science", "given" : "", "non-dropping-particle" : "", "parse-names" : false, "suffix" : "" } ], "id" : "ITEM-1", "issued" : { "date-parts" : [ [ "2016" ] ] }, "title" : "Transparency of evidence", "type" : "webpage" }, "uris" : [ "http://www.mendeley.com/documents/?uuid=a6286365-e33f-36b9-844e-e3892b0e9a9d" ] } ], "mendeley" : { "formattedCitation" : "&lt;sup&gt;14&lt;/sup&gt;", "plainTextFormattedCitation" : "14", "previouslyFormattedCitation" : "&lt;sup&gt;14&lt;/sup&gt;"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14</w:t>
      </w:r>
      <w:r>
        <w:rPr>
          <w:rFonts w:ascii="Arial" w:hAnsi="Arial" w:cs="Arial"/>
          <w:color w:val="000000" w:themeColor="text1"/>
          <w:sz w:val="24"/>
          <w:szCs w:val="24"/>
        </w:rPr>
        <w:fldChar w:fldCharType="end"/>
      </w:r>
      <w:r w:rsidRPr="00A042FF">
        <w:rPr>
          <w:rFonts w:ascii="Arial" w:hAnsi="Arial" w:cs="Arial"/>
          <w:color w:val="000000" w:themeColor="text1"/>
          <w:sz w:val="24"/>
          <w:szCs w:val="24"/>
        </w:rPr>
        <w:t xml:space="preserve"> The application of research findings to policy would be further supported by a greater understanding of policy processes by researchers, using simple models such as that described by </w:t>
      </w:r>
      <w:proofErr w:type="spellStart"/>
      <w:r w:rsidRPr="00A042FF">
        <w:rPr>
          <w:rFonts w:ascii="Arial" w:hAnsi="Arial" w:cs="Arial"/>
          <w:color w:val="000000" w:themeColor="text1"/>
          <w:sz w:val="24"/>
          <w:szCs w:val="24"/>
        </w:rPr>
        <w:t>Kingdon</w:t>
      </w:r>
      <w:proofErr w:type="spellEnd"/>
      <w:r w:rsidRPr="00A042FF">
        <w:rPr>
          <w:rFonts w:ascii="Arial" w:hAnsi="Arial" w:cs="Arial"/>
          <w:color w:val="000000" w:themeColor="text1"/>
          <w:sz w:val="24"/>
          <w:szCs w:val="24"/>
        </w:rPr>
        <w:t xml:space="preserve"> and Thurber</w:t>
      </w:r>
      <w:r>
        <w:rPr>
          <w:rFonts w:ascii="Arial" w:hAnsi="Arial" w:cs="Arial"/>
          <w:color w:val="000000" w:themeColor="text1"/>
          <w:sz w:val="24"/>
          <w:szCs w:val="24"/>
        </w:rPr>
        <w:t>,</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"author" : [ { "dropping-particle" : "", "family" : "Kingdon", "given" : "J", "non-dropping-particle" : "", "parse-names" : false, "suffix" : "" } ], "id" : "ITEM-1", "issued" : { "date-parts" : [ [ "1995" ] ] }, "publisher" : "Longman", "publisher-place" : "New York", "title" : "Agendas, alternatives, and public policies, 2nd edn.", "type" : "book" }, "uris" : [ "http://www.mendeley.com/documents/?uuid=089fd4de-5916-4b3b-a0d3-86c6ffc0acd5" ] } ], "mendeley" : { "formattedCitation" : "&lt;sup&gt;15&lt;/sup&gt;", "plainTextFormattedCitation" : "15", "previouslyFormattedCitation" : "&lt;sup&gt;15&lt;/sup&gt;"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15</w:t>
      </w:r>
      <w:r>
        <w:rPr>
          <w:rFonts w:ascii="Arial" w:hAnsi="Arial" w:cs="Arial"/>
          <w:color w:val="000000" w:themeColor="text1"/>
          <w:sz w:val="24"/>
          <w:szCs w:val="24"/>
        </w:rPr>
        <w:fldChar w:fldCharType="end"/>
      </w:r>
      <w:r w:rsidRPr="00A042FF">
        <w:rPr>
          <w:rFonts w:ascii="Arial" w:hAnsi="Arial" w:cs="Arial"/>
          <w:color w:val="000000" w:themeColor="text1"/>
          <w:sz w:val="24"/>
          <w:szCs w:val="24"/>
        </w:rPr>
        <w:t xml:space="preserve"> </w:t>
      </w:r>
      <w:proofErr w:type="spellStart"/>
      <w:r>
        <w:rPr>
          <w:rFonts w:ascii="Arial" w:hAnsi="Arial" w:cs="Arial"/>
          <w:color w:val="000000" w:themeColor="text1"/>
          <w:sz w:val="24"/>
          <w:szCs w:val="24"/>
        </w:rPr>
        <w:t>formalised</w:t>
      </w:r>
      <w:proofErr w:type="spellEnd"/>
      <w:r>
        <w:rPr>
          <w:rFonts w:ascii="Arial" w:hAnsi="Arial" w:cs="Arial"/>
          <w:color w:val="000000" w:themeColor="text1"/>
          <w:sz w:val="24"/>
          <w:szCs w:val="24"/>
        </w:rPr>
        <w:t xml:space="preserve"> opportunities for researchers to experience the field of policymaking and vice versa </w:t>
      </w:r>
      <w:r w:rsidRPr="00A042FF">
        <w:rPr>
          <w:rFonts w:ascii="Arial" w:hAnsi="Arial" w:cs="Arial"/>
          <w:color w:val="000000" w:themeColor="text1"/>
          <w:sz w:val="24"/>
          <w:szCs w:val="24"/>
        </w:rPr>
        <w:t>and a research agenda informed by knowledge gaps within the policy arena and use of policy-relevant methods.</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"10.1016/S0140-6736(16)30068-X", "ISSN" : "01406736", "author" : [ { "dropping-particle" : "", "family" : "Sallis", "given" : "James F", "non-dropping-particle" : "", "parse-names" : false, "suffix" : "" }, { "dropping-particle" : "", "family" : "Bull", "given" : "Fiona", "non-dropping-particle" : "", "parse-names" : false, "suffix" : "" }, { "dropping-particle" : "", "family" : "Burdett", "given" : "Ricky", "non-dropping-particle" : "", "parse-names" : false, "suffix" : "" }, { "dropping-particle" : "", "family" : "Frank", "given" : "Lawrence D", "non-dropping-particle" : "", "parse-names" : false, "suffix" : "" }, { "dropping-particle" : "", "family" : "Griffiths", "given" : "Peter", "non-dropping-particle" : "", "parse-names" : false, "suffix" : "" }, { "dropping-particle" : "", "family" : "Giles-Corti", "given" : "Billie", "non-dropping-particle" : "", "parse-names" : false, "suffix" : "" }, { "dropping-particle" : "", "family" : "Stevenson", "given" : "Mark", "non-dropping-particle" : "", "parse-names" : false, "suffix" : "" } ], "container-title" : "The Lancet", "id" : "ITEM-1", "issue" : "10062", "issued" : { "date-parts" : [ [ "2016", "12" ] ] }, "page" : "2936-2947", "title" : "Use of science to guide city planning policy and practice: how to achieve healthy and sustainable future cities", "type" : "article-journal", "volume" : "388" }, "uris" : [ "http://www.mendeley.com/documents/?uuid=afcbe61c-5cc9-36d4-b81a-863e7f354f8e" ] } ], "mendeley" : { "formattedCitation" : "&lt;sup&gt;13&lt;/sup&gt;", "plainTextFormattedCitation" : "13", "previouslyFormattedCitation" : "&lt;sup&gt;13&lt;/sup&gt;"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13</w:t>
      </w:r>
      <w:r>
        <w:rPr>
          <w:rFonts w:ascii="Arial" w:hAnsi="Arial" w:cs="Arial"/>
          <w:color w:val="000000" w:themeColor="text1"/>
          <w:sz w:val="24"/>
          <w:szCs w:val="24"/>
        </w:rPr>
        <w:fldChar w:fldCharType="end"/>
      </w:r>
      <w:r w:rsidRPr="00A042FF">
        <w:rPr>
          <w:rFonts w:ascii="Arial" w:hAnsi="Arial" w:cs="Arial"/>
          <w:color w:val="000000" w:themeColor="text1"/>
          <w:sz w:val="24"/>
          <w:szCs w:val="24"/>
        </w:rPr>
        <w:t xml:space="preserve"> </w:t>
      </w:r>
      <w:r>
        <w:rPr>
          <w:rFonts w:ascii="Arial" w:hAnsi="Arial" w:cs="Arial"/>
          <w:color w:val="000000" w:themeColor="text1"/>
          <w:sz w:val="24"/>
          <w:szCs w:val="24"/>
        </w:rPr>
        <w:t>Useful strategies include “</w:t>
      </w:r>
      <w:proofErr w:type="spellStart"/>
      <w:r>
        <w:rPr>
          <w:rFonts w:ascii="Arial" w:hAnsi="Arial" w:cs="Arial"/>
          <w:color w:val="000000" w:themeColor="text1"/>
          <w:sz w:val="24"/>
          <w:szCs w:val="24"/>
        </w:rPr>
        <w:t>redteaming</w:t>
      </w:r>
      <w:proofErr w:type="spellEnd"/>
      <w:r>
        <w:rPr>
          <w:rFonts w:ascii="Arial" w:hAnsi="Arial" w:cs="Arial"/>
          <w:color w:val="000000" w:themeColor="text1"/>
          <w:sz w:val="24"/>
          <w:szCs w:val="24"/>
        </w:rPr>
        <w:t>” where researchers and policymakers allow operational proposals to be critiqued by an outside team to help expose potential weaknesses and fuel productive group debate, and “</w:t>
      </w:r>
      <w:proofErr w:type="spellStart"/>
      <w:r>
        <w:rPr>
          <w:rFonts w:ascii="Arial" w:hAnsi="Arial" w:cs="Arial"/>
          <w:color w:val="000000" w:themeColor="text1"/>
          <w:sz w:val="24"/>
          <w:szCs w:val="24"/>
        </w:rPr>
        <w:t>dogfooding</w:t>
      </w:r>
      <w:proofErr w:type="spellEnd"/>
      <w:r>
        <w:rPr>
          <w:rFonts w:ascii="Arial" w:hAnsi="Arial" w:cs="Arial"/>
          <w:color w:val="000000" w:themeColor="text1"/>
          <w:sz w:val="24"/>
          <w:szCs w:val="24"/>
        </w:rPr>
        <w:t>” where one attempts to experience one’s product before its release.</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"10.1596/978-1-4648-0342-0", "ISBN" : "978-1-4648-0342-0", "ISSN" : "0163-5085", "author" : [ { "dropping-particle" : "", "family" : "Group", "given" : "World Bank", "non-dropping-particle" : "", "parse-names" : false, "suffix" : "" } ], "id" : "ITEM-1", "issued" : { "date-parts" : [ [ "2014", "12", "4" ] ] }, "publisher" : "The World Bank", "title" : "World Development Report 2015: Mind, Society, and Behavior", "type" : "book" }, "uris" : [ "http://www.mendeley.com/documents/?uuid=045fca04-acf2-314d-a161-595ccc639731" ] } ], "mendeley" : { "formattedCitation" : "&lt;sup&gt;12&lt;/sup&gt;", "plainTextFormattedCitation" : "12", "previouslyFormattedCitation" : "&lt;sup&gt;12&lt;/sup&gt;"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12</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Furthermore, complex systems approaches, fundamental to </w:t>
      </w:r>
      <w:proofErr w:type="spellStart"/>
      <w:r>
        <w:rPr>
          <w:rFonts w:ascii="Arial" w:hAnsi="Arial" w:cs="Arial"/>
          <w:color w:val="000000" w:themeColor="text1"/>
          <w:sz w:val="24"/>
          <w:szCs w:val="24"/>
        </w:rPr>
        <w:t>conceptualising</w:t>
      </w:r>
      <w:proofErr w:type="spellEnd"/>
      <w:r>
        <w:rPr>
          <w:rFonts w:ascii="Arial" w:hAnsi="Arial" w:cs="Arial"/>
          <w:color w:val="000000" w:themeColor="text1"/>
          <w:sz w:val="24"/>
          <w:szCs w:val="24"/>
        </w:rPr>
        <w:t xml:space="preserve"> many of today’s current health issues, can aid in defining the problem and forming of policy options, and, in conjunction with realist evaluation, could support measuring outcomes and understanding of what works, in which contexts, for whom, and why?</w:t>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"10.1016/S0140-6736(17)31267-9", "ISSN" : "1474547X", "abstract" : "\"Despite major investment in both research and policy, many pressing contemporary public health challenges remain. To date, the evidence underpinning responses to these challenges has largely been generated by tools and methods that were developed to answer questions about the effectiveness of clinical interventions, and as such are grounded in linear models of cause and effect. Identification, implementation, and evaluation of effective responses to major public health challenges require a wider set of approaches1,2 and a focus on complex systems.3,4 A complex systems model of public health conceptualises poor health and health inequalities as outcomes of a multitude of interdependent elements within a connected whole. These elements affect each other in sometimes subtle ways, with changes potentially reverberating throughout the system.5 A complex systems approach uses a broad spectrum of methods to design, implement, and evaluate interventions for changing these systems to improve public health.\"", "author" : [ { "dropping-particle" : "", "family" : "Rutter", "given" : "Harry", "non-dropping-particle" : "", "parse-names" : false, "suffix" : "" }, { "dropping-particle" : "", "family" : "Savona", "given" : "Natalie", "non-dropping-particle" : "", "parse-names" : false, "suffix" : "" }, { "dropping-particle" : "", "family" : "Glonti", "given" : "Ketevan", "non-dropping-particle" : "", "parse-names" : false, "suffix" : "" }, { "dropping-particle" : "", "family" : "Bibby", "given" : "Jo", "non-dropping-particle" : "", "parse-names" : false, "suffix" : "" }, { "dropping-particle" : "", "family" : "Cummins", "given" : "Steven", "non-dropping-particle" : "", "parse-names" : false, "suffix" : "" }, { "dropping-particle" : "", "family" : "Finegood", "given" : "Diane T.", "non-dropping-particle" : "", "parse-names" : false, "suffix" : "" }, { "dropping-particle" : "", "family" : "Greaves", "given" : "Felix", "non-dropping-particle" : "", "parse-names" : false, "suffix" : "" }, { "dropping-particle" : "", "family" : "Harper", "given" : "Laura", "non-dropping-particle" : "", "parse-names" : false, "suffix" : "" }, { "dropping-particle" : "", "family" : "Hawe", "given" : "Penelope", "non-dropping-particle" : "", "parse-names" : false, "suffix" : "" }, { "dropping-particle" : "", "family" : "Moore", "given" : "Laurence", "non-dropping-particle" : "", "parse-names" : false, "suffix" : "" }, { "dropping-particle" : "", "family" : "Petticrew", "given" : "Mark", "non-dropping-particle" : "", "parse-names" : false, "suffix" : "" }, { "dropping-particle" : "", "family" : "Rehfuess", "given" : "Eva", "non-dropping-particle" : "", "parse-names" : false, "suffix" : "" }, { "dropping-particle" : "", "family" : "Shiell", "given" : "Alan", "non-dropping-particle" : "", "parse-names" : false, "suffix" : "" }, { "dropping-particle" : "", "family" : "Thomas", "given" : "James", "non-dropping-particle" : "", "parse-names" : false, "suffix" : "" }, { "dropping-particle" : "", "family" : "White", "given" : "Martin", "non-dropping-particle" : "", "parse-names" : false, "suffix" : "" } ], "container-title" : "The Lancet", "id" : "ITEM-1", "issue" : "17", "issued" : { "date-parts" : [ [ "2017" ] ] }, "page" : "9-11", "publisher" : "Elsevier Ltd", "title" : "The need for a complex systems model of evidence for public health", "type" : "article-journal", "volume" : "6736" }, "uris" : [ "http://www.mendeley.com/documents/?uuid=9a92e909-21fe-4737-8ace-7518f4dcdf13" ] } ], "mendeley" : { "formattedCitation" : "&lt;sup&gt;16&lt;/sup&gt;", "plainTextFormattedCitation" : "16", "previouslyFormattedCitation" : "&lt;sup&gt;16&lt;/sup&gt;"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16</w:t>
      </w:r>
      <w:r>
        <w:rPr>
          <w:rFonts w:ascii="Arial" w:hAnsi="Arial" w:cs="Arial"/>
          <w:color w:val="000000" w:themeColor="text1"/>
          <w:sz w:val="24"/>
          <w:szCs w:val="24"/>
        </w:rPr>
        <w:fldChar w:fldCharType="end"/>
      </w:r>
      <w:r>
        <w:rPr>
          <w:rFonts w:ascii="Arial" w:hAnsi="Arial" w:cs="Arial"/>
          <w:color w:val="000000" w:themeColor="text1"/>
          <w:sz w:val="24"/>
          <w:szCs w:val="24"/>
        </w:rPr>
        <w:fldChar w:fldCharType="begin" w:fldLock="1"/>
      </w:r>
      <w:r>
        <w:rPr>
          <w:rFonts w:ascii="Arial" w:hAnsi="Arial" w:cs="Arial"/>
          <w:color w:val="000000" w:themeColor="text1"/>
          <w:sz w:val="24"/>
          <w:szCs w:val="24"/>
        </w:rPr>
        <w:instrText>ADDIN CSL_CITATION { "citationItems" : [ { "id" : "ITEM-1", "itemData" : { "DOI" : "10.1186/s13012-014-0115-y", "ISBN" : "1748-5908 (Electronic)\\r1748-5908 (Linking)", "ISSN" : "1748-5908", "PMID" : "25190100", "abstract" : "BACKGROUND: In knowledge translation, complex interventions may be implemented in the attempt to improve uptake of research-based knowledge in practice. Traditional evaluation efforts that focus on aggregate effectiveness represent an oversimplification of both the environment and the interventions themselves. However, theory-based approaches to evaluation, such as realist evaluation (RE), may be better-suited to examination of complex knowledge translation interventions with a view to understanding what works, for whom, and under what conditions. It is the aim of the present state-of-the-art review to examine current literature with regard to the use of RE in the assessment of knowledge translation interventions implemented within healthcare environments.\\n\\nMETHODS: Multiple online databases were searched from 1997 through June 2013. Primary studies examining the application or implementation of knowledge translation interventions within healthcare settings and using RE were selected for inclusion. Varying applications of RE across studies were examined in terms of a) reporting of core elements of RE, and b) potential feasibility of this evaluation method.\\n\\nRESULTS: A total of 14 studies (6 study protocols), published between 2007 and 2013, were identified for inclusion. Projects were initiated in a variety of healthcare settings and represented a range of interventions. While a majority of authors mentioned context (C), mechanism (M) and outcome (O), a minority reported the development of C-M-O configurations or testable hypotheses based on these configurations. Four completed studies reported results that included refinement of proposed C-M-O configurations and offered explanations within the RE framework. In the few studies offering insight regarding challenges associated with the use of RE, difficulties were expressed regarding the definition of both mechanisms and contextual factors. Overall, RE was perceived as time-consuming and resource intensive.\\n\\nCONCLUSIONS: The use of RE in knowledge translation is relatively new; however, theory-building approaches to the examination of complex interventions in this area may be increasing as researchers attempt to identify what works, for whom and under what circumstances. Completion of the RE cycle may be challenging, particularly in the development of C-M-O configurations; however, as researchers approach challenges and explore innovations in its application, rich and detailed accounts may improve f\u2026", "author" : [ { "dropping-particle" : "", "family" : "Salter", "given" : "Katherine L", "non-dropping-particle" : "", "parse-names" : false, "suffix" : "" }, { "dropping-particle" : "", "family" : "Kothari", "given" : "Anita", "non-dropping-particle" : "", "parse-names" : false, "suffix" : "" } ], "container-title" : "Implementation science : IS", "id" : "ITEM-1", "issue" : "1", "issued" : { "date-parts" : [ [ "2014" ] ] }, "page" : "115", "title" : "Using realist evaluation to open the black box of knowledge translation: a state-of-the-art review.", "type" : "article-journal", "volume" : "9" }, "uris" : [ "http://www.mendeley.com/documents/?uuid=850f0be3-6889-45a5-96e0-9490cf6b9db9" ] } ], "mendeley" : { "formattedCitation" : "&lt;sup&gt;17&lt;/sup&gt;", "plainTextFormattedCitation" : "17", "previouslyFormattedCitation" : "&lt;sup&gt;17&lt;/sup&gt;" }, "properties" : { "noteIndex" : 0 }, "schema" : "https://github.com/citation-style-language/schema/raw/master/csl-citation.json" }</w:instrText>
      </w:r>
      <w:r>
        <w:rPr>
          <w:rFonts w:ascii="Arial" w:hAnsi="Arial" w:cs="Arial"/>
          <w:color w:val="000000" w:themeColor="text1"/>
          <w:sz w:val="24"/>
          <w:szCs w:val="24"/>
        </w:rPr>
        <w:fldChar w:fldCharType="separate"/>
      </w:r>
      <w:r w:rsidRPr="00CF4D23">
        <w:rPr>
          <w:rFonts w:ascii="Arial" w:hAnsi="Arial" w:cs="Arial"/>
          <w:noProof/>
          <w:color w:val="000000" w:themeColor="text1"/>
          <w:sz w:val="24"/>
          <w:szCs w:val="24"/>
          <w:vertAlign w:val="superscript"/>
        </w:rPr>
        <w:t>17</w:t>
      </w:r>
      <w:r>
        <w:rPr>
          <w:rFonts w:ascii="Arial" w:hAnsi="Arial" w:cs="Arial"/>
          <w:color w:val="000000" w:themeColor="text1"/>
          <w:sz w:val="24"/>
          <w:szCs w:val="24"/>
        </w:rPr>
        <w:fldChar w:fldCharType="end"/>
      </w:r>
      <w:r>
        <w:rPr>
          <w:rFonts w:ascii="Arial" w:hAnsi="Arial" w:cs="Arial"/>
          <w:color w:val="000000" w:themeColor="text1"/>
          <w:sz w:val="24"/>
          <w:szCs w:val="24"/>
        </w:rPr>
        <w:t xml:space="preserve"> The process of policymaking and delivery should be iterative and allow for adaptation as evidence is gathered during implementation and evaluation (Figure 1).</w:t>
      </w:r>
    </w:p>
    <w:p w:rsidR="00AB32DB" w:rsidRDefault="00AB32DB" w:rsidP="00AB32DB">
      <w:pPr>
        <w:pStyle w:val="p1"/>
        <w:spacing w:line="480" w:lineRule="auto"/>
        <w:jc w:val="both"/>
        <w:rPr>
          <w:rFonts w:ascii="Arial" w:hAnsi="Arial" w:cs="Arial"/>
          <w:color w:val="000000" w:themeColor="text1"/>
          <w:sz w:val="24"/>
          <w:szCs w:val="24"/>
        </w:rPr>
      </w:pPr>
      <w:r w:rsidRPr="001F61B9">
        <w:rPr>
          <w:rFonts w:ascii="Arial" w:hAnsi="Arial" w:cs="Arial"/>
          <w:b/>
          <w:color w:val="000000" w:themeColor="text1"/>
          <w:sz w:val="24"/>
          <w:szCs w:val="24"/>
        </w:rPr>
        <w:t>Why:</w:t>
      </w:r>
      <w:r>
        <w:rPr>
          <w:rFonts w:ascii="Arial" w:hAnsi="Arial" w:cs="Arial"/>
          <w:color w:val="000000" w:themeColor="text1"/>
          <w:sz w:val="24"/>
          <w:szCs w:val="24"/>
        </w:rPr>
        <w:t xml:space="preserve"> Why pursue the translation of evidence into policy? It is evident that the desire for policy to be evidence-based is to ensure a more beneficial outcome. This is based on the assumption that the use of evidence will undoubtedly achieve this. To support this assertion, examples of successful evidence translation and enhancement of policy need to be highlighted and used to establish models of best practice and standards. Learning from failure will be an integral part of the process. Broadening our view of how the use of evidence can be of benefit would support its use. For example, the translation may help build partnerships across traditional sector boundaries (so often needed with current complex health challenges), support the communication of risk and uncertainty with the public, foster trust in both researchers and the political system and in establishing clearer lines of accountability and governance. </w:t>
      </w:r>
    </w:p>
    <w:p w:rsidR="00AB32DB" w:rsidRDefault="00AB32DB" w:rsidP="00AB32DB">
      <w:pPr>
        <w:pStyle w:val="p1"/>
        <w:spacing w:line="480" w:lineRule="auto"/>
        <w:jc w:val="both"/>
        <w:rPr>
          <w:rFonts w:ascii="Arial" w:hAnsi="Arial" w:cs="Arial"/>
          <w:color w:val="000000" w:themeColor="text1"/>
          <w:sz w:val="24"/>
          <w:szCs w:val="24"/>
        </w:rPr>
      </w:pPr>
    </w:p>
    <w:p w:rsidR="00AB32DB" w:rsidRPr="00C72D0D" w:rsidRDefault="00AB32DB" w:rsidP="00AB32DB">
      <w:pPr>
        <w:pStyle w:val="p1"/>
        <w:spacing w:line="480" w:lineRule="auto"/>
        <w:jc w:val="both"/>
        <w:rPr>
          <w:rFonts w:ascii="Arial" w:hAnsi="Arial" w:cs="Arial"/>
          <w:color w:val="auto"/>
          <w:sz w:val="24"/>
          <w:szCs w:val="24"/>
        </w:rPr>
      </w:pPr>
      <w:r>
        <w:rPr>
          <w:rFonts w:ascii="Arial" w:hAnsi="Arial" w:cs="Arial"/>
          <w:color w:val="000000" w:themeColor="text1"/>
          <w:sz w:val="24"/>
          <w:szCs w:val="24"/>
        </w:rPr>
        <w:t xml:space="preserve">We have far to go and much work awaits us. However, this should not overshadow how far we have come.  </w:t>
      </w:r>
      <w:r w:rsidRPr="006A4D70">
        <w:rPr>
          <w:rFonts w:ascii="Arial" w:hAnsi="Arial" w:cs="Arial"/>
          <w:color w:val="000000" w:themeColor="text1"/>
          <w:sz w:val="24"/>
          <w:szCs w:val="24"/>
        </w:rPr>
        <w:t xml:space="preserve">Let us continue this journey unified by a </w:t>
      </w:r>
      <w:r w:rsidRPr="00C72D0D">
        <w:rPr>
          <w:rFonts w:ascii="Arial" w:hAnsi="Arial" w:cs="Arial"/>
          <w:color w:val="auto"/>
          <w:sz w:val="24"/>
          <w:szCs w:val="24"/>
        </w:rPr>
        <w:t>common goal - policies for people</w:t>
      </w:r>
      <w:bookmarkStart w:id="0" w:name="_GoBack"/>
      <w:bookmarkEnd w:id="0"/>
      <w:r w:rsidRPr="00C72D0D">
        <w:rPr>
          <w:rFonts w:ascii="Arial" w:hAnsi="Arial" w:cs="Arial"/>
          <w:color w:val="auto"/>
          <w:sz w:val="24"/>
          <w:szCs w:val="24"/>
        </w:rPr>
        <w:t>.</w:t>
      </w:r>
    </w:p>
    <w:p w:rsidR="00AB32DB"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p>
    <w:p w:rsidR="00AB32DB"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Alternative ending but note unlikely due to the word limit (films always provide us with such insight) </w:t>
      </w:r>
    </w:p>
    <w:p w:rsidR="00AB32DB" w:rsidRDefault="00AB32DB" w:rsidP="00AB32DB">
      <w:pPr>
        <w:pStyle w:val="p1"/>
        <w:spacing w:line="480" w:lineRule="auto"/>
        <w:jc w:val="both"/>
        <w:rPr>
          <w:rFonts w:ascii="Arial" w:hAnsi="Arial" w:cs="Arial"/>
          <w:color w:val="000000" w:themeColor="text1"/>
          <w:sz w:val="24"/>
          <w:szCs w:val="24"/>
        </w:rPr>
      </w:pPr>
    </w:p>
    <w:p w:rsidR="00AB32DB" w:rsidRPr="00A042FF" w:rsidRDefault="00AB32DB" w:rsidP="00AB32DB">
      <w:pPr>
        <w:pStyle w:val="p1"/>
        <w:spacing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We wish to conclude by drawing an analogy outside of the research and policy arenas. The tragedy of unused high-quality research is to researchers what an unseen film is to a filmmaker. To avoid such an </w:t>
      </w:r>
      <w:proofErr w:type="spellStart"/>
      <w:r>
        <w:rPr>
          <w:rFonts w:ascii="Arial" w:hAnsi="Arial" w:cs="Arial"/>
          <w:color w:val="000000" w:themeColor="text1"/>
          <w:sz w:val="24"/>
          <w:szCs w:val="24"/>
        </w:rPr>
        <w:t>evet</w:t>
      </w:r>
      <w:proofErr w:type="spellEnd"/>
      <w:r>
        <w:rPr>
          <w:rFonts w:ascii="Arial" w:hAnsi="Arial" w:cs="Arial"/>
          <w:color w:val="000000" w:themeColor="text1"/>
          <w:sz w:val="24"/>
          <w:szCs w:val="24"/>
        </w:rPr>
        <w:t xml:space="preserve"> and maximize the quality of the film and the impact on the audience, a filmmaker works closely, over the life course of the film, with a suite of others involved from the inception, including an astute editor, a producer, the actors, </w:t>
      </w:r>
      <w:proofErr w:type="spellStart"/>
      <w:r>
        <w:rPr>
          <w:rFonts w:ascii="Arial" w:hAnsi="Arial" w:cs="Arial"/>
          <w:color w:val="000000" w:themeColor="text1"/>
          <w:sz w:val="24"/>
          <w:szCs w:val="24"/>
        </w:rPr>
        <w:t>cinematographrapher</w:t>
      </w:r>
      <w:proofErr w:type="spellEnd"/>
      <w:r>
        <w:rPr>
          <w:rFonts w:ascii="Arial" w:hAnsi="Arial" w:cs="Arial"/>
          <w:color w:val="000000" w:themeColor="text1"/>
          <w:sz w:val="24"/>
          <w:szCs w:val="24"/>
        </w:rPr>
        <w:t xml:space="preserve">, distributors, to name a few. This enhances the quality of the final product and maximizes reach and impact on a well-studied intended audience. We must view ourselves as directors of great research, research that, by working with other members of the production team, can translate into policy with meaningful impact. </w:t>
      </w:r>
    </w:p>
    <w:p w:rsidR="00AB32DB" w:rsidRPr="00A042FF" w:rsidRDefault="00AB32DB" w:rsidP="00AB32DB">
      <w:pPr>
        <w:pStyle w:val="p1"/>
        <w:spacing w:line="480" w:lineRule="auto"/>
        <w:jc w:val="both"/>
        <w:rPr>
          <w:rFonts w:ascii="Arial" w:hAnsi="Arial" w:cs="Arial"/>
          <w:color w:val="000000" w:themeColor="text1"/>
          <w:sz w:val="24"/>
          <w:szCs w:val="24"/>
        </w:rPr>
      </w:pPr>
    </w:p>
    <w:p w:rsidR="00AB32DB" w:rsidRPr="00A042FF" w:rsidRDefault="00AB32DB" w:rsidP="00AB32DB">
      <w:pPr>
        <w:pStyle w:val="ListParagraph"/>
        <w:numPr>
          <w:ilvl w:val="0"/>
          <w:numId w:val="1"/>
        </w:numPr>
        <w:rPr>
          <w:rFonts w:ascii="Arial" w:hAnsi="Arial" w:cs="Arial"/>
          <w:lang w:val="en-GB"/>
        </w:rPr>
      </w:pPr>
      <w:r w:rsidRPr="00A042FF">
        <w:rPr>
          <w:rFonts w:ascii="Arial" w:hAnsi="Arial" w:cs="Arial"/>
          <w:lang w:val="en-GB"/>
        </w:rPr>
        <w:br w:type="page"/>
      </w:r>
    </w:p>
    <w:p w:rsidR="00AB32DB" w:rsidRPr="00A042FF" w:rsidRDefault="00AB32DB" w:rsidP="00AB32DB">
      <w:pPr>
        <w:pStyle w:val="p1"/>
        <w:jc w:val="both"/>
        <w:rPr>
          <w:rFonts w:ascii="Arial" w:hAnsi="Arial" w:cs="Arial"/>
          <w:sz w:val="24"/>
          <w:szCs w:val="24"/>
          <w:lang w:val="en-GB"/>
        </w:rPr>
      </w:pPr>
    </w:p>
    <w:p w:rsidR="00AB32DB" w:rsidRPr="00A042FF" w:rsidRDefault="00AB32DB" w:rsidP="00AB32DB">
      <w:pPr>
        <w:pStyle w:val="p1"/>
        <w:jc w:val="both"/>
        <w:rPr>
          <w:rFonts w:ascii="Arial" w:hAnsi="Arial" w:cs="Arial"/>
          <w:sz w:val="24"/>
          <w:szCs w:val="24"/>
          <w:lang w:val="en-GB"/>
        </w:rPr>
      </w:pPr>
    </w:p>
    <w:p w:rsidR="00AB32DB" w:rsidRPr="00A042FF" w:rsidRDefault="00AB32DB" w:rsidP="00AB32DB">
      <w:pPr>
        <w:pStyle w:val="p1"/>
        <w:jc w:val="both"/>
        <w:rPr>
          <w:rFonts w:ascii="Arial" w:hAnsi="Arial" w:cs="Arial"/>
          <w:sz w:val="24"/>
          <w:szCs w:val="24"/>
          <w:lang w:val="en-GB"/>
        </w:rPr>
      </w:pPr>
    </w:p>
    <w:p w:rsidR="00AB32DB" w:rsidRPr="00A042FF" w:rsidRDefault="00AB32DB" w:rsidP="00AB32DB">
      <w:pPr>
        <w:pStyle w:val="p1"/>
        <w:jc w:val="both"/>
        <w:rPr>
          <w:rFonts w:ascii="Arial" w:hAnsi="Arial" w:cs="Arial"/>
          <w:sz w:val="24"/>
          <w:szCs w:val="24"/>
          <w:lang w:val="en-GB"/>
        </w:rPr>
      </w:pPr>
    </w:p>
    <w:p w:rsidR="00AB32DB" w:rsidRPr="00A042FF" w:rsidRDefault="00AB32DB" w:rsidP="00AB32DB">
      <w:pPr>
        <w:pStyle w:val="p1"/>
        <w:jc w:val="both"/>
        <w:rPr>
          <w:rFonts w:ascii="Arial" w:hAnsi="Arial" w:cs="Arial"/>
          <w:color w:val="000000" w:themeColor="text1"/>
          <w:sz w:val="24"/>
          <w:szCs w:val="24"/>
          <w:lang w:val="en-GB" w:eastAsia="en-GB"/>
        </w:rPr>
      </w:pPr>
      <w:r w:rsidRPr="00A042FF">
        <w:rPr>
          <w:rFonts w:ascii="Arial" w:hAnsi="Arial" w:cs="Arial"/>
          <w:sz w:val="24"/>
          <w:szCs w:val="24"/>
          <w:lang w:val="en-GB"/>
        </w:rPr>
        <w:t xml:space="preserve">Acknowledgements: </w:t>
      </w:r>
      <w:r w:rsidRPr="00A042FF">
        <w:rPr>
          <w:rFonts w:ascii="Arial" w:hAnsi="Arial" w:cs="Arial"/>
          <w:sz w:val="24"/>
          <w:szCs w:val="24"/>
        </w:rPr>
        <w:t>We wish to extend our sincerest thanks to Roger P Worthington for his invaluable role in helping to conceive the premise for the manuscript and for his comments on the content.</w:t>
      </w:r>
      <w:r>
        <w:rPr>
          <w:rFonts w:ascii="Arial" w:hAnsi="Arial" w:cs="Arial"/>
          <w:sz w:val="24"/>
          <w:szCs w:val="24"/>
        </w:rPr>
        <w:t xml:space="preserve"> We also wish to thank the reviewer of the original manuscript for his constructive and insightful </w:t>
      </w:r>
      <w:proofErr w:type="gramStart"/>
      <w:r>
        <w:rPr>
          <w:rFonts w:ascii="Arial" w:hAnsi="Arial" w:cs="Arial"/>
          <w:sz w:val="24"/>
          <w:szCs w:val="24"/>
        </w:rPr>
        <w:t>comments which</w:t>
      </w:r>
      <w:proofErr w:type="gramEnd"/>
      <w:r>
        <w:rPr>
          <w:rFonts w:ascii="Arial" w:hAnsi="Arial" w:cs="Arial"/>
          <w:sz w:val="24"/>
          <w:szCs w:val="24"/>
        </w:rPr>
        <w:t xml:space="preserve"> enhanced substantially the content and message of the work.</w:t>
      </w:r>
    </w:p>
    <w:p w:rsidR="00AB32DB" w:rsidRPr="00A042FF" w:rsidRDefault="00AB32DB" w:rsidP="00AB32DB">
      <w:pPr>
        <w:pStyle w:val="p1"/>
        <w:jc w:val="both"/>
        <w:rPr>
          <w:rFonts w:ascii="Arial" w:hAnsi="Arial" w:cs="Arial"/>
          <w:color w:val="000000" w:themeColor="text1"/>
          <w:sz w:val="24"/>
          <w:szCs w:val="24"/>
          <w:lang w:val="en-GB" w:eastAsia="en-GB"/>
        </w:rPr>
      </w:pPr>
    </w:p>
    <w:p w:rsidR="00AB32DB" w:rsidRPr="00A042FF" w:rsidRDefault="00AB32DB" w:rsidP="00AB32DB">
      <w:pPr>
        <w:autoSpaceDE w:val="0"/>
        <w:autoSpaceDN w:val="0"/>
        <w:adjustRightInd w:val="0"/>
        <w:spacing w:after="0" w:line="240" w:lineRule="auto"/>
        <w:rPr>
          <w:rFonts w:ascii="Arial" w:hAnsi="Arial" w:cs="Arial"/>
          <w:lang w:val="en-GB"/>
        </w:rPr>
      </w:pPr>
      <w:r w:rsidRPr="00A042FF">
        <w:rPr>
          <w:rFonts w:ascii="Arial" w:hAnsi="Arial" w:cs="Arial"/>
          <w:lang w:val="en-GB"/>
        </w:rPr>
        <w:t>Funding: None declared.</w:t>
      </w:r>
    </w:p>
    <w:p w:rsidR="00AB32DB" w:rsidRPr="00A042FF" w:rsidRDefault="00AB32DB" w:rsidP="00AB32DB">
      <w:pPr>
        <w:autoSpaceDE w:val="0"/>
        <w:autoSpaceDN w:val="0"/>
        <w:adjustRightInd w:val="0"/>
        <w:spacing w:after="0" w:line="240" w:lineRule="auto"/>
        <w:rPr>
          <w:rFonts w:ascii="Arial" w:hAnsi="Arial" w:cs="Arial"/>
          <w:lang w:val="en-GB"/>
        </w:rPr>
      </w:pPr>
    </w:p>
    <w:p w:rsidR="00AB32DB" w:rsidRPr="00A042FF" w:rsidRDefault="00AB32DB" w:rsidP="00AB32DB">
      <w:pPr>
        <w:autoSpaceDE w:val="0"/>
        <w:autoSpaceDN w:val="0"/>
        <w:adjustRightInd w:val="0"/>
        <w:spacing w:after="0" w:line="240" w:lineRule="auto"/>
        <w:rPr>
          <w:rFonts w:ascii="Arial" w:hAnsi="Arial" w:cs="Arial"/>
          <w:lang w:val="en-GB"/>
        </w:rPr>
      </w:pPr>
      <w:r w:rsidRPr="00A042FF">
        <w:rPr>
          <w:rFonts w:ascii="Arial" w:hAnsi="Arial" w:cs="Arial"/>
          <w:lang w:val="en-GB"/>
        </w:rPr>
        <w:t>Competing interests: None declared.</w:t>
      </w:r>
    </w:p>
    <w:p w:rsidR="00AB32DB" w:rsidRPr="00A042FF" w:rsidRDefault="00AB32DB" w:rsidP="00AB32DB">
      <w:pPr>
        <w:autoSpaceDE w:val="0"/>
        <w:autoSpaceDN w:val="0"/>
        <w:adjustRightInd w:val="0"/>
        <w:spacing w:after="0" w:line="240" w:lineRule="auto"/>
        <w:rPr>
          <w:rFonts w:ascii="Arial" w:hAnsi="Arial" w:cs="Arial"/>
          <w:lang w:val="en-GB"/>
        </w:rPr>
      </w:pPr>
    </w:p>
    <w:p w:rsidR="00AB32DB" w:rsidRPr="00A042FF" w:rsidRDefault="00AB32DB" w:rsidP="00AB32DB">
      <w:pPr>
        <w:autoSpaceDE w:val="0"/>
        <w:autoSpaceDN w:val="0"/>
        <w:adjustRightInd w:val="0"/>
        <w:spacing w:after="0" w:line="240" w:lineRule="auto"/>
        <w:rPr>
          <w:rFonts w:ascii="Arial" w:hAnsi="Arial" w:cs="Arial"/>
          <w:lang w:val="en-GB"/>
        </w:rPr>
      </w:pPr>
      <w:r w:rsidRPr="00A042FF">
        <w:rPr>
          <w:rFonts w:ascii="Arial" w:hAnsi="Arial" w:cs="Arial"/>
          <w:lang w:val="en-GB"/>
        </w:rPr>
        <w:t>Ethical approval: Not applicable.</w:t>
      </w:r>
    </w:p>
    <w:p w:rsidR="00AB32DB" w:rsidRPr="00A042FF" w:rsidRDefault="00AB32DB" w:rsidP="00AB32DB">
      <w:pPr>
        <w:autoSpaceDE w:val="0"/>
        <w:autoSpaceDN w:val="0"/>
        <w:adjustRightInd w:val="0"/>
        <w:spacing w:after="0" w:line="240" w:lineRule="auto"/>
        <w:rPr>
          <w:rFonts w:ascii="Arial" w:hAnsi="Arial" w:cs="Arial"/>
          <w:lang w:val="en-GB"/>
        </w:rPr>
      </w:pPr>
    </w:p>
    <w:p w:rsidR="00AB32DB" w:rsidRPr="00A042FF" w:rsidRDefault="00AB32DB" w:rsidP="00AB32DB">
      <w:pPr>
        <w:autoSpaceDE w:val="0"/>
        <w:autoSpaceDN w:val="0"/>
        <w:adjustRightInd w:val="0"/>
        <w:spacing w:after="0" w:line="240" w:lineRule="auto"/>
        <w:rPr>
          <w:rFonts w:ascii="Arial" w:hAnsi="Arial" w:cs="Arial"/>
          <w:lang w:val="en-GB"/>
        </w:rPr>
      </w:pPr>
      <w:proofErr w:type="spellStart"/>
      <w:r w:rsidRPr="00A042FF">
        <w:rPr>
          <w:rFonts w:ascii="Arial" w:hAnsi="Arial" w:cs="Arial"/>
          <w:lang w:val="en-GB"/>
        </w:rPr>
        <w:t>Contributorship</w:t>
      </w:r>
      <w:proofErr w:type="spellEnd"/>
      <w:r w:rsidRPr="00A042FF">
        <w:rPr>
          <w:rFonts w:ascii="Arial" w:hAnsi="Arial" w:cs="Arial"/>
          <w:lang w:val="en-GB"/>
        </w:rPr>
        <w:t>: All authors contributed equally.</w:t>
      </w:r>
    </w:p>
    <w:p w:rsidR="00AB32DB" w:rsidRPr="00A042FF" w:rsidRDefault="00AB32DB" w:rsidP="00AB32DB">
      <w:pPr>
        <w:spacing w:line="480" w:lineRule="auto"/>
        <w:jc w:val="both"/>
        <w:rPr>
          <w:rFonts w:ascii="Arial" w:hAnsi="Arial" w:cs="Arial"/>
        </w:rPr>
      </w:pPr>
    </w:p>
    <w:p w:rsidR="00AB32DB" w:rsidRPr="00A042FF" w:rsidRDefault="00AB32DB" w:rsidP="00AB32DB">
      <w:pPr>
        <w:pStyle w:val="p1"/>
        <w:jc w:val="both"/>
        <w:rPr>
          <w:rFonts w:ascii="Arial" w:hAnsi="Arial" w:cs="Arial"/>
          <w:color w:val="000000" w:themeColor="text1"/>
          <w:sz w:val="24"/>
          <w:szCs w:val="24"/>
          <w:lang w:val="en-GB" w:eastAsia="en-GB"/>
        </w:rPr>
      </w:pPr>
      <w:r w:rsidRPr="00A042FF">
        <w:rPr>
          <w:rFonts w:ascii="Arial" w:hAnsi="Arial" w:cs="Arial"/>
          <w:color w:val="000000" w:themeColor="text1"/>
          <w:sz w:val="24"/>
          <w:szCs w:val="24"/>
          <w:lang w:val="en-GB" w:eastAsia="en-GB"/>
        </w:rPr>
        <w:t>References:</w:t>
      </w:r>
    </w:p>
    <w:p w:rsidR="00AB32DB" w:rsidRPr="00A042FF" w:rsidRDefault="00AB32DB" w:rsidP="00AB32DB">
      <w:pPr>
        <w:pStyle w:val="FootnoteText"/>
        <w:rPr>
          <w:rFonts w:ascii="Arial" w:hAnsi="Arial" w:cs="Arial"/>
          <w:lang w:val="en-GB"/>
        </w:rPr>
      </w:pPr>
    </w:p>
    <w:p w:rsidR="00AB32DB" w:rsidRPr="00A042FF" w:rsidRDefault="00AB32DB" w:rsidP="00AB32DB">
      <w:pPr>
        <w:pStyle w:val="FootnoteText"/>
        <w:ind w:left="360"/>
        <w:rPr>
          <w:rFonts w:ascii="Arial" w:hAnsi="Arial" w:cs="Arial"/>
          <w:lang w:val="en-GB"/>
        </w:rPr>
      </w:pP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Pr>
          <w:rFonts w:ascii="Arial" w:hAnsi="Arial" w:cs="Arial"/>
          <w:lang w:val="en-GB" w:eastAsia="en-GB"/>
        </w:rPr>
        <w:fldChar w:fldCharType="begin" w:fldLock="1"/>
      </w:r>
      <w:r>
        <w:rPr>
          <w:rFonts w:ascii="Arial" w:hAnsi="Arial" w:cs="Arial"/>
          <w:lang w:val="en-GB" w:eastAsia="en-GB"/>
        </w:rPr>
        <w:instrText xml:space="preserve">ADDIN Mendeley Bibliography CSL_BIBLIOGRAPHY </w:instrText>
      </w:r>
      <w:r>
        <w:rPr>
          <w:rFonts w:ascii="Arial" w:hAnsi="Arial" w:cs="Arial"/>
          <w:lang w:val="en-GB" w:eastAsia="en-GB"/>
        </w:rPr>
        <w:fldChar w:fldCharType="separate"/>
      </w:r>
      <w:r w:rsidRPr="00423C87">
        <w:rPr>
          <w:rFonts w:ascii="Arial" w:eastAsia="Times New Roman" w:hAnsi="Arial" w:cs="Arial"/>
          <w:noProof/>
        </w:rPr>
        <w:t>1.</w:t>
      </w:r>
      <w:r w:rsidRPr="00423C87">
        <w:rPr>
          <w:rFonts w:ascii="Arial" w:eastAsia="Times New Roman" w:hAnsi="Arial" w:cs="Arial"/>
          <w:noProof/>
        </w:rPr>
        <w:tab/>
        <w:t xml:space="preserve">Marincola, F. M. Translational Medicine: A two-way road. </w:t>
      </w:r>
      <w:r w:rsidRPr="00423C87">
        <w:rPr>
          <w:rFonts w:ascii="Arial" w:eastAsia="Times New Roman" w:hAnsi="Arial" w:cs="Arial"/>
          <w:i/>
          <w:iCs/>
          <w:noProof/>
        </w:rPr>
        <w:t>J. Transl. Med.</w:t>
      </w:r>
      <w:r w:rsidRPr="00423C87">
        <w:rPr>
          <w:rFonts w:ascii="Arial" w:eastAsia="Times New Roman" w:hAnsi="Arial" w:cs="Arial"/>
          <w:noProof/>
        </w:rPr>
        <w:t xml:space="preserve"> </w:t>
      </w:r>
      <w:r w:rsidRPr="00423C87">
        <w:rPr>
          <w:rFonts w:ascii="Arial" w:eastAsia="Times New Roman" w:hAnsi="Arial" w:cs="Arial"/>
          <w:b/>
          <w:bCs/>
          <w:noProof/>
        </w:rPr>
        <w:t>1,</w:t>
      </w:r>
      <w:r w:rsidRPr="00423C87">
        <w:rPr>
          <w:rFonts w:ascii="Arial" w:eastAsia="Times New Roman" w:hAnsi="Arial" w:cs="Arial"/>
          <w:noProof/>
        </w:rPr>
        <w:t xml:space="preserve"> 1 (2003).</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2.</w:t>
      </w:r>
      <w:r w:rsidRPr="00423C87">
        <w:rPr>
          <w:rFonts w:ascii="Arial" w:eastAsia="Times New Roman" w:hAnsi="Arial" w:cs="Arial"/>
          <w:noProof/>
        </w:rPr>
        <w:tab/>
        <w:t xml:space="preserve">Goldblatt, E. M. &amp; Lee, W.-H. From bench to bedside: the growing use of translational research in cancer medicine. </w:t>
      </w:r>
      <w:r w:rsidRPr="00423C87">
        <w:rPr>
          <w:rFonts w:ascii="Arial" w:eastAsia="Times New Roman" w:hAnsi="Arial" w:cs="Arial"/>
          <w:i/>
          <w:iCs/>
          <w:noProof/>
        </w:rPr>
        <w:t>Am. J. Transl. Res.</w:t>
      </w:r>
      <w:r w:rsidRPr="00423C87">
        <w:rPr>
          <w:rFonts w:ascii="Arial" w:eastAsia="Times New Roman" w:hAnsi="Arial" w:cs="Arial"/>
          <w:noProof/>
        </w:rPr>
        <w:t xml:space="preserve"> </w:t>
      </w:r>
      <w:r w:rsidRPr="00423C87">
        <w:rPr>
          <w:rFonts w:ascii="Arial" w:eastAsia="Times New Roman" w:hAnsi="Arial" w:cs="Arial"/>
          <w:b/>
          <w:bCs/>
          <w:noProof/>
        </w:rPr>
        <w:t>2,</w:t>
      </w:r>
      <w:r w:rsidRPr="00423C87">
        <w:rPr>
          <w:rFonts w:ascii="Arial" w:eastAsia="Times New Roman" w:hAnsi="Arial" w:cs="Arial"/>
          <w:noProof/>
        </w:rPr>
        <w:t xml:space="preserve"> 1–18 (2010).</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3.</w:t>
      </w:r>
      <w:r w:rsidRPr="00423C87">
        <w:rPr>
          <w:rFonts w:ascii="Arial" w:eastAsia="Times New Roman" w:hAnsi="Arial" w:cs="Arial"/>
          <w:noProof/>
        </w:rPr>
        <w:tab/>
        <w:t xml:space="preserve">Woolf, S. H. The meaning of translational research and why it matters. </w:t>
      </w:r>
      <w:r w:rsidRPr="00423C87">
        <w:rPr>
          <w:rFonts w:ascii="Arial" w:eastAsia="Times New Roman" w:hAnsi="Arial" w:cs="Arial"/>
          <w:i/>
          <w:iCs/>
          <w:noProof/>
        </w:rPr>
        <w:t>JAMA</w:t>
      </w:r>
      <w:r w:rsidRPr="00423C87">
        <w:rPr>
          <w:rFonts w:ascii="Arial" w:eastAsia="Times New Roman" w:hAnsi="Arial" w:cs="Arial"/>
          <w:noProof/>
        </w:rPr>
        <w:t xml:space="preserve"> </w:t>
      </w:r>
      <w:r w:rsidRPr="00423C87">
        <w:rPr>
          <w:rFonts w:ascii="Arial" w:eastAsia="Times New Roman" w:hAnsi="Arial" w:cs="Arial"/>
          <w:b/>
          <w:bCs/>
          <w:noProof/>
        </w:rPr>
        <w:t>299,</w:t>
      </w:r>
      <w:r w:rsidRPr="00423C87">
        <w:rPr>
          <w:rFonts w:ascii="Arial" w:eastAsia="Times New Roman" w:hAnsi="Arial" w:cs="Arial"/>
          <w:noProof/>
        </w:rPr>
        <w:t xml:space="preserve"> 211–3 (2008).</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4.</w:t>
      </w:r>
      <w:r w:rsidRPr="00423C87">
        <w:rPr>
          <w:rFonts w:ascii="Arial" w:eastAsia="Times New Roman" w:hAnsi="Arial" w:cs="Arial"/>
          <w:noProof/>
        </w:rPr>
        <w:tab/>
        <w:t xml:space="preserve">Dankwa-Mullan, I. </w:t>
      </w:r>
      <w:r w:rsidRPr="00423C87">
        <w:rPr>
          <w:rFonts w:ascii="Arial" w:eastAsia="Times New Roman" w:hAnsi="Arial" w:cs="Arial"/>
          <w:i/>
          <w:iCs/>
          <w:noProof/>
        </w:rPr>
        <w:t>et al.</w:t>
      </w:r>
      <w:r w:rsidRPr="00423C87">
        <w:rPr>
          <w:rFonts w:ascii="Arial" w:eastAsia="Times New Roman" w:hAnsi="Arial" w:cs="Arial"/>
          <w:noProof/>
        </w:rPr>
        <w:t xml:space="preserve"> Moving toward paradigm-shifting research in health disparities through translational, transformational, and transdisciplinary approaches. </w:t>
      </w:r>
      <w:r w:rsidRPr="00423C87">
        <w:rPr>
          <w:rFonts w:ascii="Arial" w:eastAsia="Times New Roman" w:hAnsi="Arial" w:cs="Arial"/>
          <w:i/>
          <w:iCs/>
          <w:noProof/>
        </w:rPr>
        <w:t>Am. J. Public Health</w:t>
      </w:r>
      <w:r w:rsidRPr="00423C87">
        <w:rPr>
          <w:rFonts w:ascii="Arial" w:eastAsia="Times New Roman" w:hAnsi="Arial" w:cs="Arial"/>
          <w:noProof/>
        </w:rPr>
        <w:t xml:space="preserve"> </w:t>
      </w:r>
      <w:r w:rsidRPr="00423C87">
        <w:rPr>
          <w:rFonts w:ascii="Arial" w:eastAsia="Times New Roman" w:hAnsi="Arial" w:cs="Arial"/>
          <w:b/>
          <w:bCs/>
          <w:noProof/>
        </w:rPr>
        <w:t>100 Suppl,</w:t>
      </w:r>
      <w:r w:rsidRPr="00423C87">
        <w:rPr>
          <w:rFonts w:ascii="Arial" w:eastAsia="Times New Roman" w:hAnsi="Arial" w:cs="Arial"/>
          <w:noProof/>
        </w:rPr>
        <w:t xml:space="preserve"> S19-24 (2010).</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5.</w:t>
      </w:r>
      <w:r w:rsidRPr="00423C87">
        <w:rPr>
          <w:rFonts w:ascii="Arial" w:eastAsia="Times New Roman" w:hAnsi="Arial" w:cs="Arial"/>
          <w:noProof/>
        </w:rPr>
        <w:tab/>
        <w:t xml:space="preserve">Oliver, K., Lorenc, T. &amp; Innvær, S. New directions in evidence-based policy research: a critical analysis of the literature. </w:t>
      </w:r>
      <w:r w:rsidRPr="00423C87">
        <w:rPr>
          <w:rFonts w:ascii="Arial" w:eastAsia="Times New Roman" w:hAnsi="Arial" w:cs="Arial"/>
          <w:i/>
          <w:iCs/>
          <w:noProof/>
        </w:rPr>
        <w:t>Heal. Res. policy Syst.</w:t>
      </w:r>
      <w:r w:rsidRPr="00423C87">
        <w:rPr>
          <w:rFonts w:ascii="Arial" w:eastAsia="Times New Roman" w:hAnsi="Arial" w:cs="Arial"/>
          <w:noProof/>
        </w:rPr>
        <w:t xml:space="preserve"> </w:t>
      </w:r>
      <w:r w:rsidRPr="00423C87">
        <w:rPr>
          <w:rFonts w:ascii="Arial" w:eastAsia="Times New Roman" w:hAnsi="Arial" w:cs="Arial"/>
          <w:b/>
          <w:bCs/>
          <w:noProof/>
        </w:rPr>
        <w:t>12,</w:t>
      </w:r>
      <w:r w:rsidRPr="00423C87">
        <w:rPr>
          <w:rFonts w:ascii="Arial" w:eastAsia="Times New Roman" w:hAnsi="Arial" w:cs="Arial"/>
          <w:noProof/>
        </w:rPr>
        <w:t xml:space="preserve"> 34 (2014).</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6.</w:t>
      </w:r>
      <w:r w:rsidRPr="00423C87">
        <w:rPr>
          <w:rFonts w:ascii="Arial" w:eastAsia="Times New Roman" w:hAnsi="Arial" w:cs="Arial"/>
          <w:noProof/>
        </w:rPr>
        <w:tab/>
        <w:t xml:space="preserve">Cairney, P. &amp; Oliver, K. Evidence-based policymaking is not like evidence-based medicine, so how far should you go to bridge the divide between evidence and policy? </w:t>
      </w:r>
      <w:r w:rsidRPr="00423C87">
        <w:rPr>
          <w:rFonts w:ascii="Arial" w:eastAsia="Times New Roman" w:hAnsi="Arial" w:cs="Arial"/>
          <w:i/>
          <w:iCs/>
          <w:noProof/>
        </w:rPr>
        <w:t>Heal. Res. Policy Syst.</w:t>
      </w:r>
      <w:r w:rsidRPr="00423C87">
        <w:rPr>
          <w:rFonts w:ascii="Arial" w:eastAsia="Times New Roman" w:hAnsi="Arial" w:cs="Arial"/>
          <w:noProof/>
        </w:rPr>
        <w:t xml:space="preserve"> </w:t>
      </w:r>
      <w:r w:rsidRPr="00423C87">
        <w:rPr>
          <w:rFonts w:ascii="Arial" w:eastAsia="Times New Roman" w:hAnsi="Arial" w:cs="Arial"/>
          <w:b/>
          <w:bCs/>
          <w:noProof/>
        </w:rPr>
        <w:t>15,</w:t>
      </w:r>
      <w:r w:rsidRPr="00423C87">
        <w:rPr>
          <w:rFonts w:ascii="Arial" w:eastAsia="Times New Roman" w:hAnsi="Arial" w:cs="Arial"/>
          <w:noProof/>
        </w:rPr>
        <w:t xml:space="preserve"> 35 (2017).</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7.</w:t>
      </w:r>
      <w:r w:rsidRPr="00423C87">
        <w:rPr>
          <w:rFonts w:ascii="Arial" w:eastAsia="Times New Roman" w:hAnsi="Arial" w:cs="Arial"/>
          <w:noProof/>
        </w:rPr>
        <w:tab/>
        <w:t>BBC Radio 4 - Today, 18/08/2017. Available at: http://www.bbc.co.uk/programmes/b090vdk1?ns_mchannel=social&amp;. (Accessed: 26th August 2017)</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8.</w:t>
      </w:r>
      <w:r w:rsidRPr="00423C87">
        <w:rPr>
          <w:rFonts w:ascii="Arial" w:eastAsia="Times New Roman" w:hAnsi="Arial" w:cs="Arial"/>
          <w:noProof/>
        </w:rPr>
        <w:tab/>
        <w:t xml:space="preserve">The Lancet. The UK’s inadequate plan for reducing childhood obesity. </w:t>
      </w:r>
      <w:r w:rsidRPr="00423C87">
        <w:rPr>
          <w:rFonts w:ascii="Arial" w:eastAsia="Times New Roman" w:hAnsi="Arial" w:cs="Arial"/>
          <w:i/>
          <w:iCs/>
          <w:noProof/>
        </w:rPr>
        <w:t>Lancet</w:t>
      </w:r>
      <w:r w:rsidRPr="00423C87">
        <w:rPr>
          <w:rFonts w:ascii="Arial" w:eastAsia="Times New Roman" w:hAnsi="Arial" w:cs="Arial"/>
          <w:noProof/>
        </w:rPr>
        <w:t xml:space="preserve"> </w:t>
      </w:r>
      <w:r w:rsidRPr="00423C87">
        <w:rPr>
          <w:rFonts w:ascii="Arial" w:eastAsia="Times New Roman" w:hAnsi="Arial" w:cs="Arial"/>
          <w:b/>
          <w:bCs/>
          <w:noProof/>
        </w:rPr>
        <w:t>390,</w:t>
      </w:r>
      <w:r w:rsidRPr="00423C87">
        <w:rPr>
          <w:rFonts w:ascii="Arial" w:eastAsia="Times New Roman" w:hAnsi="Arial" w:cs="Arial"/>
          <w:noProof/>
        </w:rPr>
        <w:t xml:space="preserve"> 822 (2017).</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9.</w:t>
      </w:r>
      <w:r w:rsidRPr="00423C87">
        <w:rPr>
          <w:rFonts w:ascii="Arial" w:eastAsia="Times New Roman" w:hAnsi="Arial" w:cs="Arial"/>
          <w:noProof/>
        </w:rPr>
        <w:tab/>
        <w:t xml:space="preserve">The Lancet Public Health. Prospects for public health in a sustainable NHS. </w:t>
      </w:r>
      <w:r w:rsidRPr="00423C87">
        <w:rPr>
          <w:rFonts w:ascii="Arial" w:eastAsia="Times New Roman" w:hAnsi="Arial" w:cs="Arial"/>
          <w:i/>
          <w:iCs/>
          <w:noProof/>
        </w:rPr>
        <w:t>Lancet Public Heal.</w:t>
      </w:r>
      <w:r w:rsidRPr="00423C87">
        <w:rPr>
          <w:rFonts w:ascii="Arial" w:eastAsia="Times New Roman" w:hAnsi="Arial" w:cs="Arial"/>
          <w:noProof/>
        </w:rPr>
        <w:t xml:space="preserve"> </w:t>
      </w:r>
      <w:r w:rsidRPr="00423C87">
        <w:rPr>
          <w:rFonts w:ascii="Arial" w:eastAsia="Times New Roman" w:hAnsi="Arial" w:cs="Arial"/>
          <w:b/>
          <w:bCs/>
          <w:noProof/>
        </w:rPr>
        <w:t>2,</w:t>
      </w:r>
      <w:r w:rsidRPr="00423C87">
        <w:rPr>
          <w:rFonts w:ascii="Arial" w:eastAsia="Times New Roman" w:hAnsi="Arial" w:cs="Arial"/>
          <w:noProof/>
        </w:rPr>
        <w:t xml:space="preserve"> e202 (2017).</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10.</w:t>
      </w:r>
      <w:r w:rsidRPr="00423C87">
        <w:rPr>
          <w:rFonts w:ascii="Arial" w:eastAsia="Times New Roman" w:hAnsi="Arial" w:cs="Arial"/>
          <w:noProof/>
        </w:rPr>
        <w:tab/>
        <w:t xml:space="preserve">Hawking, S. The NHS saved me. As a scientist, I must help to save it | Stephen Hawking | Opinion | The Guardian. </w:t>
      </w:r>
      <w:r w:rsidRPr="00423C87">
        <w:rPr>
          <w:rFonts w:ascii="Arial" w:eastAsia="Times New Roman" w:hAnsi="Arial" w:cs="Arial"/>
          <w:i/>
          <w:iCs/>
          <w:noProof/>
        </w:rPr>
        <w:t>The Guardian</w:t>
      </w:r>
      <w:r w:rsidRPr="00423C87">
        <w:rPr>
          <w:rFonts w:ascii="Arial" w:eastAsia="Times New Roman" w:hAnsi="Arial" w:cs="Arial"/>
          <w:noProof/>
        </w:rPr>
        <w:t xml:space="preserve"> (2017).</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11.</w:t>
      </w:r>
      <w:r w:rsidRPr="00423C87">
        <w:rPr>
          <w:rFonts w:ascii="Arial" w:eastAsia="Times New Roman" w:hAnsi="Arial" w:cs="Arial"/>
          <w:noProof/>
        </w:rPr>
        <w:tab/>
        <w:t xml:space="preserve">Slawson, N. &amp; Gayle, D. Jeremy Hunt accuses Stephen Hawking of ‘pernicious falsehood’ in NHS row | Politics | The Guardian. </w:t>
      </w:r>
      <w:r w:rsidRPr="00423C87">
        <w:rPr>
          <w:rFonts w:ascii="Arial" w:eastAsia="Times New Roman" w:hAnsi="Arial" w:cs="Arial"/>
          <w:i/>
          <w:iCs/>
          <w:noProof/>
        </w:rPr>
        <w:t>The Guardian</w:t>
      </w:r>
      <w:r w:rsidRPr="00423C87">
        <w:rPr>
          <w:rFonts w:ascii="Arial" w:eastAsia="Times New Roman" w:hAnsi="Arial" w:cs="Arial"/>
          <w:noProof/>
        </w:rPr>
        <w:t xml:space="preserve"> (2017).</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12.</w:t>
      </w:r>
      <w:r w:rsidRPr="00423C87">
        <w:rPr>
          <w:rFonts w:ascii="Arial" w:eastAsia="Times New Roman" w:hAnsi="Arial" w:cs="Arial"/>
          <w:noProof/>
        </w:rPr>
        <w:tab/>
        <w:t xml:space="preserve">Group, W. B. </w:t>
      </w:r>
      <w:r w:rsidRPr="00423C87">
        <w:rPr>
          <w:rFonts w:ascii="Arial" w:eastAsia="Times New Roman" w:hAnsi="Arial" w:cs="Arial"/>
          <w:i/>
          <w:iCs/>
          <w:noProof/>
        </w:rPr>
        <w:t>World Development Report 2015: Mind, Society, and Behavior</w:t>
      </w:r>
      <w:r w:rsidRPr="00423C87">
        <w:rPr>
          <w:rFonts w:ascii="Arial" w:eastAsia="Times New Roman" w:hAnsi="Arial" w:cs="Arial"/>
          <w:noProof/>
        </w:rPr>
        <w:t>. (The World Bank, 2014). doi:10.1596/978-1-4648-0342-0</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13.</w:t>
      </w:r>
      <w:r w:rsidRPr="00423C87">
        <w:rPr>
          <w:rFonts w:ascii="Arial" w:eastAsia="Times New Roman" w:hAnsi="Arial" w:cs="Arial"/>
          <w:noProof/>
        </w:rPr>
        <w:tab/>
        <w:t xml:space="preserve">Sallis, J. F. </w:t>
      </w:r>
      <w:r w:rsidRPr="00423C87">
        <w:rPr>
          <w:rFonts w:ascii="Arial" w:eastAsia="Times New Roman" w:hAnsi="Arial" w:cs="Arial"/>
          <w:i/>
          <w:iCs/>
          <w:noProof/>
        </w:rPr>
        <w:t>et al.</w:t>
      </w:r>
      <w:r w:rsidRPr="00423C87">
        <w:rPr>
          <w:rFonts w:ascii="Arial" w:eastAsia="Times New Roman" w:hAnsi="Arial" w:cs="Arial"/>
          <w:noProof/>
        </w:rPr>
        <w:t xml:space="preserve"> Use of science to guide city planning policy and practice: how to achieve healthy and sustainable future cities. </w:t>
      </w:r>
      <w:r w:rsidRPr="00423C87">
        <w:rPr>
          <w:rFonts w:ascii="Arial" w:eastAsia="Times New Roman" w:hAnsi="Arial" w:cs="Arial"/>
          <w:i/>
          <w:iCs/>
          <w:noProof/>
        </w:rPr>
        <w:t>Lancet</w:t>
      </w:r>
      <w:r w:rsidRPr="00423C87">
        <w:rPr>
          <w:rFonts w:ascii="Arial" w:eastAsia="Times New Roman" w:hAnsi="Arial" w:cs="Arial"/>
          <w:noProof/>
        </w:rPr>
        <w:t xml:space="preserve"> </w:t>
      </w:r>
      <w:r w:rsidRPr="00423C87">
        <w:rPr>
          <w:rFonts w:ascii="Arial" w:eastAsia="Times New Roman" w:hAnsi="Arial" w:cs="Arial"/>
          <w:b/>
          <w:bCs/>
          <w:noProof/>
        </w:rPr>
        <w:t>388,</w:t>
      </w:r>
      <w:r w:rsidRPr="00423C87">
        <w:rPr>
          <w:rFonts w:ascii="Arial" w:eastAsia="Times New Roman" w:hAnsi="Arial" w:cs="Arial"/>
          <w:noProof/>
        </w:rPr>
        <w:t xml:space="preserve"> 2936–2947 (2016).</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14.</w:t>
      </w:r>
      <w:r w:rsidRPr="00423C87">
        <w:rPr>
          <w:rFonts w:ascii="Arial" w:eastAsia="Times New Roman" w:hAnsi="Arial" w:cs="Arial"/>
          <w:noProof/>
        </w:rPr>
        <w:tab/>
        <w:t>Sense about Science. Transparency of evidence. (2016). Available at: http://senseaboutscience.org/activities/transparency-evidence/. (Accessed: 28th August 2017)</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15.</w:t>
      </w:r>
      <w:r w:rsidRPr="00423C87">
        <w:rPr>
          <w:rFonts w:ascii="Arial" w:eastAsia="Times New Roman" w:hAnsi="Arial" w:cs="Arial"/>
          <w:noProof/>
        </w:rPr>
        <w:tab/>
        <w:t xml:space="preserve">Kingdon, J. </w:t>
      </w:r>
      <w:r w:rsidRPr="00423C87">
        <w:rPr>
          <w:rFonts w:ascii="Arial" w:eastAsia="Times New Roman" w:hAnsi="Arial" w:cs="Arial"/>
          <w:i/>
          <w:iCs/>
          <w:noProof/>
        </w:rPr>
        <w:t>Agendas, alternatives, and public policies, 2nd edn.</w:t>
      </w:r>
      <w:r w:rsidRPr="00423C87">
        <w:rPr>
          <w:rFonts w:ascii="Arial" w:eastAsia="Times New Roman" w:hAnsi="Arial" w:cs="Arial"/>
          <w:noProof/>
        </w:rPr>
        <w:t xml:space="preserve"> (Longman, 1995).</w:t>
      </w:r>
    </w:p>
    <w:p w:rsidR="00AB32DB" w:rsidRPr="00423C87" w:rsidRDefault="00AB32DB" w:rsidP="00AB32DB">
      <w:pPr>
        <w:widowControl w:val="0"/>
        <w:autoSpaceDE w:val="0"/>
        <w:autoSpaceDN w:val="0"/>
        <w:adjustRightInd w:val="0"/>
        <w:spacing w:after="0" w:line="240" w:lineRule="auto"/>
        <w:ind w:left="640" w:hanging="640"/>
        <w:rPr>
          <w:rFonts w:ascii="Arial" w:eastAsia="Times New Roman" w:hAnsi="Arial" w:cs="Arial"/>
          <w:noProof/>
        </w:rPr>
      </w:pPr>
      <w:r w:rsidRPr="00423C87">
        <w:rPr>
          <w:rFonts w:ascii="Arial" w:eastAsia="Times New Roman" w:hAnsi="Arial" w:cs="Arial"/>
          <w:noProof/>
        </w:rPr>
        <w:t>16.</w:t>
      </w:r>
      <w:r w:rsidRPr="00423C87">
        <w:rPr>
          <w:rFonts w:ascii="Arial" w:eastAsia="Times New Roman" w:hAnsi="Arial" w:cs="Arial"/>
          <w:noProof/>
        </w:rPr>
        <w:tab/>
        <w:t xml:space="preserve">Rutter, H. </w:t>
      </w:r>
      <w:r w:rsidRPr="00423C87">
        <w:rPr>
          <w:rFonts w:ascii="Arial" w:eastAsia="Times New Roman" w:hAnsi="Arial" w:cs="Arial"/>
          <w:i/>
          <w:iCs/>
          <w:noProof/>
        </w:rPr>
        <w:t>et al.</w:t>
      </w:r>
      <w:r w:rsidRPr="00423C87">
        <w:rPr>
          <w:rFonts w:ascii="Arial" w:eastAsia="Times New Roman" w:hAnsi="Arial" w:cs="Arial"/>
          <w:noProof/>
        </w:rPr>
        <w:t xml:space="preserve"> The need for a complex systems model of evidence for public health. </w:t>
      </w:r>
      <w:r w:rsidRPr="00423C87">
        <w:rPr>
          <w:rFonts w:ascii="Arial" w:eastAsia="Times New Roman" w:hAnsi="Arial" w:cs="Arial"/>
          <w:i/>
          <w:iCs/>
          <w:noProof/>
        </w:rPr>
        <w:t>Lancet</w:t>
      </w:r>
      <w:r w:rsidRPr="00423C87">
        <w:rPr>
          <w:rFonts w:ascii="Arial" w:eastAsia="Times New Roman" w:hAnsi="Arial" w:cs="Arial"/>
          <w:noProof/>
        </w:rPr>
        <w:t xml:space="preserve"> </w:t>
      </w:r>
      <w:r w:rsidRPr="00423C87">
        <w:rPr>
          <w:rFonts w:ascii="Arial" w:eastAsia="Times New Roman" w:hAnsi="Arial" w:cs="Arial"/>
          <w:b/>
          <w:bCs/>
          <w:noProof/>
        </w:rPr>
        <w:t>6736,</w:t>
      </w:r>
      <w:r w:rsidRPr="00423C87">
        <w:rPr>
          <w:rFonts w:ascii="Arial" w:eastAsia="Times New Roman" w:hAnsi="Arial" w:cs="Arial"/>
          <w:noProof/>
        </w:rPr>
        <w:t xml:space="preserve"> 9–11 (2017).</w:t>
      </w:r>
    </w:p>
    <w:p w:rsidR="00AB32DB" w:rsidRPr="00423C87" w:rsidRDefault="00AB32DB" w:rsidP="00AB32DB">
      <w:pPr>
        <w:widowControl w:val="0"/>
        <w:autoSpaceDE w:val="0"/>
        <w:autoSpaceDN w:val="0"/>
        <w:adjustRightInd w:val="0"/>
        <w:spacing w:after="0" w:line="240" w:lineRule="auto"/>
        <w:ind w:left="640" w:hanging="640"/>
        <w:rPr>
          <w:rFonts w:ascii="Arial" w:hAnsi="Arial" w:cs="Arial"/>
          <w:noProof/>
        </w:rPr>
      </w:pPr>
      <w:r w:rsidRPr="00423C87">
        <w:rPr>
          <w:rFonts w:ascii="Arial" w:eastAsia="Times New Roman" w:hAnsi="Arial" w:cs="Arial"/>
          <w:noProof/>
        </w:rPr>
        <w:t>17.</w:t>
      </w:r>
      <w:r w:rsidRPr="00423C87">
        <w:rPr>
          <w:rFonts w:ascii="Arial" w:eastAsia="Times New Roman" w:hAnsi="Arial" w:cs="Arial"/>
          <w:noProof/>
        </w:rPr>
        <w:tab/>
        <w:t xml:space="preserve">Salter, K. L. &amp; Kothari, A. Using realist evaluation to open the black box of knowledge translation: a state-of-the-art review. </w:t>
      </w:r>
      <w:r w:rsidRPr="00423C87">
        <w:rPr>
          <w:rFonts w:ascii="Arial" w:eastAsia="Times New Roman" w:hAnsi="Arial" w:cs="Arial"/>
          <w:i/>
          <w:iCs/>
          <w:noProof/>
        </w:rPr>
        <w:t>Implement. Sci.</w:t>
      </w:r>
      <w:r w:rsidRPr="00423C87">
        <w:rPr>
          <w:rFonts w:ascii="Arial" w:eastAsia="Times New Roman" w:hAnsi="Arial" w:cs="Arial"/>
          <w:noProof/>
        </w:rPr>
        <w:t xml:space="preserve"> </w:t>
      </w:r>
      <w:r w:rsidRPr="00423C87">
        <w:rPr>
          <w:rFonts w:ascii="Arial" w:eastAsia="Times New Roman" w:hAnsi="Arial" w:cs="Arial"/>
          <w:b/>
          <w:bCs/>
          <w:noProof/>
        </w:rPr>
        <w:t>9,</w:t>
      </w:r>
      <w:r w:rsidRPr="00423C87">
        <w:rPr>
          <w:rFonts w:ascii="Arial" w:eastAsia="Times New Roman" w:hAnsi="Arial" w:cs="Arial"/>
          <w:noProof/>
        </w:rPr>
        <w:t xml:space="preserve"> 115 (2014).</w:t>
      </w:r>
    </w:p>
    <w:p w:rsidR="00AB32DB" w:rsidRDefault="00AB32DB" w:rsidP="00AB32DB">
      <w:pPr>
        <w:widowControl w:val="0"/>
        <w:autoSpaceDE w:val="0"/>
        <w:autoSpaceDN w:val="0"/>
        <w:adjustRightInd w:val="0"/>
        <w:spacing w:after="0" w:line="240" w:lineRule="auto"/>
        <w:ind w:left="640" w:hanging="640"/>
        <w:rPr>
          <w:rFonts w:ascii="Arial" w:hAnsi="Arial" w:cs="Arial"/>
          <w:lang w:val="en-GB" w:eastAsia="en-GB"/>
        </w:rPr>
      </w:pPr>
      <w:r>
        <w:rPr>
          <w:rFonts w:ascii="Arial" w:hAnsi="Arial" w:cs="Arial"/>
          <w:lang w:val="en-GB" w:eastAsia="en-GB"/>
        </w:rPr>
        <w:fldChar w:fldCharType="end"/>
      </w:r>
    </w:p>
    <w:p w:rsidR="00AB32DB" w:rsidRPr="00A042FF" w:rsidRDefault="00AB32DB" w:rsidP="00AB32DB">
      <w:pPr>
        <w:pStyle w:val="FootnoteText"/>
        <w:rPr>
          <w:rFonts w:ascii="Arial" w:hAnsi="Arial" w:cs="Arial"/>
          <w:lang w:val="en-GB" w:eastAsia="en-GB"/>
        </w:rPr>
      </w:pPr>
    </w:p>
    <w:p w:rsidR="00AB32DB" w:rsidRPr="00A042FF" w:rsidRDefault="00AB32DB" w:rsidP="00AB32DB">
      <w:pPr>
        <w:rPr>
          <w:rFonts w:ascii="Arial" w:hAnsi="Arial" w:cs="Arial"/>
          <w:b/>
          <w:lang w:val="en-GB" w:eastAsia="en-GB"/>
        </w:rPr>
      </w:pPr>
      <w:r w:rsidRPr="00A042FF">
        <w:rPr>
          <w:rFonts w:ascii="Arial" w:hAnsi="Arial" w:cs="Arial"/>
          <w:b/>
          <w:lang w:val="en-GB" w:eastAsia="en-GB"/>
        </w:rPr>
        <w:t>[</w:t>
      </w:r>
      <w:r w:rsidRPr="00A042FF">
        <w:rPr>
          <w:rFonts w:ascii="Arial" w:hAnsi="Arial" w:cs="Arial"/>
          <w:lang w:val="en-GB" w:eastAsia="en-GB"/>
        </w:rPr>
        <w:t>Insert Figure 1</w:t>
      </w:r>
      <w:r w:rsidRPr="00A042FF">
        <w:rPr>
          <w:rFonts w:ascii="Arial" w:hAnsi="Arial" w:cs="Arial"/>
          <w:b/>
          <w:lang w:val="en-GB" w:eastAsia="en-GB"/>
        </w:rPr>
        <w:t>]</w:t>
      </w:r>
    </w:p>
    <w:p w:rsidR="00AB32DB" w:rsidRPr="00A042FF" w:rsidRDefault="00AB32DB" w:rsidP="00AB32DB">
      <w:pPr>
        <w:pStyle w:val="FootnoteText"/>
        <w:rPr>
          <w:rFonts w:ascii="Arial" w:hAnsi="Arial" w:cs="Arial"/>
          <w:b/>
          <w:lang w:val="en-GB" w:eastAsia="en-GB"/>
        </w:rPr>
      </w:pPr>
    </w:p>
    <w:p w:rsidR="00AB32DB" w:rsidRPr="00A042FF" w:rsidRDefault="00AB32DB" w:rsidP="00AB32DB">
      <w:pPr>
        <w:pStyle w:val="FootnoteText"/>
        <w:rPr>
          <w:rFonts w:ascii="Arial" w:hAnsi="Arial" w:cs="Arial"/>
          <w:lang w:val="en-GB" w:eastAsia="en-GB"/>
        </w:rPr>
      </w:pPr>
      <w:r w:rsidRPr="00A042FF">
        <w:rPr>
          <w:rFonts w:ascii="Arial" w:hAnsi="Arial" w:cs="Arial"/>
          <w:b/>
          <w:lang w:val="en-GB" w:eastAsia="en-GB"/>
        </w:rPr>
        <w:t>Figure 1:</w:t>
      </w:r>
      <w:r w:rsidRPr="00A042FF">
        <w:rPr>
          <w:rFonts w:ascii="Arial" w:hAnsi="Arial" w:cs="Arial"/>
          <w:lang w:val="en-GB" w:eastAsia="en-GB"/>
        </w:rPr>
        <w:t xml:space="preserve"> Diagrammatic representation of the stages of translational health policy. The process should be viewed as </w:t>
      </w:r>
      <w:r>
        <w:rPr>
          <w:rFonts w:ascii="Arial" w:hAnsi="Arial" w:cs="Arial"/>
          <w:lang w:val="en-GB" w:eastAsia="en-GB"/>
        </w:rPr>
        <w:t>iterative</w:t>
      </w:r>
      <w:r w:rsidRPr="00A042FF">
        <w:rPr>
          <w:rFonts w:ascii="Arial" w:hAnsi="Arial" w:cs="Arial"/>
          <w:lang w:val="en-GB" w:eastAsia="en-GB"/>
        </w:rPr>
        <w:t xml:space="preserve"> and evolving. </w:t>
      </w:r>
    </w:p>
    <w:p w:rsidR="00AB32DB" w:rsidRPr="00A042FF" w:rsidRDefault="00AB32DB" w:rsidP="00AB32DB">
      <w:pPr>
        <w:pStyle w:val="FootnoteText"/>
        <w:rPr>
          <w:rFonts w:ascii="Arial" w:hAnsi="Arial" w:cs="Arial"/>
          <w:lang w:val="en-GB" w:eastAsia="en-GB"/>
        </w:rPr>
      </w:pPr>
    </w:p>
    <w:p w:rsidR="00AB32DB" w:rsidRPr="00A042FF" w:rsidRDefault="00AB32DB" w:rsidP="00AB32DB">
      <w:pPr>
        <w:pStyle w:val="FootnoteText"/>
        <w:rPr>
          <w:rFonts w:ascii="Arial" w:hAnsi="Arial" w:cs="Arial"/>
          <w:lang w:val="en-GB"/>
        </w:rPr>
      </w:pPr>
    </w:p>
    <w:p w:rsidR="00201D6A" w:rsidRDefault="00201D6A"/>
    <w:sectPr w:rsidR="00201D6A">
      <w:footerReference w:type="default" r:id="rId6"/>
      <w:pgSz w:w="12240" w:h="15840"/>
      <w:pgMar w:top="1267" w:right="1339" w:bottom="1339" w:left="1339"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635894"/>
      <w:docPartObj>
        <w:docPartGallery w:val="Page Numbers (Bottom of Page)"/>
        <w:docPartUnique/>
      </w:docPartObj>
    </w:sdtPr>
    <w:sdtEndPr>
      <w:rPr>
        <w:noProof/>
      </w:rPr>
    </w:sdtEndPr>
    <w:sdtContent>
      <w:p w:rsidR="009A73EE" w:rsidRDefault="00AB32DB">
        <w:pPr>
          <w:pStyle w:val="Footer"/>
        </w:pPr>
        <w:r>
          <w:fldChar w:fldCharType="begin"/>
        </w:r>
        <w:r>
          <w:instrText xml:space="preserve"> PAGE   \* MERGEFORMAT </w:instrText>
        </w:r>
        <w:r>
          <w:fldChar w:fldCharType="separate"/>
        </w:r>
        <w:r>
          <w:rPr>
            <w:noProof/>
          </w:rPr>
          <w:t>6</w:t>
        </w:r>
        <w:r>
          <w:rPr>
            <w:noProof/>
          </w:rPr>
          <w:fldChar w:fldCharType="end"/>
        </w:r>
      </w:p>
    </w:sdtContent>
  </w:sdt>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365C6"/>
    <w:multiLevelType w:val="hybridMultilevel"/>
    <w:tmpl w:val="2320E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2DB"/>
    <w:rsid w:val="00201D6A"/>
    <w:rsid w:val="007C76D4"/>
    <w:rsid w:val="0091184A"/>
    <w:rsid w:val="00AB3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0F86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DB"/>
    <w:pPr>
      <w:spacing w:after="240" w:line="312" w:lineRule="auto"/>
    </w:pPr>
    <w:rPr>
      <w:rFonts w:eastAsiaTheme="minorHAnsi"/>
      <w:color w:val="000000" w:themeColor="text1"/>
      <w:lang w:eastAsia="ja-JP"/>
    </w:rPr>
  </w:style>
  <w:style w:type="paragraph" w:styleId="Heading3">
    <w:name w:val="heading 3"/>
    <w:basedOn w:val="Normal"/>
    <w:next w:val="Normal"/>
    <w:link w:val="Heading3Char"/>
    <w:uiPriority w:val="9"/>
    <w:unhideWhenUsed/>
    <w:qFormat/>
    <w:rsid w:val="00AB32DB"/>
    <w:pPr>
      <w:keepNext/>
      <w:keepLines/>
      <w:spacing w:before="400" w:line="240" w:lineRule="auto"/>
      <w:outlineLvl w:val="2"/>
    </w:pPr>
    <w:rPr>
      <w:rFonts w:asciiTheme="majorHAnsi" w:eastAsiaTheme="majorEastAsia" w:hAnsiTheme="majorHAnsi" w:cstheme="majorBid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76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76D4"/>
    <w:rPr>
      <w:rFonts w:ascii="Lucida Grande" w:hAnsi="Lucida Grande" w:cs="Lucida Grande"/>
      <w:sz w:val="18"/>
      <w:szCs w:val="18"/>
    </w:rPr>
  </w:style>
  <w:style w:type="character" w:customStyle="1" w:styleId="Heading3Char">
    <w:name w:val="Heading 3 Char"/>
    <w:basedOn w:val="DefaultParagraphFont"/>
    <w:link w:val="Heading3"/>
    <w:uiPriority w:val="9"/>
    <w:rsid w:val="00AB32DB"/>
    <w:rPr>
      <w:rFonts w:asciiTheme="majorHAnsi" w:eastAsiaTheme="majorEastAsia" w:hAnsiTheme="majorHAnsi" w:cstheme="majorBidi"/>
      <w:color w:val="000000" w:themeColor="text1"/>
      <w:sz w:val="30"/>
      <w:lang w:eastAsia="ja-JP"/>
    </w:rPr>
  </w:style>
  <w:style w:type="paragraph" w:styleId="Footer">
    <w:name w:val="footer"/>
    <w:basedOn w:val="Normal"/>
    <w:link w:val="FooterChar"/>
    <w:uiPriority w:val="99"/>
    <w:unhideWhenUsed/>
    <w:qFormat/>
    <w:rsid w:val="00AB32DB"/>
    <w:pPr>
      <w:spacing w:after="0" w:line="240" w:lineRule="auto"/>
    </w:pPr>
  </w:style>
  <w:style w:type="character" w:customStyle="1" w:styleId="FooterChar">
    <w:name w:val="Footer Char"/>
    <w:basedOn w:val="DefaultParagraphFont"/>
    <w:link w:val="Footer"/>
    <w:uiPriority w:val="99"/>
    <w:rsid w:val="00AB32DB"/>
    <w:rPr>
      <w:rFonts w:eastAsiaTheme="minorHAnsi"/>
      <w:color w:val="000000" w:themeColor="text1"/>
      <w:lang w:eastAsia="ja-JP"/>
    </w:rPr>
  </w:style>
  <w:style w:type="paragraph" w:customStyle="1" w:styleId="p1">
    <w:name w:val="p1"/>
    <w:basedOn w:val="Normal"/>
    <w:rsid w:val="00AB32DB"/>
    <w:pPr>
      <w:spacing w:after="0" w:line="240" w:lineRule="auto"/>
    </w:pPr>
    <w:rPr>
      <w:rFonts w:ascii="Times" w:hAnsi="Times" w:cs="Times New Roman"/>
      <w:color w:val="11314F"/>
      <w:sz w:val="39"/>
      <w:szCs w:val="39"/>
      <w:lang w:eastAsia="en-US"/>
    </w:rPr>
  </w:style>
  <w:style w:type="paragraph" w:styleId="FootnoteText">
    <w:name w:val="footnote text"/>
    <w:basedOn w:val="Normal"/>
    <w:link w:val="FootnoteTextChar"/>
    <w:uiPriority w:val="99"/>
    <w:unhideWhenUsed/>
    <w:rsid w:val="00AB32DB"/>
    <w:pPr>
      <w:spacing w:after="0" w:line="240" w:lineRule="auto"/>
    </w:pPr>
  </w:style>
  <w:style w:type="character" w:customStyle="1" w:styleId="FootnoteTextChar">
    <w:name w:val="Footnote Text Char"/>
    <w:basedOn w:val="DefaultParagraphFont"/>
    <w:link w:val="FootnoteText"/>
    <w:uiPriority w:val="99"/>
    <w:rsid w:val="00AB32DB"/>
    <w:rPr>
      <w:rFonts w:eastAsiaTheme="minorHAnsi"/>
      <w:color w:val="000000" w:themeColor="text1"/>
      <w:lang w:eastAsia="ja-JP"/>
    </w:rPr>
  </w:style>
  <w:style w:type="character" w:styleId="CommentReference">
    <w:name w:val="annotation reference"/>
    <w:basedOn w:val="DefaultParagraphFont"/>
    <w:uiPriority w:val="99"/>
    <w:semiHidden/>
    <w:unhideWhenUsed/>
    <w:rsid w:val="00AB32DB"/>
    <w:rPr>
      <w:sz w:val="18"/>
      <w:szCs w:val="18"/>
    </w:rPr>
  </w:style>
  <w:style w:type="paragraph" w:styleId="CommentText">
    <w:name w:val="annotation text"/>
    <w:basedOn w:val="Normal"/>
    <w:link w:val="CommentTextChar"/>
    <w:uiPriority w:val="99"/>
    <w:semiHidden/>
    <w:unhideWhenUsed/>
    <w:rsid w:val="00AB32DB"/>
    <w:pPr>
      <w:spacing w:line="240" w:lineRule="auto"/>
    </w:pPr>
  </w:style>
  <w:style w:type="character" w:customStyle="1" w:styleId="CommentTextChar">
    <w:name w:val="Comment Text Char"/>
    <w:basedOn w:val="DefaultParagraphFont"/>
    <w:link w:val="CommentText"/>
    <w:uiPriority w:val="99"/>
    <w:semiHidden/>
    <w:rsid w:val="00AB32DB"/>
    <w:rPr>
      <w:rFonts w:eastAsiaTheme="minorHAnsi"/>
      <w:color w:val="000000" w:themeColor="text1"/>
      <w:lang w:eastAsia="ja-JP"/>
    </w:rPr>
  </w:style>
  <w:style w:type="paragraph" w:styleId="ListParagraph">
    <w:name w:val="List Paragraph"/>
    <w:basedOn w:val="Normal"/>
    <w:uiPriority w:val="34"/>
    <w:qFormat/>
    <w:rsid w:val="00AB32D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DB"/>
    <w:pPr>
      <w:spacing w:after="240" w:line="312" w:lineRule="auto"/>
    </w:pPr>
    <w:rPr>
      <w:rFonts w:eastAsiaTheme="minorHAnsi"/>
      <w:color w:val="000000" w:themeColor="text1"/>
      <w:lang w:eastAsia="ja-JP"/>
    </w:rPr>
  </w:style>
  <w:style w:type="paragraph" w:styleId="Heading3">
    <w:name w:val="heading 3"/>
    <w:basedOn w:val="Normal"/>
    <w:next w:val="Normal"/>
    <w:link w:val="Heading3Char"/>
    <w:uiPriority w:val="9"/>
    <w:unhideWhenUsed/>
    <w:qFormat/>
    <w:rsid w:val="00AB32DB"/>
    <w:pPr>
      <w:keepNext/>
      <w:keepLines/>
      <w:spacing w:before="400" w:line="240" w:lineRule="auto"/>
      <w:outlineLvl w:val="2"/>
    </w:pPr>
    <w:rPr>
      <w:rFonts w:asciiTheme="majorHAnsi" w:eastAsiaTheme="majorEastAsia" w:hAnsiTheme="majorHAnsi" w:cstheme="majorBid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76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76D4"/>
    <w:rPr>
      <w:rFonts w:ascii="Lucida Grande" w:hAnsi="Lucida Grande" w:cs="Lucida Grande"/>
      <w:sz w:val="18"/>
      <w:szCs w:val="18"/>
    </w:rPr>
  </w:style>
  <w:style w:type="character" w:customStyle="1" w:styleId="Heading3Char">
    <w:name w:val="Heading 3 Char"/>
    <w:basedOn w:val="DefaultParagraphFont"/>
    <w:link w:val="Heading3"/>
    <w:uiPriority w:val="9"/>
    <w:rsid w:val="00AB32DB"/>
    <w:rPr>
      <w:rFonts w:asciiTheme="majorHAnsi" w:eastAsiaTheme="majorEastAsia" w:hAnsiTheme="majorHAnsi" w:cstheme="majorBidi"/>
      <w:color w:val="000000" w:themeColor="text1"/>
      <w:sz w:val="30"/>
      <w:lang w:eastAsia="ja-JP"/>
    </w:rPr>
  </w:style>
  <w:style w:type="paragraph" w:styleId="Footer">
    <w:name w:val="footer"/>
    <w:basedOn w:val="Normal"/>
    <w:link w:val="FooterChar"/>
    <w:uiPriority w:val="99"/>
    <w:unhideWhenUsed/>
    <w:qFormat/>
    <w:rsid w:val="00AB32DB"/>
    <w:pPr>
      <w:spacing w:after="0" w:line="240" w:lineRule="auto"/>
    </w:pPr>
  </w:style>
  <w:style w:type="character" w:customStyle="1" w:styleId="FooterChar">
    <w:name w:val="Footer Char"/>
    <w:basedOn w:val="DefaultParagraphFont"/>
    <w:link w:val="Footer"/>
    <w:uiPriority w:val="99"/>
    <w:rsid w:val="00AB32DB"/>
    <w:rPr>
      <w:rFonts w:eastAsiaTheme="minorHAnsi"/>
      <w:color w:val="000000" w:themeColor="text1"/>
      <w:lang w:eastAsia="ja-JP"/>
    </w:rPr>
  </w:style>
  <w:style w:type="paragraph" w:customStyle="1" w:styleId="p1">
    <w:name w:val="p1"/>
    <w:basedOn w:val="Normal"/>
    <w:rsid w:val="00AB32DB"/>
    <w:pPr>
      <w:spacing w:after="0" w:line="240" w:lineRule="auto"/>
    </w:pPr>
    <w:rPr>
      <w:rFonts w:ascii="Times" w:hAnsi="Times" w:cs="Times New Roman"/>
      <w:color w:val="11314F"/>
      <w:sz w:val="39"/>
      <w:szCs w:val="39"/>
      <w:lang w:eastAsia="en-US"/>
    </w:rPr>
  </w:style>
  <w:style w:type="paragraph" w:styleId="FootnoteText">
    <w:name w:val="footnote text"/>
    <w:basedOn w:val="Normal"/>
    <w:link w:val="FootnoteTextChar"/>
    <w:uiPriority w:val="99"/>
    <w:unhideWhenUsed/>
    <w:rsid w:val="00AB32DB"/>
    <w:pPr>
      <w:spacing w:after="0" w:line="240" w:lineRule="auto"/>
    </w:pPr>
  </w:style>
  <w:style w:type="character" w:customStyle="1" w:styleId="FootnoteTextChar">
    <w:name w:val="Footnote Text Char"/>
    <w:basedOn w:val="DefaultParagraphFont"/>
    <w:link w:val="FootnoteText"/>
    <w:uiPriority w:val="99"/>
    <w:rsid w:val="00AB32DB"/>
    <w:rPr>
      <w:rFonts w:eastAsiaTheme="minorHAnsi"/>
      <w:color w:val="000000" w:themeColor="text1"/>
      <w:lang w:eastAsia="ja-JP"/>
    </w:rPr>
  </w:style>
  <w:style w:type="character" w:styleId="CommentReference">
    <w:name w:val="annotation reference"/>
    <w:basedOn w:val="DefaultParagraphFont"/>
    <w:uiPriority w:val="99"/>
    <w:semiHidden/>
    <w:unhideWhenUsed/>
    <w:rsid w:val="00AB32DB"/>
    <w:rPr>
      <w:sz w:val="18"/>
      <w:szCs w:val="18"/>
    </w:rPr>
  </w:style>
  <w:style w:type="paragraph" w:styleId="CommentText">
    <w:name w:val="annotation text"/>
    <w:basedOn w:val="Normal"/>
    <w:link w:val="CommentTextChar"/>
    <w:uiPriority w:val="99"/>
    <w:semiHidden/>
    <w:unhideWhenUsed/>
    <w:rsid w:val="00AB32DB"/>
    <w:pPr>
      <w:spacing w:line="240" w:lineRule="auto"/>
    </w:pPr>
  </w:style>
  <w:style w:type="character" w:customStyle="1" w:styleId="CommentTextChar">
    <w:name w:val="Comment Text Char"/>
    <w:basedOn w:val="DefaultParagraphFont"/>
    <w:link w:val="CommentText"/>
    <w:uiPriority w:val="99"/>
    <w:semiHidden/>
    <w:rsid w:val="00AB32DB"/>
    <w:rPr>
      <w:rFonts w:eastAsiaTheme="minorHAnsi"/>
      <w:color w:val="000000" w:themeColor="text1"/>
      <w:lang w:eastAsia="ja-JP"/>
    </w:rPr>
  </w:style>
  <w:style w:type="paragraph" w:styleId="ListParagraph">
    <w:name w:val="List Paragraph"/>
    <w:basedOn w:val="Normal"/>
    <w:uiPriority w:val="34"/>
    <w:qFormat/>
    <w:rsid w:val="00AB32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9098</Words>
  <Characters>51860</Characters>
  <Application>Microsoft Macintosh Word</Application>
  <DocSecurity>0</DocSecurity>
  <Lines>432</Lines>
  <Paragraphs>121</Paragraphs>
  <ScaleCrop>false</ScaleCrop>
  <Company>Imperial College London</Company>
  <LinksUpToDate>false</LinksUpToDate>
  <CharactersWithSpaces>60837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harris</dc:creator>
  <cp:keywords/>
  <dc:description/>
  <cp:lastModifiedBy>matthew harris</cp:lastModifiedBy>
  <cp:revision>1</cp:revision>
  <dcterms:created xsi:type="dcterms:W3CDTF">2017-11-24T15:09:00Z</dcterms:created>
  <dcterms:modified xsi:type="dcterms:W3CDTF">2017-11-24T15:10:00Z</dcterms:modified>
</cp:coreProperties>
</file>