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F1047" w14:textId="77777777" w:rsidR="009F1C57" w:rsidRPr="00064DA0" w:rsidRDefault="009F1C57" w:rsidP="009F1C57">
      <w:pPr>
        <w:spacing w:line="480" w:lineRule="auto"/>
        <w:jc w:val="center"/>
        <w:rPr>
          <w:rFonts w:asciiTheme="majorHAnsi" w:hAnsiTheme="majorHAnsi"/>
          <w:b/>
          <w:sz w:val="24"/>
          <w:szCs w:val="24"/>
          <w:lang w:val="en-US"/>
        </w:rPr>
      </w:pPr>
      <w:r w:rsidRPr="00064DA0">
        <w:rPr>
          <w:rFonts w:asciiTheme="majorHAnsi" w:hAnsiTheme="majorHAnsi"/>
          <w:b/>
          <w:sz w:val="24"/>
          <w:szCs w:val="24"/>
          <w:lang w:val="en-US"/>
        </w:rPr>
        <w:t>Maternal nutrition knowledge and child nutritional outcomes in urban Kenya</w:t>
      </w:r>
    </w:p>
    <w:p w14:paraId="32607AE4" w14:textId="77777777" w:rsidR="009F1C57" w:rsidRDefault="009F1C57" w:rsidP="009F1C57">
      <w:pPr>
        <w:spacing w:after="0" w:line="240" w:lineRule="auto"/>
        <w:jc w:val="center"/>
        <w:rPr>
          <w:rFonts w:asciiTheme="majorHAnsi" w:hAnsiTheme="majorHAnsi"/>
          <w:sz w:val="24"/>
          <w:szCs w:val="24"/>
          <w:lang w:val="en-US"/>
        </w:rPr>
      </w:pPr>
      <w:r w:rsidRPr="00E950A8">
        <w:rPr>
          <w:rFonts w:asciiTheme="majorHAnsi" w:hAnsiTheme="majorHAnsi"/>
          <w:sz w:val="24"/>
          <w:szCs w:val="24"/>
          <w:lang w:val="en-US"/>
        </w:rPr>
        <w:t xml:space="preserve">Bethelhem Legesse Debela </w:t>
      </w:r>
      <w:r>
        <w:rPr>
          <w:rFonts w:asciiTheme="majorHAnsi" w:hAnsiTheme="majorHAnsi"/>
          <w:sz w:val="24"/>
          <w:szCs w:val="24"/>
          <w:vertAlign w:val="superscript"/>
          <w:lang w:val="en-US"/>
        </w:rPr>
        <w:t xml:space="preserve">a </w:t>
      </w:r>
      <w:r>
        <w:rPr>
          <w:rFonts w:asciiTheme="majorHAnsi" w:hAnsiTheme="majorHAnsi"/>
          <w:sz w:val="24"/>
          <w:szCs w:val="24"/>
          <w:lang w:val="en-US"/>
        </w:rPr>
        <w:t>(Corresponding Author)</w:t>
      </w:r>
    </w:p>
    <w:p w14:paraId="3A57437C" w14:textId="77777777" w:rsidR="009F1C57" w:rsidRPr="00AD7F81" w:rsidRDefault="009F1C57" w:rsidP="009F1C57">
      <w:pPr>
        <w:spacing w:after="0" w:line="240" w:lineRule="auto"/>
        <w:jc w:val="center"/>
        <w:rPr>
          <w:rFonts w:asciiTheme="majorHAnsi" w:hAnsiTheme="majorHAnsi"/>
          <w:lang w:val="en-US"/>
        </w:rPr>
      </w:pPr>
      <w:r w:rsidRPr="00E950A8">
        <w:rPr>
          <w:rFonts w:asciiTheme="majorHAnsi" w:eastAsia="Times New Roman" w:hAnsiTheme="majorHAnsi" w:cs="Times New Roman"/>
          <w:color w:val="000000"/>
          <w:sz w:val="24"/>
          <w:szCs w:val="24"/>
          <w:lang w:val="en-US"/>
        </w:rPr>
        <w:t xml:space="preserve">Email: </w:t>
      </w:r>
      <w:hyperlink r:id="rId9" w:history="1">
        <w:r w:rsidRPr="00613207">
          <w:rPr>
            <w:rStyle w:val="Hyperlink"/>
            <w:rFonts w:asciiTheme="majorHAnsi" w:eastAsia="Times New Roman" w:hAnsiTheme="majorHAnsi" w:cs="Times New Roman"/>
            <w:sz w:val="24"/>
            <w:szCs w:val="24"/>
            <w:lang w:val="en-US"/>
          </w:rPr>
          <w:t>bdebela@uni-goettingen.de</w:t>
        </w:r>
      </w:hyperlink>
    </w:p>
    <w:p w14:paraId="40C4D0E7" w14:textId="77777777" w:rsidR="009F1C57" w:rsidRPr="009F1C57" w:rsidRDefault="009F1C57" w:rsidP="009F1C57">
      <w:pPr>
        <w:spacing w:after="0" w:line="240" w:lineRule="auto"/>
        <w:jc w:val="center"/>
        <w:rPr>
          <w:rFonts w:ascii="Cambria" w:eastAsia="Times New Roman" w:hAnsi="Cambria" w:cs="Times New Roman"/>
          <w:sz w:val="24"/>
          <w:szCs w:val="24"/>
          <w:lang w:val="en-US"/>
        </w:rPr>
      </w:pPr>
      <w:r w:rsidRPr="009F1C57">
        <w:rPr>
          <w:rFonts w:ascii="Cambria" w:eastAsia="Times New Roman" w:hAnsi="Cambria" w:cs="Times New Roman"/>
          <w:sz w:val="24"/>
          <w:szCs w:val="24"/>
          <w:lang w:val="en-US"/>
        </w:rPr>
        <w:t>Tel: +49 551 39 20204</w:t>
      </w:r>
    </w:p>
    <w:p w14:paraId="598EF420" w14:textId="77777777" w:rsidR="009F1C57" w:rsidRPr="009F1C57" w:rsidRDefault="009F1C57" w:rsidP="009F1C57">
      <w:pPr>
        <w:spacing w:after="0" w:line="240" w:lineRule="auto"/>
        <w:jc w:val="center"/>
        <w:rPr>
          <w:rFonts w:ascii="Cambria" w:eastAsia="Times New Roman" w:hAnsi="Cambria" w:cs="Times New Roman"/>
          <w:sz w:val="24"/>
          <w:szCs w:val="24"/>
          <w:lang w:val="en-US"/>
        </w:rPr>
      </w:pPr>
      <w:r w:rsidRPr="009F1C57">
        <w:rPr>
          <w:rFonts w:ascii="Cambria" w:eastAsia="Times New Roman" w:hAnsi="Cambria" w:cs="Times New Roman"/>
          <w:sz w:val="24"/>
          <w:szCs w:val="24"/>
          <w:lang w:val="en-US"/>
        </w:rPr>
        <w:t xml:space="preserve">Fax: </w:t>
      </w:r>
      <w:r w:rsidRPr="007062FC">
        <w:rPr>
          <w:rFonts w:ascii="Cambria" w:eastAsia="Times New Roman" w:hAnsi="Cambria" w:cs="Times New Roman"/>
          <w:sz w:val="24"/>
          <w:szCs w:val="24"/>
          <w:lang w:val="en-US"/>
        </w:rPr>
        <w:t>+49 551 39 20203</w:t>
      </w:r>
    </w:p>
    <w:p w14:paraId="5C385108" w14:textId="77777777" w:rsidR="009F1C57" w:rsidRDefault="009F1C57" w:rsidP="009F1C57">
      <w:pPr>
        <w:spacing w:after="0" w:line="240" w:lineRule="auto"/>
        <w:jc w:val="center"/>
        <w:rPr>
          <w:rFonts w:asciiTheme="majorHAnsi" w:hAnsiTheme="majorHAnsi"/>
          <w:sz w:val="24"/>
          <w:szCs w:val="24"/>
          <w:lang w:val="en-US"/>
        </w:rPr>
      </w:pPr>
    </w:p>
    <w:p w14:paraId="77897ED6" w14:textId="77777777" w:rsidR="009F1C57" w:rsidRDefault="009F1C57" w:rsidP="009F1C57">
      <w:pPr>
        <w:spacing w:after="0" w:line="240" w:lineRule="auto"/>
        <w:jc w:val="center"/>
        <w:rPr>
          <w:rFonts w:asciiTheme="majorHAnsi" w:hAnsiTheme="majorHAnsi"/>
          <w:sz w:val="24"/>
          <w:szCs w:val="24"/>
          <w:lang w:val="en-US"/>
        </w:rPr>
      </w:pPr>
      <w:r w:rsidRPr="00E950A8">
        <w:rPr>
          <w:rFonts w:asciiTheme="majorHAnsi" w:hAnsiTheme="majorHAnsi"/>
          <w:sz w:val="24"/>
          <w:szCs w:val="24"/>
          <w:lang w:val="en-US"/>
        </w:rPr>
        <w:t xml:space="preserve">Kathrin M. Demmler </w:t>
      </w:r>
      <w:r w:rsidRPr="00E950A8">
        <w:rPr>
          <w:rFonts w:asciiTheme="majorHAnsi" w:hAnsiTheme="majorHAnsi"/>
          <w:sz w:val="24"/>
          <w:szCs w:val="24"/>
          <w:vertAlign w:val="superscript"/>
          <w:lang w:val="en-US"/>
        </w:rPr>
        <w:t>a</w:t>
      </w:r>
    </w:p>
    <w:p w14:paraId="70D3DD43" w14:textId="77777777" w:rsidR="009F1C57" w:rsidRDefault="009F1C57" w:rsidP="009F1C57">
      <w:pPr>
        <w:spacing w:after="0" w:line="240" w:lineRule="auto"/>
        <w:jc w:val="center"/>
        <w:rPr>
          <w:rFonts w:asciiTheme="majorHAnsi" w:hAnsiTheme="majorHAnsi"/>
          <w:sz w:val="24"/>
          <w:szCs w:val="24"/>
          <w:lang w:val="en-US"/>
        </w:rPr>
      </w:pPr>
      <w:r>
        <w:rPr>
          <w:rFonts w:asciiTheme="majorHAnsi" w:hAnsiTheme="majorHAnsi"/>
          <w:sz w:val="24"/>
          <w:szCs w:val="24"/>
          <w:lang w:val="en-US"/>
        </w:rPr>
        <w:t>Email:</w:t>
      </w:r>
      <w:r w:rsidRPr="008D6758">
        <w:rPr>
          <w:lang w:val="en-US"/>
        </w:rPr>
        <w:t xml:space="preserve"> </w:t>
      </w:r>
      <w:hyperlink r:id="rId10" w:history="1">
        <w:r w:rsidRPr="00E4141E">
          <w:rPr>
            <w:rStyle w:val="Hyperlink"/>
            <w:rFonts w:asciiTheme="majorHAnsi" w:hAnsiTheme="majorHAnsi"/>
            <w:sz w:val="24"/>
            <w:szCs w:val="24"/>
            <w:lang w:val="en-US"/>
          </w:rPr>
          <w:t>kathrin-maria.demmler@agr.uni-goettingen.de</w:t>
        </w:r>
      </w:hyperlink>
    </w:p>
    <w:p w14:paraId="0ADC4768" w14:textId="77777777" w:rsidR="009F1C57" w:rsidRDefault="009F1C57" w:rsidP="009F1C57">
      <w:pPr>
        <w:spacing w:after="0" w:line="240" w:lineRule="auto"/>
        <w:jc w:val="center"/>
        <w:rPr>
          <w:rFonts w:asciiTheme="majorHAnsi" w:hAnsiTheme="majorHAnsi"/>
          <w:sz w:val="24"/>
          <w:szCs w:val="24"/>
          <w:lang w:val="en-US"/>
        </w:rPr>
      </w:pPr>
    </w:p>
    <w:p w14:paraId="3FAC2232" w14:textId="77777777" w:rsidR="009F1C57" w:rsidRDefault="009F1C57" w:rsidP="009F1C57">
      <w:pPr>
        <w:spacing w:after="0" w:line="240" w:lineRule="auto"/>
        <w:jc w:val="center"/>
        <w:rPr>
          <w:rFonts w:asciiTheme="majorHAnsi" w:hAnsiTheme="majorHAnsi"/>
          <w:sz w:val="24"/>
          <w:szCs w:val="24"/>
          <w:lang w:val="en-US"/>
        </w:rPr>
      </w:pPr>
      <w:r w:rsidRPr="00E950A8">
        <w:rPr>
          <w:rFonts w:asciiTheme="majorHAnsi" w:hAnsiTheme="majorHAnsi"/>
          <w:sz w:val="24"/>
          <w:szCs w:val="24"/>
          <w:lang w:val="en-US"/>
        </w:rPr>
        <w:t>Ramona Rischke</w:t>
      </w:r>
      <w:r w:rsidRPr="00E950A8">
        <w:rPr>
          <w:rFonts w:asciiTheme="majorHAnsi" w:hAnsiTheme="majorHAnsi"/>
          <w:sz w:val="24"/>
          <w:szCs w:val="24"/>
          <w:vertAlign w:val="superscript"/>
          <w:lang w:val="en-US"/>
        </w:rPr>
        <w:t xml:space="preserve"> b</w:t>
      </w:r>
    </w:p>
    <w:p w14:paraId="49A8A198" w14:textId="77777777" w:rsidR="009F1C57" w:rsidRDefault="009F1C57" w:rsidP="009F1C57">
      <w:pPr>
        <w:spacing w:after="0" w:line="240" w:lineRule="auto"/>
        <w:jc w:val="center"/>
        <w:rPr>
          <w:rFonts w:asciiTheme="majorHAnsi" w:hAnsiTheme="majorHAnsi"/>
          <w:sz w:val="24"/>
          <w:szCs w:val="24"/>
          <w:lang w:val="en-US"/>
        </w:rPr>
      </w:pPr>
      <w:r>
        <w:rPr>
          <w:rFonts w:asciiTheme="majorHAnsi" w:hAnsiTheme="majorHAnsi"/>
          <w:sz w:val="24"/>
          <w:szCs w:val="24"/>
          <w:lang w:val="en-US"/>
        </w:rPr>
        <w:t xml:space="preserve">Email: </w:t>
      </w:r>
      <w:hyperlink r:id="rId11" w:history="1">
        <w:r w:rsidRPr="00E4141E">
          <w:rPr>
            <w:rStyle w:val="Hyperlink"/>
            <w:rFonts w:asciiTheme="majorHAnsi" w:hAnsiTheme="majorHAnsi"/>
            <w:sz w:val="24"/>
            <w:szCs w:val="24"/>
            <w:lang w:val="en-US"/>
          </w:rPr>
          <w:t>ramona.rischke@agr.uni-goettingen.de</w:t>
        </w:r>
      </w:hyperlink>
    </w:p>
    <w:p w14:paraId="654C1E5B" w14:textId="77777777" w:rsidR="009F1C57" w:rsidRDefault="009F1C57" w:rsidP="009F1C57">
      <w:pPr>
        <w:spacing w:after="0" w:line="240" w:lineRule="auto"/>
        <w:jc w:val="center"/>
        <w:rPr>
          <w:rFonts w:asciiTheme="majorHAnsi" w:hAnsiTheme="majorHAnsi"/>
          <w:sz w:val="24"/>
          <w:szCs w:val="24"/>
          <w:lang w:val="en-US"/>
        </w:rPr>
      </w:pPr>
    </w:p>
    <w:p w14:paraId="3435769B" w14:textId="77777777" w:rsidR="009F1C57" w:rsidRDefault="009F1C57" w:rsidP="009F1C57">
      <w:pPr>
        <w:spacing w:after="0" w:line="240" w:lineRule="auto"/>
        <w:jc w:val="center"/>
        <w:rPr>
          <w:rFonts w:asciiTheme="majorHAnsi" w:hAnsiTheme="majorHAnsi"/>
          <w:sz w:val="24"/>
          <w:szCs w:val="24"/>
          <w:lang w:val="en-US"/>
        </w:rPr>
      </w:pPr>
      <w:r w:rsidRPr="00E950A8">
        <w:rPr>
          <w:rFonts w:asciiTheme="majorHAnsi" w:hAnsiTheme="majorHAnsi"/>
          <w:sz w:val="24"/>
          <w:szCs w:val="24"/>
          <w:lang w:val="en-US"/>
        </w:rPr>
        <w:t xml:space="preserve">Matin Qaim </w:t>
      </w:r>
      <w:r w:rsidRPr="00E950A8">
        <w:rPr>
          <w:rFonts w:asciiTheme="majorHAnsi" w:hAnsiTheme="majorHAnsi"/>
          <w:sz w:val="24"/>
          <w:szCs w:val="24"/>
          <w:vertAlign w:val="superscript"/>
          <w:lang w:val="en-US"/>
        </w:rPr>
        <w:t>a</w:t>
      </w:r>
    </w:p>
    <w:p w14:paraId="0213E138" w14:textId="77777777" w:rsidR="009F1C57" w:rsidRDefault="009F1C57" w:rsidP="009F1C57">
      <w:pPr>
        <w:spacing w:after="0" w:line="240" w:lineRule="auto"/>
        <w:jc w:val="center"/>
        <w:rPr>
          <w:rFonts w:asciiTheme="majorHAnsi" w:hAnsiTheme="majorHAnsi"/>
          <w:sz w:val="24"/>
          <w:szCs w:val="24"/>
          <w:lang w:val="en-US"/>
        </w:rPr>
      </w:pPr>
      <w:r>
        <w:rPr>
          <w:rFonts w:asciiTheme="majorHAnsi" w:hAnsiTheme="majorHAnsi"/>
          <w:sz w:val="24"/>
          <w:szCs w:val="24"/>
          <w:lang w:val="en-US"/>
        </w:rPr>
        <w:t>Email:</w:t>
      </w:r>
      <w:r w:rsidRPr="008D6758">
        <w:rPr>
          <w:lang w:val="en-US"/>
        </w:rPr>
        <w:t xml:space="preserve"> </w:t>
      </w:r>
      <w:hyperlink r:id="rId12" w:history="1">
        <w:r w:rsidRPr="00E4141E">
          <w:rPr>
            <w:rStyle w:val="Hyperlink"/>
            <w:rFonts w:asciiTheme="majorHAnsi" w:hAnsiTheme="majorHAnsi"/>
            <w:sz w:val="24"/>
            <w:szCs w:val="24"/>
            <w:lang w:val="en-US"/>
          </w:rPr>
          <w:t>mqaim@uni-goettingen.de</w:t>
        </w:r>
      </w:hyperlink>
    </w:p>
    <w:p w14:paraId="4FB3CAB4" w14:textId="77777777" w:rsidR="009F1C57" w:rsidRPr="008D6758" w:rsidRDefault="009F1C57" w:rsidP="009F1C57">
      <w:pPr>
        <w:spacing w:line="480" w:lineRule="auto"/>
        <w:jc w:val="center"/>
        <w:rPr>
          <w:rFonts w:asciiTheme="majorHAnsi" w:hAnsiTheme="majorHAnsi"/>
          <w:sz w:val="24"/>
          <w:szCs w:val="24"/>
          <w:lang w:val="en-US"/>
        </w:rPr>
      </w:pPr>
    </w:p>
    <w:p w14:paraId="3F743F6C" w14:textId="6ECC8EDC" w:rsidR="009F1C57" w:rsidRDefault="009F1C57" w:rsidP="009F1C57">
      <w:pPr>
        <w:spacing w:after="0" w:line="240" w:lineRule="auto"/>
        <w:rPr>
          <w:rFonts w:asciiTheme="majorHAnsi" w:eastAsia="Times New Roman" w:hAnsiTheme="majorHAnsi" w:cs="Times New Roman"/>
          <w:color w:val="000000"/>
          <w:sz w:val="24"/>
          <w:szCs w:val="24"/>
          <w:lang w:val="en-US"/>
        </w:rPr>
      </w:pPr>
      <w:r w:rsidRPr="00E950A8">
        <w:rPr>
          <w:rFonts w:asciiTheme="majorHAnsi" w:eastAsia="Times New Roman" w:hAnsiTheme="majorHAnsi" w:cs="Times New Roman"/>
          <w:color w:val="000000"/>
          <w:sz w:val="24"/>
          <w:szCs w:val="24"/>
          <w:vertAlign w:val="superscript"/>
          <w:lang w:val="en-US"/>
        </w:rPr>
        <w:t xml:space="preserve">a </w:t>
      </w:r>
      <w:r>
        <w:rPr>
          <w:rFonts w:asciiTheme="majorHAnsi" w:eastAsia="Times New Roman" w:hAnsiTheme="majorHAnsi" w:cs="Times New Roman"/>
          <w:color w:val="000000"/>
          <w:sz w:val="24"/>
          <w:szCs w:val="24"/>
          <w:lang w:val="en-US"/>
        </w:rPr>
        <w:t xml:space="preserve">University of Goettingen, </w:t>
      </w:r>
      <w:r w:rsidRPr="00E950A8">
        <w:rPr>
          <w:rFonts w:asciiTheme="majorHAnsi" w:eastAsia="Times New Roman" w:hAnsiTheme="majorHAnsi" w:cs="Times New Roman"/>
          <w:color w:val="000000"/>
          <w:sz w:val="24"/>
          <w:szCs w:val="24"/>
          <w:lang w:val="en-US"/>
        </w:rPr>
        <w:t xml:space="preserve">Department of Agricultural Economics and Rural Development,  </w:t>
      </w:r>
      <w:r>
        <w:rPr>
          <w:rFonts w:asciiTheme="majorHAnsi" w:eastAsia="Times New Roman" w:hAnsiTheme="majorHAnsi" w:cs="Times New Roman"/>
          <w:color w:val="000000"/>
          <w:sz w:val="24"/>
          <w:szCs w:val="24"/>
          <w:lang w:val="en-US"/>
        </w:rPr>
        <w:t>Platz der Goe</w:t>
      </w:r>
      <w:r w:rsidRPr="008D6758">
        <w:rPr>
          <w:rFonts w:asciiTheme="majorHAnsi" w:eastAsia="Times New Roman" w:hAnsiTheme="majorHAnsi" w:cs="Times New Roman"/>
          <w:color w:val="000000"/>
          <w:sz w:val="24"/>
          <w:szCs w:val="24"/>
          <w:lang w:val="en-US"/>
        </w:rPr>
        <w:t>ttinger Sieben 5</w:t>
      </w:r>
      <w:r>
        <w:rPr>
          <w:rFonts w:asciiTheme="majorHAnsi" w:eastAsia="Times New Roman" w:hAnsiTheme="majorHAnsi" w:cs="Times New Roman"/>
          <w:color w:val="000000"/>
          <w:sz w:val="24"/>
          <w:szCs w:val="24"/>
          <w:lang w:val="en-US"/>
        </w:rPr>
        <w:t xml:space="preserve">, </w:t>
      </w:r>
      <w:r w:rsidRPr="008D6758">
        <w:rPr>
          <w:rFonts w:asciiTheme="majorHAnsi" w:eastAsia="Times New Roman" w:hAnsiTheme="majorHAnsi" w:cs="Times New Roman"/>
          <w:color w:val="000000"/>
          <w:sz w:val="24"/>
          <w:szCs w:val="24"/>
          <w:lang w:val="en-US"/>
        </w:rPr>
        <w:t>37073</w:t>
      </w:r>
      <w:r w:rsidR="00BE275D">
        <w:rPr>
          <w:rFonts w:asciiTheme="majorHAnsi" w:eastAsia="Times New Roman" w:hAnsiTheme="majorHAnsi" w:cs="Times New Roman"/>
          <w:color w:val="000000"/>
          <w:sz w:val="24"/>
          <w:szCs w:val="24"/>
          <w:lang w:val="en-US"/>
        </w:rPr>
        <w:t xml:space="preserve"> </w:t>
      </w:r>
      <w:r w:rsidRPr="00E950A8">
        <w:rPr>
          <w:rFonts w:asciiTheme="majorHAnsi" w:eastAsia="Times New Roman" w:hAnsiTheme="majorHAnsi" w:cs="Times New Roman"/>
          <w:color w:val="000000"/>
          <w:sz w:val="24"/>
          <w:szCs w:val="24"/>
          <w:lang w:val="en-US"/>
        </w:rPr>
        <w:t>Goettingen, Germany</w:t>
      </w:r>
      <w:r>
        <w:rPr>
          <w:rFonts w:asciiTheme="majorHAnsi" w:eastAsia="Times New Roman" w:hAnsiTheme="majorHAnsi" w:cs="Times New Roman"/>
          <w:color w:val="000000"/>
          <w:sz w:val="24"/>
          <w:szCs w:val="24"/>
          <w:lang w:val="en-US"/>
        </w:rPr>
        <w:t xml:space="preserve"> </w:t>
      </w:r>
      <w:r w:rsidRPr="00E950A8">
        <w:rPr>
          <w:rFonts w:asciiTheme="majorHAnsi" w:eastAsia="Times New Roman" w:hAnsiTheme="majorHAnsi" w:cs="Times New Roman"/>
          <w:color w:val="000000"/>
          <w:sz w:val="24"/>
          <w:szCs w:val="24"/>
          <w:lang w:val="en-US"/>
        </w:rPr>
        <w:t xml:space="preserve"> </w:t>
      </w:r>
    </w:p>
    <w:p w14:paraId="69B1EF85" w14:textId="77777777" w:rsidR="009F1C57" w:rsidRDefault="009F1C57" w:rsidP="009F1C57">
      <w:pPr>
        <w:spacing w:after="0" w:line="240" w:lineRule="auto"/>
        <w:rPr>
          <w:rFonts w:asciiTheme="majorHAnsi" w:eastAsia="Times New Roman" w:hAnsiTheme="majorHAnsi" w:cs="Times New Roman"/>
          <w:color w:val="000000"/>
          <w:sz w:val="24"/>
          <w:szCs w:val="24"/>
          <w:lang w:val="en-US"/>
        </w:rPr>
      </w:pPr>
    </w:p>
    <w:p w14:paraId="6A3EA09F" w14:textId="77777777" w:rsidR="009F1C57" w:rsidRPr="00AD7F81" w:rsidRDefault="009F1C57" w:rsidP="009F1C57">
      <w:pPr>
        <w:spacing w:after="0" w:line="240" w:lineRule="auto"/>
        <w:rPr>
          <w:rFonts w:asciiTheme="majorHAnsi" w:hAnsiTheme="majorHAnsi"/>
          <w:lang w:val="en-US"/>
        </w:rPr>
      </w:pPr>
      <w:proofErr w:type="gramStart"/>
      <w:r w:rsidRPr="00E950A8">
        <w:rPr>
          <w:rFonts w:asciiTheme="majorHAnsi" w:eastAsia="Times New Roman" w:hAnsiTheme="majorHAnsi" w:cs="Times New Roman"/>
          <w:color w:val="000000"/>
          <w:sz w:val="24"/>
          <w:szCs w:val="24"/>
          <w:vertAlign w:val="superscript"/>
          <w:lang w:val="en-US"/>
        </w:rPr>
        <w:t>b</w:t>
      </w:r>
      <w:proofErr w:type="gramEnd"/>
      <w:r w:rsidRPr="00E950A8">
        <w:rPr>
          <w:rFonts w:asciiTheme="majorHAnsi" w:eastAsia="Times New Roman" w:hAnsiTheme="majorHAnsi" w:cs="Times New Roman"/>
          <w:color w:val="000000"/>
          <w:sz w:val="24"/>
          <w:szCs w:val="24"/>
          <w:lang w:val="en-US"/>
        </w:rPr>
        <w:t xml:space="preserve"> </w:t>
      </w:r>
      <w:r>
        <w:rPr>
          <w:rFonts w:asciiTheme="majorHAnsi" w:eastAsia="Times New Roman" w:hAnsiTheme="majorHAnsi" w:cs="Times New Roman"/>
          <w:color w:val="000000"/>
          <w:sz w:val="24"/>
          <w:szCs w:val="24"/>
          <w:lang w:val="en-US"/>
        </w:rPr>
        <w:t xml:space="preserve">University of Goettingen, </w:t>
      </w:r>
      <w:r w:rsidRPr="00E950A8">
        <w:rPr>
          <w:rFonts w:asciiTheme="majorHAnsi" w:eastAsia="Times New Roman" w:hAnsiTheme="majorHAnsi" w:cs="Times New Roman"/>
          <w:color w:val="000000"/>
          <w:sz w:val="24"/>
          <w:szCs w:val="24"/>
          <w:lang w:val="en-US"/>
        </w:rPr>
        <w:t xml:space="preserve">Department of Economics, </w:t>
      </w:r>
      <w:r>
        <w:rPr>
          <w:rFonts w:asciiTheme="majorHAnsi" w:eastAsia="Times New Roman" w:hAnsiTheme="majorHAnsi" w:cs="Times New Roman"/>
          <w:color w:val="000000"/>
          <w:sz w:val="24"/>
          <w:szCs w:val="24"/>
          <w:lang w:val="en-US"/>
        </w:rPr>
        <w:t>Platz der Goe</w:t>
      </w:r>
      <w:r w:rsidRPr="007062FC">
        <w:rPr>
          <w:rFonts w:asciiTheme="majorHAnsi" w:eastAsia="Times New Roman" w:hAnsiTheme="majorHAnsi" w:cs="Times New Roman"/>
          <w:color w:val="000000"/>
          <w:sz w:val="24"/>
          <w:szCs w:val="24"/>
          <w:lang w:val="en-US"/>
        </w:rPr>
        <w:t>ttinger Sieben 3 </w:t>
      </w:r>
      <w:r w:rsidRPr="007062FC">
        <w:rPr>
          <w:rFonts w:asciiTheme="majorHAnsi" w:eastAsia="Times New Roman" w:hAnsiTheme="majorHAnsi" w:cs="Times New Roman"/>
          <w:color w:val="000000"/>
          <w:sz w:val="24"/>
          <w:szCs w:val="24"/>
          <w:lang w:val="en-US"/>
        </w:rPr>
        <w:br/>
        <w:t>37073</w:t>
      </w:r>
      <w:r>
        <w:rPr>
          <w:rFonts w:asciiTheme="majorHAnsi" w:eastAsia="Times New Roman" w:hAnsiTheme="majorHAnsi" w:cs="Times New Roman"/>
          <w:color w:val="000000"/>
          <w:sz w:val="24"/>
          <w:szCs w:val="24"/>
          <w:lang w:val="en-US"/>
        </w:rPr>
        <w:t xml:space="preserve"> </w:t>
      </w:r>
      <w:r w:rsidRPr="00E950A8">
        <w:rPr>
          <w:rFonts w:asciiTheme="majorHAnsi" w:eastAsia="Times New Roman" w:hAnsiTheme="majorHAnsi" w:cs="Times New Roman"/>
          <w:color w:val="000000"/>
          <w:sz w:val="24"/>
          <w:szCs w:val="24"/>
          <w:lang w:val="en-US"/>
        </w:rPr>
        <w:t xml:space="preserve">Goettingen, Germany </w:t>
      </w:r>
      <w:r>
        <w:rPr>
          <w:rFonts w:asciiTheme="majorHAnsi" w:eastAsia="Times New Roman" w:hAnsiTheme="majorHAnsi" w:cs="Times New Roman"/>
          <w:color w:val="000000"/>
          <w:sz w:val="24"/>
          <w:szCs w:val="24"/>
          <w:lang w:val="en-US"/>
        </w:rPr>
        <w:t xml:space="preserve"> </w:t>
      </w:r>
    </w:p>
    <w:p w14:paraId="7FA4F5C2" w14:textId="77777777" w:rsidR="009F1C57" w:rsidRDefault="009F1C57" w:rsidP="009F1C57">
      <w:pPr>
        <w:rPr>
          <w:rFonts w:asciiTheme="majorHAnsi" w:hAnsiTheme="majorHAnsi"/>
          <w:lang w:val="en-US"/>
        </w:rPr>
      </w:pPr>
    </w:p>
    <w:p w14:paraId="7675194C" w14:textId="77777777" w:rsidR="009F1C57" w:rsidRPr="00E950A8" w:rsidRDefault="009F1C57" w:rsidP="007C3E2A">
      <w:pPr>
        <w:pStyle w:val="berschrift1"/>
        <w:rPr>
          <w:lang w:val="en-US"/>
        </w:rPr>
      </w:pPr>
      <w:r w:rsidRPr="00E950A8">
        <w:rPr>
          <w:lang w:val="en-US"/>
        </w:rPr>
        <w:t>Abstract</w:t>
      </w:r>
    </w:p>
    <w:p w14:paraId="05586230" w14:textId="7A2C5DE6" w:rsidR="009F1C57" w:rsidRPr="00E950A8" w:rsidRDefault="009F1C57" w:rsidP="009F1C57">
      <w:pPr>
        <w:jc w:val="both"/>
        <w:rPr>
          <w:rFonts w:asciiTheme="majorHAnsi" w:hAnsiTheme="majorHAnsi"/>
          <w:sz w:val="24"/>
          <w:szCs w:val="24"/>
          <w:lang w:val="en-US"/>
        </w:rPr>
      </w:pPr>
      <w:r w:rsidRPr="00E950A8">
        <w:rPr>
          <w:rFonts w:asciiTheme="majorHAnsi" w:hAnsiTheme="majorHAnsi"/>
          <w:sz w:val="24"/>
          <w:szCs w:val="24"/>
          <w:lang w:val="en-US"/>
        </w:rPr>
        <w:t>We examine the link between maternal nutrition knowledge and nutritional outcomes of children and adolescents (5-18 years) measured in terms of height-for-age Z-scores (HAZ). One particular focus is on the role of different types of nutrition knowledge. The analysis builds on household-level and individual-level data collected in urban Kenya in 2012 and 2015. Various regression models are developed and estimated. Results show that maternal nutrition knowledge – measured through an aggregate knowledge score – is positi</w:t>
      </w:r>
      <w:r w:rsidR="005D39CE">
        <w:rPr>
          <w:rFonts w:asciiTheme="majorHAnsi" w:hAnsiTheme="majorHAnsi"/>
          <w:sz w:val="24"/>
          <w:szCs w:val="24"/>
          <w:lang w:val="en-US"/>
        </w:rPr>
        <w:t>vely associated with child HAZ</w:t>
      </w:r>
      <w:r w:rsidRPr="00064DA0">
        <w:rPr>
          <w:rFonts w:asciiTheme="majorHAnsi" w:hAnsiTheme="majorHAnsi"/>
          <w:sz w:val="24"/>
          <w:szCs w:val="24"/>
          <w:lang w:val="en-US"/>
        </w:rPr>
        <w:t>, even after controlling for other influencing factors such as household</w:t>
      </w:r>
      <w:r w:rsidRPr="00E950A8">
        <w:rPr>
          <w:rFonts w:asciiTheme="majorHAnsi" w:hAnsiTheme="majorHAnsi"/>
          <w:sz w:val="24"/>
          <w:szCs w:val="24"/>
          <w:lang w:val="en-US"/>
        </w:rPr>
        <w:t xml:space="preserve"> living standard</w:t>
      </w:r>
      <w:r w:rsidR="00BE275D">
        <w:rPr>
          <w:rFonts w:asciiTheme="majorHAnsi" w:hAnsiTheme="majorHAnsi"/>
          <w:sz w:val="24"/>
          <w:szCs w:val="24"/>
          <w:lang w:val="en-US"/>
        </w:rPr>
        <w:t xml:space="preserve"> and general maternal education</w:t>
      </w:r>
      <w:r w:rsidRPr="00E950A8">
        <w:rPr>
          <w:rFonts w:asciiTheme="majorHAnsi" w:hAnsiTheme="majorHAnsi"/>
          <w:sz w:val="24"/>
          <w:szCs w:val="24"/>
          <w:lang w:val="en-US"/>
        </w:rPr>
        <w:t>. However, disaggregation by type of knowledge reveals important differences. Maternal knowledge about food ingredients only h</w:t>
      </w:r>
      <w:r w:rsidR="005D39CE">
        <w:rPr>
          <w:rFonts w:asciiTheme="majorHAnsi" w:hAnsiTheme="majorHAnsi"/>
          <w:sz w:val="24"/>
          <w:szCs w:val="24"/>
          <w:lang w:val="en-US"/>
        </w:rPr>
        <w:t>as a weak positive association</w:t>
      </w:r>
      <w:r w:rsidRPr="00064DA0">
        <w:rPr>
          <w:rFonts w:asciiTheme="majorHAnsi" w:hAnsiTheme="majorHAnsi"/>
          <w:sz w:val="24"/>
          <w:szCs w:val="24"/>
          <w:lang w:val="en-US"/>
        </w:rPr>
        <w:t xml:space="preserve"> with child HAZ. </w:t>
      </w:r>
      <w:r w:rsidRPr="00E950A8">
        <w:rPr>
          <w:rFonts w:asciiTheme="majorHAnsi" w:hAnsiTheme="majorHAnsi"/>
          <w:sz w:val="24"/>
          <w:szCs w:val="24"/>
          <w:lang w:val="en-US"/>
        </w:rPr>
        <w:t xml:space="preserve">For maternal knowledge about specific dietary recommendations, no significant association is detected. The </w:t>
      </w:r>
      <w:r w:rsidR="005D39CE">
        <w:rPr>
          <w:rFonts w:asciiTheme="majorHAnsi" w:hAnsiTheme="majorHAnsi"/>
          <w:sz w:val="24"/>
          <w:szCs w:val="24"/>
          <w:lang w:val="en-US"/>
        </w:rPr>
        <w:t>strongest positive association</w:t>
      </w:r>
      <w:r w:rsidRPr="00064DA0">
        <w:rPr>
          <w:rFonts w:asciiTheme="majorHAnsi" w:hAnsiTheme="majorHAnsi"/>
          <w:sz w:val="24"/>
          <w:szCs w:val="24"/>
          <w:lang w:val="en-US"/>
        </w:rPr>
        <w:t xml:space="preserve"> with child HAZ is found for maternal knowledge about the health </w:t>
      </w:r>
      <w:r w:rsidRPr="00E950A8">
        <w:rPr>
          <w:rFonts w:asciiTheme="majorHAnsi" w:hAnsiTheme="majorHAnsi"/>
          <w:sz w:val="24"/>
          <w:szCs w:val="24"/>
          <w:lang w:val="en-US"/>
        </w:rPr>
        <w:t xml:space="preserve">consequences of not following recommended dietary practices. These findings have direct relevance for nutrition and health policies, especially </w:t>
      </w:r>
      <w:r>
        <w:rPr>
          <w:rFonts w:asciiTheme="majorHAnsi" w:hAnsiTheme="majorHAnsi"/>
          <w:sz w:val="24"/>
          <w:szCs w:val="24"/>
          <w:lang w:val="en-US"/>
        </w:rPr>
        <w:t>for</w:t>
      </w:r>
      <w:r w:rsidRPr="00E950A8">
        <w:rPr>
          <w:rFonts w:asciiTheme="majorHAnsi" w:hAnsiTheme="majorHAnsi"/>
          <w:sz w:val="24"/>
          <w:szCs w:val="24"/>
          <w:lang w:val="en-US"/>
        </w:rPr>
        <w:t xml:space="preserve"> designing the contents of educational campaigns and training </w:t>
      </w:r>
      <w:r>
        <w:rPr>
          <w:rFonts w:asciiTheme="majorHAnsi" w:hAnsiTheme="majorHAnsi"/>
          <w:sz w:val="24"/>
          <w:szCs w:val="24"/>
          <w:lang w:val="en-US"/>
        </w:rPr>
        <w:t>programs</w:t>
      </w:r>
      <w:r w:rsidRPr="00E950A8">
        <w:rPr>
          <w:rFonts w:asciiTheme="majorHAnsi" w:hAnsiTheme="majorHAnsi"/>
          <w:sz w:val="24"/>
          <w:szCs w:val="24"/>
          <w:lang w:val="en-US"/>
        </w:rPr>
        <w:t>.</w:t>
      </w:r>
    </w:p>
    <w:p w14:paraId="2ABB7C5E" w14:textId="206AF96A" w:rsidR="009F1C57" w:rsidRPr="00E950A8" w:rsidRDefault="009F1C57" w:rsidP="009F1C57">
      <w:pPr>
        <w:spacing w:line="240" w:lineRule="auto"/>
        <w:rPr>
          <w:rFonts w:asciiTheme="majorHAnsi" w:hAnsiTheme="majorHAnsi"/>
          <w:sz w:val="24"/>
          <w:szCs w:val="24"/>
          <w:lang w:val="en-US"/>
        </w:rPr>
      </w:pPr>
      <w:r w:rsidRPr="00E950A8">
        <w:rPr>
          <w:rFonts w:asciiTheme="majorHAnsi" w:hAnsiTheme="majorHAnsi"/>
          <w:sz w:val="24"/>
          <w:szCs w:val="24"/>
          <w:lang w:val="en-US"/>
        </w:rPr>
        <w:t>Keywords: nutrition knowledge; child nutrition; height-for-ag</w:t>
      </w:r>
      <w:r w:rsidR="00797130">
        <w:rPr>
          <w:rFonts w:asciiTheme="majorHAnsi" w:hAnsiTheme="majorHAnsi"/>
          <w:sz w:val="24"/>
          <w:szCs w:val="24"/>
          <w:lang w:val="en-US"/>
        </w:rPr>
        <w:t>e Z-score; stunting; adolescent</w:t>
      </w:r>
      <w:r w:rsidRPr="00E950A8">
        <w:rPr>
          <w:rFonts w:asciiTheme="majorHAnsi" w:hAnsiTheme="majorHAnsi"/>
          <w:sz w:val="24"/>
          <w:szCs w:val="24"/>
          <w:lang w:val="en-US"/>
        </w:rPr>
        <w:t>; Kenya</w:t>
      </w:r>
    </w:p>
    <w:p w14:paraId="759EED13" w14:textId="77777777" w:rsidR="009F1C57" w:rsidRDefault="009F1C57" w:rsidP="009F1C57">
      <w:pPr>
        <w:jc w:val="both"/>
        <w:rPr>
          <w:rFonts w:asciiTheme="majorHAnsi" w:hAnsiTheme="majorHAnsi"/>
          <w:b/>
          <w:sz w:val="24"/>
          <w:szCs w:val="24"/>
          <w:lang w:val="en-US"/>
        </w:rPr>
      </w:pPr>
    </w:p>
    <w:p w14:paraId="54DCDD1A" w14:textId="77777777" w:rsidR="008A5C7B" w:rsidRPr="00A254F5" w:rsidRDefault="008A5C7B" w:rsidP="007C3E2A">
      <w:pPr>
        <w:pStyle w:val="berschrift1"/>
        <w:rPr>
          <w:lang w:val="en-US"/>
        </w:rPr>
      </w:pPr>
      <w:r w:rsidRPr="00A254F5">
        <w:rPr>
          <w:lang w:val="en-US"/>
        </w:rPr>
        <w:lastRenderedPageBreak/>
        <w:t>Introduction</w:t>
      </w:r>
    </w:p>
    <w:p w14:paraId="381B0969" w14:textId="77777777" w:rsidR="008A5C7B" w:rsidRPr="00064DA0" w:rsidRDefault="008A5C7B" w:rsidP="008A5C7B">
      <w:pPr>
        <w:spacing w:line="480" w:lineRule="auto"/>
        <w:jc w:val="both"/>
        <w:rPr>
          <w:rFonts w:asciiTheme="majorHAnsi" w:hAnsiTheme="majorHAnsi"/>
          <w:sz w:val="24"/>
          <w:szCs w:val="24"/>
          <w:lang w:val="en-US"/>
        </w:rPr>
      </w:pPr>
      <w:r w:rsidRPr="00064DA0">
        <w:rPr>
          <w:rFonts w:asciiTheme="majorHAnsi" w:hAnsiTheme="majorHAnsi"/>
          <w:sz w:val="24"/>
          <w:szCs w:val="24"/>
          <w:lang w:val="en-US"/>
        </w:rPr>
        <w:t xml:space="preserve">This </w:t>
      </w:r>
      <w:r w:rsidRPr="00E950A8">
        <w:rPr>
          <w:rFonts w:asciiTheme="majorHAnsi" w:hAnsiTheme="majorHAnsi"/>
          <w:sz w:val="24"/>
          <w:szCs w:val="24"/>
          <w:lang w:val="en-US"/>
        </w:rPr>
        <w:t xml:space="preserve">study analyzes the link between maternal nutrition knowledge and child nutritional outcomes in urban households in Kenya. Malnutrition in all its forms affects one out of three individuals worldwide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{"citationID":"5g56j5gn3","properties":{"formattedCitation":"(IFPRI, 2016)","plainCitation":"(IFPRI, 2016)"},"citationItems":[{"id":821,"uris":["http://zotero.org/users/1894029/items/62EI7THR"],"uri":["http://zotero.org/users/1894029/items/62EI7THR"],"itemData":{"id":821,"type":"book","title":"Global Nutrition Report 2016 From Promise to Impact Ending Malnutrition by 2030","publisher":"International Food Policy Research Institute","publisher-place":"Washington, DC","source":"CrossRef","event-place":"Washington, DC","URL":"http://ebrary.ifpri.org/cdm/ref/collection/p15738coll2/id/130354","language":"en","author":[{"family":"International Food Policy Research Institute (IFPRI)","given":""}],"issued":{"date-parts":[["2016"]]},"accessed":{"date-parts":[["2016",9,6]]}},"suppress-author":true,"prefix":"IFPRI,"}],"schema":"https://github.com/citation-style-language/schema/raw/master/csl-citation.json"}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(IFPRI, 2016)</w:t>
      </w:r>
      <w:r w:rsidRPr="00E950A8">
        <w:rPr>
          <w:rFonts w:asciiTheme="majorHAnsi" w:hAnsiTheme="majorHAnsi"/>
          <w:sz w:val="24"/>
          <w:szCs w:val="24"/>
          <w:lang w:val="en-US"/>
        </w:rPr>
        <w:fldChar w:fldCharType="end"/>
      </w:r>
      <w:r w:rsidRPr="00064DA0">
        <w:rPr>
          <w:rFonts w:asciiTheme="majorHAnsi" w:hAnsiTheme="majorHAnsi"/>
          <w:sz w:val="24"/>
          <w:szCs w:val="24"/>
          <w:lang w:val="en-US"/>
        </w:rPr>
        <w:t>. While overnutriti</w:t>
      </w:r>
      <w:r w:rsidRPr="00E950A8">
        <w:rPr>
          <w:rFonts w:asciiTheme="majorHAnsi" w:hAnsiTheme="majorHAnsi"/>
          <w:sz w:val="24"/>
          <w:szCs w:val="24"/>
          <w:lang w:val="en-US"/>
        </w:rPr>
        <w:t xml:space="preserve">on rates are rising, undernutrition remains a major concern in many countries. It is estimated that 25% of all children in developing countries are stunted, an indication of sustained episodes of energy and micronutrient deficiencies. In spite of the progress </w:t>
      </w:r>
      <w:r>
        <w:rPr>
          <w:rFonts w:asciiTheme="majorHAnsi" w:hAnsiTheme="majorHAnsi"/>
          <w:sz w:val="24"/>
          <w:szCs w:val="24"/>
          <w:lang w:val="en-US"/>
        </w:rPr>
        <w:t xml:space="preserve">made </w:t>
      </w:r>
      <w:r w:rsidRPr="00E950A8">
        <w:rPr>
          <w:rFonts w:asciiTheme="majorHAnsi" w:hAnsiTheme="majorHAnsi"/>
          <w:sz w:val="24"/>
          <w:szCs w:val="24"/>
          <w:lang w:val="en-US"/>
        </w:rPr>
        <w:t xml:space="preserve">elsewhere, in Africa the number of stunted children continues to increase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{"citationID":"VWJv32fw","properties":{"formattedCitation":"(IFPRI, 2016; UNICEF et al., 2015)","plainCitation":"(IFPRI, 2016; UNICEF et al., 2015)"},"citationItems":[{"id":821,"uris":["http://zotero.org/users/1894029/items/62EI7THR"],"uri":["http://zotero.org/users/1894029/items/62EI7THR"],"itemData":{"id":821,"type":"book","title":"Global Nutrition Report 2016 From Promise to Impact Ending Malnutrition by 2030","publisher":"International Food Policy Research Institute","publisher-place":"Washington, DC","source":"CrossRef","event-place":"Washington, DC","URL":"http://ebrary.ifpri.org/cdm/ref/collection/p15738coll2/id/130354","language":"en","author":[{"family":"International Food Policy Research Institute (IFPRI)","given":""}],"issued":{"date-parts":[["2016"]]},"accessed":{"date-parts":[["2016",9,6]]}},"suppress-author":true,"prefix":"IFPRI,"},{"id":849,"uris":["http://zotero.org/groups/698231/items/JJAZ2VQ7"],"uri":["http://zotero.org/groups/698231/items/JJAZ2VQ7"],"itemData":{"id":849,"type":"book","title":"Joint Child Malnutrition Estimates 2016 edition","publisher":"United Nations Children’s Fund, the World Health Organization and World Bank Group","publisher-place":"New York, N.Y; Geneva, Switzerland and Washington, D.C","event-place":"New York, N.Y; Geneva, Switzerland and Washington, D.C","URL":"http://www.who.int/nutgrowthdb/estimates2015/en/","author":[{"literal":"UNICEF"},{"literal":"WHO"},{"literal":"World Bank Group"}],"issued":{"date-parts":[["2015"]]}},"suppress-author":true,"prefix":"UNICEF et al.,"}],"schema":"https://github.com/citation-style-language/schema/raw/master/csl-citation.json"}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(IFPRI, 2016; UNICEF et al., 2015)</w:t>
      </w:r>
      <w:r w:rsidRPr="00E950A8">
        <w:rPr>
          <w:rFonts w:asciiTheme="majorHAnsi" w:hAnsiTheme="majorHAnsi"/>
          <w:sz w:val="24"/>
          <w:szCs w:val="24"/>
          <w:lang w:val="en-US"/>
        </w:rPr>
        <w:fldChar w:fldCharType="end"/>
      </w:r>
      <w:r w:rsidRPr="00064DA0">
        <w:rPr>
          <w:rFonts w:asciiTheme="majorHAnsi" w:hAnsiTheme="majorHAnsi"/>
          <w:sz w:val="24"/>
          <w:szCs w:val="24"/>
          <w:lang w:val="en-US"/>
        </w:rPr>
        <w:t>.</w:t>
      </w:r>
    </w:p>
    <w:p w14:paraId="0044C841" w14:textId="21691D52" w:rsidR="008A5C7B" w:rsidRPr="00E950A8" w:rsidRDefault="008A5C7B" w:rsidP="008B10C7">
      <w:pPr>
        <w:spacing w:line="480" w:lineRule="auto"/>
        <w:ind w:firstLine="709"/>
        <w:jc w:val="both"/>
        <w:rPr>
          <w:rFonts w:asciiTheme="majorHAnsi" w:hAnsiTheme="majorHAnsi"/>
          <w:sz w:val="24"/>
          <w:szCs w:val="24"/>
          <w:lang w:val="en-US"/>
        </w:rPr>
      </w:pPr>
      <w:r w:rsidRPr="00E950A8">
        <w:rPr>
          <w:rFonts w:asciiTheme="majorHAnsi" w:hAnsiTheme="majorHAnsi"/>
          <w:sz w:val="24"/>
          <w:szCs w:val="24"/>
          <w:lang w:val="en-US"/>
        </w:rPr>
        <w:t xml:space="preserve">Various interventions are commonly implemented to improve child nutrition and promote healthy living environments for poor households. Among others, these interventions include food and cash transfers, supplementary feeding programs, and nutrition education campaigns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{"citationID":"RkU4EgMQ","properties":{"formattedCitation":"(Hirvonen et al., 2016; Tabbakh &amp; Freeland-Graves, 2016; World Bank, 2010)","plainCitation":"(Hirvonen et al., 2016; Tabbakh &amp; Freeland-Graves, 2016; World Bank, 2010)"},"citationItems":[{"id":874,"uris":["http://zotero.org/groups/698231/items/4358EUBI"],"uri":["http://zotero.org/groups/698231/items/4358EUBI"],"itemData":{"id":874,"type":"book","title":"Children’s diets, nutrition knowledge, and access to markets","collection-title":"ESSP II Working Paper 84","publisher":"International Food Policy Research Institute (IFPRI) and Ethiopian Development Research Institute (EDRI).","publisher-place":"Washington, D.C. and Addis Ababa","event-place":"Washington, D.C. and Addis Ababa","URL":"http://www.ifpri.org/publication/childrens-diets-nutrition-knowledge-and-access-markets","author":[{"family":"Hirvonen","given":"Kalle"},{"family":"Hoddinott","given":"John F"},{"family":"Minten","given":"Bart"},{"family":"Stifel","given":"David"}],"issued":{"date-parts":[["2016"]]}},"suppress-author":true,"prefix":"Hirvonen et al.,"},{"id":865,"uris":["http://zotero.org/groups/698231/items/SV5SZN9R"],"uri":["http://zotero.org/groups/698231/items/SV5SZN9R"],"itemData":{"id":865,"type":"article-journal","title":"The home environment: a mediator of nutrition knowledge and diet quality in adolescents","container-title":"Appetite","page":"46-52","volume":"105","source":"PubMed","abstract":"The objective of this research was to assess adherence to the Healthy Eating Index-2010 of mothers and their adolescents (11-14 years old) and to examine the role of the home environment as a mediator of maternal nutrition knowledge and adolescent diet quality. It is hypothesized that mothers with greater knowledge impact the diet quality of their adolescents by creation of healthier home environments. A sample of 206 mother-adolescent dyads separately completed the Multidimensional Home Environment Scale, a Food Frequency Questionnaire, and a Nutrition Knowledge Scale. Body mass index-for-age percentiles were derived from weight and height measurements obtained by researcher; diet quality was estimated via the Healthy Eating Index (HEI)-2010. Percent of maximum score on nutrition knowledge for both mothers and adolescents were poor, with lowest scores on recommendations of healthy eating and physical activity (48% and 19%, respectively). A model of maternal nutrition knowledge (independent variable) and adolescent diet quality (dependent variable) indicated that greater knowledge was associated with higher scores on total fruit (p = 0.02), whole grains (p = 0.05), seafood and plant proteins (p = 0.01), and overall diet quality (p &lt; 0.01), as well as lower scores on empty calories (p = 0.01). Inclusion of the home environment as a mediator yielded significant estimates of the indirect effect (β = 0.61, 95% CI: 0.3-1.0). Within the home environment, psychological (β = 0.46), social (β = 0.23), and environmental (β = 0.65) variables were all significant mediators of nutrition knowledge on diet quality. These results emphasize the importance of maternal nutrition knowledge and the mediating effect of the home environment on the diet quality of adolescents.","DOI":"10.1016/j.appet.2016.05.002","ISSN":"1095-8304","note":"PMID: 27170447","shortTitle":"The home environment","journalAbbreviation":"Appetite","language":"eng","author":[{"family":"Tabbakh","given":"Tamara"},{"family":"Freeland-Graves","given":"Jean H."}],"issued":{"date-parts":[["2016",10,1]]},"PMID":"27170447"}},{"id":987,"uris":["http://zotero.org/groups/698231/items/HCUZCC9B"],"uri":["http://zotero.org/groups/698231/items/HCUZCC9B"],"itemData":{"id":987,"type":"book","title":"What can we learn from nutrition impact evaluations? Lessons from a review of interventions to reduce child malnutrition in developing countries","publisher":"World Bank","publisher-place":"Washington, D.C","number-of-pages":"88","source":"Library of Congress ISBN","event-place":"Washington, D.C","URL":"http://elibrary.worldbank.org/doi/abs/10.1596/978-0-8213-8406-0","ISBN":"978-0-8213-8406-0","call-number":"RJ399.M26 W43 2010","note":"OCLC: ocn654303604","shortTitle":"What can we learn from nutrition impact evaluations?","author":[{"literal":"World Bank"}],"issued":{"date-parts":[["2010"]]}}}],"schema":"https://github.com/citation-style-language/schema/raw/master/csl-citation.json"}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(Hirvonen et al., 2016; Tabbakh &amp; Freeland-Graves, 2016; World Bank, 2010)</w:t>
      </w:r>
      <w:r w:rsidRPr="00E950A8">
        <w:rPr>
          <w:rFonts w:asciiTheme="majorHAnsi" w:hAnsiTheme="majorHAnsi"/>
          <w:sz w:val="24"/>
          <w:szCs w:val="24"/>
          <w:lang w:val="en-US"/>
        </w:rPr>
        <w:fldChar w:fldCharType="end"/>
      </w:r>
      <w:r w:rsidRPr="00064DA0">
        <w:rPr>
          <w:rFonts w:asciiTheme="majorHAnsi" w:hAnsiTheme="majorHAnsi"/>
          <w:sz w:val="24"/>
          <w:szCs w:val="24"/>
          <w:lang w:val="en-US"/>
        </w:rPr>
        <w:t xml:space="preserve">. </w:t>
      </w:r>
      <w:r w:rsidR="008B10C7" w:rsidRPr="008B10C7">
        <w:rPr>
          <w:rFonts w:asciiTheme="majorHAnsi" w:hAnsiTheme="majorHAnsi"/>
          <w:sz w:val="24"/>
          <w:szCs w:val="24"/>
          <w:lang w:val="en-US"/>
        </w:rPr>
        <w:t>While the evidence for the effect of transfer programs on child health outcomes is mixed (</w:t>
      </w:r>
      <w:proofErr w:type="spellStart"/>
      <w:r w:rsidR="008B10C7" w:rsidRPr="008B10C7">
        <w:rPr>
          <w:rFonts w:asciiTheme="majorHAnsi" w:hAnsiTheme="majorHAnsi"/>
          <w:sz w:val="24"/>
          <w:szCs w:val="24"/>
          <w:lang w:val="en-US"/>
        </w:rPr>
        <w:t>Burchi</w:t>
      </w:r>
      <w:proofErr w:type="spellEnd"/>
      <w:r w:rsidR="008B10C7" w:rsidRPr="008B10C7">
        <w:rPr>
          <w:rFonts w:asciiTheme="majorHAnsi" w:hAnsiTheme="majorHAnsi"/>
          <w:sz w:val="24"/>
          <w:szCs w:val="24"/>
          <w:lang w:val="en-US"/>
        </w:rPr>
        <w:t xml:space="preserve"> et al., 2016; de Groot et al., 2017)</w:t>
      </w:r>
      <w:r w:rsidR="008B10C7">
        <w:rPr>
          <w:rFonts w:asciiTheme="majorHAnsi" w:hAnsiTheme="majorHAnsi"/>
          <w:sz w:val="24"/>
          <w:szCs w:val="24"/>
          <w:lang w:val="en-US"/>
        </w:rPr>
        <w:t>,</w:t>
      </w:r>
      <w:r w:rsidR="008B10C7" w:rsidRPr="008B10C7">
        <w:rPr>
          <w:rFonts w:asciiTheme="majorHAnsi" w:hAnsiTheme="majorHAnsi"/>
          <w:sz w:val="24"/>
          <w:szCs w:val="24"/>
          <w:lang w:val="en-US"/>
        </w:rPr>
        <w:t xml:space="preserve"> there is </w:t>
      </w:r>
      <w:r w:rsidR="008B10C7">
        <w:rPr>
          <w:rFonts w:asciiTheme="majorHAnsi" w:hAnsiTheme="majorHAnsi"/>
          <w:sz w:val="24"/>
          <w:szCs w:val="24"/>
          <w:lang w:val="en-US"/>
        </w:rPr>
        <w:t xml:space="preserve">a </w:t>
      </w:r>
      <w:r w:rsidR="008B10C7" w:rsidRPr="008B10C7">
        <w:rPr>
          <w:rFonts w:asciiTheme="majorHAnsi" w:hAnsiTheme="majorHAnsi"/>
          <w:sz w:val="24"/>
          <w:szCs w:val="24"/>
          <w:lang w:val="en-US"/>
        </w:rPr>
        <w:t>potential for an increased impact on child nutrition if conditional cash transfer programs are combined with nutrition education programs (</w:t>
      </w:r>
      <w:proofErr w:type="spellStart"/>
      <w:r w:rsidR="008B10C7" w:rsidRPr="008B10C7">
        <w:rPr>
          <w:rFonts w:asciiTheme="majorHAnsi" w:hAnsiTheme="majorHAnsi"/>
          <w:sz w:val="24"/>
          <w:szCs w:val="24"/>
          <w:lang w:val="en-US"/>
        </w:rPr>
        <w:t>Burch</w:t>
      </w:r>
      <w:r w:rsidR="008B10C7">
        <w:rPr>
          <w:rFonts w:asciiTheme="majorHAnsi" w:hAnsiTheme="majorHAnsi"/>
          <w:sz w:val="24"/>
          <w:szCs w:val="24"/>
          <w:lang w:val="en-US"/>
        </w:rPr>
        <w:t>i</w:t>
      </w:r>
      <w:proofErr w:type="spellEnd"/>
      <w:r w:rsidR="008B10C7" w:rsidRPr="008B10C7">
        <w:rPr>
          <w:rFonts w:asciiTheme="majorHAnsi" w:hAnsiTheme="majorHAnsi"/>
          <w:sz w:val="24"/>
          <w:szCs w:val="24"/>
          <w:lang w:val="en-US"/>
        </w:rPr>
        <w:t xml:space="preserve"> et al., 2016).</w:t>
      </w:r>
      <w:r w:rsidR="008B10C7">
        <w:rPr>
          <w:rFonts w:asciiTheme="majorHAnsi" w:hAnsiTheme="majorHAnsi"/>
          <w:sz w:val="24"/>
          <w:szCs w:val="24"/>
          <w:lang w:val="en-US"/>
        </w:rPr>
        <w:t xml:space="preserve"> </w:t>
      </w:r>
      <w:r w:rsidRPr="00064DA0">
        <w:rPr>
          <w:rFonts w:asciiTheme="majorHAnsi" w:hAnsiTheme="majorHAnsi"/>
          <w:sz w:val="24"/>
          <w:szCs w:val="24"/>
          <w:lang w:val="en-US"/>
        </w:rPr>
        <w:t xml:space="preserve">Positive </w:t>
      </w:r>
      <w:r w:rsidRPr="00E950A8">
        <w:rPr>
          <w:rFonts w:asciiTheme="majorHAnsi" w:hAnsiTheme="majorHAnsi"/>
          <w:sz w:val="24"/>
          <w:szCs w:val="24"/>
          <w:lang w:val="en-US"/>
        </w:rPr>
        <w:t>associations between maternal nutrition knowledge and child nutritional outcomes are well documented for young children (</w:t>
      </w:r>
      <w:proofErr w:type="spellStart"/>
      <w:r w:rsidRPr="000C3350">
        <w:rPr>
          <w:rFonts w:asciiTheme="majorHAnsi" w:hAnsiTheme="majorHAnsi" w:cs="Times New Roman"/>
          <w:sz w:val="24"/>
          <w:lang w:val="en-US"/>
        </w:rPr>
        <w:t>Burchi</w:t>
      </w:r>
      <w:proofErr w:type="spellEnd"/>
      <w:r w:rsidRPr="000C3350">
        <w:rPr>
          <w:rFonts w:asciiTheme="majorHAnsi" w:hAnsiTheme="majorHAnsi" w:cs="Times New Roman"/>
          <w:sz w:val="24"/>
          <w:lang w:val="en-US"/>
        </w:rPr>
        <w:t xml:space="preserve">, 2010; </w:t>
      </w:r>
      <w:proofErr w:type="spellStart"/>
      <w:r w:rsidRPr="000C3350">
        <w:rPr>
          <w:rFonts w:asciiTheme="majorHAnsi" w:hAnsiTheme="majorHAnsi"/>
          <w:sz w:val="24"/>
          <w:lang w:val="en-US"/>
        </w:rPr>
        <w:t>Appoh</w:t>
      </w:r>
      <w:proofErr w:type="spellEnd"/>
      <w:r w:rsidRPr="000C3350">
        <w:rPr>
          <w:rFonts w:asciiTheme="majorHAnsi" w:hAnsiTheme="majorHAnsi"/>
          <w:sz w:val="24"/>
          <w:lang w:val="en-US"/>
        </w:rPr>
        <w:t xml:space="preserve"> &amp; </w:t>
      </w:r>
      <w:proofErr w:type="spellStart"/>
      <w:r w:rsidRPr="000C3350">
        <w:rPr>
          <w:rFonts w:asciiTheme="majorHAnsi" w:hAnsiTheme="majorHAnsi"/>
          <w:sz w:val="24"/>
          <w:lang w:val="en-US"/>
        </w:rPr>
        <w:t>Krekling</w:t>
      </w:r>
      <w:proofErr w:type="spellEnd"/>
      <w:r w:rsidRPr="000C3350">
        <w:rPr>
          <w:rFonts w:asciiTheme="majorHAnsi" w:hAnsiTheme="majorHAnsi"/>
          <w:sz w:val="24"/>
          <w:lang w:val="en-US"/>
        </w:rPr>
        <w:t xml:space="preserve">, 2005; </w:t>
      </w:r>
      <w:r w:rsidRPr="000C3350">
        <w:rPr>
          <w:rFonts w:asciiTheme="majorHAnsi" w:hAnsiTheme="majorHAnsi" w:cs="Times New Roman"/>
          <w:sz w:val="24"/>
          <w:lang w:val="en-US"/>
        </w:rPr>
        <w:t>Webb &amp; Block, 2004). For older children and adolescents, the effects have hardly been analyzed. Moreover, existing studies typically do not differentiate by</w:t>
      </w:r>
      <w:r w:rsidRPr="00E950A8">
        <w:rPr>
          <w:rFonts w:asciiTheme="majorHAnsi" w:hAnsiTheme="majorHAnsi"/>
          <w:sz w:val="24"/>
          <w:szCs w:val="24"/>
          <w:lang w:val="en-US"/>
        </w:rPr>
        <w:t xml:space="preserve"> type of nutrition knowledge, which would be useful to better understand how nutrition education programs should be designed to make them most effective. </w:t>
      </w:r>
    </w:p>
    <w:p w14:paraId="69C3278C" w14:textId="77777777" w:rsidR="008A5C7B" w:rsidRPr="00064DA0" w:rsidRDefault="008A5C7B" w:rsidP="008A5C7B">
      <w:pPr>
        <w:spacing w:line="480" w:lineRule="auto"/>
        <w:ind w:firstLine="709"/>
        <w:jc w:val="both"/>
        <w:rPr>
          <w:rFonts w:asciiTheme="majorHAnsi" w:hAnsiTheme="majorHAnsi"/>
          <w:sz w:val="24"/>
          <w:szCs w:val="24"/>
          <w:lang w:val="en-US"/>
        </w:rPr>
      </w:pPr>
      <w:r w:rsidRPr="00E950A8">
        <w:rPr>
          <w:rFonts w:asciiTheme="majorHAnsi" w:hAnsiTheme="majorHAnsi"/>
          <w:sz w:val="24"/>
          <w:szCs w:val="24"/>
          <w:lang w:val="en-US"/>
        </w:rPr>
        <w:t xml:space="preserve">Studies on the effects of maternal nutrition knowledge in developing countries are mainly restricted to children under five years of age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{"citationID":"2cle2hu01i","properties":{"formattedCitation":"(e.g. Appoh &amp; Krekling, 2005; Burchi, 2010; Webb &amp; Block, 2004)","plainCitation":"(e.g. Appoh &amp; Krekling, 2005; Burchi, 2010; Webb &amp; Block, 2004)"},"citationItems":[{"id":983,"uris":["http://zotero.org/groups/698231/items/WBH3DNXV"],"uri":["http://zotero.org/groups/698231/items/WBH3DNXV"],"itemData":{"id":983,"type":"article-journal","title":"Maternal nutritional knowledge and child nutritional status in the Volta Region of Ghana","container-title":"Maternal &amp; Child Nutrition","page":"100-110","volume":"1","issue":"2","source":"Wiley Online Library","abstract":"The relationship between mother's nutritional knowledge, maternal education, and child nutritional status (weight-for-age) was the subject of investigation in this study. The data were collected in Ghana on 55 well nourished and 55 malnourished mother–child pairs. A questionnaire designed to collect data on mother's knowledge and practices related to child care and nutrition was administered to the mothers. Data on mother's demographic and socio-economic characteristics as well as child anthropometric data were also collected. A nutrition knowledge score was calculated based on mother's responses to the nutrition related items. Bivariate analysis gave significant associations between child nutritional status and the following variables: time of initiating of breastfeeding, mother's knowledge of importance of colostrum and whether colostrum was given to child, age of introduction of supplementary food, and mother's knowledge about causes of kwashiorkor. The two groups also showed significant differences in their nutrition knowledge scores. Maternal formal education, and marital status were also found to be associated with child nutritional status in bivariate analyses. Further analysis with logistic regression revealed that maternal nutrition knowledge was independently associated with nutritional status after the effects of other significant variables were controlled for. Maternal education on the other hand was not found to be independently associated with nutritional status. These results imply that mother's practical knowledge about nutrition may be more important than formal maternal education for child nutrition outcome.","DOI":"10.1111/j.1740-8709.2005.00016.x","ISSN":"1740-8709","language":"en","author":[{"family":"Appoh","given":"Lily Yaa"},{"family":"Krekling","given":"Sturla"}],"issued":{"date-parts":[["2005",4,1]]}},"prefix":"e.g. "},{"id":871,"uris":["http://zotero.org/groups/698231/items/FDB7ACWQ"],"uri":["http://zotero.org/groups/698231/items/FDB7ACWQ"],"itemData":{"id":871,"type":"article-journal","title":"Child nutrition in Mozambique in 2003: the role of mother's schooling and nutrition knowledge","container-title":"Economics &amp; Human Biology","page":"331-345","volume":"8","issue":"3","source":"ScienceDirect","abstract":"This paper is a study of the determinants of the anthropometric status of preschool children in Mozambique. Using the 2003 Demographic and Health Survey, we provide insights into two main explanatory factors: the mother's schooling and the mother's nutrition knowledge. Rather than treating the mother's schooling as a black box, we analyze its interaction with the mother's nutrition knowledge and household wealth in order to elucidate the mechanisms underlying their ultimate effect on child height.\n\nThe estimates obtained through instrumental variable regression show that the direct effect of the mother's schooling is large but that the rate at which it increases declines as her educational level rises. Primary education seems to be a key to enhance the mothers’ general knowledge, which then improves the allocation of resources in regard to children's well-being and the care for the child. A higher educational level attained by the mother is likely to play only a minimal and indirect role in her child's nutrition, by expanding her economic opportunities. This is because more educated mothers have also more qualified and time-consuming jobs, which reduces the time spent for childcare. Mothers with higher levels of nutrition knowledge, acquired primarily outside of school, are able to choose a more diversified diet for their children and, broadly speaking, to utilize food more effectively. Based on a second technique, the instrumental variable quantile regression, we are able to draw a double conclusion: that mothers’ nutrition knowledge contributes to height increases among extremely deprived children, and that mothers’ formal education and household wealth are slightly more important for relatively well-off children.","DOI":"10.1016/j.ehb.2010.05.010","ISSN":"1570-677X","shortTitle":"Child nutrition in Mozambique in 2003","journalAbbreviation":"Economics &amp; Human Biology","author":[{"family":"Burchi","given":"Francesco"}],"issued":{"date-parts":[["2010",12]]}}},{"id":980,"uris":["http://zotero.org/groups/698231/items/5CGSDHK3"],"uri":["http://zotero.org/groups/698231/items/5CGSDHK3"],"itemData":{"id":980,"type":"article-journal","title":"Nutrition information and formal schooling as inputs to child nutrition","container-title":"Economic Development and Cultural Change","page":"801-820","volume":"52","issue":"4","source":"journals.uchicago.edu (Atypon)","DOI":"10.1086/420901","ISSN":"0013-0079","journalAbbreviation":"Economic Development and Cultural Change","author":[{"family":"Webb","given":"Patrick"},{"family":"Block","given":"Steven"}],"issued":{"date-parts":[["2004",7,1]]}}}],"schema":"https://github.com/citation-style-language/schema/raw/master/csl-citation.json"}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(e.g. Appoh &amp; Krekling, 2005; Burchi, 2010; Webb &amp; Block, 2004)</w:t>
      </w:r>
      <w:r w:rsidRPr="00E950A8">
        <w:rPr>
          <w:rFonts w:asciiTheme="majorHAnsi" w:hAnsiTheme="majorHAnsi"/>
          <w:sz w:val="24"/>
          <w:szCs w:val="24"/>
          <w:lang w:val="en-US"/>
        </w:rPr>
        <w:fldChar w:fldCharType="end"/>
      </w:r>
      <w:r w:rsidRPr="00064DA0">
        <w:rPr>
          <w:rFonts w:asciiTheme="majorHAnsi" w:hAnsiTheme="majorHAnsi"/>
          <w:sz w:val="24"/>
          <w:szCs w:val="24"/>
          <w:lang w:val="en-US"/>
        </w:rPr>
        <w:t xml:space="preserve">. </w:t>
      </w:r>
      <w:r w:rsidRPr="00E950A8">
        <w:rPr>
          <w:rFonts w:asciiTheme="majorHAnsi" w:hAnsiTheme="majorHAnsi"/>
          <w:sz w:val="24"/>
          <w:szCs w:val="24"/>
          <w:lang w:val="en-US"/>
        </w:rPr>
        <w:t xml:space="preserve">It is assumed that nutritional improvements are most </w:t>
      </w:r>
      <w:r w:rsidRPr="00E950A8">
        <w:rPr>
          <w:rFonts w:asciiTheme="majorHAnsi" w:hAnsiTheme="majorHAnsi"/>
          <w:sz w:val="24"/>
          <w:szCs w:val="24"/>
          <w:lang w:val="en-US"/>
        </w:rPr>
        <w:lastRenderedPageBreak/>
        <w:t xml:space="preserve">beneficial for young children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{"citationID":"ROPHYekB","properties":{"formattedCitation":"(Black et al., 2013; Leroy et al., 2014; Ruel et al., 2008)","plainCitation":"(Black et al., 2013; Leroy et al., 2014; Ruel et al., 2008)"},"citationItems":[{"id":879,"uris":["http://zotero.org/groups/698231/items/ITJ5TFIT"],"uri":["http://zotero.org/groups/698231/items/ITJ5TFIT"],"itemData":{"id":879,"type":"article-journal","title":"Maternal and child undernutrition and overweight in low-income and middle-income countries","container-title":"The Lancet","page":"427-451","volume":"382","issue":"9890","source":"ScienceDirect","abstract":"Summary\nMaternal and child malnutrition in low-income and middle-income countries encompasses both undernutrition and a growing problem with overweight and obesity. Low body-mass index, indicative of maternal undernutrition, has declined somewhat in the past two decades but continues to be prevalent in Asia and Africa. Prevalence of maternal overweight has had a steady increase since 1980 and exceeds that of underweight in all regions. Prevalence of stunting of linear growth of children younger than 5 years has decreased during the past two decades, but is higher in south Asia and sub-Saharan Africa than elsewhere and globally affected at least 165 million children in 2011; wasting affected at least 52 million children. Deficiencies of vitamin A and zinc result in deaths; deficiencies of iodine and iron, together with stunting, can contribute to children not reaching their developmental potential. Maternal undernutrition contributes to fetal growth restriction, which increases the risk of neonatal deaths and, for survivors, of stunting by 2 years of age. Suboptimum breastfeeding results in an increased risk for mortality in the first 2 years of life. We estimate that undernutrition in the aggregate—including fetal growth restriction, stunting, wasting, and deficiencies of vitamin A and zinc along with suboptimum breastfeeding—is a cause of 3·1 million child deaths annually or 45% of all child deaths in 2011. Maternal overweight and obesity result in increased maternal morbidity and infant mortality. Childhood overweight is becoming an increasingly important contributor to adult obesity, diabetes, and non-communicable diseases. The high present and future disease burden caused by malnutrition in women of reproductive age, pregnancy, and children in the first 2 years of life should lead to interventions focused on these groups.","DOI":"10.1016/S0140-6736(13)60937-X","ISSN":"0140-6736","journalAbbreviation":"The Lancet","author":[{"family":"Black","given":"Robert E"},{"family":"Victora","given":"Cesar G"},{"family":"Walker","given":"Susan P"},{"family":"Bhutta","given":"Zulfiqar A"},{"family":"Christian","given":"Parul"},{"family":"Onis","given":"Mercedes","non-dropping-particle":"de"},{"family":"Ezzati","given":"Majid"},{"family":"Grantham-McGregor","given":"Sally"},{"family":"Katz","given":"Joanne"},{"family":"Martorell","given":"Reynaldo"},{"family":"Uauy","given":"Ricardo"}],"issued":{"date-parts":[["2013",8,9]]}}},{"id":845,"uris":["http://zotero.org/groups/698231/items/GSKNGKFW"],"uri":["http://zotero.org/groups/698231/items/GSKNGKFW"],"itemData":{"id":845,"type":"article-journal","title":"Linear growth deficit continues to accumulate beyond the first 1000 days in low- and middle-income countries: global evidence from 51 national surveys","container-title":"The Journal of Nutrition","page":"1460-1466","volume":"144","issue":"9","source":"jn.nutrition.org","abstract":"Growth faltering is usually assessed using height-for-age Z-scores (HAZs), which have been used for comparisons of children of different age and sex composition across populations. Because the SD (denominator) for calculating HAZ increases with age, the usefulness of HAZs to assess changes in height over time (across ages) is uncertain. We posited that population-level changes in height as populations age should be assessed using absolute height-for-age differences (HADs) and not HAZs. We used data from 51 nationwide surveys from low- and middle-income countries and graphed mean HAZs and HADs by age. We also calculated annual changes in HAZs and HADs and percentage of total height deficit accumulated annually from birth to age 60 mo using both approaches. Mean HAZ started at −0.4 Z-scores and dropped dramatically up to 24 mo, after which it stabilized and had no additional deterioration. Mean HAD started at −0.8 cm, with the most pronounced faltering occurring between 6 and 18 mo, similar to HAZ. However, in sharp contrast to HAZ, HAD curves had continued increases in the deficit of linear growth from 18 to 60 mo, with no indication of a leveling off. Globally, 70% of the absolute deficit accumulated in height (HAD) at 60 mo was found to be due to faltering during the first “1000 days” (conception to 24 mo), but 30% was due to continued increases in deficit from age 2 to 5 y. The use of HAZ masks these changes because of age-related changes in SD. Therefore, HAD, rather than HAZ, should be used to describe and compare changes in height as children age because detecting any deficit compared with expected changes in height as children grow is important and only HAD does this accurately at all ages. Our findings support the current global programmatic momentum to focus on the first 1000 d. Research is needed to better understand the dynamics and timing of linear growth faltering using indices and indicators that accurately reflect changes over ages and to identify cost-effective ways to prevent growth faltering and its consequences throughout the lifecycle.","DOI":"10.3945/jn.114.191981","ISSN":"0022-3166, 1541-6100","note":"PMID: 24944283","shortTitle":"Linear Growth Deficit Continues to Accumulate beyond the First 1000 Days in Low- and Middle-Income Countries","journalAbbreviation":"J. Nutr.","language":"en","author":[{"family":"Leroy","given":"Jef L."},{"family":"Ruel","given":"Marie"},{"family":"Habicht","given":"Jean-Pierre"},{"family":"Frongillo","given":"Edward A."}],"issued":{"date-parts":[["2014",1,9]]},"PMID":"24944283"},"suppress-author":true,"prefix":"Leroy et al.,"},{"id":882,"uris":["http://zotero.org/groups/698231/items/EVJ39BGD"],"uri":["http://zotero.org/groups/698231/items/EVJ39BGD"],"itemData":{"id":882,"type":"article-journal","title":"Age-based preventive targeting of food assistance and behaviour change and communication for reduction of childhood undernutrition in Haiti: a cluster randomised trial","container-title":"The Lancet","page":"588-595","volume":"371","issue":"9612","source":"ScienceDirect","abstract":"SummaryBackground\nFood-assisted maternal and child health and nutrition programmes usually target underweight children younger than 5 years of age. Previous evidence suggests that targeting nutrition interventions earlier in life, before children become undernourished, might be more effective for reduction of childhood undernutrition.\nMethods\nWe used a cluster randomised trial to compare two World Vision programmes for maternal and child health and nutrition, which included a behaviour change and communication component: a preventive model, targeting all children aged 6–23 months; and a recuperative model, targeting underweight (weight-for-age Z score &amp;lt;−2) children aged 6–60 months. Both models also targeted pregnant and lactating women. Clusters of communities (n=20) were paired on access to services and other factors and were randomly assigned to each model. Using two cross-sectional surveys (at baseline and 3 years later), we tested differences in undernutrition in children aged 12–41 months (roughly 1500 children per survey). Analyses were by intention to treat, both by pair-wise community-level comparisons and by child-level analyses adjusting for the clustering effect and child age and sex. This study is registered with ClinicalTrials.gov, number NCT00210418.\nFindings\nThere were no differences between programme groups at baseline. At follow-up, stunting, underweight, and wasting (using WHO 2006 reference data) were 4–6 percentage points lower in preventive than in recuperative communities; and mean anthropometric indicators were higher by +0·14 Z scores (height for age; p=0·07), and +0·24 Z scores (weight for age and weight for height; p&amp;lt;0·0001). The effect was greater in children exposed to the preventive programme for the full span between 6 and 23 months of age than in children exposed for shorter durations during this period. The quality of implementation did not differ between the two programmes; nor did use of services for maternal and child health and nutrition.\nInterpretation\nThe preventive programme was more effective for the reduction of childhood undernutrition than the traditional recuperative model.","DOI":"10.1016/S0140-6736(08)60271-8","ISSN":"0140-6736","shortTitle":"Age-based preventive targeting of food assistance and behaviour change and communication for reduction of childhood undernutrition in Haiti","journalAbbreviation":"The Lancet","author":[{"family":"Ruel","given":"Marie T"},{"family":"Menon","given":"Purnima"},{"family":"Habicht","given":"Jean-Pierre"},{"family":"Loechl","given":"Cornelia"},{"family":"Bergeron","given":"Gilles"},{"family":"Pelto","given":"Gretel"},{"family":"Arimond","given":"Mary"},{"family":"Maluccio","given":"John"},{"family":"Michaud","given":"Lesly"},{"family":"Hankebo","given":"Bekele"}],"issued":{"date-parts":[["2008",2,22]]}}}],"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(Black et al., 2013; Leroy et al., 2014; Ruel et al., 2008)</w:t>
      </w:r>
      <w:r w:rsidRPr="00E950A8">
        <w:rPr>
          <w:rFonts w:asciiTheme="majorHAnsi" w:hAnsiTheme="majorHAnsi"/>
          <w:sz w:val="24"/>
          <w:szCs w:val="24"/>
          <w:lang w:val="en-US"/>
        </w:rPr>
        <w:fldChar w:fldCharType="end"/>
      </w:r>
      <w:r w:rsidRPr="00064DA0">
        <w:rPr>
          <w:rFonts w:asciiTheme="majorHAnsi" w:hAnsiTheme="majorHAnsi"/>
          <w:sz w:val="24"/>
          <w:szCs w:val="24"/>
          <w:lang w:val="en-US"/>
        </w:rPr>
        <w:t xml:space="preserve">. </w:t>
      </w:r>
      <w:proofErr w:type="spellStart"/>
      <w:r w:rsidRPr="00064DA0">
        <w:rPr>
          <w:rFonts w:asciiTheme="majorHAnsi" w:hAnsiTheme="majorHAnsi"/>
          <w:sz w:val="24"/>
          <w:szCs w:val="24"/>
          <w:lang w:val="en-US"/>
        </w:rPr>
        <w:t>Appoh</w:t>
      </w:r>
      <w:proofErr w:type="spellEnd"/>
      <w:r w:rsidRPr="00064DA0">
        <w:rPr>
          <w:rFonts w:asciiTheme="majorHAnsi" w:hAnsiTheme="majorHAnsi"/>
          <w:sz w:val="24"/>
          <w:szCs w:val="24"/>
          <w:lang w:val="en-US"/>
        </w:rPr>
        <w:t xml:space="preserve"> and </w:t>
      </w:r>
      <w:proofErr w:type="spellStart"/>
      <w:r w:rsidRPr="00064DA0">
        <w:rPr>
          <w:rFonts w:asciiTheme="majorHAnsi" w:hAnsiTheme="majorHAnsi"/>
          <w:sz w:val="24"/>
          <w:szCs w:val="24"/>
          <w:lang w:val="en-US"/>
        </w:rPr>
        <w:t>Krekling</w:t>
      </w:r>
      <w:proofErr w:type="spellEnd"/>
      <w:r w:rsidRPr="00064DA0">
        <w:rPr>
          <w:rFonts w:asciiTheme="majorHAnsi" w:hAnsiTheme="majorHAnsi"/>
          <w:sz w:val="24"/>
          <w:szCs w:val="24"/>
          <w:lang w:val="en-US"/>
        </w:rPr>
        <w:t xml:space="preserve">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2hq86s8nqi","properties":{"formattedCitation":"(2005)","plainCitation":"(2005)"},"citationItems":[{"id":983,"uris":["http://zotero.org/groups/698231/items/WBH3DNXV"],"uri":["http://zotero.org/groups/698231/items/WBH3DNXV"],"itemData":{"id":983,"type":"article-journal","title":"Maternal nutritional knowledge and child nutritional status in the Volta Region of Ghana","container-title":"Maternal &amp; Child Nutrition","page":"100-110","volume":"1","issue":"2","source":"Wiley Online Library","abstract":"The relationship between mother's nutritional knowledge, maternal education, and child nutritional status (weight-for-age) was the subject of investigation in this study. The data were collected in Ghana on 55 well nourished and 55 malnourished mother–child pairs. A questionnaire designed to collect data on mother's knowledge and practices related to child care and nutrition was administered to the mothers. Data on mother's demographic and socio-economic characteristics as well as child anthropometric data were also collected. A nutrition knowledge score was calculated based on mother's responses to the nutrition related items. Bivariate analysis gave significant associations between child nutritional status and the following variables: time of initiating of breastfeeding, mother's knowledge of importance of colostrum and whether colostrum was given to child, age of introduction of supplementary food, and mother's knowledge about causes of kwashiorkor. The two groups also showed significant differences in their nutrition knowledge scores. Maternal formal education, and marital status were also found to be associated with child nutritional status in bivariate analyses. Further analysis with logistic regression revealed that maternal nutrition knowledge was independently associated with nutritional status after the effects of other significant variables were controlled for. Maternal education on the other hand was not found to be independently associated with nutritional status. These results imply that mother's practical knowledge about nutrition may be more important than formal maternal education for child nutrition outcome.","DOI":"10.1111/j.1740-8709.2005.00016.x","ISSN":"1740-8709","language":"en","author":[{"family":"Appoh","given":"Lily Yaa"},{"family":"Krekling","given":"Sturla"}],"issued":{"date-parts":[["2005",4,1]]}},"suppress-author":true}],"schema":"https://github.com/citation-style-language/schema/raw/master/csl-citation.json"}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(2005)</w:t>
      </w:r>
      <w:r w:rsidRPr="00E950A8">
        <w:rPr>
          <w:rFonts w:asciiTheme="majorHAnsi" w:hAnsiTheme="majorHAnsi"/>
          <w:sz w:val="24"/>
          <w:szCs w:val="24"/>
          <w:lang w:val="en-US"/>
        </w:rPr>
        <w:fldChar w:fldCharType="end"/>
      </w:r>
      <w:r w:rsidRPr="00064DA0">
        <w:rPr>
          <w:rFonts w:asciiTheme="majorHAnsi" w:hAnsiTheme="majorHAnsi"/>
          <w:sz w:val="24"/>
          <w:szCs w:val="24"/>
          <w:lang w:val="en-US"/>
        </w:rPr>
        <w:t>, for instance, use</w:t>
      </w:r>
      <w:r w:rsidRPr="00E950A8">
        <w:rPr>
          <w:rFonts w:asciiTheme="majorHAnsi" w:hAnsiTheme="majorHAnsi"/>
          <w:sz w:val="24"/>
          <w:szCs w:val="24"/>
          <w:lang w:val="en-US"/>
        </w:rPr>
        <w:t xml:space="preserve">d data from Ghana to illustrate positive associations between mothers’ nutritional knowledge and the nutritional status of children under three. In that study on Ghana, maternal nutrition knowledge was measured with a composite knowledge score, calculated using answers to questions on breastfeeding, complementary feeding, and causes of Kwashiorkor. </w:t>
      </w:r>
      <w:proofErr w:type="spellStart"/>
      <w:r w:rsidRPr="00E950A8">
        <w:rPr>
          <w:rFonts w:asciiTheme="majorHAnsi" w:hAnsiTheme="majorHAnsi"/>
          <w:sz w:val="24"/>
          <w:szCs w:val="24"/>
          <w:lang w:val="en-US"/>
        </w:rPr>
        <w:t>Burchi</w:t>
      </w:r>
      <w:proofErr w:type="spellEnd"/>
      <w:r w:rsidRPr="00E950A8">
        <w:rPr>
          <w:rFonts w:asciiTheme="majorHAnsi" w:hAnsiTheme="majorHAnsi"/>
          <w:sz w:val="24"/>
          <w:szCs w:val="24"/>
          <w:lang w:val="en-US"/>
        </w:rPr>
        <w:t xml:space="preserve">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7v0bg54ea","properties":{"formattedCitation":"(2010)","plainCitation":"(2010)"},"citationItems":[{"id":871,"uris":["http://zotero.org/groups/698231/items/FDB7ACWQ"],"uri":["http://zotero.org/groups/698231/items/FDB7ACWQ"],"itemData":{"id":871,"type":"article-journal","title":"Child nutrition in Mozambique in 2003: the role of mother's schooling and nutrition knowledge","container-title":"Economics &amp; Human Biology","page":"331-345","volume":"8","issue":"3","source":"ScienceDirect","abstract":"This paper is a study of the determinants of the anthropometric status of preschool children in Mozambique. Using the 2003 Demographic and Health Survey, we provide insights into two main explanatory factors: the mother's schooling and the mother's nutrition knowledge. Rather than treating the mother's schooling as a black box, we analyze its interaction with the mother's nutrition knowledge and household wealth in order to elucidate the mechanisms underlying their ultimate effect on child height.\n\nThe estimates obtained through instrumental variable regression show that the direct effect of the mother's schooling is large but that the rate at which it increases declines as her educational level rises. Primary education seems to be a key to enhance the mothers’ general knowledge, which then improves the allocation of resources in regard to children's well-being and the care for the child. A higher educational level attained by the mother is likely to play only a minimal and indirect role in her child's nutrition, by expanding her economic opportunities. This is because more educated mothers have also more qualified and time-consuming jobs, which reduces the time spent for childcare. Mothers with higher levels of nutrition knowledge, acquired primarily outside of school, are able to choose a more diversified diet for their children and, broadly speaking, to utilize food more effectively. Based on a second technique, the instrumental variable quantile regression, we are able to draw a double conclusion: that mothers’ nutrition knowledge contributes to height increases among extremely deprived children, and that mothers’ formal education and household wealth are slightly more important for relatively well-off children.","DOI":"10.1016/j.ehb.2010.05.010","ISSN":"1570-677X","shortTitle":"Child nutrition in Mozambique in 2003","journalAbbreviation":"Economics &amp; Human Biology","author":[{"family":"Burchi","given":"Francesco"}],"issued":{"date-parts":[["2010",12]]}},"suppress-author":true}],"schema":"https://github.com/citation-style-language/schema/raw/master/csl-citation.json"}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(2010)</w:t>
      </w:r>
      <w:r w:rsidRPr="00E950A8">
        <w:rPr>
          <w:rFonts w:asciiTheme="majorHAnsi" w:hAnsiTheme="majorHAnsi"/>
          <w:sz w:val="24"/>
          <w:szCs w:val="24"/>
          <w:lang w:val="en-US"/>
        </w:rPr>
        <w:fldChar w:fldCharType="end"/>
      </w:r>
      <w:r w:rsidRPr="00064DA0">
        <w:rPr>
          <w:rFonts w:asciiTheme="majorHAnsi" w:hAnsiTheme="majorHAnsi"/>
          <w:sz w:val="24"/>
          <w:szCs w:val="24"/>
          <w:lang w:val="en-US"/>
        </w:rPr>
        <w:t xml:space="preserve"> found</w:t>
      </w:r>
      <w:r w:rsidRPr="00E950A8">
        <w:rPr>
          <w:rFonts w:asciiTheme="majorHAnsi" w:hAnsiTheme="majorHAnsi"/>
          <w:sz w:val="24"/>
          <w:szCs w:val="24"/>
          <w:lang w:val="en-US"/>
        </w:rPr>
        <w:t xml:space="preserve"> positive effects of maternal knowledge on preschool children based on nationally representative data from Mozambique. </w:t>
      </w:r>
      <w:proofErr w:type="spellStart"/>
      <w:r w:rsidRPr="00E950A8">
        <w:rPr>
          <w:rFonts w:asciiTheme="majorHAnsi" w:hAnsiTheme="majorHAnsi"/>
          <w:sz w:val="24"/>
          <w:szCs w:val="24"/>
          <w:lang w:val="en-US"/>
        </w:rPr>
        <w:t>Burchi</w:t>
      </w:r>
      <w:proofErr w:type="spellEnd"/>
      <w:r w:rsidRPr="00E950A8">
        <w:rPr>
          <w:rFonts w:asciiTheme="majorHAnsi" w:hAnsiTheme="majorHAnsi"/>
          <w:sz w:val="24"/>
          <w:szCs w:val="24"/>
          <w:lang w:val="en-US"/>
        </w:rPr>
        <w:t xml:space="preserve"> (2010) constructed a nutrition and health knowledge variable by considering respondents’ awareness of vitamin A, HIV/AIDS, oral rehydration, and family planning.</w:t>
      </w:r>
    </w:p>
    <w:p w14:paraId="7ED12011" w14:textId="77777777" w:rsidR="008A5C7B" w:rsidRPr="00E950A8" w:rsidRDefault="008A5C7B" w:rsidP="008A5C7B">
      <w:pPr>
        <w:spacing w:line="480" w:lineRule="auto"/>
        <w:ind w:firstLine="709"/>
        <w:jc w:val="both"/>
        <w:rPr>
          <w:rFonts w:asciiTheme="majorHAnsi" w:hAnsiTheme="majorHAnsi"/>
          <w:sz w:val="24"/>
          <w:szCs w:val="24"/>
          <w:lang w:val="en-US"/>
        </w:rPr>
      </w:pPr>
      <w:r w:rsidRPr="00064DA0">
        <w:rPr>
          <w:rFonts w:asciiTheme="majorHAnsi" w:hAnsiTheme="majorHAnsi"/>
          <w:sz w:val="24"/>
          <w:szCs w:val="24"/>
          <w:lang w:val="en-US"/>
        </w:rPr>
        <w:t xml:space="preserve">A few studies </w:t>
      </w:r>
      <w:r w:rsidRPr="00E950A8">
        <w:rPr>
          <w:rFonts w:asciiTheme="majorHAnsi" w:hAnsiTheme="majorHAnsi"/>
          <w:sz w:val="24"/>
          <w:szCs w:val="24"/>
          <w:lang w:val="en-US"/>
        </w:rPr>
        <w:t xml:space="preserve">identified positive links between maternal nutrition knowledge and child nutrition also for older children, but this evidence is limited to developed countries. </w:t>
      </w:r>
      <w:proofErr w:type="spellStart"/>
      <w:r w:rsidRPr="00E950A8">
        <w:rPr>
          <w:rFonts w:asciiTheme="majorHAnsi" w:hAnsiTheme="majorHAnsi"/>
          <w:sz w:val="24"/>
          <w:szCs w:val="24"/>
          <w:lang w:val="en-US"/>
        </w:rPr>
        <w:t>Variyam</w:t>
      </w:r>
      <w:proofErr w:type="spellEnd"/>
      <w:r w:rsidRPr="00E950A8">
        <w:rPr>
          <w:rFonts w:asciiTheme="majorHAnsi" w:hAnsiTheme="majorHAnsi"/>
          <w:sz w:val="24"/>
          <w:szCs w:val="24"/>
          <w:lang w:val="en-US"/>
        </w:rPr>
        <w:t xml:space="preserve"> et al.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22p9clu3bb","properties":{"formattedCitation":"(1999)","plainCitation":"(1999)"},"citationItems":[{"id":876,"uris":["http://zotero.org/groups/698231/items/UT26DT2Q"],"uri":["http://zotero.org/groups/698231/items/UT26DT2Q"],"itemData":{"id":876,"type":"article-journal","title":"Mother's nutrition knowledge and children's dietary intakes","container-title":"American Journal of Agricultural Economics","page":"373-384","volume":"81","issue":"2","source":"ajae.oxfordjournals.org","abstract":"This article uses U.S. food consumption data to examine the effect of maternal nutrition knowledge on the dietary intakes of children between two and seventeen years of age. Results show that maternal knowledge influences children's diets and that such influence decreases as children grow older. Nutrition knowledge acts as a pathway through which maternal education influences children's diets. This finding supports the hypothesis that education affects health-related choices by raising the allocative efficiency of health input use. The results suggest that nutrition education may be more effective if targeted both toward mothers with young children and directly toward school-age children.","DOI":"10.2307/1244588","ISSN":"0002-9092, 1467-8276","journalAbbreviation":"Am. J. Agr. Econ.","language":"en","author":[{"family":"Variyam","given":"Jayachandran N."},{"family":"Blaylock","given":"James"},{"family":"Lin","given":"Biing-Hwan"},{"family":"Ralston","given":"Katherine"},{"family":"Smallwood","given":"David"}],"issued":{"date-parts":[["1999",1,5]]}},"suppress-author":true}],"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(1999)</w:t>
      </w:r>
      <w:r w:rsidRPr="00E950A8">
        <w:rPr>
          <w:rFonts w:asciiTheme="majorHAnsi" w:hAnsiTheme="majorHAnsi"/>
          <w:sz w:val="24"/>
          <w:szCs w:val="24"/>
          <w:lang w:val="en-US"/>
        </w:rPr>
        <w:fldChar w:fldCharType="end"/>
      </w:r>
      <w:r w:rsidRPr="00064DA0">
        <w:rPr>
          <w:rFonts w:asciiTheme="majorHAnsi" w:hAnsiTheme="majorHAnsi"/>
          <w:sz w:val="24"/>
          <w:szCs w:val="24"/>
          <w:lang w:val="en-US"/>
        </w:rPr>
        <w:t xml:space="preserve"> used data from the US and showed that maternal health awareness and knowledge about </w:t>
      </w:r>
      <w:r w:rsidRPr="00E950A8">
        <w:rPr>
          <w:rFonts w:asciiTheme="majorHAnsi" w:hAnsiTheme="majorHAnsi"/>
          <w:sz w:val="24"/>
          <w:szCs w:val="24"/>
          <w:lang w:val="en-US"/>
        </w:rPr>
        <w:t xml:space="preserve">nutrient contents of foods had positive effects on dietary quality of children between 2 and 17 years of age. Also using data from households in the US, </w:t>
      </w:r>
      <w:proofErr w:type="spellStart"/>
      <w:r w:rsidRPr="00E950A8">
        <w:rPr>
          <w:rFonts w:asciiTheme="majorHAnsi" w:hAnsiTheme="majorHAnsi"/>
          <w:sz w:val="24"/>
          <w:szCs w:val="24"/>
          <w:lang w:val="en-US"/>
        </w:rPr>
        <w:t>Tabbakh</w:t>
      </w:r>
      <w:proofErr w:type="spellEnd"/>
      <w:r w:rsidRPr="00E950A8">
        <w:rPr>
          <w:rFonts w:asciiTheme="majorHAnsi" w:hAnsiTheme="majorHAnsi"/>
          <w:sz w:val="24"/>
          <w:szCs w:val="24"/>
          <w:lang w:val="en-US"/>
        </w:rPr>
        <w:t xml:space="preserve"> and Freeland-Graves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s7o30bp8n","properties":{"formattedCitation":"(2016)","plainCitation":"(2016)"},"citationItems":[{"id":865,"uris":["http://zotero.org/groups/698231/items/SV5SZN9R"],"uri":["http://zotero.org/groups/698231/items/SV5SZN9R"],"itemData":{"id":865,"type":"article-journal","title":"The home environment: a mediator of nutrition knowledge and diet quality in adolescents","container-title":"Appetite","page":"46-52","volume":"105","source":"PubMed","abstract":"The objective of this research was to assess adherence to the Healthy Eating Index-2010 of mothers and their adolescents (11-14 years old) and to examine the role of the home environment as a mediator of maternal nutrition knowledge and adolescent diet quality. It is hypothesized that mothers with greater knowledge impact the diet quality of their adolescents by creation of healthier home environments. A sample of 206 mother-adolescent dyads separately completed the Multidimensional Home Environment Scale, a Food Frequency Questionnaire, and a Nutrition Knowledge Scale. Body mass index-for-age percentiles were derived from weight and height measurements obtained by researcher; diet quality was estimated via the Healthy Eating Index (HEI)-2010. Percent of maximum score on nutrition knowledge for both mothers and adolescents were poor, with lowest scores on recommendations of healthy eating and physical activity (48% and 19%, respectively). A model of maternal nutrition knowledge (independent variable) and adolescent diet quality (dependent variable) indicated that greater knowledge was associated with higher scores on total fruit (p = 0.02), whole grains (p = 0.05), seafood and plant proteins (p = 0.01), and overall diet quality (p &lt; 0.01), as well as lower scores on empty calories (p = 0.01). Inclusion of the home environment as a mediator yielded significant estimates of the indirect effect (β = 0.61, 95% CI: 0.3-1.0). Within the home environment, psychological (β = 0.46), social (β = 0.23), and environmental (β = 0.65) variables were all significant mediators of nutrition knowledge on diet quality. These results emphasize the importance of maternal nutrition knowledge and the mediating effect of the home environment on the diet quality of adolescents.","DOI":"10.1016/j.appet.2016.05.002","ISSN":"1095-8304","note":"PMID: 27170447","shortTitle":"The home environment","journalAbbreviation":"Appetite","language":"eng","author":[{"family":"Tabbakh","given":"Tamara"},{"family":"Freeland-Graves","given":"Jean H."}],"issued":{"date-parts":[["2016",10,1]]},"PMID":"27170447"},"suppress-author":true}],"schema":"https://github.com/citation-style-language/schema/raw/master/csl-citation.json"}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(2016)</w:t>
      </w:r>
      <w:r w:rsidRPr="00E950A8">
        <w:rPr>
          <w:rFonts w:asciiTheme="majorHAnsi" w:hAnsiTheme="majorHAnsi"/>
          <w:sz w:val="24"/>
          <w:szCs w:val="24"/>
          <w:lang w:val="en-US"/>
        </w:rPr>
        <w:fldChar w:fldCharType="end"/>
      </w:r>
      <w:r w:rsidRPr="00064DA0">
        <w:rPr>
          <w:rFonts w:asciiTheme="majorHAnsi" w:hAnsiTheme="majorHAnsi"/>
          <w:sz w:val="24"/>
          <w:szCs w:val="24"/>
          <w:lang w:val="en-US"/>
        </w:rPr>
        <w:t xml:space="preserve"> measured</w:t>
      </w:r>
      <w:r w:rsidRPr="00E950A8">
        <w:rPr>
          <w:rFonts w:asciiTheme="majorHAnsi" w:hAnsiTheme="majorHAnsi"/>
          <w:sz w:val="24"/>
          <w:szCs w:val="24"/>
          <w:lang w:val="en-US"/>
        </w:rPr>
        <w:t xml:space="preserve"> maternal nutrition knowledge based on awareness of nutrient contents and dietary recommendations, finding a positive association with adolescents’ dietary quality and a negative association with adolescents’ body mass index.</w:t>
      </w:r>
    </w:p>
    <w:p w14:paraId="37C81E38" w14:textId="77777777" w:rsidR="008A5C7B" w:rsidRPr="00E950A8" w:rsidRDefault="008A5C7B" w:rsidP="008A5C7B">
      <w:pPr>
        <w:spacing w:line="480" w:lineRule="auto"/>
        <w:ind w:firstLine="709"/>
        <w:jc w:val="both"/>
        <w:rPr>
          <w:rFonts w:asciiTheme="majorHAnsi" w:hAnsiTheme="majorHAnsi"/>
          <w:sz w:val="24"/>
          <w:szCs w:val="24"/>
          <w:lang w:val="en-US"/>
        </w:rPr>
      </w:pPr>
      <w:r w:rsidRPr="00E950A8">
        <w:rPr>
          <w:rFonts w:asciiTheme="majorHAnsi" w:hAnsiTheme="majorHAnsi"/>
          <w:sz w:val="24"/>
          <w:szCs w:val="24"/>
          <w:lang w:val="en-US"/>
        </w:rPr>
        <w:t xml:space="preserve">Here, we contribute to this literature by analyzing associations between different types of maternal nutrition knowledge and older children’s nutritional status in a developing country. We use primary survey data collected in urban Kenya in 2012 and 2015. Specifically, we aim to answer the following two research questions: (1) </w:t>
      </w:r>
      <w:proofErr w:type="gramStart"/>
      <w:r w:rsidRPr="00E950A8">
        <w:rPr>
          <w:rFonts w:asciiTheme="majorHAnsi" w:hAnsiTheme="majorHAnsi"/>
          <w:sz w:val="24"/>
          <w:szCs w:val="24"/>
          <w:lang w:val="en-US"/>
        </w:rPr>
        <w:t>Is</w:t>
      </w:r>
      <w:proofErr w:type="gramEnd"/>
      <w:r w:rsidRPr="00E950A8">
        <w:rPr>
          <w:rFonts w:asciiTheme="majorHAnsi" w:hAnsiTheme="majorHAnsi"/>
          <w:sz w:val="24"/>
          <w:szCs w:val="24"/>
          <w:lang w:val="en-US"/>
        </w:rPr>
        <w:t xml:space="preserve"> maternal nutrition knowledge positively associated with height-for-age Z-score (HAZ) of children </w:t>
      </w:r>
      <w:r w:rsidRPr="00E950A8">
        <w:rPr>
          <w:rFonts w:asciiTheme="majorHAnsi" w:hAnsiTheme="majorHAnsi"/>
          <w:sz w:val="24"/>
          <w:szCs w:val="24"/>
          <w:lang w:val="en-US"/>
        </w:rPr>
        <w:lastRenderedPageBreak/>
        <w:t xml:space="preserve">and adolescents? (2) Do different types of maternal nutrition knowledge </w:t>
      </w:r>
      <w:r>
        <w:rPr>
          <w:rFonts w:asciiTheme="majorHAnsi" w:hAnsiTheme="majorHAnsi"/>
          <w:sz w:val="24"/>
          <w:szCs w:val="24"/>
          <w:lang w:val="en-US"/>
        </w:rPr>
        <w:t>produce</w:t>
      </w:r>
      <w:r w:rsidRPr="00E950A8">
        <w:rPr>
          <w:rFonts w:asciiTheme="majorHAnsi" w:hAnsiTheme="majorHAnsi"/>
          <w:sz w:val="24"/>
          <w:szCs w:val="24"/>
          <w:lang w:val="en-US"/>
        </w:rPr>
        <w:t xml:space="preserve"> dissimilar results? </w:t>
      </w:r>
    </w:p>
    <w:p w14:paraId="133C0F5B" w14:textId="77777777" w:rsidR="008A5C7B" w:rsidRPr="00E950A8" w:rsidRDefault="008A5C7B" w:rsidP="008A5C7B">
      <w:pPr>
        <w:spacing w:line="480" w:lineRule="auto"/>
        <w:ind w:firstLine="709"/>
        <w:jc w:val="both"/>
        <w:rPr>
          <w:rFonts w:asciiTheme="majorHAnsi" w:hAnsiTheme="majorHAnsi"/>
          <w:sz w:val="24"/>
          <w:szCs w:val="24"/>
          <w:lang w:val="en-US"/>
        </w:rPr>
      </w:pPr>
      <w:r w:rsidRPr="00E950A8">
        <w:rPr>
          <w:rFonts w:asciiTheme="majorHAnsi" w:hAnsiTheme="majorHAnsi"/>
          <w:sz w:val="24"/>
          <w:szCs w:val="24"/>
          <w:lang w:val="en-US"/>
        </w:rPr>
        <w:t xml:space="preserve">Kenya is an interesting example for this type of research because malnutrition in all its forms is prevalent. Especially in urban areas, traditional diets are increasingly shifting towards more processed foods, which was shown to contribute to overweight and obesity among adults (Rischke et al., 2015; Kimenju et al., 2015). At the same time, rates of stunting remain relatively high among children and adolescents. The coexistence of different </w:t>
      </w:r>
      <w:r>
        <w:rPr>
          <w:rFonts w:asciiTheme="majorHAnsi" w:hAnsiTheme="majorHAnsi"/>
          <w:sz w:val="24"/>
          <w:szCs w:val="24"/>
          <w:lang w:val="en-US"/>
        </w:rPr>
        <w:t>forms</w:t>
      </w:r>
      <w:r w:rsidRPr="00E950A8">
        <w:rPr>
          <w:rFonts w:asciiTheme="majorHAnsi" w:hAnsiTheme="majorHAnsi"/>
          <w:sz w:val="24"/>
          <w:szCs w:val="24"/>
          <w:lang w:val="en-US"/>
        </w:rPr>
        <w:t xml:space="preserve"> of malnutrition in the same setting and the same households is common also in other parts of Africa. In such situations, it is especially important to better understand the role of nutrition knowledge. This can help to design more effective food and nutrition policies.</w:t>
      </w:r>
    </w:p>
    <w:p w14:paraId="0225D4B4" w14:textId="77777777" w:rsidR="008A5C7B" w:rsidRPr="00E950A8" w:rsidRDefault="008A5C7B" w:rsidP="008A5C7B">
      <w:pPr>
        <w:spacing w:line="480" w:lineRule="auto"/>
        <w:ind w:firstLine="709"/>
        <w:jc w:val="both"/>
        <w:rPr>
          <w:rFonts w:asciiTheme="majorHAnsi" w:hAnsiTheme="majorHAnsi"/>
          <w:sz w:val="24"/>
          <w:szCs w:val="24"/>
          <w:lang w:val="en-US"/>
        </w:rPr>
      </w:pPr>
    </w:p>
    <w:p w14:paraId="005DAB2D" w14:textId="77777777" w:rsidR="008A5C7B" w:rsidRPr="00A254F5" w:rsidRDefault="008A5C7B" w:rsidP="007C3E2A">
      <w:pPr>
        <w:pStyle w:val="berschrift1"/>
        <w:rPr>
          <w:lang w:val="en-US"/>
        </w:rPr>
      </w:pPr>
      <w:r w:rsidRPr="00A254F5">
        <w:rPr>
          <w:lang w:val="en-US"/>
        </w:rPr>
        <w:t>Materials and Methods</w:t>
      </w:r>
    </w:p>
    <w:p w14:paraId="247C9027" w14:textId="77777777" w:rsidR="008A5C7B" w:rsidRPr="00A254F5" w:rsidRDefault="008A5C7B" w:rsidP="007C3E2A">
      <w:pPr>
        <w:pStyle w:val="berschrift2"/>
        <w:rPr>
          <w:lang w:val="en-US"/>
        </w:rPr>
      </w:pPr>
      <w:r w:rsidRPr="00A254F5">
        <w:rPr>
          <w:lang w:val="en-US"/>
        </w:rPr>
        <w:t>Conceptual Framework</w:t>
      </w:r>
    </w:p>
    <w:p w14:paraId="59B2F87C" w14:textId="77777777" w:rsidR="008A5C7B" w:rsidRPr="00E950A8" w:rsidRDefault="008A5C7B" w:rsidP="008A5C7B">
      <w:pPr>
        <w:spacing w:line="480" w:lineRule="auto"/>
        <w:jc w:val="both"/>
        <w:rPr>
          <w:rFonts w:asciiTheme="majorHAnsi" w:hAnsiTheme="majorHAnsi"/>
          <w:sz w:val="24"/>
          <w:szCs w:val="24"/>
          <w:lang w:val="en-US"/>
        </w:rPr>
      </w:pPr>
      <w:r w:rsidRPr="00E950A8">
        <w:rPr>
          <w:rFonts w:asciiTheme="majorHAnsi" w:hAnsiTheme="majorHAnsi"/>
          <w:sz w:val="24"/>
          <w:szCs w:val="24"/>
          <w:lang w:val="en-US"/>
        </w:rPr>
        <w:t xml:space="preserve">Theoretical and empirical research suggests that maternal nutrition knowledge is necessary but not sufficient for healthy child nutrition and for inducing related behavioral change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{"citationID":"KWys4pq4","properties":{"formattedCitation":"(e.g. Contento, 2008; Hawkes et al., 2015)","plainCitation":"(e.g. Contento, 2008; Hawkes et al., 2015)"},"citationItems":[{"id":1033,"uris":["http://zotero.org/groups/698231/items/TBICTSM6"],"uri":["http://zotero.org/groups/698231/items/TBICTSM6"],"itemData":{"id":1033,"type":"article-journal","title":"Nutrition education: linking research, theory, and practice","container-title":"Asia Pacific Journal of Clinical Nutrition","page":"176-179","volume":"17 Suppl 1","source":"PubMed","abstract":"The increase in obesity and chronic diseases such as diabetes and heart disease worldwide reflects the complex interactions of biology, personal behaviour and environment. Consequently there has been a greater recognition of the importance of nutrition education. An analysis of the evidence from 300+ studies shows that nutrition education is more likely to be effective when it focuses on behaviour/ action (rather than knowledge only) and systematically links theory, research and practice. There are three essential components to nutrition education: 1. A motivational component, where the goal is to increase awareness and enhance motivation by addressing beliefs, attitudes through effective communication strategies. 2. An action component, where the goal is to facilitate people's ability to take action through goal setting and cognitive self-regulation skills. 3. An environmental component, where nutrition educators work with policymakers and others to promote environmental supports for action. Each component needs to be based on appropriate theory and research. The procedure for program design can use the logic model: Inputs are the resources needed as well as the needs analysis process. The outputs are the activities within the three components of nutrition education described above. Here the behavioural focus is selected and theory and research are used to design appropriate educational strategies to achieve the targeted behaviours. The outcomes are the short, medium or long-term impacts of the nutrition program. These are evaluated through the use of appropriate designs and instruments. Nutrition education programs that link research, theory, and practice are more likely to be effective.","ISSN":"0964-7058","note":"PMID: 18296331","shortTitle":"Nutrition education","journalAbbreviation":"Asia Pac J Clin Nutr","language":"eng","author":[{"family":"Contento","given":"Isobel R."}],"issued":{"date-parts":[["2008"]]},"PMID":"18296331"},"prefix":"e.g. "},{"id":790,"uris":["http://zotero.org/users/1894029/items/DKQSJBNQ"],"uri":["http://zotero.org/users/1894029/items/DKQSJBNQ"],"itemData":{"id":790,"type":"article-journal","title":"Smart food policies for obesity prevention","container-title":"The Lancet","page":"2410-2421","volume":"385","issue":"9985","source":"ScienceDirect","abstract":"Summary\nPrevention of obesity requires policies that work. In this Series paper, we propose a new way to understand how food policies could be made to work more effectively for obesity prevention. Our approach draws on evidence from a range of disciplines (psychology, economics, and public health nutrition) to develop a theory of change to understand how food policies work. We focus on one of the key determinants of obesity: diet. The evidence we review suggests that the interaction between human food preferences and the environment in which those preferences are learned, expressed, and reassessed has a central role. We identify four mechanisms through which food policies can affect diet: providing an enabling environment for learning of healthy preferences, overcoming barriers to the expression of healthy preferences, encouraging people to reassess existing unhealthy preferences at the point-of-purchase, and stimulating a food-systems response. We explore how actions in three specific policy areas (school settings, economic instruments, and nutrition labelling) work through these mechanisms, and draw implications for more effective policy design. We find that effective food-policy actions are those that lead to positive changes to food, social, and information environments and the systems that underpin them. Effective food-policy actions are tailored to the preference, behavioural, socioeconomic, and demographic characteristics of the people they seek to support, are designed to work through the mechanisms through which they have greatest effect, and are implemented as part of a combination of mutually reinforcing actions. Moving forward, priorities should include comprehensive policy actions that create an enabling environment for infants and children to learn healthy food preferences and targeted actions that enable disadvantaged populations to overcome barriers to meeting healthy preferences. Policy assessments should be carefully designed on the basis of a theory of change, using indicators of progress along the various pathways towards the long-term goal of reducing obesity rates.","DOI":"10.1016/S0140-6736(14)61745-1","ISSN":"0140-6736","journalAbbreviation":"The Lancet","author":[{"family":"Hawkes","given":"Corinna"},{"family":"Smith","given":"Trenton G"},{"family":"Jewell","given":"Jo"},{"family":"Wardle","given":"Jane"},{"family":"Hammond","given":"Ross A"},{"family":"Friel","given":"Sharon"},{"family":"Thow","given":"Anne Marie"},{"family":"Kain","given":"Juliana"}],"issued":{"date-parts":[["2015",6,19]]}}}],"schema":"https://github.com/citation-style-language/schema/raw/master/csl-citation.json"} </w:instrText>
      </w:r>
      <w:r w:rsidRPr="00064DA0">
        <w:rPr>
          <w:rFonts w:asciiTheme="majorHAnsi" w:hAnsiTheme="majorHAnsi"/>
          <w:sz w:val="24"/>
          <w:szCs w:val="24"/>
          <w:lang w:val="en-US"/>
        </w:rPr>
        <w:fldChar w:fldCharType="separate"/>
      </w:r>
      <w:r w:rsidRPr="00064DA0">
        <w:rPr>
          <w:rFonts w:ascii="Cambria" w:hAnsi="Cambria"/>
          <w:sz w:val="24"/>
          <w:lang w:val="en-US"/>
        </w:rPr>
        <w:t>(e.g. Contento, 2008; Hawkes et al., 2015)</w:t>
      </w:r>
      <w:r w:rsidRPr="00064DA0">
        <w:rPr>
          <w:rFonts w:asciiTheme="majorHAnsi" w:hAnsiTheme="majorHAnsi"/>
          <w:sz w:val="24"/>
          <w:szCs w:val="24"/>
          <w:lang w:val="en-US"/>
        </w:rPr>
        <w:fldChar w:fldCharType="end"/>
      </w:r>
      <w:r w:rsidRPr="00064DA0">
        <w:rPr>
          <w:rFonts w:asciiTheme="majorHAnsi" w:hAnsiTheme="majorHAnsi"/>
          <w:sz w:val="24"/>
          <w:szCs w:val="24"/>
          <w:lang w:val="en-US"/>
        </w:rPr>
        <w:t>. M</w:t>
      </w:r>
      <w:r w:rsidRPr="00E950A8">
        <w:rPr>
          <w:rFonts w:asciiTheme="majorHAnsi" w:hAnsiTheme="majorHAnsi"/>
          <w:sz w:val="24"/>
          <w:szCs w:val="24"/>
          <w:lang w:val="en-US"/>
        </w:rPr>
        <w:t xml:space="preserve">others are particularly important for nutritional outcomes of </w:t>
      </w:r>
      <w:r>
        <w:rPr>
          <w:rFonts w:asciiTheme="majorHAnsi" w:hAnsiTheme="majorHAnsi"/>
          <w:sz w:val="24"/>
          <w:szCs w:val="24"/>
          <w:lang w:val="en-US"/>
        </w:rPr>
        <w:t xml:space="preserve">children and other </w:t>
      </w:r>
      <w:r w:rsidRPr="00E950A8">
        <w:rPr>
          <w:rFonts w:asciiTheme="majorHAnsi" w:hAnsiTheme="majorHAnsi"/>
          <w:sz w:val="24"/>
          <w:szCs w:val="24"/>
          <w:lang w:val="en-US"/>
        </w:rPr>
        <w:t xml:space="preserve">household members, because in most situations mothers are primarily responsible for dietary choices and food preparation. </w:t>
      </w:r>
    </w:p>
    <w:p w14:paraId="41F39233" w14:textId="77777777" w:rsidR="008A5C7B" w:rsidRPr="00E950A8"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 xml:space="preserve">There are two main pathways how children can be affected by the nutrition knowledge of their mother. First, the quantity, quality, and diversity of the food prepared in the household, as well as the sanitary practices, influence child nutritional outcomes directly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{"citationID":"o9omgvffr","properties":{"formattedCitation":"(Variyam et al., 1999)","plainCitation":"(Variyam et al., 1999)"},"citationItems":[{"id":876,"uris":["http://zotero.org/groups/698231/items/UT26DT2Q"],"uri":["http://zotero.org/groups/698231/items/UT26DT2Q"],"itemData":{"id":876,"type":"article-journal","title":"Mother's nutrition knowledge and children's dietary intakes","container-title":"American Journal of Agricultural Economics","page":"373-384","volume":"81","issue":"2","source":"ajae.oxfordjournals.org","abstract":"This article uses U.S. food consumption data to examine the effect of maternal nutrition knowledge on the dietary intakes of children between two and seventeen years of age. Results show that maternal knowledge influences children's diets and that such influence decreases as children grow older. Nutrition knowledge acts as a pathway through which maternal education influences children's diets. This finding supports the hypothesis that education affects health-related choices by raising the allocative efficiency of health input use. The results suggest that nutrition education may be more effective if targeted both toward mothers with young children and directly toward school-age children.","DOI":"10.2307/1244588","ISSN":"0002-9092, 1467-8276","journalAbbreviation":"Am. J. Agr. Econ.","language":"en","author":[{"family":"Variyam","given":"Jayachandran N."},{"family":"Blaylock","given":"James"},{"family":"Lin","given":"Biing-Hwan"},{"family":"Ralston","given":"Katherine"},{"family":"Smallwood","given":"David"}],"issued":{"date-parts":[["1999",1,5]]}}}],"schema":"https://github.com/citation-style-language/schema/raw/master/csl-citation.json"} </w:instrText>
      </w:r>
      <w:r w:rsidRPr="00064DA0">
        <w:rPr>
          <w:rFonts w:asciiTheme="majorHAnsi" w:hAnsiTheme="majorHAnsi"/>
          <w:sz w:val="24"/>
          <w:szCs w:val="24"/>
          <w:lang w:val="en-US"/>
        </w:rPr>
        <w:fldChar w:fldCharType="separate"/>
      </w:r>
      <w:r w:rsidRPr="00064DA0">
        <w:rPr>
          <w:rFonts w:ascii="Cambria" w:hAnsi="Cambria"/>
          <w:sz w:val="24"/>
          <w:lang w:val="en-US"/>
        </w:rPr>
        <w:t>(Variyam et al., 1999</w:t>
      </w:r>
      <w:r>
        <w:rPr>
          <w:rFonts w:ascii="Cambria" w:hAnsi="Cambria"/>
          <w:sz w:val="24"/>
          <w:lang w:val="en-US"/>
        </w:rPr>
        <w:t>;Campbell et al., 2013</w:t>
      </w:r>
      <w:r w:rsidRPr="00064DA0">
        <w:rPr>
          <w:rFonts w:ascii="Cambria" w:hAnsi="Cambria"/>
          <w:sz w:val="24"/>
          <w:lang w:val="en-US"/>
        </w:rPr>
        <w:t>)</w:t>
      </w:r>
      <w:r w:rsidRPr="00064DA0">
        <w:rPr>
          <w:rFonts w:asciiTheme="majorHAnsi" w:hAnsiTheme="majorHAnsi"/>
          <w:sz w:val="24"/>
          <w:szCs w:val="24"/>
          <w:lang w:val="en-US"/>
        </w:rPr>
        <w:fldChar w:fldCharType="end"/>
      </w:r>
      <w:r w:rsidRPr="00064DA0">
        <w:rPr>
          <w:rFonts w:asciiTheme="majorHAnsi" w:hAnsiTheme="majorHAnsi"/>
          <w:sz w:val="24"/>
          <w:szCs w:val="24"/>
          <w:lang w:val="en-US"/>
        </w:rPr>
        <w:t xml:space="preserve">. Second, the dietary and sanitary practices observed and experienced during childhood can also have an indirect effect </w:t>
      </w:r>
      <w:r w:rsidRPr="00E950A8">
        <w:rPr>
          <w:rFonts w:asciiTheme="majorHAnsi" w:hAnsiTheme="majorHAnsi"/>
          <w:sz w:val="24"/>
          <w:szCs w:val="24"/>
          <w:lang w:val="en-US"/>
        </w:rPr>
        <w:t xml:space="preserve">through </w:t>
      </w:r>
      <w:r>
        <w:rPr>
          <w:rFonts w:asciiTheme="majorHAnsi" w:hAnsiTheme="majorHAnsi"/>
          <w:sz w:val="24"/>
          <w:szCs w:val="24"/>
          <w:lang w:val="en-US"/>
        </w:rPr>
        <w:t>forming</w:t>
      </w:r>
      <w:r w:rsidRPr="00E950A8">
        <w:rPr>
          <w:rFonts w:asciiTheme="majorHAnsi" w:hAnsiTheme="majorHAnsi"/>
          <w:sz w:val="24"/>
          <w:szCs w:val="24"/>
          <w:lang w:val="en-US"/>
        </w:rPr>
        <w:t xml:space="preserve"> attitudes towards nutrition and health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{"citationID":"J5CCw3YA","properties":{"formattedCitation":"{\\rtf (Yabanc\\uc0\\u305{} et al., 2014)}","plainCitation":"(Yabancı et al., 2014)"},"citationItems":[{"id":995,"uris":["http://zotero.org/groups/698231/items/A5G43ATM"],"uri":["http://zotero.org/groups/698231/items/A5G43ATM"],"itemData":{"id":995,"type":"article-journal","title":"The effects of mother's nutritional knowledge on attitudes and behaviors of children about nutrition","container-title":"Procedia - Social and Behavioral Sciences","collection-title":"5th World Conference on Educational Sciences","page":"4477-4481","volume":"116","source":"ScienceDirect","abstract":"Purpose of this study to determine the effects of mother's nutritional knowledge on attitudes and behaviors children about nutrition. This study was carried out 132 boys and 170 girls, total 302 mothers of the students in Ankara, Turkey. The inventory was given to the mothers to determine their nutritional knowledge and attitudes and behaviors about their children's nutrition. Results indicated that many of the mothers who have higher nutritional knowledge level and their children have normal weight. The mothers who have higher level nutritional knowledge feed their children more with vegetable, fruit, legumes, and less sugared drinks such as pops, juice and fast foods than the mothers who have lower level of nutritional knowledge. Also, higher nutritional knowledge level mothers avoid giving the foods which contains artificial to their children, and believe more the knowledge about nutrition-health. Mothers’ nutrition knowledge level affects children's eating habits.","DOI":"10.1016/j.sbspro.2014.01.970","ISSN":"1877-0428","journalAbbreviation":"Procedia - Social and Behavioral Sciences","author":[{"family":"Yabancı","given":"Nurcan"},{"family":"Kısaç","given":"İbrahim"},{"family":"Karakuş","given":"Suzan Şeren"}],"issued":{"date-parts":[["2014",2,21]]}},"suppress-author":true,"prefix":"Yabancı et al.,"}],"schema":"https://github.com/citation-style-language/schema/raw/master/csl-citation.json"} </w:instrText>
      </w:r>
      <w:r w:rsidRPr="00064DA0">
        <w:rPr>
          <w:rFonts w:asciiTheme="majorHAnsi" w:hAnsiTheme="majorHAnsi"/>
          <w:sz w:val="24"/>
          <w:szCs w:val="24"/>
          <w:lang w:val="en-US"/>
        </w:rPr>
        <w:fldChar w:fldCharType="separate"/>
      </w:r>
      <w:r w:rsidRPr="00064DA0">
        <w:rPr>
          <w:rFonts w:ascii="Cambria" w:hAnsi="Cambria" w:cs="Times New Roman"/>
          <w:sz w:val="24"/>
          <w:szCs w:val="24"/>
          <w:lang w:val="en-US"/>
        </w:rPr>
        <w:t>(</w:t>
      </w:r>
      <w:r w:rsidRPr="00064DA0">
        <w:rPr>
          <w:rFonts w:ascii="Cambria" w:hAnsi="Cambria"/>
          <w:sz w:val="24"/>
          <w:lang w:val="en-US"/>
        </w:rPr>
        <w:t>Hoddinott et al., 2016</w:t>
      </w:r>
      <w:r w:rsidRPr="00E950A8">
        <w:rPr>
          <w:rFonts w:ascii="Cambria" w:hAnsi="Cambria"/>
          <w:sz w:val="24"/>
          <w:lang w:val="en-US"/>
        </w:rPr>
        <w:t xml:space="preserve">; </w:t>
      </w:r>
      <w:r w:rsidRPr="00E950A8">
        <w:rPr>
          <w:rFonts w:ascii="Cambria" w:hAnsi="Cambria" w:cs="Times New Roman"/>
          <w:sz w:val="24"/>
          <w:szCs w:val="24"/>
          <w:lang w:val="en-US"/>
        </w:rPr>
        <w:t xml:space="preserve">Yabancı et </w:t>
      </w:r>
      <w:r w:rsidRPr="00E950A8">
        <w:rPr>
          <w:rFonts w:ascii="Cambria" w:hAnsi="Cambria" w:cs="Times New Roman"/>
          <w:sz w:val="24"/>
          <w:szCs w:val="24"/>
          <w:lang w:val="en-US"/>
        </w:rPr>
        <w:lastRenderedPageBreak/>
        <w:t>al., 2014</w:t>
      </w:r>
      <w:r>
        <w:rPr>
          <w:rFonts w:ascii="Cambria" w:hAnsi="Cambria" w:cs="Times New Roman"/>
          <w:sz w:val="24"/>
          <w:szCs w:val="24"/>
          <w:lang w:val="en-US"/>
        </w:rPr>
        <w:t>;Vereecken and Maes, 2010</w:t>
      </w:r>
      <w:r w:rsidRPr="00E950A8">
        <w:rPr>
          <w:rFonts w:ascii="Cambria" w:hAnsi="Cambria" w:cs="Times New Roman"/>
          <w:sz w:val="24"/>
          <w:szCs w:val="24"/>
          <w:lang w:val="en-US"/>
        </w:rPr>
        <w:t>)</w:t>
      </w:r>
      <w:r w:rsidRPr="00064DA0">
        <w:rPr>
          <w:rFonts w:asciiTheme="majorHAnsi" w:hAnsiTheme="majorHAnsi"/>
          <w:sz w:val="24"/>
          <w:szCs w:val="24"/>
          <w:lang w:val="en-US"/>
        </w:rPr>
        <w:fldChar w:fldCharType="end"/>
      </w:r>
      <w:r w:rsidRPr="00064DA0">
        <w:rPr>
          <w:rFonts w:asciiTheme="majorHAnsi" w:hAnsiTheme="majorHAnsi"/>
          <w:sz w:val="24"/>
          <w:szCs w:val="24"/>
          <w:lang w:val="en-US"/>
        </w:rPr>
        <w:t xml:space="preserve">. Attitudes </w:t>
      </w:r>
      <w:r>
        <w:rPr>
          <w:rFonts w:asciiTheme="majorHAnsi" w:hAnsiTheme="majorHAnsi"/>
          <w:sz w:val="24"/>
          <w:szCs w:val="24"/>
          <w:lang w:val="en-US"/>
        </w:rPr>
        <w:t xml:space="preserve">developed during childhood </w:t>
      </w:r>
      <w:r w:rsidRPr="00064DA0">
        <w:rPr>
          <w:rFonts w:asciiTheme="majorHAnsi" w:hAnsiTheme="majorHAnsi"/>
          <w:sz w:val="24"/>
          <w:szCs w:val="24"/>
          <w:lang w:val="en-US"/>
        </w:rPr>
        <w:t xml:space="preserve">are known to affect own </w:t>
      </w:r>
      <w:r w:rsidRPr="00E950A8">
        <w:rPr>
          <w:rFonts w:asciiTheme="majorHAnsi" w:hAnsiTheme="majorHAnsi"/>
          <w:sz w:val="24"/>
          <w:szCs w:val="24"/>
          <w:lang w:val="en-US"/>
        </w:rPr>
        <w:t xml:space="preserve">dietary practices in later life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{"citationID":"oKOMJSNT","properties":{"formattedCitation":"(Kigaru et al., 2015)","plainCitation":"(Kigaru et al., 2015)"},"citationItems":[{"id":998,"uris":["http://zotero.org/groups/698231/items/8S2SWTDW"],"uri":["http://zotero.org/groups/698231/items/8S2SWTDW"],"itemData":{"id":998,"type":"article-journal","title":"Nutrition knowledge, attitude and practices among urban primary school children in Nairobi City, Kenya: a KAP study","container-title":"BMC Nutrition","page":"1-44","volume":"1","issue":"1","source":"CrossRef","ISSN":"2055-0928","shortTitle":"Nutrition knowledge, attitude and practices among urban primary school children in Nairobi City, Kenya","language":"en","author":[{"family":"Kigaru","given":"Dorcus Mbithe D."},{"family":"Loechl","given":"Cornelia"},{"family":"Moleah","given":"Thabisile"},{"family":"Macharia-Mutie","given":"C. W."},{"family":"Ndungu","given":"Zipporah W."}],"issued":{"date-parts":[["2015",12]]}},"suppress-author":true,"prefix":"Kigaru et al., "}],"schema":"https://github.com/citation-style-language/schema/raw/master/csl-citation.json"} </w:instrText>
      </w:r>
      <w:r w:rsidRPr="00064DA0">
        <w:rPr>
          <w:rFonts w:asciiTheme="majorHAnsi" w:hAnsiTheme="majorHAnsi"/>
          <w:sz w:val="24"/>
          <w:szCs w:val="24"/>
          <w:lang w:val="en-US"/>
        </w:rPr>
        <w:fldChar w:fldCharType="separate"/>
      </w:r>
      <w:r w:rsidRPr="00064DA0">
        <w:rPr>
          <w:rFonts w:ascii="Cambria" w:hAnsi="Cambria"/>
          <w:sz w:val="24"/>
          <w:lang w:val="en-US"/>
        </w:rPr>
        <w:t>(Kigaru et al., 2015)</w:t>
      </w:r>
      <w:r w:rsidRPr="00064DA0">
        <w:rPr>
          <w:rFonts w:asciiTheme="majorHAnsi" w:hAnsiTheme="majorHAnsi"/>
          <w:sz w:val="24"/>
          <w:szCs w:val="24"/>
          <w:lang w:val="en-US"/>
        </w:rPr>
        <w:fldChar w:fldCharType="end"/>
      </w:r>
      <w:r w:rsidRPr="00064DA0">
        <w:rPr>
          <w:rFonts w:asciiTheme="majorHAnsi" w:hAnsiTheme="majorHAnsi"/>
          <w:sz w:val="24"/>
          <w:szCs w:val="24"/>
          <w:lang w:val="en-US"/>
        </w:rPr>
        <w:t xml:space="preserve">. This already starts with older children and adolescents making their own </w:t>
      </w:r>
      <w:r w:rsidRPr="00E950A8">
        <w:rPr>
          <w:rFonts w:asciiTheme="majorHAnsi" w:hAnsiTheme="majorHAnsi"/>
          <w:sz w:val="24"/>
          <w:szCs w:val="24"/>
          <w:lang w:val="en-US"/>
        </w:rPr>
        <w:t>choices for food consumed away from home. Against this background it is very plausible that different types of maternal nutrition knowledge can have different effects on child nutrition.</w:t>
      </w:r>
    </w:p>
    <w:p w14:paraId="383C909C" w14:textId="77777777" w:rsidR="008A5C7B" w:rsidRPr="00064DA0" w:rsidRDefault="008A5C7B" w:rsidP="008A5C7B">
      <w:pPr>
        <w:spacing w:line="480" w:lineRule="auto"/>
        <w:ind w:firstLine="708"/>
        <w:jc w:val="both"/>
        <w:rPr>
          <w:rFonts w:asciiTheme="majorHAnsi" w:hAnsiTheme="majorHAnsi"/>
          <w:sz w:val="24"/>
          <w:szCs w:val="24"/>
          <w:lang w:val="en-US"/>
        </w:rPr>
      </w:pPr>
      <w:r w:rsidRPr="00064DA0">
        <w:rPr>
          <w:rFonts w:asciiTheme="majorHAnsi" w:hAnsiTheme="majorHAnsi"/>
          <w:sz w:val="24"/>
          <w:szCs w:val="24"/>
          <w:lang w:val="en-US"/>
        </w:rPr>
        <w:t>Household and contextua</w:t>
      </w:r>
      <w:r w:rsidRPr="00E950A8">
        <w:rPr>
          <w:rFonts w:asciiTheme="majorHAnsi" w:hAnsiTheme="majorHAnsi"/>
          <w:sz w:val="24"/>
          <w:szCs w:val="24"/>
          <w:lang w:val="en-US"/>
        </w:rPr>
        <w:t xml:space="preserve">l variables – such as living standard and food environment – can influence maternal nutrition knowledge and also child nutritional outcomes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{"citationID":"1g3pqql5da","properties":{"formattedCitation":"(Hawkes et al., 2015)","plainCitation":"(Hawkes et al., 2015)"},"citationItems":[{"id":790,"uris":["http://zotero.org/users/1894029/items/DKQSJBNQ"],"uri":["http://zotero.org/users/1894029/items/DKQSJBNQ"],"itemData":{"id":790,"type":"article-journal","title":"Smart food policies for obesity prevention","container-title":"The Lancet","page":"2410-2421","volume":"385","issue":"9985","source":"ScienceDirect","abstract":"Summary\nPrevention of obesity requires policies that work. In this Series paper, we propose a new way to understand how food policies could be made to work more effectively for obesity prevention. Our approach draws on evidence from a range of disciplines (psychology, economics, and public health nutrition) to develop a theory of change to understand how food policies work. We focus on one of the key determinants of obesity: diet. The evidence we review suggests that the interaction between human food preferences and the environment in which those preferences are learned, expressed, and reassessed has a central role. We identify four mechanisms through which food policies can affect diet: providing an enabling environment for learning of healthy preferences, overcoming barriers to the expression of healthy preferences, encouraging people to reassess existing unhealthy preferences at the point-of-purchase, and stimulating a food-systems response. We explore how actions in three specific policy areas (school settings, economic instruments, and nutrition labelling) work through these mechanisms, and draw implications for more effective policy design. We find that effective food-policy actions are those that lead to positive changes to food, social, and information environments and the systems that underpin them. Effective food-policy actions are tailored to the preference, behavioural, socioeconomic, and demographic characteristics of the people they seek to support, are designed to work through the mechanisms through which they have greatest effect, and are implemented as part of a combination of mutually reinforcing actions. Moving forward, priorities should include comprehensive policy actions that create an enabling environment for infants and children to learn healthy food preferences and targeted actions that enable disadvantaged populations to overcome barriers to meeting healthy preferences. Policy assessments should be carefully designed on the basis of a theory of change, using indicators of progress along the various pathways towards the long-term goal of reducing obesity rates.","DOI":"10.1016/S0140-6736(14)61745-1","ISSN":"0140-6736","journalAbbreviation":"The Lancet","author":[{"family":"Hawkes","given":"Corinna"},{"family":"Smith","given":"Trenton G"},{"family":"Jewell","given":"Jo"},{"family":"Wardle","given":"Jane"},{"family":"Hammond","given":"Ross A"},{"family":"Friel","given":"Sharon"},{"family":"Thow","given":"Anne Marie"},{"family":"Kain","given":"Juliana"}],"issued":{"date-parts":[["2015",6,19]]}}}],"schema":"https://github.com/citation-style-language/schema/raw/master/csl-citation.json"} </w:instrText>
      </w:r>
      <w:r w:rsidRPr="00064DA0">
        <w:rPr>
          <w:rFonts w:asciiTheme="majorHAnsi" w:hAnsiTheme="majorHAnsi"/>
          <w:sz w:val="24"/>
          <w:szCs w:val="24"/>
          <w:lang w:val="en-US"/>
        </w:rPr>
        <w:fldChar w:fldCharType="separate"/>
      </w:r>
      <w:r w:rsidRPr="00064DA0">
        <w:rPr>
          <w:rFonts w:ascii="Cambria" w:hAnsi="Cambria"/>
          <w:sz w:val="24"/>
          <w:lang w:val="en-US"/>
        </w:rPr>
        <w:t>(Hawkes et al., 2015)</w:t>
      </w:r>
      <w:r w:rsidRPr="00064DA0">
        <w:rPr>
          <w:rFonts w:asciiTheme="majorHAnsi" w:hAnsiTheme="majorHAnsi"/>
          <w:sz w:val="24"/>
          <w:szCs w:val="24"/>
          <w:lang w:val="en-US"/>
        </w:rPr>
        <w:fldChar w:fldCharType="end"/>
      </w:r>
      <w:r w:rsidRPr="00064DA0">
        <w:rPr>
          <w:rFonts w:asciiTheme="majorHAnsi" w:hAnsiTheme="majorHAnsi"/>
          <w:sz w:val="24"/>
          <w:szCs w:val="24"/>
          <w:lang w:val="en-US"/>
        </w:rPr>
        <w:t xml:space="preserve">. In our empirical analysis, we control for such factors through </w:t>
      </w:r>
      <w:r w:rsidRPr="00E950A8">
        <w:rPr>
          <w:rFonts w:asciiTheme="majorHAnsi" w:hAnsiTheme="majorHAnsi"/>
          <w:sz w:val="24"/>
          <w:szCs w:val="24"/>
          <w:lang w:val="en-US"/>
        </w:rPr>
        <w:t>including appropriate covariates in regression models. The main nutritional outcome of interest is child HAZ, which measures long-term nutritional outcomes. Maternal nutrition knowledge is expected to influence the nutrition of children and adolescents in the long run.</w:t>
      </w:r>
    </w:p>
    <w:p w14:paraId="06848199" w14:textId="77777777" w:rsidR="008A5C7B" w:rsidRPr="00E950A8" w:rsidRDefault="008A5C7B" w:rsidP="008A5C7B">
      <w:pPr>
        <w:spacing w:line="480" w:lineRule="auto"/>
        <w:jc w:val="both"/>
        <w:rPr>
          <w:rFonts w:asciiTheme="majorHAnsi" w:hAnsiTheme="majorHAnsi"/>
          <w:sz w:val="24"/>
          <w:szCs w:val="24"/>
          <w:lang w:val="en-US"/>
        </w:rPr>
      </w:pPr>
    </w:p>
    <w:p w14:paraId="246C84A7" w14:textId="77777777" w:rsidR="008A5C7B" w:rsidRPr="00A254F5" w:rsidRDefault="008A5C7B" w:rsidP="007C3E2A">
      <w:pPr>
        <w:pStyle w:val="berschrift2"/>
        <w:rPr>
          <w:lang w:val="en-US"/>
        </w:rPr>
      </w:pPr>
      <w:r w:rsidRPr="00A254F5">
        <w:rPr>
          <w:lang w:val="en-US"/>
        </w:rPr>
        <w:t>Study Context and Data</w:t>
      </w:r>
    </w:p>
    <w:p w14:paraId="7229CBBD" w14:textId="77777777" w:rsidR="008A5C7B" w:rsidRPr="00064DA0" w:rsidRDefault="008A5C7B" w:rsidP="008A5C7B">
      <w:pPr>
        <w:spacing w:line="480" w:lineRule="auto"/>
        <w:jc w:val="both"/>
        <w:rPr>
          <w:rFonts w:asciiTheme="majorHAnsi" w:hAnsiTheme="majorHAnsi"/>
          <w:sz w:val="24"/>
          <w:szCs w:val="24"/>
          <w:lang w:val="en-US"/>
        </w:rPr>
      </w:pPr>
      <w:r w:rsidRPr="00E950A8">
        <w:rPr>
          <w:rFonts w:asciiTheme="majorHAnsi" w:hAnsiTheme="majorHAnsi"/>
          <w:sz w:val="24"/>
          <w:szCs w:val="24"/>
          <w:lang w:val="en-US"/>
        </w:rPr>
        <w:t xml:space="preserve">The data for this study were collected in two rounds of a household survey conducted in </w:t>
      </w:r>
      <w:proofErr w:type="gramStart"/>
      <w:r w:rsidRPr="00E950A8">
        <w:rPr>
          <w:rFonts w:asciiTheme="majorHAnsi" w:hAnsiTheme="majorHAnsi"/>
          <w:sz w:val="24"/>
          <w:szCs w:val="24"/>
          <w:lang w:val="en-US"/>
        </w:rPr>
        <w:t>Kenya in 2012 and 2015.</w:t>
      </w:r>
      <w:proofErr w:type="gramEnd"/>
      <w:r w:rsidRPr="00E950A8">
        <w:rPr>
          <w:rFonts w:asciiTheme="majorHAnsi" w:hAnsiTheme="majorHAnsi"/>
          <w:sz w:val="24"/>
          <w:szCs w:val="24"/>
          <w:lang w:val="en-US"/>
        </w:rPr>
        <w:t xml:space="preserve"> Kenya’s child undernutrition rates are high, with 35% of all children being stunted, 7% wasted, and 16 % underweight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{"citationID":"WIqnRCP4","properties":{"formattedCitation":"(Matanda et al., 2014; Ministry of Public Health and Sanitation, 2012)","plainCitation":"(Matanda et al., 2014; Ministry of Public Health and Sanitation, 2012)"},"citationItems":[{"id":1023,"uris":["http://zotero.org/groups/698231/items/VTT59UHW"],"uri":["http://zotero.org/groups/698231/items/VTT59UHW"],"itemData":{"id":1023,"type":"article-journal","title":"Child undernutrition in Kenya: trend analyses from 1993 to 2008–09","container-title":"BMC Pediatrics","page":"1-13","volume":"14","issue":"1","source":"CrossRef","DOI":"10.1186/1471-2431-14-5","ISSN":"1471-2431","shortTitle":"Child undernutrition in Kenya","language":"en","author":[{"family":"Matanda","given":"Dennis J"},{"family":"Mittelmark","given":"Maurice B"},{"family":"Kigaru","given":"Dorcus Mbithe D"}],"issued":{"date-parts":[["2014",12]]}},"suppress-author":true,"prefix":"Matanda et al., "},{"id":1038,"uris":["http://zotero.org/groups/698231/items/HV3E7FWN"],"uri":["http://zotero.org/groups/698231/items/HV3E7FWN"],"itemData":{"id":1038,"type":"book","title":"National Nutrition Action Plan 2012-2017","publisher":"Republic of Kenya","publisher-place":"Nairobi, Kenya","number-of-pages":"78","event-place":"Nairobi, Kenya","editor":[{"family":"Ministry of Public Health and Sanitation","given":""}],"issued":{"date-parts":[["2012"]]}}}],"schema":"https://github.com/citation-style-language/schema/raw/master/csl-citation.json"} </w:instrText>
      </w:r>
      <w:r w:rsidRPr="00064DA0">
        <w:rPr>
          <w:rFonts w:asciiTheme="majorHAnsi" w:hAnsiTheme="majorHAnsi"/>
          <w:sz w:val="24"/>
          <w:szCs w:val="24"/>
          <w:lang w:val="en-US"/>
        </w:rPr>
        <w:fldChar w:fldCharType="separate"/>
      </w:r>
      <w:r w:rsidRPr="00064DA0">
        <w:rPr>
          <w:rFonts w:ascii="Cambria" w:hAnsi="Cambria"/>
          <w:sz w:val="24"/>
          <w:lang w:val="en-US"/>
        </w:rPr>
        <w:t>(Matanda et al., 2014; Ministry of Public Health and Sanitation, 2012)</w:t>
      </w:r>
      <w:r w:rsidRPr="00064DA0">
        <w:rPr>
          <w:rFonts w:asciiTheme="majorHAnsi" w:hAnsiTheme="majorHAnsi"/>
          <w:sz w:val="24"/>
          <w:szCs w:val="24"/>
          <w:lang w:val="en-US"/>
        </w:rPr>
        <w:fldChar w:fldCharType="end"/>
      </w:r>
      <w:r w:rsidRPr="00064DA0">
        <w:rPr>
          <w:rFonts w:asciiTheme="majorHAnsi" w:hAnsiTheme="majorHAnsi"/>
          <w:sz w:val="24"/>
          <w:szCs w:val="24"/>
          <w:lang w:val="en-US"/>
        </w:rPr>
        <w:t xml:space="preserve">. Our research was conducted </w:t>
      </w:r>
      <w:r w:rsidRPr="00E950A8">
        <w:rPr>
          <w:rFonts w:asciiTheme="majorHAnsi" w:hAnsiTheme="majorHAnsi"/>
          <w:sz w:val="24"/>
          <w:szCs w:val="24"/>
          <w:lang w:val="en-US"/>
        </w:rPr>
        <w:t xml:space="preserve">in Central Kenya, where child undernutrition has seen only </w:t>
      </w:r>
      <w:r>
        <w:rPr>
          <w:rFonts w:asciiTheme="majorHAnsi" w:hAnsiTheme="majorHAnsi"/>
          <w:sz w:val="24"/>
          <w:szCs w:val="24"/>
          <w:lang w:val="en-US"/>
        </w:rPr>
        <w:t xml:space="preserve">moderate </w:t>
      </w:r>
      <w:r w:rsidRPr="00E950A8">
        <w:rPr>
          <w:rFonts w:asciiTheme="majorHAnsi" w:hAnsiTheme="majorHAnsi"/>
          <w:sz w:val="24"/>
          <w:szCs w:val="24"/>
          <w:lang w:val="en-US"/>
        </w:rPr>
        <w:t xml:space="preserve">improvement over the last two decades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{"citationID":"eilf58d3k","properties":{"formattedCitation":"(Matanda et al., 2014)","plainCitation":"(Matanda et al., 2014)"},"citationItems":[{"id":1023,"uris":["http://zotero.org/groups/698231/items/VTT59UHW"],"uri":["http://zotero.org/groups/698231/items/VTT59UHW"],"itemData":{"id":1023,"type":"article-journal","title":"Child undernutrition in Kenya: trend analyses from 1993 to 2008–09","container-title":"BMC Pediatrics","page":"1-13","volume":"14","issue":"1","source":"CrossRef","DOI":"10.1186/1471-2431-14-5","ISSN":"1471-2431","shortTitle":"Child undernutrition in Kenya","language":"en","author":[{"family":"Matanda","given":"Dennis J"},{"family":"Mittelmark","given":"Maurice B"},{"family":"Kigaru","given":"Dorcus Mbithe D"}],"issued":{"date-parts":[["2014",12]]}}}],"schema":"https://github.com/citation-style-language/schema/raw/master/csl-citation.json"} </w:instrText>
      </w:r>
      <w:r w:rsidRPr="00064DA0">
        <w:rPr>
          <w:rFonts w:asciiTheme="majorHAnsi" w:hAnsiTheme="majorHAnsi"/>
          <w:sz w:val="24"/>
          <w:szCs w:val="24"/>
          <w:lang w:val="en-US"/>
        </w:rPr>
        <w:fldChar w:fldCharType="separate"/>
      </w:r>
      <w:r w:rsidRPr="00064DA0">
        <w:rPr>
          <w:rFonts w:ascii="Cambria" w:hAnsi="Cambria"/>
          <w:sz w:val="24"/>
          <w:lang w:val="en-US"/>
        </w:rPr>
        <w:t>(Matanda et al., 2014)</w:t>
      </w:r>
      <w:r w:rsidRPr="00064DA0">
        <w:rPr>
          <w:rFonts w:asciiTheme="majorHAnsi" w:hAnsiTheme="majorHAnsi"/>
          <w:sz w:val="24"/>
          <w:szCs w:val="24"/>
          <w:lang w:val="en-US"/>
        </w:rPr>
        <w:fldChar w:fldCharType="end"/>
      </w:r>
      <w:r w:rsidRPr="00064DA0">
        <w:rPr>
          <w:rFonts w:asciiTheme="majorHAnsi" w:hAnsiTheme="majorHAnsi"/>
          <w:sz w:val="24"/>
          <w:szCs w:val="24"/>
          <w:lang w:val="en-US"/>
        </w:rPr>
        <w:t>.</w:t>
      </w:r>
    </w:p>
    <w:p w14:paraId="487A0008" w14:textId="77777777" w:rsidR="008A5C7B" w:rsidRPr="00E950A8" w:rsidRDefault="008A5C7B" w:rsidP="008A5C7B">
      <w:pPr>
        <w:spacing w:line="480" w:lineRule="auto"/>
        <w:ind w:firstLine="708"/>
        <w:jc w:val="both"/>
        <w:rPr>
          <w:rFonts w:asciiTheme="majorHAnsi" w:hAnsiTheme="majorHAnsi"/>
          <w:sz w:val="24"/>
          <w:szCs w:val="24"/>
          <w:lang w:val="en-US"/>
        </w:rPr>
      </w:pPr>
      <w:r w:rsidRPr="00064DA0">
        <w:rPr>
          <w:rFonts w:asciiTheme="majorHAnsi" w:hAnsiTheme="majorHAnsi"/>
          <w:sz w:val="24"/>
          <w:szCs w:val="24"/>
          <w:lang w:val="en-US"/>
        </w:rPr>
        <w:t>We concentrate</w:t>
      </w:r>
      <w:r>
        <w:rPr>
          <w:rFonts w:asciiTheme="majorHAnsi" w:hAnsiTheme="majorHAnsi"/>
          <w:sz w:val="24"/>
          <w:szCs w:val="24"/>
          <w:lang w:val="en-US"/>
        </w:rPr>
        <w:t>d</w:t>
      </w:r>
      <w:r w:rsidRPr="00064DA0">
        <w:rPr>
          <w:rFonts w:asciiTheme="majorHAnsi" w:hAnsiTheme="majorHAnsi"/>
          <w:sz w:val="24"/>
          <w:szCs w:val="24"/>
          <w:lang w:val="en-US"/>
        </w:rPr>
        <w:t xml:space="preserve"> on urban and </w:t>
      </w:r>
      <w:proofErr w:type="spellStart"/>
      <w:r w:rsidRPr="00E950A8">
        <w:rPr>
          <w:rFonts w:asciiTheme="majorHAnsi" w:hAnsiTheme="majorHAnsi"/>
          <w:sz w:val="24"/>
          <w:szCs w:val="24"/>
          <w:lang w:val="en-US"/>
        </w:rPr>
        <w:t>peri</w:t>
      </w:r>
      <w:proofErr w:type="spellEnd"/>
      <w:r w:rsidRPr="00E950A8">
        <w:rPr>
          <w:rFonts w:asciiTheme="majorHAnsi" w:hAnsiTheme="majorHAnsi"/>
          <w:sz w:val="24"/>
          <w:szCs w:val="24"/>
          <w:lang w:val="en-US"/>
        </w:rPr>
        <w:t xml:space="preserve">-urban areas and used a two-stage sampling procedure. At the first stage, we purposively selected three towns in Central Kenya, namely </w:t>
      </w:r>
      <w:proofErr w:type="spellStart"/>
      <w:r w:rsidRPr="00E950A8">
        <w:rPr>
          <w:rFonts w:asciiTheme="majorHAnsi" w:hAnsiTheme="majorHAnsi"/>
          <w:sz w:val="24"/>
          <w:szCs w:val="24"/>
          <w:lang w:val="en-US"/>
        </w:rPr>
        <w:t>Ol</w:t>
      </w:r>
      <w:proofErr w:type="spellEnd"/>
      <w:r w:rsidRPr="00E950A8">
        <w:rPr>
          <w:rFonts w:asciiTheme="majorHAnsi" w:hAnsiTheme="majorHAnsi"/>
          <w:sz w:val="24"/>
          <w:szCs w:val="24"/>
          <w:lang w:val="en-US"/>
        </w:rPr>
        <w:t xml:space="preserve"> </w:t>
      </w:r>
      <w:proofErr w:type="spellStart"/>
      <w:r w:rsidRPr="00E950A8">
        <w:rPr>
          <w:rFonts w:asciiTheme="majorHAnsi" w:hAnsiTheme="majorHAnsi"/>
          <w:sz w:val="24"/>
          <w:szCs w:val="24"/>
          <w:lang w:val="en-US"/>
        </w:rPr>
        <w:t>Kalou</w:t>
      </w:r>
      <w:proofErr w:type="spellEnd"/>
      <w:r w:rsidRPr="00E950A8">
        <w:rPr>
          <w:rFonts w:asciiTheme="majorHAnsi" w:hAnsiTheme="majorHAnsi"/>
          <w:sz w:val="24"/>
          <w:szCs w:val="24"/>
          <w:lang w:val="en-US"/>
        </w:rPr>
        <w:t xml:space="preserve">, </w:t>
      </w:r>
      <w:proofErr w:type="spellStart"/>
      <w:r w:rsidRPr="00E950A8">
        <w:rPr>
          <w:rFonts w:asciiTheme="majorHAnsi" w:hAnsiTheme="majorHAnsi"/>
          <w:sz w:val="24"/>
          <w:szCs w:val="24"/>
          <w:lang w:val="en-US"/>
        </w:rPr>
        <w:t>Njabini</w:t>
      </w:r>
      <w:proofErr w:type="spellEnd"/>
      <w:r w:rsidRPr="00E950A8">
        <w:rPr>
          <w:rFonts w:asciiTheme="majorHAnsi" w:hAnsiTheme="majorHAnsi"/>
          <w:sz w:val="24"/>
          <w:szCs w:val="24"/>
          <w:lang w:val="en-US"/>
        </w:rPr>
        <w:t xml:space="preserve">, and </w:t>
      </w:r>
      <w:proofErr w:type="spellStart"/>
      <w:r w:rsidRPr="00E950A8">
        <w:rPr>
          <w:rFonts w:asciiTheme="majorHAnsi" w:hAnsiTheme="majorHAnsi"/>
          <w:sz w:val="24"/>
          <w:szCs w:val="24"/>
          <w:lang w:val="en-US"/>
        </w:rPr>
        <w:t>Mwea</w:t>
      </w:r>
      <w:proofErr w:type="spellEnd"/>
      <w:r w:rsidRPr="00E950A8">
        <w:rPr>
          <w:rFonts w:asciiTheme="majorHAnsi" w:hAnsiTheme="majorHAnsi"/>
          <w:sz w:val="24"/>
          <w:szCs w:val="24"/>
          <w:lang w:val="en-US"/>
        </w:rPr>
        <w:t>. These three towns have similar characteristics in terms of the size of the urban center, infrastructure conditions, and availability of social institutions (hospitals etc.)</w:t>
      </w:r>
      <w:r>
        <w:rPr>
          <w:rFonts w:asciiTheme="majorHAnsi" w:hAnsiTheme="majorHAnsi"/>
          <w:sz w:val="24"/>
          <w:szCs w:val="24"/>
          <w:lang w:val="en-US"/>
        </w:rPr>
        <w:t>.</w:t>
      </w:r>
      <w:r w:rsidRPr="00E950A8">
        <w:rPr>
          <w:rFonts w:asciiTheme="majorHAnsi" w:hAnsiTheme="majorHAnsi"/>
          <w:sz w:val="24"/>
          <w:szCs w:val="24"/>
          <w:lang w:val="en-US"/>
        </w:rPr>
        <w:t xml:space="preserve"> </w:t>
      </w:r>
      <w:r>
        <w:rPr>
          <w:rFonts w:asciiTheme="majorHAnsi" w:hAnsiTheme="majorHAnsi"/>
          <w:sz w:val="24"/>
          <w:szCs w:val="24"/>
          <w:lang w:val="en-US"/>
        </w:rPr>
        <w:t>Y</w:t>
      </w:r>
      <w:r w:rsidRPr="00E950A8">
        <w:rPr>
          <w:rFonts w:asciiTheme="majorHAnsi" w:hAnsiTheme="majorHAnsi"/>
          <w:sz w:val="24"/>
          <w:szCs w:val="24"/>
          <w:lang w:val="en-US"/>
        </w:rPr>
        <w:t xml:space="preserve">et some variation in terms of the type of </w:t>
      </w:r>
      <w:r>
        <w:rPr>
          <w:rFonts w:asciiTheme="majorHAnsi" w:hAnsiTheme="majorHAnsi"/>
          <w:sz w:val="24"/>
          <w:szCs w:val="24"/>
          <w:lang w:val="en-US"/>
        </w:rPr>
        <w:t xml:space="preserve">available </w:t>
      </w:r>
      <w:r w:rsidRPr="00E950A8">
        <w:rPr>
          <w:rFonts w:asciiTheme="majorHAnsi" w:hAnsiTheme="majorHAnsi"/>
          <w:sz w:val="24"/>
          <w:szCs w:val="24"/>
          <w:lang w:val="en-US"/>
        </w:rPr>
        <w:t xml:space="preserve">food retail outlets was </w:t>
      </w:r>
      <w:r w:rsidRPr="00E950A8">
        <w:rPr>
          <w:rFonts w:asciiTheme="majorHAnsi" w:hAnsiTheme="majorHAnsi"/>
          <w:sz w:val="24"/>
          <w:szCs w:val="24"/>
          <w:lang w:val="en-US"/>
        </w:rPr>
        <w:lastRenderedPageBreak/>
        <w:t xml:space="preserve">observed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{"citationID":"XiZBKSv4","properties":{"formattedCitation":"(Kimenju et al., 2015; Rischke et al., 2015)","plainCitation":"(Kimenju et al., 2015; Rischke et al., 2015)"},"citationItems":[{"id":495,"uris":["http://zotero.org/users/1894029/items/26FJAC39"],"uri":["http://zotero.org/users/1894029/items/26FJAC39"],"itemData":{"id":495,"type":"article-journal","title":"Do supermarkets contribute to the obesity pandemic in developing countries?","container-title":"Public Health Nutrition","page":"3224-3233","volume":"18","issue":"17","source":"CrossRef","DOI":"10.1017/S1368980015000919","ISSN":"1368-9800, 1475-2727","language":"en","author":[{"family":"Kimenju","given":"Simon C"},{"family":"Rischke","given":"Ramona"},{"family":"Klasen","given":"Stephan"},{"family":"Qaim","given":"Matin"}],"issued":{"date-parts":[["2015",12]]}},"suppress-author":true,"prefix":"Kimenju et al.,  "},{"id":161,"uris":["http://zotero.org/users/1894029/items/X7QSUG58"],"uri":["http://zotero.org/users/1894029/items/X7QSUG58"],"itemData":{"id":161,"type":"article-journal","title":"Supermarkets and food consumption patterns: The case of small towns in Kenya","container-title":"Food Policy","page":"9-21","volume":"52","source":"ScienceDirect","abstract":"This paper investigates the effect of supermarkets on food consumption patterns in urban Kenya using cross-sectional household survey data collected in 2012. To establish causality, we selected study sites that differ in their supermarket access, and employ instrumental variable techniques to allow for endogeneity of supermarket purchases. We find that supermarket purchases increase the consumption of processed foods at the expense of unprocessed foods. Supermarket purchases increase per capita calorie availability, which is linked to lower prices paid per calorie, particularly for processed foods. Our results imply that supermarkets contribute to dietary changes commonly associated with the nutrition transition. The effects on nutrient adequacy are less clear.","DOI":"10.1016/j.foodpol.2015.02.001","ISSN":"0306-9192","shortTitle":"Supermarkets and food consumption patterns","journalAbbreviation":"Food Policy","author":[{"family":"Rischke","given":"Ramona"},{"family":"Kimenju","given":"Simon C."},{"family":"Klasen","given":"Stephan"},{"family":"Qaim","given":"Matin"}],"issued":{"date-parts":[["2015",4]]}},"suppress-author":true,"prefix":"Rischke et al., "}],"schema":"https://github.com/citation-style-language/schema/raw/master/csl-citation.json"}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(Kimenju et al., 2015; Rischke et al., 2015)</w:t>
      </w:r>
      <w:r w:rsidRPr="00E950A8">
        <w:rPr>
          <w:rFonts w:asciiTheme="majorHAnsi" w:hAnsiTheme="majorHAnsi"/>
          <w:sz w:val="24"/>
          <w:szCs w:val="24"/>
          <w:lang w:val="en-US"/>
        </w:rPr>
        <w:fldChar w:fldCharType="end"/>
      </w:r>
      <w:r w:rsidRPr="00E950A8">
        <w:rPr>
          <w:rFonts w:asciiTheme="majorHAnsi" w:hAnsiTheme="majorHAnsi"/>
          <w:sz w:val="24"/>
          <w:szCs w:val="24"/>
          <w:lang w:val="en-US"/>
        </w:rPr>
        <w:t>. At the second stage, around 150 households were randomly selected in each of the three towns. In 2012, the total sample comprised 453 households. In 2015, the sample included 450 households. For the 2015 survey round, about half of the 2012 households were revisited, the other half were newly selected, again using random sampling.</w:t>
      </w:r>
    </w:p>
    <w:p w14:paraId="0B5FFBD1" w14:textId="77777777" w:rsidR="008A5C7B"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In both survey rounds, a structured questionnaire was used to collect data on various socioeconomic characteristics, including household composition, income sources, food and non-food consumption expenditures, the health of household members, and access to various types of services. In addition to the household-level data we took anthropometric measures from one randomly selected child (aged 5-18) in each household and his/her mother or caretaker.</w:t>
      </w:r>
      <w:r w:rsidRPr="00E950A8">
        <w:rPr>
          <w:rStyle w:val="Funotenzeichen"/>
          <w:rFonts w:asciiTheme="majorHAnsi" w:hAnsiTheme="majorHAnsi"/>
          <w:sz w:val="24"/>
          <w:szCs w:val="24"/>
          <w:lang w:val="en-US"/>
        </w:rPr>
        <w:footnoteReference w:id="2"/>
      </w:r>
      <w:r w:rsidRPr="00E950A8">
        <w:rPr>
          <w:rFonts w:asciiTheme="majorHAnsi" w:hAnsiTheme="majorHAnsi"/>
          <w:sz w:val="24"/>
          <w:szCs w:val="24"/>
          <w:lang w:val="en-US"/>
        </w:rPr>
        <w:t xml:space="preserve"> Body measurements were taken according to international standards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{"citationID":"pk23c6ot4","properties":{"formattedCitation":"(Centers for Disease Control and Prevention, 2007)","plainCitation":"(Centers for Disease Control and Prevention, 2007)"},"citationItems":[{"id":107,"uris":["http://zotero.org/users/1894029/items/4M25RS3I"],"uri":["http://zotero.org/users/1894029/items/4M25RS3I"],"itemData":{"id":107,"type":"book","title":"National Health and Nutrition Examination Survey (NHANES). Anthropometry Procedures Manual","publisher":"CDC","publisher-place":"Atlanta, GA","number-of-pages":"102","event-place":"Atlanta, GA","editor":[{"literal":"Centers for Disease Control and Prevention"}],"issued":{"date-parts":[["2007"]]}}}],"schema":"https://github.com/citation-style-language/schema/raw/master/csl-citation.json"}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(Centers for Disease Control and Prevention, 2007)</w:t>
      </w:r>
      <w:r w:rsidRPr="00E950A8">
        <w:rPr>
          <w:rFonts w:asciiTheme="majorHAnsi" w:hAnsiTheme="majorHAnsi"/>
          <w:sz w:val="24"/>
          <w:szCs w:val="24"/>
          <w:lang w:val="en-US"/>
        </w:rPr>
        <w:fldChar w:fldCharType="end"/>
      </w:r>
      <w:r w:rsidRPr="00E950A8">
        <w:rPr>
          <w:rFonts w:asciiTheme="majorHAnsi" w:hAnsiTheme="majorHAnsi"/>
          <w:sz w:val="24"/>
          <w:szCs w:val="24"/>
          <w:lang w:val="en-US"/>
        </w:rPr>
        <w:t xml:space="preserve"> with an accuracy of 0.1 kg for body weight and 0.7 cm for height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{"citationID":"qVIiEsUS","properties":{"formattedCitation":"(de Onis et al., 2004)","plainCitation":"(de Onis et al., 2004)"},"citationItems":[{"id":124,"uris":["http://zotero.org/users/1894029/items/Q2F8I4WI"],"uri":["http://zotero.org/users/1894029/items/Q2F8I4WI"],"itemData":{"id":124,"type":"article-journal","title":"Measurement and standardization protocols for anthropometry used in the construction of a new international growth reference","container-title":"Food and Nutrition Bulletin","page":"S27-S36","volume":"25","issue":"1 (supplement 1)","journalAbbreviation":"Food and Nutrition Bulletin","author":[{"family":"Onis","given":"Mercedes","non-dropping-particle":"de"},{"family":"Onyango","given":"Adelheid"},{"family":"Van den Broeck","given":"Jan"},{"family":"Chumlea","given":"Wm. Cameron"},{"family":"Martorell","given":"Reynaldo"}],"issued":{"date-parts":[["2004"]]}},"suppress-author":true,"prefix":"de Onis et al., "}],"schema":"https://github.com/citation-style-language/schema/raw/master/csl-citation.json"}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(de Onis et al., 2004)</w:t>
      </w:r>
      <w:r w:rsidRPr="00E950A8">
        <w:rPr>
          <w:rFonts w:asciiTheme="majorHAnsi" w:hAnsiTheme="majorHAnsi"/>
          <w:sz w:val="24"/>
          <w:szCs w:val="24"/>
          <w:lang w:val="en-US"/>
        </w:rPr>
        <w:fldChar w:fldCharType="end"/>
      </w:r>
      <w:r w:rsidRPr="00E950A8">
        <w:rPr>
          <w:rFonts w:asciiTheme="majorHAnsi" w:hAnsiTheme="majorHAnsi"/>
          <w:sz w:val="24"/>
          <w:szCs w:val="24"/>
          <w:lang w:val="en-US"/>
        </w:rPr>
        <w:t xml:space="preserve">. Maternal nutrition knowledge was captured through a series of diet and nutrition related questions, as </w:t>
      </w:r>
      <w:r>
        <w:rPr>
          <w:rFonts w:asciiTheme="majorHAnsi" w:hAnsiTheme="majorHAnsi"/>
          <w:sz w:val="24"/>
          <w:szCs w:val="24"/>
          <w:lang w:val="en-US"/>
        </w:rPr>
        <w:t>explained in more detail below.</w:t>
      </w:r>
    </w:p>
    <w:p w14:paraId="7C4C2A48" w14:textId="77777777" w:rsidR="008A5C7B" w:rsidRPr="00E950A8"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Not all sample households had children between 5 and 18 years of age. In a few cases, there were children in the households but we were unable to trace them,</w:t>
      </w:r>
      <w:r>
        <w:rPr>
          <w:rFonts w:asciiTheme="majorHAnsi" w:hAnsiTheme="majorHAnsi"/>
          <w:sz w:val="24"/>
          <w:szCs w:val="24"/>
          <w:lang w:val="en-US"/>
        </w:rPr>
        <w:t xml:space="preserve"> </w:t>
      </w:r>
      <w:r w:rsidRPr="00E950A8">
        <w:rPr>
          <w:rFonts w:asciiTheme="majorHAnsi" w:hAnsiTheme="majorHAnsi"/>
          <w:sz w:val="24"/>
          <w:szCs w:val="24"/>
          <w:lang w:val="en-US"/>
        </w:rPr>
        <w:t>even after repeated visits. For the analysis, we pool the sample from the two survey rounds and construct a child</w:t>
      </w:r>
      <w:r>
        <w:rPr>
          <w:rFonts w:asciiTheme="majorHAnsi" w:hAnsiTheme="majorHAnsi"/>
          <w:sz w:val="24"/>
          <w:szCs w:val="24"/>
          <w:lang w:val="en-US"/>
        </w:rPr>
        <w:t>-</w:t>
      </w:r>
      <w:r w:rsidRPr="00E950A8">
        <w:rPr>
          <w:rFonts w:asciiTheme="majorHAnsi" w:hAnsiTheme="majorHAnsi"/>
          <w:sz w:val="24"/>
          <w:szCs w:val="24"/>
          <w:lang w:val="en-US"/>
        </w:rPr>
        <w:t xml:space="preserve">level data set. </w:t>
      </w:r>
      <w:r>
        <w:rPr>
          <w:rFonts w:asciiTheme="majorHAnsi" w:hAnsiTheme="majorHAnsi"/>
          <w:sz w:val="24"/>
          <w:szCs w:val="24"/>
          <w:lang w:val="en-US"/>
        </w:rPr>
        <w:t xml:space="preserve">Sixty-four children were observed during both survey rounds (128 observations), while 298 children were observed only in 2012 or in 2015. </w:t>
      </w:r>
      <w:r w:rsidRPr="00E950A8">
        <w:rPr>
          <w:rFonts w:asciiTheme="majorHAnsi" w:hAnsiTheme="majorHAnsi"/>
          <w:sz w:val="24"/>
          <w:szCs w:val="24"/>
          <w:lang w:val="en-US"/>
        </w:rPr>
        <w:t xml:space="preserve">In total, we </w:t>
      </w:r>
      <w:r>
        <w:rPr>
          <w:rFonts w:asciiTheme="majorHAnsi" w:hAnsiTheme="majorHAnsi"/>
          <w:sz w:val="24"/>
          <w:szCs w:val="24"/>
          <w:lang w:val="en-US"/>
        </w:rPr>
        <w:t xml:space="preserve">have </w:t>
      </w:r>
      <w:r w:rsidRPr="00E950A8">
        <w:rPr>
          <w:rFonts w:asciiTheme="majorHAnsi" w:hAnsiTheme="majorHAnsi"/>
          <w:sz w:val="24"/>
          <w:szCs w:val="24"/>
          <w:lang w:val="en-US"/>
        </w:rPr>
        <w:t xml:space="preserve">426 </w:t>
      </w:r>
      <w:r>
        <w:rPr>
          <w:rFonts w:asciiTheme="majorHAnsi" w:hAnsiTheme="majorHAnsi"/>
          <w:sz w:val="24"/>
          <w:szCs w:val="24"/>
          <w:lang w:val="en-US"/>
        </w:rPr>
        <w:t xml:space="preserve">observations from </w:t>
      </w:r>
      <w:r w:rsidRPr="00E950A8">
        <w:rPr>
          <w:rFonts w:asciiTheme="majorHAnsi" w:hAnsiTheme="majorHAnsi"/>
          <w:sz w:val="24"/>
          <w:szCs w:val="24"/>
          <w:lang w:val="en-US"/>
        </w:rPr>
        <w:t xml:space="preserve">children and adolescents (aged 5-18) </w:t>
      </w:r>
      <w:r>
        <w:rPr>
          <w:rFonts w:asciiTheme="majorHAnsi" w:hAnsiTheme="majorHAnsi"/>
          <w:sz w:val="24"/>
          <w:szCs w:val="24"/>
          <w:lang w:val="en-US"/>
        </w:rPr>
        <w:t xml:space="preserve">with </w:t>
      </w:r>
      <w:r w:rsidRPr="00E950A8">
        <w:rPr>
          <w:rFonts w:asciiTheme="majorHAnsi" w:hAnsiTheme="majorHAnsi"/>
          <w:sz w:val="24"/>
          <w:szCs w:val="24"/>
          <w:lang w:val="en-US"/>
        </w:rPr>
        <w:t>complete data</w:t>
      </w:r>
      <w:r>
        <w:rPr>
          <w:rFonts w:asciiTheme="majorHAnsi" w:hAnsiTheme="majorHAnsi"/>
          <w:sz w:val="24"/>
          <w:szCs w:val="24"/>
          <w:lang w:val="en-US"/>
        </w:rPr>
        <w:t xml:space="preserve"> for all relevant variables</w:t>
      </w:r>
      <w:r w:rsidRPr="00E950A8">
        <w:rPr>
          <w:rFonts w:asciiTheme="majorHAnsi" w:hAnsiTheme="majorHAnsi"/>
          <w:sz w:val="24"/>
          <w:szCs w:val="24"/>
          <w:lang w:val="en-US"/>
        </w:rPr>
        <w:t>.</w:t>
      </w:r>
    </w:p>
    <w:p w14:paraId="10FF168D" w14:textId="77777777" w:rsidR="008A5C7B" w:rsidRPr="00A254F5" w:rsidRDefault="008A5C7B" w:rsidP="007C3E2A">
      <w:pPr>
        <w:pStyle w:val="berschrift2"/>
        <w:rPr>
          <w:lang w:val="en-US"/>
        </w:rPr>
      </w:pPr>
      <w:r w:rsidRPr="00A254F5">
        <w:rPr>
          <w:lang w:val="en-US"/>
        </w:rPr>
        <w:lastRenderedPageBreak/>
        <w:t>Measuring Child Nutritional Outcomes</w:t>
      </w:r>
    </w:p>
    <w:p w14:paraId="2510E595" w14:textId="77777777" w:rsidR="008A5C7B" w:rsidRDefault="008A5C7B" w:rsidP="008A5C7B">
      <w:pPr>
        <w:spacing w:line="480" w:lineRule="auto"/>
        <w:jc w:val="both"/>
        <w:rPr>
          <w:rFonts w:asciiTheme="majorHAnsi" w:hAnsiTheme="majorHAnsi"/>
          <w:sz w:val="24"/>
          <w:szCs w:val="24"/>
          <w:lang w:val="en-US"/>
        </w:rPr>
      </w:pPr>
      <w:r w:rsidRPr="00E950A8">
        <w:rPr>
          <w:rFonts w:asciiTheme="majorHAnsi" w:hAnsiTheme="majorHAnsi"/>
          <w:sz w:val="24"/>
          <w:szCs w:val="24"/>
          <w:lang w:val="en-US"/>
        </w:rPr>
        <w:t xml:space="preserve">We used </w:t>
      </w:r>
      <w:r>
        <w:rPr>
          <w:rFonts w:asciiTheme="majorHAnsi" w:hAnsiTheme="majorHAnsi"/>
          <w:sz w:val="24"/>
          <w:szCs w:val="24"/>
          <w:lang w:val="en-US"/>
        </w:rPr>
        <w:t xml:space="preserve">the WHO growth references for </w:t>
      </w:r>
      <w:r w:rsidRPr="0079144D">
        <w:rPr>
          <w:rFonts w:asciiTheme="majorHAnsi" w:hAnsiTheme="majorHAnsi"/>
          <w:sz w:val="24"/>
          <w:szCs w:val="24"/>
          <w:lang w:val="en-US"/>
        </w:rPr>
        <w:t>school-aged</w:t>
      </w:r>
      <w:r>
        <w:rPr>
          <w:rFonts w:asciiTheme="majorHAnsi" w:hAnsiTheme="majorHAnsi"/>
          <w:sz w:val="24"/>
          <w:szCs w:val="24"/>
          <w:lang w:val="en-US"/>
        </w:rPr>
        <w:t xml:space="preserve"> </w:t>
      </w:r>
      <w:r w:rsidRPr="0079144D">
        <w:rPr>
          <w:rFonts w:asciiTheme="majorHAnsi" w:hAnsiTheme="majorHAnsi"/>
          <w:sz w:val="24"/>
          <w:szCs w:val="24"/>
          <w:lang w:val="en-US"/>
        </w:rPr>
        <w:t>children and adolescents</w:t>
      </w:r>
      <w:r>
        <w:rPr>
          <w:rFonts w:asciiTheme="majorHAnsi" w:hAnsiTheme="majorHAnsi"/>
          <w:sz w:val="24"/>
          <w:szCs w:val="24"/>
          <w:lang w:val="en-US"/>
        </w:rPr>
        <w:t xml:space="preserve"> </w:t>
      </w:r>
      <w:r>
        <w:rPr>
          <w:rFonts w:asciiTheme="majorHAnsi" w:hAnsiTheme="majorHAnsi"/>
          <w:sz w:val="24"/>
          <w:szCs w:val="24"/>
          <w:lang w:val="en-US"/>
        </w:rPr>
        <w:fldChar w:fldCharType="begin"/>
      </w:r>
      <w:r>
        <w:rPr>
          <w:rFonts w:asciiTheme="majorHAnsi" w:hAnsiTheme="majorHAnsi"/>
          <w:sz w:val="24"/>
          <w:szCs w:val="24"/>
          <w:lang w:val="en-US"/>
        </w:rPr>
        <w:instrText xml:space="preserve"> ADDIN ZOTERO_ITEM CSL_CITATION {"citationID":"143reg4h6a","properties":{"formattedCitation":"(de Onis, 2007)","plainCitation":"(de Onis, 2007)"},"citationItems":[{"id":1130,"uris":["http://zotero.org/groups/698231/items/KSQ9D498"],"uri":["http://zotero.org/groups/698231/items/KSQ9D498"],"itemData":{"id":1130,"type":"article-journal","title":"Development of a WHO growth reference for school-aged children and adolescents","container-title":"Bulletin of the World Health Organization","page":"660-667","volume":"85","issue":"09","source":"CrossRef","DOI":"10.2471/BLT.07.043497","ISSN":"00429686","author":[{"family":"Onis","given":"Mercedes","non-dropping-particle":"de"}],"issued":{"date-parts":[["2007",9,1]]}}}],"schema":"https://github.com/citation-style-language/schema/raw/master/csl-citation.json"} </w:instrText>
      </w:r>
      <w:r>
        <w:rPr>
          <w:rFonts w:asciiTheme="majorHAnsi" w:hAnsiTheme="majorHAnsi"/>
          <w:sz w:val="24"/>
          <w:szCs w:val="24"/>
          <w:lang w:val="en-US"/>
        </w:rPr>
        <w:fldChar w:fldCharType="separate"/>
      </w:r>
      <w:r w:rsidRPr="00F724EC">
        <w:rPr>
          <w:rFonts w:ascii="Cambria" w:hAnsi="Cambria"/>
          <w:sz w:val="24"/>
          <w:lang w:val="en-US"/>
        </w:rPr>
        <w:t>(de Onis</w:t>
      </w:r>
      <w:r>
        <w:rPr>
          <w:rFonts w:ascii="Cambria" w:hAnsi="Cambria"/>
          <w:sz w:val="24"/>
          <w:lang w:val="en-US"/>
        </w:rPr>
        <w:t xml:space="preserve"> et al.</w:t>
      </w:r>
      <w:r w:rsidRPr="00F724EC">
        <w:rPr>
          <w:rFonts w:ascii="Cambria" w:hAnsi="Cambria"/>
          <w:sz w:val="24"/>
          <w:lang w:val="en-US"/>
        </w:rPr>
        <w:t>, 2007)</w:t>
      </w:r>
      <w:r>
        <w:rPr>
          <w:rFonts w:asciiTheme="majorHAnsi" w:hAnsiTheme="majorHAnsi"/>
          <w:sz w:val="24"/>
          <w:szCs w:val="24"/>
          <w:lang w:val="en-US"/>
        </w:rPr>
        <w:fldChar w:fldCharType="end"/>
      </w:r>
      <w:r>
        <w:rPr>
          <w:rFonts w:asciiTheme="majorHAnsi" w:hAnsiTheme="majorHAnsi"/>
          <w:sz w:val="24"/>
          <w:szCs w:val="24"/>
          <w:lang w:val="en-US"/>
        </w:rPr>
        <w:t xml:space="preserve"> </w:t>
      </w:r>
      <w:r w:rsidRPr="00064DA0">
        <w:rPr>
          <w:rFonts w:asciiTheme="majorHAnsi" w:hAnsiTheme="majorHAnsi"/>
          <w:sz w:val="24"/>
          <w:szCs w:val="24"/>
          <w:lang w:val="en-US"/>
        </w:rPr>
        <w:t xml:space="preserve">to generate </w:t>
      </w:r>
      <w:r w:rsidRPr="00E950A8">
        <w:rPr>
          <w:rFonts w:asciiTheme="majorHAnsi" w:hAnsiTheme="majorHAnsi"/>
          <w:sz w:val="24"/>
          <w:szCs w:val="24"/>
          <w:lang w:val="en-US"/>
        </w:rPr>
        <w:t xml:space="preserve">height-for-age Z-scores (HAZ) </w:t>
      </w:r>
      <w:r w:rsidRPr="009B028E">
        <w:rPr>
          <w:rFonts w:asciiTheme="majorHAnsi" w:hAnsiTheme="majorHAnsi"/>
          <w:sz w:val="24"/>
          <w:szCs w:val="24"/>
          <w:lang w:val="en-US"/>
        </w:rPr>
        <w:t xml:space="preserve">for all children and adolescents in our sample. HAZ </w:t>
      </w:r>
      <w:r>
        <w:rPr>
          <w:rFonts w:asciiTheme="majorHAnsi" w:hAnsiTheme="majorHAnsi"/>
          <w:sz w:val="24"/>
          <w:szCs w:val="24"/>
          <w:lang w:val="en-US"/>
        </w:rPr>
        <w:t>refers</w:t>
      </w:r>
      <w:r w:rsidRPr="009B028E">
        <w:rPr>
          <w:rFonts w:asciiTheme="majorHAnsi" w:hAnsiTheme="majorHAnsi"/>
          <w:sz w:val="24"/>
          <w:szCs w:val="24"/>
          <w:lang w:val="en-US"/>
        </w:rPr>
        <w:t xml:space="preserve"> to</w:t>
      </w:r>
      <w:r w:rsidRPr="00E950A8">
        <w:rPr>
          <w:rFonts w:asciiTheme="majorHAnsi" w:hAnsiTheme="majorHAnsi"/>
          <w:sz w:val="24"/>
          <w:szCs w:val="24"/>
          <w:lang w:val="en-US"/>
        </w:rPr>
        <w:t xml:space="preserve"> the standard deviation from the median height of</w:t>
      </w:r>
      <w:r>
        <w:rPr>
          <w:rFonts w:asciiTheme="majorHAnsi" w:hAnsiTheme="majorHAnsi"/>
          <w:sz w:val="24"/>
          <w:szCs w:val="24"/>
          <w:lang w:val="en-US"/>
        </w:rPr>
        <w:t xml:space="preserve"> a</w:t>
      </w:r>
      <w:r w:rsidRPr="00E950A8">
        <w:rPr>
          <w:rFonts w:asciiTheme="majorHAnsi" w:hAnsiTheme="majorHAnsi"/>
          <w:sz w:val="24"/>
          <w:szCs w:val="24"/>
          <w:lang w:val="en-US"/>
        </w:rPr>
        <w:t xml:space="preserve"> child </w:t>
      </w:r>
      <w:r>
        <w:rPr>
          <w:rFonts w:asciiTheme="majorHAnsi" w:hAnsiTheme="majorHAnsi"/>
          <w:sz w:val="24"/>
          <w:szCs w:val="24"/>
          <w:lang w:val="en-US"/>
        </w:rPr>
        <w:t xml:space="preserve">or adolescent </w:t>
      </w:r>
      <w:r w:rsidRPr="00E950A8">
        <w:rPr>
          <w:rFonts w:asciiTheme="majorHAnsi" w:hAnsiTheme="majorHAnsi"/>
          <w:sz w:val="24"/>
          <w:szCs w:val="24"/>
          <w:lang w:val="en-US"/>
        </w:rPr>
        <w:t xml:space="preserve">of the same age and </w:t>
      </w:r>
      <w:r>
        <w:rPr>
          <w:rFonts w:asciiTheme="majorHAnsi" w:hAnsiTheme="majorHAnsi"/>
          <w:sz w:val="24"/>
          <w:szCs w:val="24"/>
          <w:lang w:val="en-US"/>
        </w:rPr>
        <w:t>sex</w:t>
      </w:r>
      <w:r w:rsidRPr="00E950A8">
        <w:rPr>
          <w:rFonts w:asciiTheme="majorHAnsi" w:hAnsiTheme="majorHAnsi"/>
          <w:sz w:val="24"/>
          <w:szCs w:val="24"/>
          <w:lang w:val="en-US"/>
        </w:rPr>
        <w:t xml:space="preserve"> in a reference population. A child or adolescent is considered stunted (</w:t>
      </w:r>
      <w:r>
        <w:rPr>
          <w:rFonts w:asciiTheme="majorHAnsi" w:hAnsiTheme="majorHAnsi"/>
          <w:sz w:val="24"/>
          <w:szCs w:val="24"/>
          <w:lang w:val="en-US"/>
        </w:rPr>
        <w:t xml:space="preserve">extremely stunted; </w:t>
      </w:r>
      <w:r w:rsidRPr="00E950A8">
        <w:rPr>
          <w:rFonts w:asciiTheme="majorHAnsi" w:hAnsiTheme="majorHAnsi"/>
          <w:sz w:val="24"/>
          <w:szCs w:val="24"/>
          <w:lang w:val="en-US"/>
        </w:rPr>
        <w:t>mildly stunted) if the Z-score is below the cutoff of -2 (</w:t>
      </w:r>
      <w:r>
        <w:rPr>
          <w:rFonts w:asciiTheme="majorHAnsi" w:hAnsiTheme="majorHAnsi"/>
          <w:sz w:val="24"/>
          <w:szCs w:val="24"/>
          <w:lang w:val="en-US"/>
        </w:rPr>
        <w:t>-3;</w:t>
      </w:r>
      <w:r w:rsidRPr="00E950A8">
        <w:rPr>
          <w:rFonts w:asciiTheme="majorHAnsi" w:hAnsiTheme="majorHAnsi"/>
          <w:sz w:val="24"/>
          <w:szCs w:val="24"/>
          <w:lang w:val="en-US"/>
        </w:rPr>
        <w:t>-1) standard deviation</w:t>
      </w:r>
      <w:r>
        <w:rPr>
          <w:rFonts w:asciiTheme="majorHAnsi" w:hAnsiTheme="majorHAnsi"/>
          <w:sz w:val="24"/>
          <w:szCs w:val="24"/>
          <w:lang w:val="en-US"/>
        </w:rPr>
        <w:t>s</w:t>
      </w:r>
      <w:r w:rsidRPr="00E950A8">
        <w:rPr>
          <w:rFonts w:asciiTheme="majorHAnsi" w:hAnsiTheme="majorHAnsi"/>
          <w:sz w:val="24"/>
          <w:szCs w:val="24"/>
          <w:lang w:val="en-US"/>
        </w:rPr>
        <w:t xml:space="preserve"> below the reference population</w:t>
      </w:r>
      <w:r w:rsidRPr="00E950A8">
        <w:rPr>
          <w:rFonts w:ascii="Cambria" w:hAnsi="Cambria"/>
          <w:sz w:val="24"/>
          <w:lang w:val="en-US"/>
        </w:rPr>
        <w:t xml:space="preserve"> </w:t>
      </w:r>
      <w:r w:rsidRPr="00E950A8">
        <w:rPr>
          <w:rFonts w:ascii="Cambria" w:hAnsi="Cambria"/>
          <w:sz w:val="24"/>
          <w:lang w:val="en-US"/>
        </w:rPr>
        <w:fldChar w:fldCharType="begin"/>
      </w:r>
      <w:r w:rsidRPr="00E950A8">
        <w:rPr>
          <w:rFonts w:ascii="Cambria" w:hAnsi="Cambria"/>
          <w:sz w:val="24"/>
          <w:lang w:val="en-US"/>
        </w:rPr>
        <w:instrText xml:space="preserve"> ADDIN ZOTERO_ITEM CSL_CITATION {"citationID":"2ognkf5k8q","properties":{"formattedCitation":"(WHO Multicentre Growth Reference Study Group, 2006)","plainCitation":"(WHO Multicentre Growth Reference Study Group, 2006)"},"citationItems":[{"id":170,"uris":["http://zotero.org/users/1894029/items/ZPRR3AH4"],"uri":["http://zotero.org/users/1894029/items/ZPRR3AH4"],"itemData":{"id":170,"type":"book","title":"The WHO Child Growth Standards: Length/height-for-age, weight-for-age, weight-for-length, weight-for-height and body mass index-for-age: Methods and development","publisher":"World Health Organization","publisher-place":"Geneva, Switzerland","event-place":"Geneva, Switzerland","abstract":"the growth standards","URL":"http://www.who.int/childgrowth/standards/en/","author":[{"family":"WHO Multicentre Growth Reference Study Group","given":""}],"issued":{"date-parts":[["2006"]]},"accessed":{"date-parts":[["2014",9,11]]}}}],"schema":"https://github.com/citation-style-language/schema/raw/master/csl-citation.json"} </w:instrText>
      </w:r>
      <w:r w:rsidRPr="00E950A8">
        <w:rPr>
          <w:rFonts w:ascii="Cambria" w:hAnsi="Cambria"/>
          <w:sz w:val="24"/>
          <w:lang w:val="en-US"/>
        </w:rPr>
        <w:fldChar w:fldCharType="separate"/>
      </w:r>
      <w:r w:rsidRPr="00E950A8">
        <w:rPr>
          <w:rFonts w:ascii="Cambria" w:hAnsi="Cambria"/>
          <w:sz w:val="24"/>
          <w:lang w:val="en-US"/>
        </w:rPr>
        <w:t>(WHO, 2006</w:t>
      </w:r>
      <w:r>
        <w:rPr>
          <w:rFonts w:ascii="Cambria" w:hAnsi="Cambria"/>
          <w:sz w:val="24"/>
          <w:lang w:val="en-US"/>
        </w:rPr>
        <w:t>;</w:t>
      </w:r>
      <w:r w:rsidRPr="00143EE4">
        <w:rPr>
          <w:rFonts w:ascii="Cambria" w:hAnsi="Cambria" w:cs="Times New Roman"/>
          <w:sz w:val="24"/>
          <w:szCs w:val="24"/>
          <w:lang w:val="en-US"/>
        </w:rPr>
        <w:t xml:space="preserve"> </w:t>
      </w:r>
      <w:r w:rsidRPr="000C3350">
        <w:rPr>
          <w:rFonts w:ascii="Cambria" w:hAnsi="Cambria" w:cs="Times New Roman"/>
          <w:sz w:val="24"/>
          <w:szCs w:val="24"/>
          <w:lang w:val="en-US"/>
        </w:rPr>
        <w:t>O’Donnell</w:t>
      </w:r>
      <w:r w:rsidRPr="009B028E">
        <w:rPr>
          <w:rFonts w:asciiTheme="majorHAnsi" w:hAnsiTheme="majorHAnsi"/>
          <w:sz w:val="24"/>
          <w:szCs w:val="24"/>
          <w:lang w:val="en-US"/>
        </w:rPr>
        <w:t xml:space="preserve"> et al., 2008</w:t>
      </w:r>
      <w:r w:rsidRPr="00E950A8">
        <w:rPr>
          <w:rFonts w:ascii="Cambria" w:hAnsi="Cambria"/>
          <w:sz w:val="24"/>
          <w:lang w:val="en-US"/>
        </w:rPr>
        <w:t>)</w:t>
      </w:r>
      <w:r w:rsidRPr="00E950A8">
        <w:rPr>
          <w:rFonts w:ascii="Cambria" w:hAnsi="Cambria"/>
          <w:sz w:val="24"/>
          <w:lang w:val="en-US"/>
        </w:rPr>
        <w:fldChar w:fldCharType="end"/>
      </w:r>
      <w:r w:rsidRPr="00064DA0">
        <w:rPr>
          <w:rFonts w:ascii="Cambria" w:hAnsi="Cambria"/>
          <w:sz w:val="24"/>
          <w:lang w:val="en-US"/>
        </w:rPr>
        <w:t>.</w:t>
      </w:r>
      <w:r w:rsidRPr="00E950A8">
        <w:rPr>
          <w:rFonts w:asciiTheme="majorHAnsi" w:hAnsiTheme="majorHAnsi"/>
          <w:sz w:val="24"/>
          <w:szCs w:val="24"/>
          <w:lang w:val="en-US"/>
        </w:rPr>
        <w:t xml:space="preserve"> A low HAZ reflects a status of sub-optimal growth due to long-term adverse nutrition and health conditions </w:t>
      </w:r>
      <w:r w:rsidRPr="000C335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{"citationID":"dHSGwFNa","properties":{"formattedCitation":"(WHO Expert Committee, 1995; World Health Organization, 2016)","plainCitation":"(WHO Expert Committee, 1995; World Health Organization, 2016)"},"citationItems":[{"id":960,"uris":["http://zotero.org/groups/698231/items/F556NGK6"],"uri":["http://zotero.org/groups/698231/items/F556NGK6"],"itemData":{"id":960,"type":"book","title":"Physical Status: The Use and Interpretation of Anthropometry","collection-title":"WHO technical report series","collection-number":"854","publisher":"World Health Organization","publisher-place":"Geneva, Switzerland","number-of-pages":"452","source":"Library of Congress ISBN","event-place":"Geneva, Switzerland","URL":"http://www.who.int/childgrowth/publications/physical_status/en/","ISBN":"978-92-4-120854-3","call-number":"RA8 RA407 .A25 no. 854","shortTitle":"Physical status","author":[{"literal":"WHO Expert Committee"}],"issued":{"date-parts":[["1995"]]}}},{"id":835,"uris":["http://zotero.org/groups/698231/items/N6N3ZFC7"],"uri":["http://zotero.org/groups/698231/items/N6N3ZFC7"],"itemData":{"id":835,"type":"webpage","title":"WHO | Global Database on Child Growth and Malnutrition","container-title":"WHO","URL":"http://www.who.int/nutgrowthdb/about/introduction/en/index2.html","author":[{"family":"World Health Organization","given":""}],"issued":{"date-parts":[["2016"]]},"accessed":{"date-parts":[["2016",9,14]]}}}],"schema":"https://github.com/citation-style-language/schema/raw/master/csl-citation.json"} </w:instrText>
      </w:r>
      <w:r w:rsidRPr="000C3350">
        <w:rPr>
          <w:rFonts w:asciiTheme="majorHAnsi" w:hAnsiTheme="majorHAnsi"/>
          <w:sz w:val="24"/>
          <w:szCs w:val="24"/>
          <w:lang w:val="en-US"/>
        </w:rPr>
        <w:fldChar w:fldCharType="separate"/>
      </w:r>
      <w:r w:rsidRPr="00E950A8">
        <w:rPr>
          <w:rFonts w:ascii="Cambria" w:hAnsi="Cambria"/>
          <w:sz w:val="24"/>
          <w:lang w:val="en-US"/>
        </w:rPr>
        <w:t>(WHO, 1995; WHO, 2016)</w:t>
      </w:r>
      <w:r w:rsidRPr="000C3350">
        <w:rPr>
          <w:rFonts w:asciiTheme="majorHAnsi" w:hAnsiTheme="majorHAnsi"/>
          <w:sz w:val="24"/>
          <w:szCs w:val="24"/>
          <w:lang w:val="en-US"/>
        </w:rPr>
        <w:fldChar w:fldCharType="end"/>
      </w:r>
      <w:r w:rsidRPr="00064DA0">
        <w:rPr>
          <w:rFonts w:asciiTheme="majorHAnsi" w:hAnsiTheme="majorHAnsi"/>
          <w:sz w:val="24"/>
          <w:szCs w:val="24"/>
          <w:lang w:val="en-US"/>
        </w:rPr>
        <w:t xml:space="preserve">. </w:t>
      </w:r>
      <w:r w:rsidRPr="00E950A8">
        <w:rPr>
          <w:rFonts w:asciiTheme="majorHAnsi" w:hAnsiTheme="majorHAnsi"/>
          <w:sz w:val="24"/>
          <w:szCs w:val="24"/>
          <w:lang w:val="en-US"/>
        </w:rPr>
        <w:t>While child growth largely depends on nutrition and health during early childhood, conditions during later childhood and adolescence also matter</w:t>
      </w:r>
      <w:r>
        <w:rPr>
          <w:rFonts w:asciiTheme="majorHAnsi" w:hAnsiTheme="majorHAnsi"/>
          <w:sz w:val="24"/>
          <w:szCs w:val="24"/>
          <w:lang w:val="en-US"/>
        </w:rPr>
        <w:t>,</w:t>
      </w:r>
      <w:r w:rsidRPr="00E950A8">
        <w:rPr>
          <w:rFonts w:asciiTheme="majorHAnsi" w:hAnsiTheme="majorHAnsi"/>
          <w:sz w:val="24"/>
          <w:szCs w:val="24"/>
          <w:lang w:val="en-US"/>
        </w:rPr>
        <w:t xml:space="preserve"> and some catch-up growth </w:t>
      </w:r>
      <w:r>
        <w:rPr>
          <w:rFonts w:asciiTheme="majorHAnsi" w:hAnsiTheme="majorHAnsi"/>
          <w:sz w:val="24"/>
          <w:szCs w:val="24"/>
          <w:lang w:val="en-US"/>
        </w:rPr>
        <w:t xml:space="preserve">is </w:t>
      </w:r>
      <w:r w:rsidRPr="00E950A8">
        <w:rPr>
          <w:rFonts w:asciiTheme="majorHAnsi" w:hAnsiTheme="majorHAnsi"/>
          <w:sz w:val="24"/>
          <w:szCs w:val="24"/>
          <w:lang w:val="en-US"/>
        </w:rPr>
        <w:t>possible</w:t>
      </w:r>
      <w:r w:rsidRPr="000C3350">
        <w:rPr>
          <w:rFonts w:asciiTheme="majorHAnsi" w:hAnsiTheme="majorHAnsi"/>
          <w:sz w:val="24"/>
          <w:szCs w:val="24"/>
          <w:lang w:val="en-US"/>
        </w:rPr>
        <w:t xml:space="preserve"> </w:t>
      </w:r>
      <w:r w:rsidRPr="000C335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{"citationID":"BPgmxno5","properties":{"formattedCitation":"(Adair, 1999; Darnton-Hill et al., 2004; Prentice et al., 2013; Stein et al., 2010)","plainCitation":"(Adair, 1999; Darnton-Hill et al., 2004; Prentice et al., 2013; Stein et al., 2010)"},"citationItems":[{"id":953,"uris":["http://zotero.org/groups/698231/items/B3WQGCUM"],"uri":["http://zotero.org/groups/698231/items/B3WQGCUM"],"itemData":{"id":953,"type":"article-journal","title":"Filipino children exhibit catch-up growth from age 2 to 12 years","container-title":"The Journal of Nutrition","page":"1140-1148","volume":"129","issue":"6","source":"jn.nutrition.org","abstract":"Potential for catch-up growth among stunted children is thought to be limited after age 2 y, particularly when they remain in poor environments. We explored the extent to which there were improvements in height status from age 2 to 12 y in a cohort of &gt;2,000 children from the Cebu (The Philippines) Longitudinal Health and Nutrition Survey. At age 2 y, about 63% of sample children were stunted as defined by height-for-age (HAZ) &lt;−2 based on the WHO reference. Of children stunted at age 2, 30% were no longer stunted at 8.5 y, and 32.5% were no longer stunted at 12 y. The mean increase in HAZ among those with such improvements was 1.14 units. The likelihood that children stunted at age 2 y would no longer be stunted at 8.5 y was estimated using logistic regression. Low birth weight, which was associated with more severe stunting in the first 2 y of life, significantly reduced likelihood of catch-up growth in later childhood. In contrast, children with taller mothers, who were first born, longer at birth, less severely stunted in early infancy and those with fewer siblings were more likely to increase HAZ from &lt;−2 to &gt;−2 between ages 2 and 8.5 y. Similar factors predicted the improvement in linear growth from 8.5 to 12 y. These results suggest that there is a large potential for catch-up growth in children into the preadolescent years.","ISSN":"0022-3166, 1541-6100","note":"PMID: 10356078","journalAbbreviation":"J. Nutr.","language":"en","author":[{"family":"Adair","given":"Linda S."}],"issued":{"date-parts":[["1999",1,6]]},"PMID":"10356078"}},{"id":948,"uris":["http://zotero.org/groups/698231/items/B7S76C2X"],"uri":["http://zotero.org/groups/698231/items/B7S76C2X"],"itemData":{"id":948,"type":"article-journal","title":"A life course approach to diet, nutrition and the prevention of chronic diseases","container-title":"Public Health Nutrition","page":"101-121","volume":"7","issue":"1a","source":"CrossRef","ISSN":"1368-9800, 1475-2727","language":"en","author":[{"family":"Darnton-Hill","given":"I"},{"family":"Nishida","given":"C"},{"family":"James","given":"Wpt"}],"issued":{"date-parts":[["2004",2]]}},"suppress-author":true,"prefix":"Darnton-Hill et al., "},{"id":942,"uris":["http://zotero.org/groups/698231/items/3XH27HCR"],"uri":["http://zotero.org/groups/698231/items/3XH27HCR"],"itemData":{"id":942,"type":"article-journal","title":"Critical windows for nutritional interventions against stunting","container-title":"The American Journal of Clinical Nutrition","page":"911-918","volume":"97","issue":"5","source":"PubMed Central","abstract":"An analysis of early growth patterns in children from 54 resource-poor countries in Africa and Southeast Asia shows a rapid falloff in the height-for-age z score during the first 2 y of life and no recovery until ≥5 y of age. This finding has focused attention on the period −9 to 24 mo as a window of opportunity for interventions against stunting and has garnered considerable political backing for investment targeted at the first 1000 d. These important initiatives should not be undermined, but the objective of this study was to counteract the growing impression that interventions outside of this period cannot be effective. We illustrate our arguments using longitudinal data from the Consortium of Health Oriented Research in Transitioning collaboration (Brazil, Guatemala, India, Philippines, and South Africa) and our own cross-sectional and longitudinal growth data from rural Gambia. We show that substantial height catch-up occurs between 24 mo and midchildhood and again between midchildhood and adulthood, even in the absence of any interventions. Longitudinal growth data from rural Gambia also illustrate that an extended pubertal growth phase allows very considerable height recovery, especially in girls during adolescence. In light of the critical importance of maternal stature to her children's health, our arguments are a reminder of the importance of the more comprehensive UNICEF/Sub-Committee on Nutrition Through the Life-Cycle approach. In particular, we argue that adolescence represents an additional window of opportunity during which substantial life cycle and intergenerational effects can be accrued. The regulation of such growth is complex and may be affected by nutritional interventions imposed many years previously.","DOI":"10.3945/ajcn.112.052332","ISSN":"0002-9165","note":"PMID: 23553163\nPMCID: PMC3628381","journalAbbreviation":"Am J Clin Nutr","author":[{"family":"Prentice","given":"Andrew M"},{"family":"Ward","given":"Kate A"},{"family":"Goldberg","given":"Gail R"},{"family":"Jarjou","given":"Landing M"},{"family":"Moore","given":"Sophie E"},{"family":"Fulford","given":"Anthony J"},{"family":"Prentice","given":"Ann"}],"issued":{"date-parts":[["2013",5]]},"PMID":"23553163","PMCID":"PMC3628381"}},{"id":950,"uris":["http://zotero.org/groups/698231/items/X3UXN56X"],"uri":["http://zotero.org/groups/698231/items/X3UXN56X"],"itemData":{"id":950,"type":"article-journal","title":"Growth patterns in early childhood and final attained stature: data from five birth cohorts from low- and middle-income countries","container-title":"American Journal of Human Biology: The Official Journal of the Human Biology Council","page":"353-359","volume":"22","issue":"3","source":"PubMed","abstract":"Growth failure is cumulative, and short stature is associated with multiple indices of reduced human capital. Few studies have been able to address in a single analysis both consideration of the timing of growth failure and comparison across populations. We analyzed data from birth cohorts in Brazil, Guatemala, India, the Philippines, and South Africa (n = 4,659). We used data on length at birth (available for three of the five cohorts), 12 mo, 24 mo, and mid-childhood to construct cohort- and sex- specific conditional length measures. We modeled adult height as a function of conditional length in childhood. The five cohorts experienced varying degrees of growth failure. As adults, the Brazil sample was 0.35 +/- 0.89 standard deviations (SD) below the World Health Organization reference, while adult Guatemalans were 1.91 +/- 0.87 SD below the reference. All five cohorts experienced a nadir in height for age Z-score at 24 mo. Birth length (in the three cohorts with this variable), and conditional length at 12 mo (in all five cohorts) were the most strongly associated with adult height. Growth in the periods 12-24 mo and 24 mo to mid-childhood showed inconsistent patterns across tertiles of adult height. Despite variation in the magnitude of cumulative growth failure across cohorts, the five cohorts show highly consistent age-specific associations with adult stature. Growth failure prior to age 12 mo was most strongly associated with adult stature. These consistencies speak to the importance of interventions to address intrauterine growth failure and growth failure in the first 12 mo of life.","DOI":"10.1002/ajhb.20998","ISSN":"1520-6300","note":"PMID: 19856426\nPMCID: PMC3494846","shortTitle":"Growth patterns in early childhood and final attained stature","journalAbbreviation":"Am. J. Hum. Biol.","language":"ENG","author":[{"family":"Stein","given":"Aryeh D."},{"family":"Wang","given":"Meng"},{"family":"Martorell","given":"Reynaldo"},{"family":"Norris","given":"Shane A."},{"family":"Adair","given":"Linda S."},{"family":"Bas","given":"Isabelita"},{"family":"Sachdev","given":"Harshpal Singh"},{"family":"Bhargava","given":"Santosh K."},{"family":"Fall","given":"Caroline H. D."},{"family":"Gigante","given":"Denise P."},{"family":"Victora","given":"Cesar G."},{"literal":"Cohorts Group"}],"issued":{"date-parts":[["2010",6]]},"PMID":"19856426","PMCID":"PMC3494846"}}],"schema":"https://github.com/citation-style-language/schema/raw/master/csl-citation.json"} </w:instrText>
      </w:r>
      <w:r w:rsidRPr="000C3350">
        <w:rPr>
          <w:rFonts w:asciiTheme="majorHAnsi" w:hAnsiTheme="majorHAnsi"/>
          <w:sz w:val="24"/>
          <w:szCs w:val="24"/>
          <w:lang w:val="en-US"/>
        </w:rPr>
        <w:fldChar w:fldCharType="separate"/>
      </w:r>
      <w:r w:rsidRPr="00E950A8">
        <w:rPr>
          <w:rFonts w:ascii="Cambria" w:hAnsi="Cambria"/>
          <w:sz w:val="24"/>
          <w:lang w:val="en-US"/>
        </w:rPr>
        <w:t>(Adair, 1999; Darnton-Hill et al., 2004; Prentice et al., 2013; Stein et al., 2010)</w:t>
      </w:r>
      <w:r w:rsidRPr="000C3350">
        <w:rPr>
          <w:rFonts w:asciiTheme="majorHAnsi" w:hAnsiTheme="majorHAnsi"/>
          <w:sz w:val="24"/>
          <w:szCs w:val="24"/>
          <w:lang w:val="en-US"/>
        </w:rPr>
        <w:fldChar w:fldCharType="end"/>
      </w:r>
      <w:r w:rsidRPr="00064DA0">
        <w:rPr>
          <w:rFonts w:asciiTheme="majorHAnsi" w:hAnsiTheme="majorHAnsi"/>
          <w:sz w:val="24"/>
          <w:szCs w:val="24"/>
          <w:lang w:val="en-US"/>
        </w:rPr>
        <w:t>.</w:t>
      </w:r>
    </w:p>
    <w:p w14:paraId="14444E1D" w14:textId="77777777" w:rsidR="008A5C7B" w:rsidRPr="00E950A8" w:rsidRDefault="008A5C7B" w:rsidP="008A5C7B">
      <w:pPr>
        <w:spacing w:line="480" w:lineRule="auto"/>
        <w:ind w:firstLine="708"/>
        <w:jc w:val="both"/>
        <w:rPr>
          <w:rFonts w:asciiTheme="majorHAnsi" w:hAnsiTheme="majorHAnsi"/>
          <w:sz w:val="24"/>
          <w:szCs w:val="24"/>
          <w:lang w:val="en-US"/>
        </w:rPr>
      </w:pPr>
      <w:r>
        <w:rPr>
          <w:rFonts w:asciiTheme="majorHAnsi" w:hAnsiTheme="majorHAnsi"/>
          <w:sz w:val="24"/>
          <w:szCs w:val="24"/>
          <w:lang w:val="en-US"/>
        </w:rPr>
        <w:t xml:space="preserve">In our sample, we only consider children above 5 years of age, without assuming that the association between mothers’ nutrition knowledge and HAZ is directly transferable to younger children. As mentioned, however, a positive association for younger children has been shown in previous studies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{"citationID":"2cle2hu01i","properties":{"formattedCitation":"(e.g. Appoh &amp; Krekling, 2005; Burchi, 2010; Webb &amp; Block, 2004)","plainCitation":"(e.g. Appoh &amp; Krekling, 2005; Burchi, 2010; Webb &amp; Block, 2004)"},"citationItems":[{"id":983,"uris":["http://zotero.org/groups/698231/items/WBH3DNXV"],"uri":["http://zotero.org/groups/698231/items/WBH3DNXV"],"itemData":{"id":983,"type":"article-journal","title":"Maternal nutritional knowledge and child nutritional status in the Volta Region of Ghana","container-title":"Maternal &amp; Child Nutrition","page":"100-110","volume":"1","issue":"2","source":"Wiley Online Library","abstract":"The relationship between mother's nutritional knowledge, maternal education, and child nutritional status (weight-for-age) was the subject of investigation in this study. The data were collected in Ghana on 55 well nourished and 55 malnourished mother–child pairs. A questionnaire designed to collect data on mother's knowledge and practices related to child care and nutrition was administered to the mothers. Data on mother's demographic and socio-economic characteristics as well as child anthropometric data were also collected. A nutrition knowledge score was calculated based on mother's responses to the nutrition related items. Bivariate analysis gave significant associations between child nutritional status and the following variables: time of initiating of breastfeeding, mother's knowledge of importance of colostrum and whether colostrum was given to child, age of introduction of supplementary food, and mother's knowledge about causes of kwashiorkor. The two groups also showed significant differences in their nutrition knowledge scores. Maternal formal education, and marital status were also found to be associated with child nutritional status in bivariate analyses. Further analysis with logistic regression revealed that maternal nutrition knowledge was independently associated with nutritional status after the effects of other significant variables were controlled for. Maternal education on the other hand was not found to be independently associated with nutritional status. These results imply that mother's practical knowledge about nutrition may be more important than formal maternal education for child nutrition outcome.","DOI":"10.1111/j.1740-8709.2005.00016.x","ISSN":"1740-8709","language":"en","author":[{"family":"Appoh","given":"Lily Yaa"},{"family":"Krekling","given":"Sturla"}],"issued":{"date-parts":[["2005",4,1]]}},"prefix":"e.g. "},{"id":871,"uris":["http://zotero.org/groups/698231/items/FDB7ACWQ"],"uri":["http://zotero.org/groups/698231/items/FDB7ACWQ"],"itemData":{"id":871,"type":"article-journal","title":"Child nutrition in Mozambique in 2003: the role of mother's schooling and nutrition knowledge","container-title":"Economics &amp; Human Biology","page":"331-345","volume":"8","issue":"3","source":"ScienceDirect","abstract":"This paper is a study of the determinants of the anthropometric status of preschool children in Mozambique. Using the 2003 Demographic and Health Survey, we provide insights into two main explanatory factors: the mother's schooling and the mother's nutrition knowledge. Rather than treating the mother's schooling as a black box, we analyze its interaction with the mother's nutrition knowledge and household wealth in order to elucidate the mechanisms underlying their ultimate effect on child height.\n\nThe estimates obtained through instrumental variable regression show that the direct effect of the mother's schooling is large but that the rate at which it increases declines as her educational level rises. Primary education seems to be a key to enhance the mothers’ general knowledge, which then improves the allocation of resources in regard to children's well-being and the care for the child. A higher educational level attained by the mother is likely to play only a minimal and indirect role in her child's nutrition, by expanding her economic opportunities. This is because more educated mothers have also more qualified and time-consuming jobs, which reduces the time spent for childcare. Mothers with higher levels of nutrition knowledge, acquired primarily outside of school, are able to choose a more diversified diet for their children and, broadly speaking, to utilize food more effectively. Based on a second technique, the instrumental variable quantile regression, we are able to draw a double conclusion: that mothers’ nutrition knowledge contributes to height increases among extremely deprived children, and that mothers’ formal education and household wealth are slightly more important for relatively well-off children.","DOI":"10.1016/j.ehb.2010.05.010","ISSN":"1570-677X","shortTitle":"Child nutrition in Mozambique in 2003","journalAbbreviation":"Economics &amp; Human Biology","author":[{"family":"Burchi","given":"Francesco"}],"issued":{"date-parts":[["2010",12]]}}},{"id":980,"uris":["http://zotero.org/groups/698231/items/5CGSDHK3"],"uri":["http://zotero.org/groups/698231/items/5CGSDHK3"],"itemData":{"id":980,"type":"article-journal","title":"Nutrition information and formal schooling as inputs to child nutrition","container-title":"Economic Development and Cultural Change","page":"801-820","volume":"52","issue":"4","source":"journals.uchicago.edu (Atypon)","DOI":"10.1086/420901","ISSN":"0013-0079","journalAbbreviation":"Economic Development and Cultural Change","author":[{"family":"Webb","given":"Patrick"},{"family":"Block","given":"Steven"}],"issued":{"date-parts":[["2004",7,1]]}}}],"schema":"https://github.com/citation-style-language/schema/raw/master/csl-citation.json"}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(Appoh &amp; Krekling, 2005; Burchi, 2010; Webb &amp; Block, 2004)</w:t>
      </w:r>
      <w:r w:rsidRPr="00E950A8">
        <w:rPr>
          <w:rFonts w:asciiTheme="majorHAnsi" w:hAnsiTheme="majorHAnsi"/>
          <w:sz w:val="24"/>
          <w:szCs w:val="24"/>
          <w:lang w:val="en-US"/>
        </w:rPr>
        <w:fldChar w:fldCharType="end"/>
      </w:r>
      <w:r>
        <w:rPr>
          <w:rFonts w:asciiTheme="majorHAnsi" w:hAnsiTheme="majorHAnsi"/>
          <w:sz w:val="24"/>
          <w:szCs w:val="24"/>
          <w:lang w:val="en-US"/>
        </w:rPr>
        <w:t>.</w:t>
      </w:r>
    </w:p>
    <w:p w14:paraId="1B755EDE" w14:textId="77777777" w:rsidR="008A5C7B" w:rsidRPr="00E950A8" w:rsidRDefault="008A5C7B" w:rsidP="008A5C7B">
      <w:pPr>
        <w:spacing w:line="480" w:lineRule="auto"/>
        <w:jc w:val="both"/>
        <w:rPr>
          <w:rFonts w:asciiTheme="majorHAnsi" w:hAnsiTheme="majorHAnsi"/>
          <w:sz w:val="24"/>
          <w:szCs w:val="24"/>
          <w:lang w:val="en-US"/>
        </w:rPr>
      </w:pPr>
    </w:p>
    <w:p w14:paraId="00C52433" w14:textId="77777777" w:rsidR="008A5C7B" w:rsidRPr="00A254F5" w:rsidRDefault="008A5C7B" w:rsidP="007C3E2A">
      <w:pPr>
        <w:pStyle w:val="berschrift2"/>
        <w:rPr>
          <w:lang w:val="en-US"/>
        </w:rPr>
      </w:pPr>
      <w:r w:rsidRPr="00A254F5">
        <w:rPr>
          <w:lang w:val="en-US"/>
        </w:rPr>
        <w:t>Measuring Maternal Nutrition Knowledge</w:t>
      </w:r>
    </w:p>
    <w:p w14:paraId="260A58D3" w14:textId="77777777" w:rsidR="008A5C7B" w:rsidRPr="00E950A8" w:rsidRDefault="008A5C7B" w:rsidP="008A5C7B">
      <w:pPr>
        <w:spacing w:line="480" w:lineRule="auto"/>
        <w:jc w:val="both"/>
        <w:rPr>
          <w:rFonts w:asciiTheme="majorHAnsi" w:hAnsiTheme="majorHAnsi"/>
          <w:sz w:val="24"/>
          <w:szCs w:val="24"/>
          <w:lang w:val="en-US"/>
        </w:rPr>
      </w:pPr>
      <w:r w:rsidRPr="00E950A8">
        <w:rPr>
          <w:rFonts w:asciiTheme="majorHAnsi" w:hAnsiTheme="majorHAnsi"/>
          <w:sz w:val="24"/>
          <w:szCs w:val="24"/>
          <w:lang w:val="en-US"/>
        </w:rPr>
        <w:t>In the survey, we asked the children’s mothers various questions concerning nutrition knowledge. Building on the ‘stages of change’ model (</w:t>
      </w:r>
      <w:proofErr w:type="spellStart"/>
      <w:r w:rsidRPr="00E950A8">
        <w:rPr>
          <w:rFonts w:asciiTheme="majorHAnsi" w:hAnsiTheme="majorHAnsi"/>
          <w:sz w:val="24"/>
          <w:szCs w:val="24"/>
          <w:lang w:val="en-US"/>
        </w:rPr>
        <w:t>Glanz</w:t>
      </w:r>
      <w:proofErr w:type="spellEnd"/>
      <w:r w:rsidRPr="00E950A8">
        <w:rPr>
          <w:rFonts w:asciiTheme="majorHAnsi" w:hAnsiTheme="majorHAnsi"/>
          <w:sz w:val="24"/>
          <w:szCs w:val="24"/>
          <w:lang w:val="en-US"/>
        </w:rPr>
        <w:t xml:space="preserve"> et al.,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dip2tsdu9","properties":{"formattedCitation":"(1994)","plainCitation":"(1994)"},"citationItems":[{"id":1036,"uris":["http://zotero.org/groups/698231/items/5JUKGD5W"],"uri":["http://zotero.org/groups/698231/items/5JUKGD5W"],"itemData":{"id":1036,"type":"article-journal","title":"Stages of change in adopting healthy diets: fat, fiber, and correlates of nutrient intake","container-title":"Health Education Quarterly","page":"499-519","volume":"21","issue":"4","source":"PubMed","abstract":"The stages of change construct, which addresses the readiness to change, has only recently been applied to dietary behavior, such as fat consumption. This article describes the application of the stages of change construct to dietary fat and fiber consumption and examines the association of dietary stages to eating practices and related demographic and psychosocial factors in a large, geographically diverse population of workers. We present results from the baseline survey of 17,121 employees in the Working Well Trial. We assessed stage from an algorithm based on seven items and measured dietary intake with an 88-item food frequency questionnaire. Findings indicated that a greater proportion of the population has actively tried to reduce fat intake than to consume more fiber. Stage of change was associated with fat, fiber, and fruit and vegetable intake in a stepwise manner, as predicted. In multivariate analyses that controlled for demographic characteristics, stage of change predicted between 8 and 13% of the variance in dietary intake, and more than demographic variables. These findings have implications for the design of nutrition interventions and for the evaluation of intermediate outcomes.","ISSN":"0195-8402","note":"PMID: 7843980","shortTitle":"Stages of change in adopting healthy diets","journalAbbreviation":"Health Educ Q","language":"eng","author":[{"family":"Glanz","given":"K."},{"family":"Patterson","given":"R. E."},{"family":"Kristal","given":"A. R."},{"family":"DiClemente","given":"C. C."},{"family":"Heimendinger","given":"J."},{"family":"Linnan","given":"L."},{"family":"McLerran","given":"D. F."}],"issued":{"date-parts":[["1994"]]},"PMID":"7843980"},"suppress-author":true}],"schema":"https://github.com/citation-style-language/schema/raw/master/csl-citation.json"}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1994)</w:t>
      </w:r>
      <w:r w:rsidRPr="00E950A8">
        <w:rPr>
          <w:rFonts w:asciiTheme="majorHAnsi" w:hAnsiTheme="majorHAnsi"/>
          <w:sz w:val="24"/>
          <w:szCs w:val="24"/>
          <w:lang w:val="en-US"/>
        </w:rPr>
        <w:fldChar w:fldCharType="end"/>
      </w:r>
      <w:r w:rsidRPr="00064DA0">
        <w:rPr>
          <w:rFonts w:asciiTheme="majorHAnsi" w:hAnsiTheme="majorHAnsi"/>
          <w:sz w:val="24"/>
          <w:szCs w:val="24"/>
          <w:lang w:val="en-US"/>
        </w:rPr>
        <w:t>,</w:t>
      </w:r>
      <w:r w:rsidRPr="00E950A8">
        <w:rPr>
          <w:rFonts w:asciiTheme="majorHAnsi" w:hAnsiTheme="majorHAnsi"/>
          <w:sz w:val="24"/>
          <w:szCs w:val="24"/>
          <w:lang w:val="en-US"/>
        </w:rPr>
        <w:t xml:space="preserve"> which illustrates that changes in dietary behavior have different types of information needs, our knowledge questions were subdivided into three categories: (a) k</w:t>
      </w:r>
      <w:r w:rsidRPr="000C3350">
        <w:rPr>
          <w:rFonts w:asciiTheme="majorHAnsi" w:hAnsiTheme="majorHAnsi"/>
          <w:sz w:val="24"/>
          <w:szCs w:val="24"/>
          <w:lang w:val="en-US"/>
        </w:rPr>
        <w:t>nowledge about food ingredients</w:t>
      </w:r>
      <w:r w:rsidRPr="00064DA0">
        <w:rPr>
          <w:rFonts w:asciiTheme="majorHAnsi" w:hAnsiTheme="majorHAnsi"/>
          <w:sz w:val="24"/>
          <w:szCs w:val="24"/>
          <w:lang w:val="en-US"/>
        </w:rPr>
        <w:t xml:space="preserve"> (particularly focusing on sugar, fat, and salt)</w:t>
      </w:r>
      <w:r w:rsidRPr="000C3350">
        <w:rPr>
          <w:rFonts w:asciiTheme="majorHAnsi" w:hAnsiTheme="majorHAnsi"/>
          <w:sz w:val="24"/>
          <w:szCs w:val="24"/>
          <w:lang w:val="en-US"/>
        </w:rPr>
        <w:t>,</w:t>
      </w:r>
      <w:r w:rsidRPr="00064DA0">
        <w:rPr>
          <w:rFonts w:asciiTheme="majorHAnsi" w:hAnsiTheme="majorHAnsi"/>
          <w:sz w:val="24"/>
          <w:szCs w:val="24"/>
          <w:lang w:val="en-US"/>
        </w:rPr>
        <w:t xml:space="preserve"> </w:t>
      </w:r>
      <w:r w:rsidRPr="00E950A8">
        <w:rPr>
          <w:rFonts w:asciiTheme="majorHAnsi" w:hAnsiTheme="majorHAnsi"/>
          <w:sz w:val="24"/>
          <w:szCs w:val="24"/>
          <w:lang w:val="en-US"/>
        </w:rPr>
        <w:t>(b) k</w:t>
      </w:r>
      <w:r w:rsidRPr="000C3350">
        <w:rPr>
          <w:rFonts w:asciiTheme="majorHAnsi" w:hAnsiTheme="majorHAnsi"/>
          <w:sz w:val="24"/>
          <w:szCs w:val="24"/>
          <w:lang w:val="en-US"/>
        </w:rPr>
        <w:t>nowledge about specific dietary recommendations</w:t>
      </w:r>
      <w:r>
        <w:rPr>
          <w:rFonts w:asciiTheme="majorHAnsi" w:hAnsiTheme="majorHAnsi"/>
          <w:sz w:val="24"/>
          <w:szCs w:val="24"/>
          <w:lang w:val="en-US"/>
        </w:rPr>
        <w:t xml:space="preserve"> (focusing on the consumption of fresh fruits and vegetables and on </w:t>
      </w:r>
      <w:r>
        <w:rPr>
          <w:rFonts w:asciiTheme="majorHAnsi" w:hAnsiTheme="majorHAnsi"/>
          <w:sz w:val="24"/>
          <w:szCs w:val="24"/>
          <w:lang w:val="en-US"/>
        </w:rPr>
        <w:lastRenderedPageBreak/>
        <w:t>breastfeeding)</w:t>
      </w:r>
      <w:r w:rsidRPr="000C3350">
        <w:rPr>
          <w:rFonts w:asciiTheme="majorHAnsi" w:hAnsiTheme="majorHAnsi"/>
          <w:sz w:val="24"/>
          <w:szCs w:val="24"/>
          <w:lang w:val="en-US"/>
        </w:rPr>
        <w:t>, and (</w:t>
      </w:r>
      <w:r w:rsidRPr="00E950A8">
        <w:rPr>
          <w:rFonts w:asciiTheme="majorHAnsi" w:hAnsiTheme="majorHAnsi"/>
          <w:sz w:val="24"/>
          <w:szCs w:val="24"/>
          <w:lang w:val="en-US"/>
        </w:rPr>
        <w:t xml:space="preserve">c) </w:t>
      </w:r>
      <w:r w:rsidRPr="000C3350">
        <w:rPr>
          <w:rFonts w:asciiTheme="majorHAnsi" w:hAnsiTheme="majorHAnsi"/>
          <w:sz w:val="24"/>
          <w:szCs w:val="24"/>
          <w:lang w:val="en-US"/>
        </w:rPr>
        <w:t xml:space="preserve">knowledge about </w:t>
      </w:r>
      <w:r w:rsidRPr="00064DA0">
        <w:rPr>
          <w:rFonts w:asciiTheme="majorHAnsi" w:hAnsiTheme="majorHAnsi"/>
          <w:sz w:val="24"/>
          <w:szCs w:val="24"/>
          <w:lang w:val="en-US"/>
        </w:rPr>
        <w:t xml:space="preserve">the health consequences of not following recommended dietary practices. </w:t>
      </w:r>
      <w:r w:rsidRPr="00E950A8">
        <w:rPr>
          <w:rFonts w:asciiTheme="majorHAnsi" w:hAnsiTheme="majorHAnsi"/>
          <w:sz w:val="24"/>
          <w:szCs w:val="24"/>
          <w:lang w:val="en-US"/>
        </w:rPr>
        <w:t>Details of the questions asked are shown in Table 1.</w:t>
      </w:r>
    </w:p>
    <w:p w14:paraId="75FE5524" w14:textId="77777777" w:rsidR="008A5C7B" w:rsidRPr="00E950A8"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 xml:space="preserve">Responses to each question were classified as correct </w:t>
      </w:r>
      <w:r>
        <w:rPr>
          <w:rFonts w:asciiTheme="majorHAnsi" w:hAnsiTheme="majorHAnsi"/>
          <w:sz w:val="24"/>
          <w:szCs w:val="24"/>
          <w:lang w:val="en-US"/>
        </w:rPr>
        <w:t>or</w:t>
      </w:r>
      <w:r w:rsidRPr="00E950A8">
        <w:rPr>
          <w:rFonts w:asciiTheme="majorHAnsi" w:hAnsiTheme="majorHAnsi"/>
          <w:sz w:val="24"/>
          <w:szCs w:val="24"/>
          <w:lang w:val="en-US"/>
        </w:rPr>
        <w:t xml:space="preserve"> incorrect. Based on the number of correct responses, we generated different types of nutrition knowledge scores. First, for each respondent we used the sum of correct responses for the different questions belonging to the same </w:t>
      </w:r>
      <w:r>
        <w:rPr>
          <w:rFonts w:asciiTheme="majorHAnsi" w:hAnsiTheme="majorHAnsi"/>
          <w:sz w:val="24"/>
          <w:szCs w:val="24"/>
          <w:lang w:val="en-US"/>
        </w:rPr>
        <w:t xml:space="preserve">knowledge </w:t>
      </w:r>
      <w:r w:rsidRPr="00E950A8">
        <w:rPr>
          <w:rFonts w:asciiTheme="majorHAnsi" w:hAnsiTheme="majorHAnsi"/>
          <w:sz w:val="24"/>
          <w:szCs w:val="24"/>
          <w:lang w:val="en-US"/>
        </w:rPr>
        <w:t>category. This sum was then divided by the number of correct responses at the 95% distribution of correct responses among all individuals. To standardize values in a range between 0 and 1, we replaced any value greater than one with the value 1. This procedure results in an individual nutrition knowledge score for each category (a), (b), and (c), which we use in order to analyze the role of each type of nutrition knowledge. Second, for each respondent we calculate an aggregated nutrition knowledge score as the arithmetic mean of the knowledge scores for all three categories.</w:t>
      </w:r>
    </w:p>
    <w:p w14:paraId="39153E27" w14:textId="77777777" w:rsidR="008A5C7B" w:rsidRPr="00A254F5" w:rsidRDefault="008A5C7B" w:rsidP="007C3E2A">
      <w:pPr>
        <w:pStyle w:val="berschrift2"/>
        <w:rPr>
          <w:lang w:val="en-US"/>
        </w:rPr>
      </w:pPr>
      <w:r w:rsidRPr="00A254F5">
        <w:rPr>
          <w:lang w:val="en-US"/>
        </w:rPr>
        <w:t>Statistical Analysis</w:t>
      </w:r>
    </w:p>
    <w:p w14:paraId="7EFE27D2" w14:textId="77777777" w:rsidR="008A5C7B" w:rsidRPr="00E950A8" w:rsidRDefault="008A5C7B" w:rsidP="008A5C7B">
      <w:pPr>
        <w:spacing w:line="480" w:lineRule="auto"/>
        <w:jc w:val="both"/>
        <w:rPr>
          <w:rFonts w:asciiTheme="majorHAnsi" w:hAnsiTheme="majorHAnsi"/>
          <w:sz w:val="24"/>
          <w:szCs w:val="24"/>
          <w:lang w:val="en-US"/>
        </w:rPr>
      </w:pPr>
      <w:r w:rsidRPr="00E950A8">
        <w:rPr>
          <w:rFonts w:asciiTheme="majorHAnsi" w:hAnsiTheme="majorHAnsi"/>
          <w:sz w:val="24"/>
          <w:szCs w:val="24"/>
          <w:lang w:val="en-US"/>
        </w:rPr>
        <w:t xml:space="preserve">We use non-parametric and parametric statistical approaches to analyze the data. Non-parametric approaches </w:t>
      </w:r>
      <w:r>
        <w:rPr>
          <w:rFonts w:asciiTheme="majorHAnsi" w:hAnsiTheme="majorHAnsi"/>
          <w:sz w:val="24"/>
          <w:szCs w:val="24"/>
          <w:lang w:val="en-US"/>
        </w:rPr>
        <w:t xml:space="preserve">that </w:t>
      </w:r>
      <w:r w:rsidRPr="00E950A8">
        <w:rPr>
          <w:rFonts w:asciiTheme="majorHAnsi" w:hAnsiTheme="majorHAnsi"/>
          <w:sz w:val="24"/>
          <w:szCs w:val="24"/>
          <w:lang w:val="en-US"/>
        </w:rPr>
        <w:t xml:space="preserve">we use include local polynomial regression and kernel density plots to visualize the association between maternal nutrition knowledge and child HAZ. A local polynomial regression smooths a scatter plot of the two variables by using a polynomial fit. The analysis applies a weighted least squares regression with greater weights given to data points closer to the polynomial fit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{"citationID":"1lr2ku9a7m","properties":{"formattedCitation":"(Cleveland, 1979)","plainCitation":"(Cleveland, 1979)"},"citationItems":[{"id":1021,"uris":["http://zotero.org/groups/698231/items/C5CNBKAE"],"uri":["http://zotero.org/groups/698231/items/C5CNBKAE"],"itemData":{"id":1021,"type":"article-journal","title":"Robust locally weighted regression and smoothing scatterplots","container-title":"Journal of the American Statistical Association","page":"829-836","volume":"74","issue":"368","author":[{"family":"Cleveland","given":"William S."}],"issued":{"date-parts":[["1979"]]}}}],"schema":"https://github.com/citation-style-language/schema/raw/master/csl-citation.json"}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(Cleveland, 1979)</w:t>
      </w:r>
      <w:r w:rsidRPr="00E950A8">
        <w:rPr>
          <w:rFonts w:asciiTheme="majorHAnsi" w:hAnsiTheme="majorHAnsi"/>
          <w:sz w:val="24"/>
          <w:szCs w:val="24"/>
          <w:lang w:val="en-US"/>
        </w:rPr>
        <w:fldChar w:fldCharType="end"/>
      </w:r>
      <w:r w:rsidRPr="00064DA0">
        <w:rPr>
          <w:rFonts w:asciiTheme="majorHAnsi" w:hAnsiTheme="majorHAnsi"/>
          <w:sz w:val="24"/>
          <w:szCs w:val="24"/>
          <w:lang w:val="en-US"/>
        </w:rPr>
        <w:t>.</w:t>
      </w:r>
    </w:p>
    <w:p w14:paraId="774A9254" w14:textId="77777777" w:rsidR="008A5C7B" w:rsidRPr="00E950A8"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Kernel density plots smooth kernel density functions</w:t>
      </w:r>
      <w:r w:rsidRPr="00064DA0">
        <w:rPr>
          <w:rFonts w:asciiTheme="majorHAnsi" w:hAnsiTheme="majorHAnsi"/>
          <w:sz w:val="24"/>
          <w:szCs w:val="24"/>
          <w:lang w:val="en-US"/>
        </w:rPr>
        <w:t xml:space="preserve"> of </w:t>
      </w:r>
      <w:r w:rsidRPr="00E950A8">
        <w:rPr>
          <w:rFonts w:asciiTheme="majorHAnsi" w:hAnsiTheme="majorHAnsi"/>
          <w:sz w:val="24"/>
          <w:szCs w:val="24"/>
          <w:lang w:val="en-US"/>
        </w:rPr>
        <w:t xml:space="preserve">each data point, whereby the kernel estimates vary depending on the number of observations in the neighborhood of each data point (Silverman, 1986;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{"citationID":"35i761a8d","properties":{"formattedCitation":"(Wand &amp; Jones, 1995)","plainCitation":"(Wand &amp; Jones, 1995)"},"citationItems":[{"id":1031,"uris":["http://zotero.org/groups/698231/items/MFZZRWI5"],"uri":["http://zotero.org/groups/698231/items/MFZZRWI5"],"itemData":{"id":1031,"type":"book","title":"Kernel Smoothing","collection-title":"Monographs on statistics and applied probability","collection-number":"60","publisher":"Chapman &amp; Hall","publisher-place":"London; New York","number-of-pages":"212","edition":"1st ed","source":"Library of Congress ISBN","event-place":"London; New York","ISBN":"978-0-412-55270-0","call-number":"QA278 .W32 1995","author":[{"family":"Wand","given":"M. P."},{"family":"Jones","given":"M. C."}],"issued":{"date-parts":[["1995"]]}}}],"schema":"https://github.com/citation-style-language/schema/raw/master/csl-citation.json"}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Wand &amp; Jones, 1995)</w:t>
      </w:r>
      <w:r w:rsidRPr="00E950A8">
        <w:rPr>
          <w:rFonts w:asciiTheme="majorHAnsi" w:hAnsiTheme="majorHAnsi"/>
          <w:sz w:val="24"/>
          <w:szCs w:val="24"/>
          <w:lang w:val="en-US"/>
        </w:rPr>
        <w:fldChar w:fldCharType="end"/>
      </w:r>
      <w:r w:rsidRPr="00064DA0">
        <w:rPr>
          <w:rFonts w:asciiTheme="majorHAnsi" w:hAnsiTheme="majorHAnsi"/>
          <w:sz w:val="24"/>
          <w:szCs w:val="24"/>
          <w:lang w:val="en-US"/>
        </w:rPr>
        <w:t xml:space="preserve">. </w:t>
      </w:r>
      <w:r w:rsidRPr="00E950A8">
        <w:rPr>
          <w:rFonts w:asciiTheme="majorHAnsi" w:hAnsiTheme="majorHAnsi"/>
          <w:sz w:val="24"/>
          <w:szCs w:val="24"/>
          <w:lang w:val="en-US"/>
        </w:rPr>
        <w:t xml:space="preserve">In our density plot, we use a univariate kernel density estimation of HAZ for households with different levels of nutrition knowledge. For this purpose, we take the arithmetic mean of the aggregated maternal nutrition knowledge score and split the sample into two: households with a high </w:t>
      </w:r>
      <w:r w:rsidRPr="00E950A8">
        <w:rPr>
          <w:rFonts w:asciiTheme="majorHAnsi" w:hAnsiTheme="majorHAnsi"/>
          <w:sz w:val="24"/>
          <w:szCs w:val="24"/>
          <w:lang w:val="en-US"/>
        </w:rPr>
        <w:lastRenderedPageBreak/>
        <w:t>(above average) and households with a low (below average) nutrition knowledge score.</w:t>
      </w:r>
      <w:r>
        <w:rPr>
          <w:rFonts w:asciiTheme="majorHAnsi" w:hAnsiTheme="majorHAnsi"/>
          <w:sz w:val="24"/>
          <w:szCs w:val="24"/>
          <w:lang w:val="en-US"/>
        </w:rPr>
        <w:t xml:space="preserve"> We also use a modified threshold in a robustness check.</w:t>
      </w:r>
    </w:p>
    <w:p w14:paraId="02DCA811" w14:textId="77777777" w:rsidR="008A5C7B" w:rsidRPr="00E950A8"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For the parametric statistical analysis, we use ordinary least squares (OLS) regression models of the following form:</w:t>
      </w:r>
    </w:p>
    <w:p w14:paraId="662837EA" w14:textId="77777777" w:rsidR="008A5C7B" w:rsidRPr="00064DA0" w:rsidRDefault="003A4DBA" w:rsidP="008A5C7B">
      <w:pPr>
        <w:spacing w:after="0" w:line="480" w:lineRule="auto"/>
        <w:jc w:val="both"/>
        <w:rPr>
          <w:rFonts w:asciiTheme="majorHAnsi" w:hAnsiTheme="majorHAnsi"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HAZ</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ht</m:t>
            </m:r>
          </m:sub>
        </m:sSub>
        <m:r>
          <w:rPr>
            <w:rFonts w:ascii="Cambria Math" w:hAnsi="Cambria Math" w:cs="Times New Roman"/>
            <w:sz w:val="24"/>
            <w:szCs w:val="24"/>
            <w:lang w:val="en-US"/>
          </w:rPr>
          <m:t>+</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β</m:t>
            </m:r>
          </m:e>
          <m:sub>
            <m:r>
              <w:rPr>
                <w:rFonts w:ascii="Cambria Math" w:hAnsi="Cambria Math" w:cs="Times New Roman"/>
                <w:sz w:val="24"/>
                <w:szCs w:val="24"/>
                <w:lang w:val="en-US"/>
              </w:rPr>
              <m:t>2</m:t>
            </m:r>
          </m:sub>
          <m:sup>
            <m:r>
              <w:rPr>
                <w:rFonts w:ascii="Cambria Math" w:hAnsi="Cambria Math" w:cs="Times New Roman"/>
                <w:sz w:val="24"/>
                <w:szCs w:val="24"/>
                <w:lang w:val="en-US"/>
              </w:rPr>
              <m:t>'</m:t>
            </m:r>
          </m:sup>
        </m:sSubSup>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Z</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β</m:t>
            </m:r>
          </m:e>
          <m:sub>
            <m:r>
              <w:rPr>
                <w:rFonts w:ascii="Cambria Math" w:hAnsi="Cambria Math" w:cs="Times New Roman"/>
                <w:sz w:val="24"/>
                <w:szCs w:val="24"/>
                <w:lang w:val="en-US"/>
              </w:rPr>
              <m:t>3</m:t>
            </m:r>
          </m:sub>
          <m:sup>
            <m:r>
              <w:rPr>
                <w:rFonts w:ascii="Cambria Math" w:hAnsi="Cambria Math" w:cs="Times New Roman"/>
                <w:sz w:val="24"/>
                <w:szCs w:val="24"/>
                <w:lang w:val="en-US"/>
              </w:rPr>
              <m:t>'</m:t>
            </m:r>
          </m:sup>
        </m:sSubSup>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X</m:t>
            </m:r>
          </m:e>
          <m:sub>
            <m:r>
              <w:rPr>
                <w:rFonts w:ascii="Cambria Math" w:hAnsi="Cambria Math" w:cs="Times New Roman"/>
                <w:sz w:val="24"/>
                <w:szCs w:val="24"/>
                <w:lang w:val="en-US"/>
              </w:rPr>
              <m:t>ht</m:t>
            </m:r>
          </m:sub>
        </m:sSub>
        <m:r>
          <w:rPr>
            <w:rFonts w:ascii="Cambria Math" w:hAnsi="Cambria Math" w:cs="Times New Roman"/>
            <w:sz w:val="24"/>
            <w:szCs w:val="24"/>
            <w:lang w:val="en-US"/>
          </w:rPr>
          <m:t>+</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β</m:t>
            </m:r>
          </m:e>
          <m:sub>
            <m:r>
              <w:rPr>
                <w:rFonts w:ascii="Cambria Math" w:hAnsi="Cambria Math" w:cs="Times New Roman"/>
                <w:sz w:val="24"/>
                <w:szCs w:val="24"/>
                <w:lang w:val="en-US"/>
              </w:rPr>
              <m:t>4</m:t>
            </m:r>
          </m:sub>
          <m:sup>
            <m:r>
              <w:rPr>
                <w:rFonts w:ascii="Cambria Math" w:hAnsi="Cambria Math" w:cs="Times New Roman"/>
                <w:sz w:val="24"/>
                <w:szCs w:val="24"/>
                <w:lang w:val="en-US"/>
              </w:rPr>
              <m:t>'</m:t>
            </m:r>
          </m:sup>
        </m:sSubSup>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E</m:t>
            </m:r>
          </m:e>
          <m:sub>
            <m:r>
              <w:rPr>
                <w:rFonts w:ascii="Cambria Math" w:hAnsi="Cambria Math" w:cs="Times New Roman"/>
                <w:sz w:val="24"/>
                <w:szCs w:val="24"/>
                <w:lang w:val="en-US"/>
              </w:rPr>
              <m:t>ht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4</m:t>
            </m:r>
          </m:sub>
        </m:sSub>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i</m:t>
            </m:r>
          </m:sub>
        </m:sSub>
      </m:oMath>
      <w:r w:rsidR="008A5C7B" w:rsidRPr="00064DA0">
        <w:rPr>
          <w:rFonts w:asciiTheme="majorHAnsi" w:hAnsiTheme="majorHAnsi" w:cs="Times New Roman"/>
          <w:sz w:val="24"/>
          <w:szCs w:val="24"/>
          <w:lang w:val="en-US"/>
        </w:rPr>
        <w:tab/>
      </w:r>
      <w:r w:rsidR="008A5C7B" w:rsidRPr="00064DA0">
        <w:rPr>
          <w:rFonts w:asciiTheme="majorHAnsi" w:hAnsiTheme="majorHAnsi" w:cs="Times New Roman"/>
          <w:sz w:val="24"/>
          <w:szCs w:val="24"/>
          <w:lang w:val="en-US"/>
        </w:rPr>
        <w:tab/>
      </w:r>
      <w:r w:rsidR="008A5C7B" w:rsidRPr="00064DA0">
        <w:rPr>
          <w:rFonts w:asciiTheme="majorHAnsi" w:hAnsiTheme="majorHAnsi" w:cs="Times New Roman"/>
          <w:sz w:val="24"/>
          <w:szCs w:val="24"/>
          <w:lang w:val="en-US"/>
        </w:rPr>
        <w:tab/>
        <w:t>[1]</w:t>
      </w:r>
    </w:p>
    <w:p w14:paraId="2FF5FE80" w14:textId="77777777" w:rsidR="008A5C7B" w:rsidRPr="00E950A8" w:rsidRDefault="008A5C7B" w:rsidP="008A5C7B">
      <w:pPr>
        <w:spacing w:after="0" w:line="480" w:lineRule="auto"/>
        <w:jc w:val="both"/>
        <w:rPr>
          <w:rFonts w:asciiTheme="majorHAnsi" w:eastAsiaTheme="minorEastAsia" w:hAnsiTheme="majorHAnsi" w:cs="Times New Roman"/>
          <w:sz w:val="24"/>
          <w:szCs w:val="24"/>
          <w:lang w:val="en-US"/>
        </w:rPr>
      </w:pPr>
      <w:proofErr w:type="gramStart"/>
      <w:r w:rsidRPr="00E950A8">
        <w:rPr>
          <w:rFonts w:asciiTheme="majorHAnsi" w:hAnsiTheme="majorHAnsi" w:cs="Times New Roman"/>
          <w:sz w:val="24"/>
          <w:szCs w:val="24"/>
          <w:lang w:val="en-US"/>
        </w:rPr>
        <w:t>where</w:t>
      </w:r>
      <w:proofErr w:type="gramEnd"/>
      <w:r w:rsidRPr="00E950A8">
        <w:rPr>
          <w:rFonts w:asciiTheme="majorHAnsi" w:hAnsiTheme="majorHAnsi" w:cs="Times New Roman"/>
          <w:sz w:val="24"/>
          <w:szCs w:val="24"/>
          <w:lang w:val="en-US"/>
        </w:rPr>
        <w:t xml:space="preserve"> subscript </w:t>
      </w:r>
      <w:proofErr w:type="spellStart"/>
      <w:r w:rsidRPr="00E950A8">
        <w:rPr>
          <w:rFonts w:asciiTheme="majorHAnsi" w:hAnsiTheme="majorHAnsi" w:cs="Times New Roman"/>
          <w:i/>
          <w:sz w:val="24"/>
          <w:szCs w:val="24"/>
          <w:lang w:val="en-US"/>
        </w:rPr>
        <w:t>i</w:t>
      </w:r>
      <w:proofErr w:type="spellEnd"/>
      <w:r w:rsidRPr="00E950A8">
        <w:rPr>
          <w:rFonts w:asciiTheme="majorHAnsi" w:hAnsiTheme="majorHAnsi" w:cs="Times New Roman"/>
          <w:sz w:val="24"/>
          <w:szCs w:val="24"/>
          <w:lang w:val="en-US"/>
        </w:rPr>
        <w:t xml:space="preserve"> denotes child-level and subscript </w:t>
      </w:r>
      <w:r w:rsidRPr="000C3350">
        <w:rPr>
          <w:rFonts w:asciiTheme="majorHAnsi" w:hAnsiTheme="majorHAnsi" w:cs="Times New Roman"/>
          <w:i/>
          <w:sz w:val="24"/>
          <w:szCs w:val="24"/>
          <w:lang w:val="en-US"/>
        </w:rPr>
        <w:t>h</w:t>
      </w:r>
      <w:r w:rsidRPr="00064DA0">
        <w:rPr>
          <w:rFonts w:asciiTheme="majorHAnsi" w:hAnsiTheme="majorHAnsi" w:cs="Times New Roman"/>
          <w:sz w:val="24"/>
          <w:szCs w:val="24"/>
          <w:lang w:val="en-US"/>
        </w:rPr>
        <w:t xml:space="preserve"> household-level variables</w:t>
      </w:r>
      <w:r w:rsidRPr="00E950A8">
        <w:rPr>
          <w:rFonts w:asciiTheme="majorHAnsi" w:hAnsiTheme="majorHAnsi" w:cs="Times New Roman"/>
          <w:sz w:val="24"/>
          <w:szCs w:val="24"/>
          <w:lang w:val="en-US"/>
        </w:rPr>
        <w:t xml:space="preserve">, measured at time </w:t>
      </w:r>
      <w:r w:rsidRPr="00E950A8">
        <w:rPr>
          <w:rFonts w:asciiTheme="majorHAnsi" w:hAnsiTheme="majorHAnsi" w:cs="Times New Roman"/>
          <w:i/>
          <w:sz w:val="24"/>
          <w:szCs w:val="24"/>
          <w:lang w:val="en-US"/>
        </w:rPr>
        <w:t>t.</w:t>
      </w:r>
      <w:r w:rsidRPr="00E950A8">
        <w:rPr>
          <w:rFonts w:asciiTheme="majorHAnsi" w:hAnsiTheme="majorHAnsi"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HAZ</m:t>
            </m:r>
          </m:e>
          <m:sub>
            <m:r>
              <w:rPr>
                <w:rFonts w:ascii="Cambria Math" w:hAnsi="Cambria Math" w:cs="Times New Roman"/>
                <w:sz w:val="24"/>
                <w:szCs w:val="24"/>
                <w:lang w:val="en-US"/>
              </w:rPr>
              <m:t>it</m:t>
            </m:r>
          </m:sub>
        </m:sSub>
      </m:oMath>
      <w:r w:rsidRPr="00064DA0">
        <w:rPr>
          <w:rFonts w:asciiTheme="majorHAnsi" w:eastAsiaTheme="minorEastAsia" w:hAnsiTheme="majorHAnsi" w:cs="Times New Roman"/>
          <w:sz w:val="24"/>
          <w:szCs w:val="24"/>
          <w:lang w:val="en-US"/>
        </w:rPr>
        <w:t xml:space="preserve"> </w:t>
      </w:r>
      <w:r w:rsidRPr="00E950A8">
        <w:rPr>
          <w:rFonts w:asciiTheme="majorHAnsi" w:eastAsiaTheme="minorEastAsia" w:hAnsiTheme="majorHAnsi" w:cs="Times New Roman"/>
          <w:sz w:val="24"/>
          <w:szCs w:val="24"/>
          <w:lang w:val="en-US"/>
        </w:rPr>
        <w:t>is the height-for-age Z-score of children and adolescents</w:t>
      </w:r>
      <w:r>
        <w:rPr>
          <w:rFonts w:asciiTheme="majorHAnsi" w:eastAsiaTheme="minorEastAsia" w:hAnsiTheme="majorHAnsi" w:cs="Times New Roman"/>
          <w:sz w:val="24"/>
          <w:szCs w:val="24"/>
          <w:lang w:val="en-US"/>
        </w:rPr>
        <w:t>.</w:t>
      </w:r>
      <w:r w:rsidRPr="00E950A8">
        <w:rPr>
          <w:rFonts w:asciiTheme="majorHAnsi" w:eastAsiaTheme="minorEastAsia" w:hAnsiTheme="majorHAnsi"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ht</m:t>
            </m:r>
          </m:sub>
        </m:sSub>
      </m:oMath>
      <w:r w:rsidRPr="00064DA0">
        <w:rPr>
          <w:rFonts w:asciiTheme="majorHAnsi" w:eastAsiaTheme="minorEastAsia" w:hAnsiTheme="majorHAnsi" w:cs="Times New Roman"/>
          <w:sz w:val="24"/>
          <w:szCs w:val="24"/>
          <w:lang w:val="en-US"/>
        </w:rPr>
        <w:t xml:space="preserve"> </w:t>
      </w:r>
      <w:proofErr w:type="gramStart"/>
      <w:r w:rsidRPr="00064DA0">
        <w:rPr>
          <w:rFonts w:asciiTheme="majorHAnsi" w:eastAsiaTheme="minorEastAsia" w:hAnsiTheme="majorHAnsi" w:cs="Times New Roman"/>
          <w:sz w:val="24"/>
          <w:szCs w:val="24"/>
          <w:lang w:val="en-US"/>
        </w:rPr>
        <w:t>is</w:t>
      </w:r>
      <w:proofErr w:type="gramEnd"/>
      <w:r w:rsidRPr="00064DA0">
        <w:rPr>
          <w:rFonts w:asciiTheme="majorHAnsi" w:eastAsiaTheme="minorEastAsia" w:hAnsiTheme="majorHAnsi" w:cs="Times New Roman"/>
          <w:sz w:val="24"/>
          <w:szCs w:val="24"/>
          <w:lang w:val="en-US"/>
        </w:rPr>
        <w:t xml:space="preserve"> </w:t>
      </w:r>
      <w:r w:rsidRPr="00E950A8">
        <w:rPr>
          <w:rFonts w:asciiTheme="majorHAnsi" w:eastAsiaTheme="minorEastAsia" w:hAnsiTheme="majorHAnsi" w:cs="Times New Roman"/>
          <w:sz w:val="24"/>
          <w:szCs w:val="24"/>
          <w:lang w:val="en-US"/>
        </w:rPr>
        <w:t>the maternal nutrition knowledge score</w:t>
      </w:r>
      <w:r>
        <w:rPr>
          <w:rFonts w:asciiTheme="majorHAnsi" w:eastAsiaTheme="minorEastAsia" w:hAnsiTheme="majorHAnsi" w:cs="Times New Roman"/>
          <w:sz w:val="24"/>
          <w:szCs w:val="24"/>
          <w:lang w:val="en-US"/>
        </w:rPr>
        <w:t>.</w:t>
      </w:r>
      <w:r w:rsidRPr="00E950A8">
        <w:rPr>
          <w:rFonts w:asciiTheme="majorHAnsi" w:eastAsiaTheme="minorEastAsia" w:hAnsiTheme="majorHAnsi" w:cs="Times New Roman"/>
          <w:sz w:val="24"/>
          <w:szCs w:val="24"/>
          <w:lang w:val="en-US"/>
        </w:rPr>
        <w:t xml:space="preserve"> </w:t>
      </w:r>
      <m:oMath>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Z</m:t>
            </m:r>
          </m:e>
          <m:sub>
            <m:r>
              <w:rPr>
                <w:rFonts w:ascii="Cambria Math" w:hAnsi="Cambria Math" w:cs="Times New Roman"/>
                <w:sz w:val="24"/>
                <w:szCs w:val="24"/>
                <w:lang w:val="en-US"/>
              </w:rPr>
              <m:t>it</m:t>
            </m:r>
          </m:sub>
        </m:sSub>
      </m:oMath>
      <w:r w:rsidRPr="00064DA0">
        <w:rPr>
          <w:rFonts w:asciiTheme="majorHAnsi" w:eastAsiaTheme="minorEastAsia" w:hAnsiTheme="majorHAnsi" w:cs="Times New Roman"/>
          <w:sz w:val="24"/>
          <w:szCs w:val="24"/>
          <w:lang w:val="en-US"/>
        </w:rPr>
        <w:t xml:space="preserve"> </w:t>
      </w:r>
      <w:proofErr w:type="gramStart"/>
      <w:r w:rsidRPr="00E950A8">
        <w:rPr>
          <w:rFonts w:asciiTheme="majorHAnsi" w:eastAsiaTheme="minorEastAsia" w:hAnsiTheme="majorHAnsi" w:cs="Times New Roman"/>
          <w:sz w:val="24"/>
          <w:szCs w:val="24"/>
          <w:lang w:val="en-US"/>
        </w:rPr>
        <w:t>is</w:t>
      </w:r>
      <w:proofErr w:type="gramEnd"/>
      <w:r w:rsidRPr="00E950A8">
        <w:rPr>
          <w:rFonts w:asciiTheme="majorHAnsi" w:eastAsiaTheme="minorEastAsia" w:hAnsiTheme="majorHAnsi" w:cs="Times New Roman"/>
          <w:sz w:val="24"/>
          <w:szCs w:val="24"/>
          <w:lang w:val="en-US"/>
        </w:rPr>
        <w:t xml:space="preserve"> a vector of child characteristics such as age, </w:t>
      </w:r>
      <w:r>
        <w:rPr>
          <w:rFonts w:asciiTheme="majorHAnsi" w:eastAsiaTheme="minorEastAsia" w:hAnsiTheme="majorHAnsi" w:cs="Times New Roman"/>
          <w:sz w:val="24"/>
          <w:szCs w:val="24"/>
          <w:lang w:val="en-US"/>
        </w:rPr>
        <w:t>sex</w:t>
      </w:r>
      <w:r w:rsidRPr="00E950A8">
        <w:rPr>
          <w:rFonts w:asciiTheme="majorHAnsi" w:eastAsiaTheme="minorEastAsia" w:hAnsiTheme="majorHAnsi" w:cs="Times New Roman"/>
          <w:sz w:val="24"/>
          <w:szCs w:val="24"/>
          <w:lang w:val="en-US"/>
        </w:rPr>
        <w:t xml:space="preserve">, and the incidence of infectious diseases during the </w:t>
      </w:r>
      <w:r>
        <w:rPr>
          <w:rFonts w:asciiTheme="majorHAnsi" w:eastAsiaTheme="minorEastAsia" w:hAnsiTheme="majorHAnsi" w:cs="Times New Roman"/>
          <w:sz w:val="24"/>
          <w:szCs w:val="24"/>
          <w:lang w:val="en-US"/>
        </w:rPr>
        <w:t>month</w:t>
      </w:r>
      <w:r w:rsidRPr="00E950A8">
        <w:rPr>
          <w:rFonts w:asciiTheme="majorHAnsi" w:eastAsiaTheme="minorEastAsia" w:hAnsiTheme="majorHAnsi" w:cs="Times New Roman"/>
          <w:sz w:val="24"/>
          <w:szCs w:val="24"/>
          <w:lang w:val="en-US"/>
        </w:rPr>
        <w:t xml:space="preserve"> prior to each survey round</w:t>
      </w:r>
      <w:r>
        <w:rPr>
          <w:rFonts w:asciiTheme="majorHAnsi" w:eastAsiaTheme="minorEastAsia" w:hAnsiTheme="majorHAnsi" w:cs="Times New Roman"/>
          <w:sz w:val="24"/>
          <w:szCs w:val="24"/>
          <w:lang w:val="en-US"/>
        </w:rPr>
        <w:t>.</w:t>
      </w:r>
      <m:oMath>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X</m:t>
            </m:r>
          </m:e>
          <m:sub>
            <m:r>
              <w:rPr>
                <w:rFonts w:ascii="Cambria Math" w:hAnsi="Cambria Math" w:cs="Times New Roman"/>
                <w:sz w:val="24"/>
                <w:szCs w:val="24"/>
                <w:lang w:val="en-US"/>
              </w:rPr>
              <m:t>ht</m:t>
            </m:r>
          </m:sub>
        </m:sSub>
      </m:oMath>
      <w:r w:rsidRPr="00064DA0">
        <w:rPr>
          <w:rFonts w:asciiTheme="majorHAnsi" w:eastAsiaTheme="minorEastAsia" w:hAnsiTheme="majorHAnsi" w:cs="Times New Roman"/>
          <w:sz w:val="24"/>
          <w:szCs w:val="24"/>
          <w:lang w:val="en-US"/>
        </w:rPr>
        <w:t xml:space="preserve"> </w:t>
      </w:r>
      <w:proofErr w:type="gramStart"/>
      <w:r w:rsidRPr="00064DA0">
        <w:rPr>
          <w:rFonts w:asciiTheme="majorHAnsi" w:eastAsiaTheme="minorEastAsia" w:hAnsiTheme="majorHAnsi" w:cs="Times New Roman"/>
          <w:sz w:val="24"/>
          <w:szCs w:val="24"/>
          <w:lang w:val="en-US"/>
        </w:rPr>
        <w:t>is</w:t>
      </w:r>
      <w:proofErr w:type="gramEnd"/>
      <w:r w:rsidRPr="00064DA0">
        <w:rPr>
          <w:rFonts w:asciiTheme="majorHAnsi" w:eastAsiaTheme="minorEastAsia" w:hAnsiTheme="majorHAnsi" w:cs="Times New Roman"/>
          <w:sz w:val="24"/>
          <w:szCs w:val="24"/>
          <w:lang w:val="en-US"/>
        </w:rPr>
        <w:t xml:space="preserve"> a vector of household char</w:t>
      </w:r>
      <w:r w:rsidRPr="00E950A8">
        <w:rPr>
          <w:rFonts w:asciiTheme="majorHAnsi" w:eastAsiaTheme="minorEastAsia" w:hAnsiTheme="majorHAnsi" w:cs="Times New Roman"/>
          <w:sz w:val="24"/>
          <w:szCs w:val="24"/>
          <w:lang w:val="en-US"/>
        </w:rPr>
        <w:t xml:space="preserve">acteristics such as age and </w:t>
      </w:r>
      <w:r>
        <w:rPr>
          <w:rFonts w:asciiTheme="majorHAnsi" w:eastAsiaTheme="minorEastAsia" w:hAnsiTheme="majorHAnsi" w:cs="Times New Roman"/>
          <w:sz w:val="24"/>
          <w:szCs w:val="24"/>
          <w:lang w:val="en-US"/>
        </w:rPr>
        <w:t>sex</w:t>
      </w:r>
      <w:r w:rsidRPr="00E950A8">
        <w:rPr>
          <w:rFonts w:asciiTheme="majorHAnsi" w:eastAsiaTheme="minorEastAsia" w:hAnsiTheme="majorHAnsi" w:cs="Times New Roman"/>
          <w:sz w:val="24"/>
          <w:szCs w:val="24"/>
          <w:lang w:val="en-US"/>
        </w:rPr>
        <w:t xml:space="preserve"> of the household head and height of the mother</w:t>
      </w:r>
      <w:r>
        <w:rPr>
          <w:rFonts w:asciiTheme="majorHAnsi" w:eastAsiaTheme="minorEastAsia" w:hAnsiTheme="majorHAnsi" w:cs="Times New Roman"/>
          <w:sz w:val="24"/>
          <w:szCs w:val="24"/>
          <w:lang w:val="en-US"/>
        </w:rPr>
        <w:t>.</w:t>
      </w:r>
      <w:r w:rsidRPr="00E950A8">
        <w:rPr>
          <w:rFonts w:asciiTheme="majorHAnsi" w:eastAsiaTheme="minorEastAsia" w:hAnsiTheme="majorHAnsi" w:cs="Times New Roman"/>
          <w:sz w:val="24"/>
          <w:szCs w:val="24"/>
          <w:lang w:val="en-US"/>
        </w:rPr>
        <w:t xml:space="preserve"> </w:t>
      </w:r>
      <m:oMath>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E</m:t>
            </m:r>
          </m:e>
          <m:sub>
            <m:r>
              <w:rPr>
                <w:rFonts w:ascii="Cambria Math" w:hAnsi="Cambria Math" w:cs="Times New Roman"/>
                <w:sz w:val="24"/>
                <w:szCs w:val="24"/>
                <w:lang w:val="en-US"/>
              </w:rPr>
              <m:t>ht</m:t>
            </m:r>
          </m:sub>
        </m:sSub>
      </m:oMath>
      <w:r w:rsidRPr="00064DA0">
        <w:rPr>
          <w:rFonts w:asciiTheme="majorHAnsi" w:eastAsiaTheme="minorEastAsia" w:hAnsiTheme="majorHAnsi" w:cs="Times New Roman"/>
          <w:sz w:val="24"/>
          <w:szCs w:val="24"/>
          <w:lang w:val="en-US"/>
        </w:rPr>
        <w:t xml:space="preserve"> </w:t>
      </w:r>
      <w:proofErr w:type="gramStart"/>
      <w:r>
        <w:rPr>
          <w:rFonts w:asciiTheme="majorHAnsi" w:eastAsiaTheme="minorEastAsia" w:hAnsiTheme="majorHAnsi" w:cs="Times New Roman"/>
          <w:sz w:val="24"/>
          <w:szCs w:val="24"/>
          <w:lang w:val="en-US"/>
        </w:rPr>
        <w:t>is</w:t>
      </w:r>
      <w:proofErr w:type="gramEnd"/>
      <w:r w:rsidRPr="00064DA0">
        <w:rPr>
          <w:rFonts w:asciiTheme="majorHAnsi" w:eastAsiaTheme="minorEastAsia" w:hAnsiTheme="majorHAnsi" w:cs="Times New Roman"/>
          <w:sz w:val="24"/>
          <w:szCs w:val="24"/>
          <w:lang w:val="en-US"/>
        </w:rPr>
        <w:t xml:space="preserve"> </w:t>
      </w:r>
      <w:r>
        <w:rPr>
          <w:rFonts w:asciiTheme="majorHAnsi" w:eastAsiaTheme="minorEastAsia" w:hAnsiTheme="majorHAnsi" w:cs="Times New Roman"/>
          <w:sz w:val="24"/>
          <w:szCs w:val="24"/>
          <w:lang w:val="en-US"/>
        </w:rPr>
        <w:t xml:space="preserve">a vector of human capital and living standard variables, where we specifically include maternal education and </w:t>
      </w:r>
      <w:r w:rsidRPr="00E950A8">
        <w:rPr>
          <w:rFonts w:asciiTheme="majorHAnsi" w:eastAsiaTheme="minorEastAsia" w:hAnsiTheme="majorHAnsi" w:cs="Times New Roman"/>
          <w:sz w:val="24"/>
          <w:szCs w:val="24"/>
          <w:lang w:val="en-US"/>
        </w:rPr>
        <w:t>household consumption expenditures</w:t>
      </w:r>
      <w:r w:rsidRPr="00064DA0">
        <w:rPr>
          <w:rStyle w:val="Funotenzeichen"/>
          <w:rFonts w:asciiTheme="majorHAnsi" w:eastAsiaTheme="minorEastAsia" w:hAnsiTheme="majorHAnsi" w:cs="Times New Roman"/>
          <w:sz w:val="24"/>
          <w:szCs w:val="24"/>
          <w:lang w:val="en-US"/>
        </w:rPr>
        <w:footnoteReference w:id="3"/>
      </w:r>
      <w:r>
        <w:rPr>
          <w:rFonts w:asciiTheme="majorHAnsi" w:eastAsiaTheme="minorEastAsia" w:hAnsiTheme="majorHAnsi" w:cs="Times New Roman"/>
          <w:sz w:val="24"/>
          <w:szCs w:val="24"/>
          <w:lang w:val="en-US"/>
        </w:rPr>
        <w:t>.</w:t>
      </w:r>
      <w:r w:rsidRPr="00064DA0">
        <w:rPr>
          <w:rFonts w:asciiTheme="majorHAnsi" w:eastAsiaTheme="minorEastAsia" w:hAnsiTheme="majorHAnsi" w:cs="Times New Roman"/>
          <w:sz w:val="24"/>
          <w:szCs w:val="24"/>
          <w:lang w:val="en-US"/>
        </w:rPr>
        <w:t xml:space="preserve"> </w:t>
      </w:r>
      <w:r>
        <w:rPr>
          <w:rFonts w:asciiTheme="majorHAnsi" w:eastAsiaTheme="minorEastAsia" w:hAnsiTheme="majorHAnsi" w:cs="Times New Roman"/>
          <w:sz w:val="24"/>
          <w:szCs w:val="24"/>
          <w:lang w:val="en-US"/>
        </w:rPr>
        <w:t xml:space="preserve">Maternal education refers to the schooling years of the mother and is therefore different from the more specific maternal nutrition knowledge score. </w:t>
      </w:r>
      <m:oMath>
        <m:r>
          <w:rPr>
            <w:rFonts w:ascii="Cambria Math" w:hAnsi="Cambria Math" w:cs="Times New Roman"/>
            <w:sz w:val="24"/>
            <w:szCs w:val="24"/>
            <w:lang w:val="en-US"/>
          </w:rPr>
          <m:t>T</m:t>
        </m:r>
      </m:oMath>
      <w:r w:rsidRPr="00064DA0">
        <w:rPr>
          <w:rFonts w:asciiTheme="majorHAnsi" w:eastAsiaTheme="minorEastAsia" w:hAnsiTheme="majorHAnsi" w:cs="Times New Roman"/>
          <w:sz w:val="24"/>
          <w:szCs w:val="24"/>
          <w:lang w:val="en-US"/>
        </w:rPr>
        <w:t xml:space="preserve"> </w:t>
      </w:r>
      <w:proofErr w:type="gramStart"/>
      <w:r w:rsidRPr="00064DA0">
        <w:rPr>
          <w:rFonts w:asciiTheme="majorHAnsi" w:eastAsiaTheme="minorEastAsia" w:hAnsiTheme="majorHAnsi" w:cs="Times New Roman"/>
          <w:sz w:val="24"/>
          <w:szCs w:val="24"/>
          <w:lang w:val="en-US"/>
        </w:rPr>
        <w:t>is</w:t>
      </w:r>
      <w:proofErr w:type="gramEnd"/>
      <w:r w:rsidRPr="00064DA0">
        <w:rPr>
          <w:rFonts w:asciiTheme="majorHAnsi" w:eastAsiaTheme="minorEastAsia" w:hAnsiTheme="majorHAnsi" w:cs="Times New Roman"/>
          <w:sz w:val="24"/>
          <w:szCs w:val="24"/>
          <w:lang w:val="en-US"/>
        </w:rPr>
        <w:t xml:space="preserve"> </w:t>
      </w:r>
      <w:r w:rsidRPr="00E950A8">
        <w:rPr>
          <w:rFonts w:asciiTheme="majorHAnsi" w:eastAsiaTheme="minorEastAsia" w:hAnsiTheme="majorHAnsi" w:cs="Times New Roman"/>
          <w:sz w:val="24"/>
          <w:szCs w:val="24"/>
          <w:lang w:val="en-US"/>
        </w:rPr>
        <w:t>a time dummy representing the survey year</w:t>
      </w:r>
      <w:r>
        <w:rPr>
          <w:rFonts w:asciiTheme="majorHAnsi" w:eastAsiaTheme="minorEastAsia" w:hAnsiTheme="majorHAnsi" w:cs="Times New Roman"/>
          <w:sz w:val="24"/>
          <w:szCs w:val="24"/>
          <w:lang w:val="en-US"/>
        </w:rPr>
        <w:t xml:space="preserve"> and taking a value of 1 for 2015.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i</m:t>
            </m:r>
          </m:sub>
        </m:sSub>
      </m:oMath>
      <w:r w:rsidRPr="00064DA0">
        <w:rPr>
          <w:rFonts w:asciiTheme="majorHAnsi" w:eastAsiaTheme="minorEastAsia" w:hAnsiTheme="majorHAnsi" w:cs="Times New Roman"/>
          <w:sz w:val="24"/>
          <w:szCs w:val="24"/>
          <w:lang w:val="en-US"/>
        </w:rPr>
        <w:t xml:space="preserve"> </w:t>
      </w:r>
      <w:proofErr w:type="gramStart"/>
      <w:r w:rsidRPr="00064DA0">
        <w:rPr>
          <w:rFonts w:asciiTheme="majorHAnsi" w:eastAsiaTheme="minorEastAsia" w:hAnsiTheme="majorHAnsi" w:cs="Times New Roman"/>
          <w:sz w:val="24"/>
          <w:szCs w:val="24"/>
          <w:lang w:val="en-US"/>
        </w:rPr>
        <w:t>is</w:t>
      </w:r>
      <w:proofErr w:type="gramEnd"/>
      <w:r w:rsidRPr="00064DA0">
        <w:rPr>
          <w:rFonts w:asciiTheme="majorHAnsi" w:eastAsiaTheme="minorEastAsia" w:hAnsiTheme="majorHAnsi" w:cs="Times New Roman"/>
          <w:sz w:val="24"/>
          <w:szCs w:val="24"/>
          <w:lang w:val="en-US"/>
        </w:rPr>
        <w:t xml:space="preserve"> a</w:t>
      </w:r>
      <w:r w:rsidRPr="00E950A8">
        <w:rPr>
          <w:rFonts w:asciiTheme="majorHAnsi" w:eastAsiaTheme="minorEastAsia" w:hAnsiTheme="majorHAnsi" w:cs="Times New Roman"/>
          <w:sz w:val="24"/>
          <w:szCs w:val="24"/>
          <w:lang w:val="en-US"/>
        </w:rPr>
        <w:t xml:space="preserve"> random error term with mean zero.</w:t>
      </w:r>
    </w:p>
    <w:p w14:paraId="0B3153F6" w14:textId="77777777" w:rsidR="008A5C7B" w:rsidRDefault="008A5C7B" w:rsidP="008A5C7B">
      <w:pPr>
        <w:spacing w:after="0" w:line="480" w:lineRule="auto"/>
        <w:ind w:firstLine="708"/>
        <w:jc w:val="both"/>
        <w:rPr>
          <w:rFonts w:asciiTheme="majorHAnsi" w:eastAsiaTheme="minorEastAsia" w:hAnsiTheme="majorHAnsi" w:cs="Times New Roman"/>
          <w:sz w:val="24"/>
          <w:szCs w:val="24"/>
          <w:lang w:val="en-US"/>
        </w:rPr>
      </w:pPr>
      <w:r w:rsidRPr="00E950A8">
        <w:rPr>
          <w:rFonts w:asciiTheme="majorHAnsi" w:eastAsiaTheme="minorEastAsia" w:hAnsiTheme="majorHAnsi" w:cs="Times New Roman"/>
          <w:sz w:val="24"/>
          <w:szCs w:val="24"/>
          <w:lang w:val="en-US"/>
        </w:rPr>
        <w:t xml:space="preserve">We are particularly interested in the estimate for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m:t>
            </m:r>
          </m:sub>
        </m:sSub>
      </m:oMath>
      <w:r w:rsidRPr="000C3350">
        <w:rPr>
          <w:rFonts w:asciiTheme="majorHAnsi" w:eastAsiaTheme="minorEastAsia" w:hAnsiTheme="majorHAnsi" w:cs="Times New Roman"/>
          <w:sz w:val="24"/>
          <w:szCs w:val="24"/>
          <w:lang w:val="en-US"/>
        </w:rPr>
        <w:t xml:space="preserve"> and hypothesize </w:t>
      </w:r>
      <w:r w:rsidRPr="00064DA0">
        <w:rPr>
          <w:rFonts w:asciiTheme="majorHAnsi" w:eastAsiaTheme="minorEastAsia" w:hAnsiTheme="majorHAnsi" w:cs="Times New Roman"/>
          <w:sz w:val="24"/>
          <w:szCs w:val="24"/>
          <w:lang w:val="en-US"/>
        </w:rPr>
        <w:t>a positive association between maternal nutrition knowledge and child HAZ.</w:t>
      </w:r>
      <w:r w:rsidRPr="00E950A8">
        <w:rPr>
          <w:rFonts w:asciiTheme="majorHAnsi" w:eastAsiaTheme="minorEastAsia" w:hAnsiTheme="majorHAnsi" w:cs="Times New Roman"/>
          <w:sz w:val="24"/>
          <w:szCs w:val="24"/>
          <w:lang w:val="en-US"/>
        </w:rPr>
        <w:t xml:space="preserve"> To test for the role of different types of nutrition knowledge, we run the model in four different versions. In model (1),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ht</m:t>
            </m:r>
          </m:sub>
        </m:sSub>
      </m:oMath>
      <w:r w:rsidRPr="00064DA0">
        <w:rPr>
          <w:rFonts w:asciiTheme="majorHAnsi" w:eastAsiaTheme="minorEastAsia" w:hAnsiTheme="majorHAnsi" w:cs="Times New Roman"/>
          <w:sz w:val="24"/>
          <w:szCs w:val="24"/>
          <w:lang w:val="en-US"/>
        </w:rPr>
        <w:t xml:space="preserve"> </w:t>
      </w:r>
      <w:r w:rsidRPr="00E950A8">
        <w:rPr>
          <w:rFonts w:asciiTheme="majorHAnsi" w:eastAsiaTheme="minorEastAsia" w:hAnsiTheme="majorHAnsi" w:cs="Times New Roman"/>
          <w:sz w:val="24"/>
          <w:szCs w:val="24"/>
          <w:lang w:val="en-US"/>
        </w:rPr>
        <w:t xml:space="preserve">is the aggregate nutrition knowledge score, whereas in models (2), (3), and (4) we use the disaggregated scores for the three knowledge categories explained above. Furthermore, </w:t>
      </w:r>
      <w:r>
        <w:rPr>
          <w:rFonts w:asciiTheme="majorHAnsi" w:eastAsiaTheme="minorEastAsia" w:hAnsiTheme="majorHAnsi" w:cs="Times New Roman"/>
          <w:sz w:val="24"/>
          <w:szCs w:val="24"/>
          <w:lang w:val="en-US"/>
        </w:rPr>
        <w:t xml:space="preserve">variants of </w:t>
      </w:r>
      <w:r w:rsidRPr="00E950A8">
        <w:rPr>
          <w:rFonts w:asciiTheme="majorHAnsi" w:eastAsiaTheme="minorEastAsia" w:hAnsiTheme="majorHAnsi" w:cs="Times New Roman"/>
          <w:sz w:val="24"/>
          <w:szCs w:val="24"/>
          <w:lang w:val="en-US"/>
        </w:rPr>
        <w:t xml:space="preserve">each model </w:t>
      </w:r>
      <w:r>
        <w:rPr>
          <w:rFonts w:asciiTheme="majorHAnsi" w:eastAsiaTheme="minorEastAsia" w:hAnsiTheme="majorHAnsi" w:cs="Times New Roman"/>
          <w:sz w:val="24"/>
          <w:szCs w:val="24"/>
          <w:lang w:val="en-US"/>
        </w:rPr>
        <w:t xml:space="preserve">are </w:t>
      </w:r>
      <w:r w:rsidRPr="00E950A8">
        <w:rPr>
          <w:rFonts w:asciiTheme="majorHAnsi" w:eastAsiaTheme="minorEastAsia" w:hAnsiTheme="majorHAnsi" w:cs="Times New Roman"/>
          <w:sz w:val="24"/>
          <w:szCs w:val="24"/>
          <w:lang w:val="en-US"/>
        </w:rPr>
        <w:t xml:space="preserve">estimated, with and without </w:t>
      </w:r>
      <w:proofErr w:type="gramStart"/>
      <w:r w:rsidRPr="00E950A8">
        <w:rPr>
          <w:rFonts w:asciiTheme="majorHAnsi" w:eastAsiaTheme="minorEastAsia" w:hAnsiTheme="majorHAnsi" w:cs="Times New Roman"/>
          <w:sz w:val="24"/>
          <w:szCs w:val="24"/>
          <w:lang w:val="en-US"/>
        </w:rPr>
        <w:t xml:space="preserve">including </w:t>
      </w:r>
      <w:proofErr w:type="gramEnd"/>
      <m:oMath>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E</m:t>
            </m:r>
          </m:e>
          <m:sub>
            <m:r>
              <w:rPr>
                <w:rFonts w:ascii="Cambria Math" w:hAnsi="Cambria Math" w:cs="Times New Roman"/>
                <w:sz w:val="24"/>
                <w:szCs w:val="24"/>
                <w:lang w:val="en-US"/>
              </w:rPr>
              <m:t>ht</m:t>
            </m:r>
          </m:sub>
        </m:sSub>
      </m:oMath>
      <w:r w:rsidRPr="00064DA0">
        <w:rPr>
          <w:rFonts w:asciiTheme="majorHAnsi" w:eastAsiaTheme="minorEastAsia" w:hAnsiTheme="majorHAnsi" w:cs="Times New Roman"/>
          <w:sz w:val="24"/>
          <w:szCs w:val="24"/>
          <w:lang w:val="en-US"/>
        </w:rPr>
        <w:t>.</w:t>
      </w:r>
      <w:r w:rsidRPr="00E950A8">
        <w:rPr>
          <w:rFonts w:asciiTheme="majorHAnsi" w:eastAsiaTheme="minorEastAsia" w:hAnsiTheme="majorHAnsi" w:cs="Times New Roman"/>
          <w:sz w:val="24"/>
          <w:szCs w:val="24"/>
          <w:lang w:val="en-US"/>
        </w:rPr>
        <w:t xml:space="preserve"> </w:t>
      </w:r>
      <w:r>
        <w:rPr>
          <w:rFonts w:asciiTheme="majorHAnsi" w:eastAsiaTheme="minorEastAsia" w:hAnsiTheme="majorHAnsi" w:cs="Times New Roman"/>
          <w:sz w:val="24"/>
          <w:szCs w:val="24"/>
          <w:lang w:val="en-US"/>
        </w:rPr>
        <w:lastRenderedPageBreak/>
        <w:t xml:space="preserve">Maternal education and household consumption expenditures are </w:t>
      </w:r>
      <w:r w:rsidRPr="00E950A8">
        <w:rPr>
          <w:rFonts w:asciiTheme="majorHAnsi" w:eastAsiaTheme="minorEastAsia" w:hAnsiTheme="majorHAnsi" w:cs="Times New Roman"/>
          <w:sz w:val="24"/>
          <w:szCs w:val="24"/>
          <w:lang w:val="en-US"/>
        </w:rPr>
        <w:t>important control variable</w:t>
      </w:r>
      <w:r>
        <w:rPr>
          <w:rFonts w:asciiTheme="majorHAnsi" w:eastAsiaTheme="minorEastAsia" w:hAnsiTheme="majorHAnsi" w:cs="Times New Roman"/>
          <w:sz w:val="24"/>
          <w:szCs w:val="24"/>
          <w:lang w:val="en-US"/>
        </w:rPr>
        <w:t>s</w:t>
      </w:r>
      <w:r w:rsidRPr="00E950A8">
        <w:rPr>
          <w:rFonts w:asciiTheme="majorHAnsi" w:eastAsiaTheme="minorEastAsia" w:hAnsiTheme="majorHAnsi" w:cs="Times New Roman"/>
          <w:sz w:val="24"/>
          <w:szCs w:val="24"/>
          <w:lang w:val="en-US"/>
        </w:rPr>
        <w:t xml:space="preserve">, but due to </w:t>
      </w:r>
      <w:r>
        <w:rPr>
          <w:rFonts w:asciiTheme="majorHAnsi" w:eastAsiaTheme="minorEastAsia" w:hAnsiTheme="majorHAnsi" w:cs="Times New Roman"/>
          <w:sz w:val="24"/>
          <w:szCs w:val="24"/>
          <w:lang w:val="en-US"/>
        </w:rPr>
        <w:t xml:space="preserve">their </w:t>
      </w:r>
      <w:r w:rsidRPr="00E950A8">
        <w:rPr>
          <w:rFonts w:asciiTheme="majorHAnsi" w:eastAsiaTheme="minorEastAsia" w:hAnsiTheme="majorHAnsi" w:cs="Times New Roman"/>
          <w:sz w:val="24"/>
          <w:szCs w:val="24"/>
          <w:lang w:val="en-US"/>
        </w:rPr>
        <w:t>expected correlat</w:t>
      </w:r>
      <w:r>
        <w:rPr>
          <w:rFonts w:asciiTheme="majorHAnsi" w:eastAsiaTheme="minorEastAsia" w:hAnsiTheme="majorHAnsi" w:cs="Times New Roman"/>
          <w:sz w:val="24"/>
          <w:szCs w:val="24"/>
          <w:lang w:val="en-US"/>
        </w:rPr>
        <w:t>ion</w:t>
      </w:r>
      <w:r w:rsidRPr="00E950A8">
        <w:rPr>
          <w:rFonts w:asciiTheme="majorHAnsi" w:eastAsiaTheme="minorEastAsia" w:hAnsiTheme="majorHAnsi" w:cs="Times New Roman"/>
          <w:sz w:val="24"/>
          <w:szCs w:val="24"/>
          <w:lang w:val="en-US"/>
        </w:rPr>
        <w:t xml:space="preserve"> with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ht</m:t>
            </m:r>
          </m:sub>
        </m:sSub>
      </m:oMath>
      <w:r w:rsidRPr="00064DA0">
        <w:rPr>
          <w:rFonts w:asciiTheme="majorHAnsi" w:eastAsiaTheme="minorEastAsia" w:hAnsiTheme="majorHAnsi" w:cs="Times New Roman"/>
          <w:sz w:val="24"/>
          <w:szCs w:val="24"/>
          <w:lang w:val="en-US"/>
        </w:rPr>
        <w:t xml:space="preserve"> </w:t>
      </w:r>
      <w:r>
        <w:rPr>
          <w:rFonts w:asciiTheme="majorHAnsi" w:eastAsiaTheme="minorEastAsia" w:hAnsiTheme="majorHAnsi" w:cs="Times New Roman"/>
          <w:sz w:val="24"/>
          <w:szCs w:val="24"/>
          <w:lang w:val="en-US"/>
        </w:rPr>
        <w:t xml:space="preserve">they </w:t>
      </w:r>
      <w:r w:rsidRPr="00E950A8">
        <w:rPr>
          <w:rFonts w:asciiTheme="majorHAnsi" w:eastAsiaTheme="minorEastAsia" w:hAnsiTheme="majorHAnsi" w:cs="Times New Roman"/>
          <w:sz w:val="24"/>
          <w:szCs w:val="24"/>
          <w:lang w:val="en-US"/>
        </w:rPr>
        <w:t xml:space="preserve">may capture some of the maternal knowledge effects. Comparing the estimates with and without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ht</m:t>
            </m:r>
          </m:sub>
        </m:sSub>
      </m:oMath>
      <w:r w:rsidRPr="000C3350">
        <w:rPr>
          <w:rFonts w:asciiTheme="majorHAnsi" w:eastAsiaTheme="minorEastAsia" w:hAnsiTheme="majorHAnsi" w:cs="Times New Roman"/>
          <w:sz w:val="24"/>
          <w:szCs w:val="24"/>
          <w:lang w:val="en-US"/>
        </w:rPr>
        <w:t xml:space="preserve"> </w:t>
      </w:r>
      <w:r w:rsidRPr="00E950A8">
        <w:rPr>
          <w:rFonts w:asciiTheme="majorHAnsi" w:eastAsiaTheme="minorEastAsia" w:hAnsiTheme="majorHAnsi" w:cs="Times New Roman"/>
          <w:sz w:val="24"/>
          <w:szCs w:val="24"/>
          <w:lang w:val="en-US"/>
        </w:rPr>
        <w:t xml:space="preserve">allows us to examine whether maternal nutrition knowledge has a significant association with child HAZ even after controlling for </w:t>
      </w:r>
      <w:r>
        <w:rPr>
          <w:rFonts w:asciiTheme="majorHAnsi" w:eastAsiaTheme="minorEastAsia" w:hAnsiTheme="majorHAnsi" w:cs="Times New Roman"/>
          <w:sz w:val="24"/>
          <w:szCs w:val="24"/>
          <w:lang w:val="en-US"/>
        </w:rPr>
        <w:t>maternal education and</w:t>
      </w:r>
      <w:r w:rsidRPr="00E950A8">
        <w:rPr>
          <w:rFonts w:asciiTheme="majorHAnsi" w:eastAsiaTheme="minorEastAsia" w:hAnsiTheme="majorHAnsi" w:cs="Times New Roman"/>
          <w:sz w:val="24"/>
          <w:szCs w:val="24"/>
          <w:lang w:val="en-US"/>
        </w:rPr>
        <w:t xml:space="preserve"> household living standard.</w:t>
      </w:r>
    </w:p>
    <w:p w14:paraId="7E6EC793" w14:textId="77777777" w:rsidR="008A5C7B" w:rsidRDefault="008A5C7B" w:rsidP="008A5C7B">
      <w:pPr>
        <w:spacing w:after="0" w:line="480" w:lineRule="auto"/>
        <w:ind w:firstLine="708"/>
        <w:jc w:val="both"/>
        <w:rPr>
          <w:rFonts w:asciiTheme="majorHAnsi" w:eastAsiaTheme="minorEastAsia" w:hAnsiTheme="majorHAnsi" w:cs="Times New Roman"/>
          <w:sz w:val="24"/>
          <w:szCs w:val="24"/>
          <w:lang w:val="en-US"/>
        </w:rPr>
      </w:pPr>
      <w:r>
        <w:rPr>
          <w:rFonts w:asciiTheme="majorHAnsi" w:eastAsiaTheme="minorEastAsia" w:hAnsiTheme="majorHAnsi" w:cs="Times New Roman"/>
          <w:sz w:val="24"/>
          <w:szCs w:val="24"/>
          <w:lang w:val="en-US"/>
        </w:rPr>
        <w:t xml:space="preserve">We estimate model (1) in four variants. Model (1A) presents the base model without </w:t>
      </w:r>
      <m:oMath>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E</m:t>
            </m:r>
          </m:e>
          <m:sub>
            <m:r>
              <w:rPr>
                <w:rFonts w:ascii="Cambria Math" w:hAnsi="Cambria Math" w:cs="Times New Roman"/>
                <w:sz w:val="24"/>
                <w:szCs w:val="24"/>
                <w:lang w:val="en-US"/>
              </w:rPr>
              <m:t>ht</m:t>
            </m:r>
          </m:sub>
        </m:sSub>
      </m:oMath>
      <w:r>
        <w:rPr>
          <w:rFonts w:asciiTheme="majorHAnsi" w:eastAsiaTheme="minorEastAsia" w:hAnsiTheme="majorHAnsi" w:cs="Times New Roman"/>
          <w:sz w:val="24"/>
          <w:szCs w:val="24"/>
          <w:lang w:val="en-US"/>
        </w:rPr>
        <w:t xml:space="preserve"> included. Models (1B) and (1C) respectively include maternal education and consumption expenditures, whereas Model (1D) includes both these variables together. For brevity, Models (2) to (4) are only presented in two variants, namely with and without both variables in </w:t>
      </w:r>
      <m:oMath>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E</m:t>
            </m:r>
          </m:e>
          <m:sub>
            <m:r>
              <w:rPr>
                <w:rFonts w:ascii="Cambria Math" w:hAnsi="Cambria Math" w:cs="Times New Roman"/>
                <w:sz w:val="24"/>
                <w:szCs w:val="24"/>
                <w:lang w:val="en-US"/>
              </w:rPr>
              <m:t>ht</m:t>
            </m:r>
          </m:sub>
        </m:sSub>
      </m:oMath>
      <w:r>
        <w:rPr>
          <w:rFonts w:asciiTheme="majorHAnsi" w:eastAsiaTheme="minorEastAsia" w:hAnsiTheme="majorHAnsi" w:cs="Times New Roman"/>
          <w:sz w:val="24"/>
          <w:szCs w:val="24"/>
          <w:lang w:val="en-US"/>
        </w:rPr>
        <w:t xml:space="preserve"> included.</w:t>
      </w:r>
    </w:p>
    <w:p w14:paraId="7AEB4FFB" w14:textId="77777777" w:rsidR="008A5C7B" w:rsidRPr="00E950A8" w:rsidRDefault="008A5C7B" w:rsidP="008A5C7B">
      <w:pPr>
        <w:spacing w:after="0" w:line="480" w:lineRule="auto"/>
        <w:ind w:firstLine="708"/>
        <w:jc w:val="both"/>
        <w:rPr>
          <w:rFonts w:asciiTheme="majorHAnsi" w:eastAsiaTheme="minorEastAsia" w:hAnsiTheme="majorHAnsi" w:cs="Times New Roman"/>
          <w:sz w:val="24"/>
          <w:szCs w:val="24"/>
          <w:lang w:val="en-US"/>
        </w:rPr>
      </w:pPr>
      <w:r w:rsidRPr="00E950A8">
        <w:rPr>
          <w:rFonts w:asciiTheme="majorHAnsi" w:eastAsiaTheme="minorEastAsia" w:hAnsiTheme="majorHAnsi" w:cs="Times New Roman"/>
          <w:sz w:val="24"/>
          <w:szCs w:val="24"/>
          <w:lang w:val="en-US"/>
        </w:rPr>
        <w:t xml:space="preserve">Although one may expect the nutrition knowledge variable to be endogenous, we control for relevant confounding factors in estimating HAZ of children and adolescents. Note that we do not claim causality but seek to explore associations. To control for heteroscedasticity, we use robust standard errors based on White’s heteroscedasticity correction </w:t>
      </w:r>
      <w:r w:rsidRPr="00064DA0">
        <w:rPr>
          <w:rFonts w:asciiTheme="majorHAnsi" w:eastAsiaTheme="minorEastAsia" w:hAnsiTheme="majorHAnsi" w:cs="Times New Roman"/>
          <w:sz w:val="24"/>
          <w:szCs w:val="24"/>
          <w:lang w:val="en-US"/>
        </w:rPr>
        <w:fldChar w:fldCharType="begin"/>
      </w:r>
      <w:r w:rsidRPr="00E950A8">
        <w:rPr>
          <w:rFonts w:asciiTheme="majorHAnsi" w:eastAsiaTheme="minorEastAsia" w:hAnsiTheme="majorHAnsi" w:cs="Times New Roman"/>
          <w:sz w:val="24"/>
          <w:szCs w:val="24"/>
          <w:lang w:val="en-US"/>
        </w:rPr>
        <w:instrText xml:space="preserve"> ADDIN ZOTERO_ITEM CSL_CITATION {"citationID":"1lpj91k04b","properties":{"formattedCitation":"(White, 1980)","plainCitation":"(White, 1980)"},"citationItems":[{"id":1032,"uris":["http://zotero.org/groups/698231/items/S829J5KR"],"uri":["http://zotero.org/groups/698231/items/S829J5KR"],"itemData":{"id":1032,"type":"article-journal","title":"A heteroskedasticity-consistent covariance matrix estimator and a direct test for heteroskedasticity","container-title":"Econometrica","page":"817-838","volume":"48","issue":"4","source":"CrossRef","DOI":"10.2307/1912934","ISSN":"00129682","author":[{"family":"White","given":"Halbert"}],"issued":{"date-parts":[["1980",5]]}}}],"schema":"https://github.com/citation-style-language/schema/raw/master/csl-citation.json"} </w:instrText>
      </w:r>
      <w:r w:rsidRPr="00064DA0">
        <w:rPr>
          <w:rFonts w:asciiTheme="majorHAnsi" w:eastAsiaTheme="minorEastAsia" w:hAnsiTheme="majorHAnsi" w:cs="Times New Roman"/>
          <w:sz w:val="24"/>
          <w:szCs w:val="24"/>
          <w:lang w:val="en-US"/>
        </w:rPr>
        <w:fldChar w:fldCharType="separate"/>
      </w:r>
      <w:r w:rsidRPr="00064DA0">
        <w:rPr>
          <w:rFonts w:ascii="Cambria" w:hAnsi="Cambria"/>
          <w:sz w:val="24"/>
          <w:lang w:val="en-US"/>
        </w:rPr>
        <w:t>(White, 1980)</w:t>
      </w:r>
      <w:r w:rsidRPr="00064DA0">
        <w:rPr>
          <w:rFonts w:asciiTheme="majorHAnsi" w:eastAsiaTheme="minorEastAsia" w:hAnsiTheme="majorHAnsi" w:cs="Times New Roman"/>
          <w:sz w:val="24"/>
          <w:szCs w:val="24"/>
          <w:lang w:val="en-US"/>
        </w:rPr>
        <w:fldChar w:fldCharType="end"/>
      </w:r>
      <w:r w:rsidRPr="00064DA0">
        <w:rPr>
          <w:rFonts w:asciiTheme="majorHAnsi" w:eastAsiaTheme="minorEastAsia" w:hAnsiTheme="majorHAnsi" w:cs="Times New Roman"/>
          <w:sz w:val="24"/>
          <w:szCs w:val="24"/>
          <w:lang w:val="en-US"/>
        </w:rPr>
        <w:t xml:space="preserve">. We are looking at </w:t>
      </w:r>
      <w:r w:rsidRPr="00064DA0">
        <w:rPr>
          <w:rFonts w:asciiTheme="majorHAnsi" w:eastAsiaTheme="minorEastAsia" w:hAnsiTheme="majorHAnsi" w:cs="Times New Roman"/>
          <w:i/>
          <w:sz w:val="24"/>
          <w:szCs w:val="24"/>
          <w:lang w:val="en-US"/>
        </w:rPr>
        <w:t>current</w:t>
      </w:r>
      <w:r w:rsidRPr="00E950A8">
        <w:rPr>
          <w:rFonts w:asciiTheme="majorHAnsi" w:eastAsiaTheme="minorEastAsia" w:hAnsiTheme="majorHAnsi" w:cs="Times New Roman"/>
          <w:sz w:val="24"/>
          <w:szCs w:val="24"/>
          <w:lang w:val="en-US"/>
        </w:rPr>
        <w:t xml:space="preserve"> maternal nutrition knowledge, which has likely formed over a longer period of time, and relate this to </w:t>
      </w:r>
      <w:r w:rsidRPr="00E950A8">
        <w:rPr>
          <w:rFonts w:asciiTheme="majorHAnsi" w:eastAsiaTheme="minorEastAsia" w:hAnsiTheme="majorHAnsi" w:cs="Times New Roman"/>
          <w:i/>
          <w:sz w:val="24"/>
          <w:szCs w:val="24"/>
          <w:lang w:val="en-US"/>
        </w:rPr>
        <w:t>current</w:t>
      </w:r>
      <w:r w:rsidRPr="00E950A8">
        <w:rPr>
          <w:rFonts w:asciiTheme="majorHAnsi" w:eastAsiaTheme="minorEastAsia" w:hAnsiTheme="majorHAnsi" w:cs="Times New Roman"/>
          <w:sz w:val="24"/>
          <w:szCs w:val="24"/>
          <w:lang w:val="en-US"/>
        </w:rPr>
        <w:t xml:space="preserve"> </w:t>
      </w:r>
      <w:r>
        <w:rPr>
          <w:rFonts w:asciiTheme="majorHAnsi" w:eastAsiaTheme="minorEastAsia" w:hAnsiTheme="majorHAnsi" w:cs="Times New Roman"/>
          <w:sz w:val="24"/>
          <w:szCs w:val="24"/>
          <w:lang w:val="en-US"/>
        </w:rPr>
        <w:t xml:space="preserve">child </w:t>
      </w:r>
      <w:r w:rsidRPr="00E950A8">
        <w:rPr>
          <w:rFonts w:asciiTheme="majorHAnsi" w:eastAsiaTheme="minorEastAsia" w:hAnsiTheme="majorHAnsi" w:cs="Times New Roman"/>
          <w:sz w:val="24"/>
          <w:szCs w:val="24"/>
          <w:lang w:val="en-US"/>
        </w:rPr>
        <w:t>nutritional outcomes, which are also the result of a longer-term process. The implicit assumption is that maternal nutrition knowledge and child nutritional outcomes have similar time horizons.</w:t>
      </w:r>
    </w:p>
    <w:p w14:paraId="30683A82" w14:textId="77777777" w:rsidR="008A5C7B" w:rsidRPr="00E950A8" w:rsidRDefault="008A5C7B" w:rsidP="008A5C7B">
      <w:pPr>
        <w:spacing w:after="0" w:line="480" w:lineRule="auto"/>
        <w:ind w:firstLine="851"/>
        <w:jc w:val="both"/>
        <w:rPr>
          <w:rFonts w:asciiTheme="majorHAnsi" w:eastAsiaTheme="minorEastAsia" w:hAnsiTheme="majorHAnsi" w:cs="Times New Roman"/>
          <w:sz w:val="24"/>
          <w:szCs w:val="24"/>
          <w:lang w:val="en-US"/>
        </w:rPr>
      </w:pPr>
    </w:p>
    <w:p w14:paraId="29995D7A" w14:textId="77777777" w:rsidR="008A5C7B" w:rsidRPr="00A254F5" w:rsidRDefault="008A5C7B" w:rsidP="007C3E2A">
      <w:pPr>
        <w:pStyle w:val="berschrift1"/>
        <w:rPr>
          <w:lang w:val="en-US"/>
        </w:rPr>
      </w:pPr>
      <w:r w:rsidRPr="00A254F5">
        <w:rPr>
          <w:lang w:val="en-US"/>
        </w:rPr>
        <w:t>Results</w:t>
      </w:r>
    </w:p>
    <w:p w14:paraId="7BA3D966" w14:textId="77777777" w:rsidR="008A5C7B" w:rsidRPr="00A254F5" w:rsidRDefault="008A5C7B" w:rsidP="007C3E2A">
      <w:pPr>
        <w:pStyle w:val="berschrift2"/>
        <w:rPr>
          <w:lang w:val="en-US"/>
        </w:rPr>
      </w:pPr>
      <w:r w:rsidRPr="00A254F5">
        <w:rPr>
          <w:lang w:val="en-US"/>
        </w:rPr>
        <w:t>Descriptive Statistics</w:t>
      </w:r>
    </w:p>
    <w:p w14:paraId="57D81437" w14:textId="77777777" w:rsidR="008A5C7B" w:rsidRPr="00E950A8" w:rsidRDefault="008A5C7B" w:rsidP="008A5C7B">
      <w:pPr>
        <w:spacing w:line="480" w:lineRule="auto"/>
        <w:jc w:val="both"/>
        <w:rPr>
          <w:rFonts w:asciiTheme="majorHAnsi" w:hAnsiTheme="majorHAnsi"/>
          <w:sz w:val="24"/>
          <w:szCs w:val="24"/>
          <w:lang w:val="en-US"/>
        </w:rPr>
      </w:pPr>
      <w:r w:rsidRPr="00E950A8">
        <w:rPr>
          <w:rFonts w:asciiTheme="majorHAnsi" w:hAnsiTheme="majorHAnsi"/>
          <w:sz w:val="24"/>
          <w:szCs w:val="24"/>
          <w:lang w:val="en-US"/>
        </w:rPr>
        <w:t xml:space="preserve">Table1 shows the questions that were asked in the survey to calculate the maternal nutrition knowledge scores, as well as the share of respondents giving correct answers. The highest average share of correct responses is observed for knowledge about the health </w:t>
      </w:r>
      <w:r w:rsidRPr="00E950A8">
        <w:rPr>
          <w:rFonts w:asciiTheme="majorHAnsi" w:hAnsiTheme="majorHAnsi"/>
          <w:sz w:val="24"/>
          <w:szCs w:val="24"/>
          <w:lang w:val="en-US"/>
        </w:rPr>
        <w:lastRenderedPageBreak/>
        <w:t>consequences of not following dietary recommendations (79%). For the other two categories of nutrition knowledge, the average shares of correct responses are lower. Comparing between the two survey years, the share of correct responses on food ingredients and on dietary recommendations was somewhat lower in 2015 than in 2012, while the share of correct responses on health consequences was higher in 2015. Hence, it is not possible to establish a clear time trend for maternal nutrition knowledge.</w:t>
      </w:r>
    </w:p>
    <w:p w14:paraId="178C6D0E" w14:textId="77777777" w:rsidR="008A5C7B" w:rsidRPr="00E950A8" w:rsidRDefault="008A5C7B" w:rsidP="008A5C7B">
      <w:pPr>
        <w:rPr>
          <w:rFonts w:asciiTheme="majorHAnsi" w:hAnsiTheme="majorHAnsi"/>
          <w:sz w:val="24"/>
          <w:szCs w:val="24"/>
          <w:lang w:val="en-US"/>
        </w:rPr>
      </w:pPr>
      <w:proofErr w:type="gramStart"/>
      <w:r w:rsidRPr="00E950A8">
        <w:rPr>
          <w:rFonts w:asciiTheme="majorHAnsi" w:hAnsiTheme="majorHAnsi"/>
          <w:sz w:val="24"/>
          <w:szCs w:val="24"/>
          <w:lang w:val="en-US"/>
        </w:rPr>
        <w:t>Table 1.</w:t>
      </w:r>
      <w:proofErr w:type="gramEnd"/>
      <w:r w:rsidRPr="00E950A8">
        <w:rPr>
          <w:rFonts w:asciiTheme="majorHAnsi" w:hAnsiTheme="majorHAnsi"/>
          <w:sz w:val="24"/>
          <w:szCs w:val="24"/>
          <w:lang w:val="en-US"/>
        </w:rPr>
        <w:t xml:space="preserve"> Nutrition knowledge questions and percentages of correct answers</w:t>
      </w:r>
    </w:p>
    <w:tbl>
      <w:tblPr>
        <w:tblStyle w:val="Tabellenraster"/>
        <w:tblW w:w="9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1134"/>
        <w:gridCol w:w="992"/>
        <w:gridCol w:w="1100"/>
        <w:gridCol w:w="1100"/>
      </w:tblGrid>
      <w:tr w:rsidR="008A5C7B" w:rsidRPr="00064DA0" w14:paraId="5A9E4D83" w14:textId="77777777" w:rsidTr="000A49F9">
        <w:tc>
          <w:tcPr>
            <w:tcW w:w="5070" w:type="dxa"/>
            <w:tcBorders>
              <w:top w:val="single" w:sz="4" w:space="0" w:color="auto"/>
            </w:tcBorders>
          </w:tcPr>
          <w:p w14:paraId="01407B38" w14:textId="77777777" w:rsidR="008A5C7B" w:rsidRPr="00E950A8" w:rsidRDefault="008A5C7B" w:rsidP="000A49F9">
            <w:pPr>
              <w:rPr>
                <w:rFonts w:asciiTheme="majorHAnsi" w:hAnsiTheme="majorHAnsi"/>
                <w:sz w:val="24"/>
                <w:szCs w:val="24"/>
                <w:lang w:val="en-US"/>
              </w:rPr>
            </w:pPr>
          </w:p>
        </w:tc>
        <w:tc>
          <w:tcPr>
            <w:tcW w:w="3226" w:type="dxa"/>
            <w:gridSpan w:val="3"/>
            <w:tcBorders>
              <w:top w:val="single" w:sz="4" w:space="0" w:color="auto"/>
            </w:tcBorders>
          </w:tcPr>
          <w:p w14:paraId="21C3D19D" w14:textId="77777777" w:rsidR="008A5C7B" w:rsidRPr="00E950A8" w:rsidRDefault="008A5C7B" w:rsidP="000A49F9">
            <w:pPr>
              <w:jc w:val="center"/>
              <w:rPr>
                <w:rFonts w:asciiTheme="majorHAnsi" w:hAnsiTheme="majorHAnsi"/>
                <w:b/>
                <w:sz w:val="24"/>
                <w:szCs w:val="24"/>
                <w:lang w:val="en-US"/>
              </w:rPr>
            </w:pPr>
            <w:r w:rsidRPr="00E950A8">
              <w:rPr>
                <w:rFonts w:asciiTheme="majorHAnsi" w:hAnsiTheme="majorHAnsi"/>
                <w:b/>
                <w:sz w:val="24"/>
                <w:szCs w:val="24"/>
                <w:lang w:val="en-US"/>
              </w:rPr>
              <w:t>Percentage correct</w:t>
            </w:r>
          </w:p>
        </w:tc>
        <w:tc>
          <w:tcPr>
            <w:tcW w:w="1100" w:type="dxa"/>
            <w:tcBorders>
              <w:top w:val="single" w:sz="4" w:space="0" w:color="auto"/>
            </w:tcBorders>
          </w:tcPr>
          <w:p w14:paraId="704D2556" w14:textId="77777777" w:rsidR="008A5C7B" w:rsidRPr="00E950A8" w:rsidRDefault="008A5C7B" w:rsidP="000A49F9">
            <w:pPr>
              <w:jc w:val="center"/>
              <w:rPr>
                <w:rFonts w:asciiTheme="majorHAnsi" w:hAnsiTheme="majorHAnsi"/>
                <w:b/>
                <w:sz w:val="24"/>
                <w:szCs w:val="24"/>
                <w:lang w:val="en-US"/>
              </w:rPr>
            </w:pPr>
            <w:r w:rsidRPr="00E950A8">
              <w:rPr>
                <w:rFonts w:asciiTheme="majorHAnsi" w:hAnsiTheme="majorHAnsi"/>
                <w:sz w:val="24"/>
                <w:szCs w:val="24"/>
                <w:lang w:val="en-US"/>
              </w:rPr>
              <w:t>Correct</w:t>
            </w:r>
          </w:p>
        </w:tc>
      </w:tr>
      <w:tr w:rsidR="008A5C7B" w:rsidRPr="00064DA0" w14:paraId="43ED57A3" w14:textId="77777777" w:rsidTr="000A49F9">
        <w:tc>
          <w:tcPr>
            <w:tcW w:w="5070" w:type="dxa"/>
            <w:tcBorders>
              <w:bottom w:val="single" w:sz="4" w:space="0" w:color="auto"/>
            </w:tcBorders>
          </w:tcPr>
          <w:p w14:paraId="06108704" w14:textId="77777777" w:rsidR="008A5C7B" w:rsidRPr="00064DA0" w:rsidRDefault="008A5C7B" w:rsidP="000A49F9">
            <w:pPr>
              <w:rPr>
                <w:rFonts w:asciiTheme="majorHAnsi" w:hAnsiTheme="majorHAnsi"/>
                <w:sz w:val="24"/>
                <w:szCs w:val="24"/>
                <w:lang w:val="en-US"/>
              </w:rPr>
            </w:pPr>
          </w:p>
        </w:tc>
        <w:tc>
          <w:tcPr>
            <w:tcW w:w="1134" w:type="dxa"/>
            <w:tcBorders>
              <w:bottom w:val="single" w:sz="4" w:space="0" w:color="auto"/>
            </w:tcBorders>
          </w:tcPr>
          <w:p w14:paraId="4318518F"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All y</w:t>
            </w:r>
            <w:r w:rsidRPr="00E950A8">
              <w:rPr>
                <w:rFonts w:asciiTheme="majorHAnsi" w:hAnsiTheme="majorHAnsi"/>
                <w:sz w:val="24"/>
                <w:szCs w:val="24"/>
                <w:lang w:val="en-US"/>
              </w:rPr>
              <w:t>ears</w:t>
            </w:r>
          </w:p>
        </w:tc>
        <w:tc>
          <w:tcPr>
            <w:tcW w:w="992" w:type="dxa"/>
            <w:tcBorders>
              <w:bottom w:val="single" w:sz="4" w:space="0" w:color="auto"/>
            </w:tcBorders>
          </w:tcPr>
          <w:p w14:paraId="16FDC221"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2012</w:t>
            </w:r>
          </w:p>
        </w:tc>
        <w:tc>
          <w:tcPr>
            <w:tcW w:w="1100" w:type="dxa"/>
            <w:tcBorders>
              <w:bottom w:val="single" w:sz="4" w:space="0" w:color="auto"/>
            </w:tcBorders>
          </w:tcPr>
          <w:p w14:paraId="200D2409"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2015</w:t>
            </w:r>
          </w:p>
        </w:tc>
        <w:tc>
          <w:tcPr>
            <w:tcW w:w="1100" w:type="dxa"/>
            <w:tcBorders>
              <w:bottom w:val="single" w:sz="4" w:space="0" w:color="auto"/>
            </w:tcBorders>
          </w:tcPr>
          <w:p w14:paraId="332C4204"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answer</w:t>
            </w:r>
          </w:p>
        </w:tc>
      </w:tr>
      <w:tr w:rsidR="008A5C7B" w:rsidRPr="00064DA0" w14:paraId="0ECAB45E" w14:textId="77777777" w:rsidTr="000A49F9">
        <w:tc>
          <w:tcPr>
            <w:tcW w:w="5070" w:type="dxa"/>
            <w:tcBorders>
              <w:top w:val="single" w:sz="4" w:space="0" w:color="auto"/>
            </w:tcBorders>
          </w:tcPr>
          <w:p w14:paraId="0347ED4C" w14:textId="77777777" w:rsidR="008A5C7B" w:rsidRPr="00E950A8" w:rsidRDefault="008A5C7B" w:rsidP="000A49F9">
            <w:pPr>
              <w:rPr>
                <w:rFonts w:asciiTheme="majorHAnsi" w:hAnsiTheme="majorHAnsi"/>
                <w:b/>
                <w:sz w:val="24"/>
                <w:szCs w:val="24"/>
                <w:lang w:val="en-US"/>
              </w:rPr>
            </w:pPr>
            <w:r w:rsidRPr="00064DA0">
              <w:rPr>
                <w:rFonts w:asciiTheme="majorHAnsi" w:hAnsiTheme="majorHAnsi"/>
                <w:b/>
                <w:sz w:val="24"/>
                <w:szCs w:val="24"/>
                <w:lang w:val="en-US"/>
              </w:rPr>
              <w:t>Knowledge about f</w:t>
            </w:r>
            <w:r w:rsidRPr="00E950A8">
              <w:rPr>
                <w:rFonts w:asciiTheme="majorHAnsi" w:hAnsiTheme="majorHAnsi"/>
                <w:b/>
                <w:sz w:val="24"/>
                <w:szCs w:val="24"/>
                <w:lang w:val="en-US"/>
              </w:rPr>
              <w:t>ood ingredients</w:t>
            </w:r>
          </w:p>
        </w:tc>
        <w:tc>
          <w:tcPr>
            <w:tcW w:w="1134" w:type="dxa"/>
            <w:tcBorders>
              <w:top w:val="single" w:sz="4" w:space="0" w:color="auto"/>
            </w:tcBorders>
          </w:tcPr>
          <w:p w14:paraId="7967315B" w14:textId="77777777" w:rsidR="008A5C7B" w:rsidRPr="00E950A8" w:rsidRDefault="008A5C7B" w:rsidP="000A49F9">
            <w:pPr>
              <w:spacing w:after="200" w:line="276" w:lineRule="auto"/>
              <w:jc w:val="center"/>
              <w:rPr>
                <w:rFonts w:asciiTheme="majorHAnsi" w:hAnsiTheme="majorHAnsi"/>
                <w:b/>
                <w:sz w:val="24"/>
                <w:szCs w:val="24"/>
                <w:lang w:val="en-US"/>
              </w:rPr>
            </w:pPr>
            <w:r w:rsidRPr="00E950A8">
              <w:rPr>
                <w:rFonts w:asciiTheme="majorHAnsi" w:hAnsiTheme="majorHAnsi"/>
                <w:b/>
                <w:sz w:val="24"/>
                <w:szCs w:val="24"/>
                <w:lang w:val="en-US"/>
              </w:rPr>
              <w:t>35</w:t>
            </w:r>
          </w:p>
        </w:tc>
        <w:tc>
          <w:tcPr>
            <w:tcW w:w="992" w:type="dxa"/>
            <w:tcBorders>
              <w:top w:val="single" w:sz="4" w:space="0" w:color="auto"/>
            </w:tcBorders>
          </w:tcPr>
          <w:p w14:paraId="06DD6B79" w14:textId="77777777" w:rsidR="008A5C7B" w:rsidRPr="00E950A8" w:rsidRDefault="008A5C7B" w:rsidP="000A49F9">
            <w:pPr>
              <w:spacing w:after="200" w:line="276" w:lineRule="auto"/>
              <w:jc w:val="center"/>
              <w:rPr>
                <w:rFonts w:asciiTheme="majorHAnsi" w:hAnsiTheme="majorHAnsi"/>
                <w:b/>
                <w:sz w:val="24"/>
                <w:szCs w:val="24"/>
                <w:lang w:val="en-US"/>
              </w:rPr>
            </w:pPr>
            <w:r w:rsidRPr="00E950A8">
              <w:rPr>
                <w:rFonts w:asciiTheme="majorHAnsi" w:hAnsiTheme="majorHAnsi"/>
                <w:b/>
                <w:sz w:val="24"/>
                <w:szCs w:val="24"/>
                <w:lang w:val="en-US"/>
              </w:rPr>
              <w:t>37</w:t>
            </w:r>
          </w:p>
        </w:tc>
        <w:tc>
          <w:tcPr>
            <w:tcW w:w="1100" w:type="dxa"/>
            <w:tcBorders>
              <w:top w:val="single" w:sz="4" w:space="0" w:color="auto"/>
            </w:tcBorders>
          </w:tcPr>
          <w:p w14:paraId="7770AB4A" w14:textId="77777777" w:rsidR="008A5C7B" w:rsidRPr="00E950A8" w:rsidRDefault="008A5C7B" w:rsidP="000A49F9">
            <w:pPr>
              <w:spacing w:after="200" w:line="276" w:lineRule="auto"/>
              <w:jc w:val="center"/>
              <w:rPr>
                <w:rFonts w:asciiTheme="majorHAnsi" w:hAnsiTheme="majorHAnsi"/>
                <w:b/>
                <w:sz w:val="24"/>
                <w:szCs w:val="24"/>
                <w:lang w:val="en-US"/>
              </w:rPr>
            </w:pPr>
            <w:r w:rsidRPr="00E950A8">
              <w:rPr>
                <w:rFonts w:asciiTheme="majorHAnsi" w:hAnsiTheme="majorHAnsi"/>
                <w:b/>
                <w:sz w:val="24"/>
                <w:szCs w:val="24"/>
                <w:lang w:val="en-US"/>
              </w:rPr>
              <w:t>30</w:t>
            </w:r>
          </w:p>
        </w:tc>
        <w:tc>
          <w:tcPr>
            <w:tcW w:w="1100" w:type="dxa"/>
            <w:tcBorders>
              <w:top w:val="single" w:sz="4" w:space="0" w:color="auto"/>
            </w:tcBorders>
          </w:tcPr>
          <w:p w14:paraId="386827C6" w14:textId="77777777" w:rsidR="008A5C7B" w:rsidRPr="00E950A8" w:rsidRDefault="008A5C7B" w:rsidP="000A49F9">
            <w:pPr>
              <w:jc w:val="center"/>
              <w:rPr>
                <w:rFonts w:asciiTheme="majorHAnsi" w:hAnsiTheme="majorHAnsi"/>
                <w:sz w:val="24"/>
                <w:szCs w:val="24"/>
                <w:lang w:val="en-US"/>
              </w:rPr>
            </w:pPr>
          </w:p>
        </w:tc>
      </w:tr>
      <w:tr w:rsidR="008A5C7B" w:rsidRPr="007C3E2A" w14:paraId="00A9A34E" w14:textId="77777777" w:rsidTr="000A49F9">
        <w:tc>
          <w:tcPr>
            <w:tcW w:w="9396" w:type="dxa"/>
            <w:gridSpan w:val="5"/>
          </w:tcPr>
          <w:p w14:paraId="11764109" w14:textId="77777777" w:rsidR="008A5C7B" w:rsidRPr="00064DA0" w:rsidRDefault="008A5C7B" w:rsidP="000A49F9">
            <w:pPr>
              <w:rPr>
                <w:rFonts w:asciiTheme="majorHAnsi" w:hAnsiTheme="majorHAnsi"/>
                <w:sz w:val="24"/>
                <w:szCs w:val="24"/>
                <w:lang w:val="en-US"/>
              </w:rPr>
            </w:pPr>
            <w:r w:rsidRPr="00064DA0">
              <w:rPr>
                <w:rFonts w:asciiTheme="majorHAnsi" w:hAnsiTheme="majorHAnsi"/>
                <w:i/>
                <w:sz w:val="24"/>
                <w:szCs w:val="24"/>
                <w:lang w:val="en-US"/>
              </w:rPr>
              <w:t>Do you think these food products are high, medium or low in added sugar?</w:t>
            </w:r>
          </w:p>
        </w:tc>
      </w:tr>
      <w:tr w:rsidR="008A5C7B" w:rsidRPr="00064DA0" w14:paraId="12F78AB0" w14:textId="77777777" w:rsidTr="000A49F9">
        <w:tc>
          <w:tcPr>
            <w:tcW w:w="5070" w:type="dxa"/>
          </w:tcPr>
          <w:p w14:paraId="06EAA12F"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Natural yoghurt</w:t>
            </w:r>
          </w:p>
        </w:tc>
        <w:tc>
          <w:tcPr>
            <w:tcW w:w="1134" w:type="dxa"/>
          </w:tcPr>
          <w:p w14:paraId="7236443D" w14:textId="77777777" w:rsidR="008A5C7B" w:rsidRPr="00064DA0"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29</w:t>
            </w:r>
          </w:p>
        </w:tc>
        <w:tc>
          <w:tcPr>
            <w:tcW w:w="992" w:type="dxa"/>
          </w:tcPr>
          <w:p w14:paraId="26E4DE65"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37</w:t>
            </w:r>
          </w:p>
        </w:tc>
        <w:tc>
          <w:tcPr>
            <w:tcW w:w="1100" w:type="dxa"/>
          </w:tcPr>
          <w:p w14:paraId="35349F16"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21</w:t>
            </w:r>
          </w:p>
        </w:tc>
        <w:tc>
          <w:tcPr>
            <w:tcW w:w="1100" w:type="dxa"/>
          </w:tcPr>
          <w:p w14:paraId="3EC7D307"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Low</w:t>
            </w:r>
          </w:p>
        </w:tc>
      </w:tr>
      <w:tr w:rsidR="008A5C7B" w:rsidRPr="00064DA0" w14:paraId="65DE7141" w14:textId="77777777" w:rsidTr="000A49F9">
        <w:tc>
          <w:tcPr>
            <w:tcW w:w="5070" w:type="dxa"/>
          </w:tcPr>
          <w:p w14:paraId="3D903EEE"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Flavored yoghurt</w:t>
            </w:r>
          </w:p>
        </w:tc>
        <w:tc>
          <w:tcPr>
            <w:tcW w:w="1134" w:type="dxa"/>
          </w:tcPr>
          <w:p w14:paraId="61CB04C1"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26</w:t>
            </w:r>
          </w:p>
        </w:tc>
        <w:tc>
          <w:tcPr>
            <w:tcW w:w="992" w:type="dxa"/>
          </w:tcPr>
          <w:p w14:paraId="44824737"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28</w:t>
            </w:r>
          </w:p>
        </w:tc>
        <w:tc>
          <w:tcPr>
            <w:tcW w:w="1100" w:type="dxa"/>
          </w:tcPr>
          <w:p w14:paraId="54F2E06C"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25</w:t>
            </w:r>
          </w:p>
        </w:tc>
        <w:tc>
          <w:tcPr>
            <w:tcW w:w="1100" w:type="dxa"/>
          </w:tcPr>
          <w:p w14:paraId="0498681A"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0791E0F8" w14:textId="77777777" w:rsidTr="000A49F9">
        <w:tc>
          <w:tcPr>
            <w:tcW w:w="5070" w:type="dxa"/>
          </w:tcPr>
          <w:p w14:paraId="21ABB337"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Fresh juice</w:t>
            </w:r>
          </w:p>
        </w:tc>
        <w:tc>
          <w:tcPr>
            <w:tcW w:w="1134" w:type="dxa"/>
          </w:tcPr>
          <w:p w14:paraId="53070E56"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24</w:t>
            </w:r>
          </w:p>
        </w:tc>
        <w:tc>
          <w:tcPr>
            <w:tcW w:w="992" w:type="dxa"/>
          </w:tcPr>
          <w:p w14:paraId="50BDCC69"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33</w:t>
            </w:r>
          </w:p>
        </w:tc>
        <w:tc>
          <w:tcPr>
            <w:tcW w:w="1100" w:type="dxa"/>
          </w:tcPr>
          <w:p w14:paraId="1C57C9D0"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14</w:t>
            </w:r>
          </w:p>
        </w:tc>
        <w:tc>
          <w:tcPr>
            <w:tcW w:w="1100" w:type="dxa"/>
          </w:tcPr>
          <w:p w14:paraId="6EE5F917"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Low</w:t>
            </w:r>
          </w:p>
        </w:tc>
      </w:tr>
      <w:tr w:rsidR="008A5C7B" w:rsidRPr="00064DA0" w14:paraId="6E3706F5" w14:textId="77777777" w:rsidTr="000A49F9">
        <w:tc>
          <w:tcPr>
            <w:tcW w:w="5070" w:type="dxa"/>
          </w:tcPr>
          <w:p w14:paraId="02703615"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White bread</w:t>
            </w:r>
          </w:p>
        </w:tc>
        <w:tc>
          <w:tcPr>
            <w:tcW w:w="1134" w:type="dxa"/>
          </w:tcPr>
          <w:p w14:paraId="25D768A5"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47</w:t>
            </w:r>
          </w:p>
        </w:tc>
        <w:tc>
          <w:tcPr>
            <w:tcW w:w="992" w:type="dxa"/>
          </w:tcPr>
          <w:p w14:paraId="53D65171"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50</w:t>
            </w:r>
          </w:p>
        </w:tc>
        <w:tc>
          <w:tcPr>
            <w:tcW w:w="1100" w:type="dxa"/>
          </w:tcPr>
          <w:p w14:paraId="5FFF422D"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43</w:t>
            </w:r>
          </w:p>
        </w:tc>
        <w:tc>
          <w:tcPr>
            <w:tcW w:w="1100" w:type="dxa"/>
          </w:tcPr>
          <w:p w14:paraId="5E9AA84A"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Low</w:t>
            </w:r>
          </w:p>
        </w:tc>
      </w:tr>
      <w:tr w:rsidR="008A5C7B" w:rsidRPr="00064DA0" w14:paraId="16CB3FA9" w14:textId="77777777" w:rsidTr="000A49F9">
        <w:tc>
          <w:tcPr>
            <w:tcW w:w="5070" w:type="dxa"/>
            <w:tcBorders>
              <w:bottom w:val="single" w:sz="4" w:space="0" w:color="auto"/>
            </w:tcBorders>
          </w:tcPr>
          <w:p w14:paraId="5012CA4E"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Tomato ketchup</w:t>
            </w:r>
          </w:p>
        </w:tc>
        <w:tc>
          <w:tcPr>
            <w:tcW w:w="1134" w:type="dxa"/>
            <w:tcBorders>
              <w:bottom w:val="single" w:sz="4" w:space="0" w:color="auto"/>
            </w:tcBorders>
          </w:tcPr>
          <w:p w14:paraId="7BE8025A" w14:textId="77777777" w:rsidR="008A5C7B" w:rsidRPr="00064DA0"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16</w:t>
            </w:r>
          </w:p>
        </w:tc>
        <w:tc>
          <w:tcPr>
            <w:tcW w:w="992" w:type="dxa"/>
            <w:tcBorders>
              <w:bottom w:val="single" w:sz="4" w:space="0" w:color="auto"/>
            </w:tcBorders>
          </w:tcPr>
          <w:p w14:paraId="0EAF25BE"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20</w:t>
            </w:r>
          </w:p>
        </w:tc>
        <w:tc>
          <w:tcPr>
            <w:tcW w:w="1100" w:type="dxa"/>
            <w:tcBorders>
              <w:bottom w:val="single" w:sz="4" w:space="0" w:color="auto"/>
            </w:tcBorders>
          </w:tcPr>
          <w:p w14:paraId="7047A4D7"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12</w:t>
            </w:r>
          </w:p>
        </w:tc>
        <w:tc>
          <w:tcPr>
            <w:tcW w:w="1100" w:type="dxa"/>
            <w:tcBorders>
              <w:bottom w:val="single" w:sz="4" w:space="0" w:color="auto"/>
            </w:tcBorders>
          </w:tcPr>
          <w:p w14:paraId="078BBC80"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7C3E2A" w14:paraId="14BCD65D" w14:textId="77777777" w:rsidTr="000A49F9">
        <w:tc>
          <w:tcPr>
            <w:tcW w:w="9396" w:type="dxa"/>
            <w:gridSpan w:val="5"/>
            <w:tcBorders>
              <w:top w:val="single" w:sz="4" w:space="0" w:color="auto"/>
            </w:tcBorders>
          </w:tcPr>
          <w:p w14:paraId="0E5602F9" w14:textId="77777777" w:rsidR="008A5C7B" w:rsidRPr="00064DA0" w:rsidRDefault="008A5C7B" w:rsidP="000A49F9">
            <w:pPr>
              <w:rPr>
                <w:rFonts w:asciiTheme="majorHAnsi" w:hAnsiTheme="majorHAnsi"/>
                <w:sz w:val="24"/>
                <w:szCs w:val="24"/>
                <w:lang w:val="en-US"/>
              </w:rPr>
            </w:pPr>
            <w:r w:rsidRPr="00064DA0">
              <w:rPr>
                <w:rFonts w:asciiTheme="majorHAnsi" w:hAnsiTheme="majorHAnsi"/>
                <w:i/>
                <w:sz w:val="24"/>
                <w:szCs w:val="24"/>
                <w:lang w:val="en-US"/>
              </w:rPr>
              <w:t>Do you think these food products are high, medium or low in fat?</w:t>
            </w:r>
          </w:p>
        </w:tc>
      </w:tr>
      <w:tr w:rsidR="008A5C7B" w:rsidRPr="00064DA0" w14:paraId="6A2B76F0" w14:textId="77777777" w:rsidTr="000A49F9">
        <w:tc>
          <w:tcPr>
            <w:tcW w:w="5070" w:type="dxa"/>
          </w:tcPr>
          <w:p w14:paraId="2B786156"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Chips</w:t>
            </w:r>
          </w:p>
        </w:tc>
        <w:tc>
          <w:tcPr>
            <w:tcW w:w="1134" w:type="dxa"/>
          </w:tcPr>
          <w:p w14:paraId="443AF8E2"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7</w:t>
            </w:r>
            <w:r w:rsidRPr="00E950A8">
              <w:rPr>
                <w:rFonts w:asciiTheme="majorHAnsi" w:hAnsiTheme="majorHAnsi"/>
                <w:sz w:val="24"/>
                <w:szCs w:val="24"/>
                <w:lang w:val="en-US"/>
              </w:rPr>
              <w:t>9</w:t>
            </w:r>
          </w:p>
        </w:tc>
        <w:tc>
          <w:tcPr>
            <w:tcW w:w="992" w:type="dxa"/>
          </w:tcPr>
          <w:p w14:paraId="256ACB5F"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88</w:t>
            </w:r>
          </w:p>
        </w:tc>
        <w:tc>
          <w:tcPr>
            <w:tcW w:w="1100" w:type="dxa"/>
          </w:tcPr>
          <w:p w14:paraId="0D08CA1D"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70</w:t>
            </w:r>
          </w:p>
        </w:tc>
        <w:tc>
          <w:tcPr>
            <w:tcW w:w="1100" w:type="dxa"/>
          </w:tcPr>
          <w:p w14:paraId="253E82C5"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60783C5A" w14:textId="77777777" w:rsidTr="000A49F9">
        <w:tc>
          <w:tcPr>
            <w:tcW w:w="5070" w:type="dxa"/>
          </w:tcPr>
          <w:p w14:paraId="207EB7F2"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Margarine</w:t>
            </w:r>
          </w:p>
        </w:tc>
        <w:tc>
          <w:tcPr>
            <w:tcW w:w="1134" w:type="dxa"/>
          </w:tcPr>
          <w:p w14:paraId="386381D3"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62</w:t>
            </w:r>
          </w:p>
        </w:tc>
        <w:tc>
          <w:tcPr>
            <w:tcW w:w="992" w:type="dxa"/>
          </w:tcPr>
          <w:p w14:paraId="5C785D5C"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68</w:t>
            </w:r>
          </w:p>
        </w:tc>
        <w:tc>
          <w:tcPr>
            <w:tcW w:w="1100" w:type="dxa"/>
          </w:tcPr>
          <w:p w14:paraId="10A266DF"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56</w:t>
            </w:r>
          </w:p>
        </w:tc>
        <w:tc>
          <w:tcPr>
            <w:tcW w:w="1100" w:type="dxa"/>
          </w:tcPr>
          <w:p w14:paraId="41512153"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59001152" w14:textId="77777777" w:rsidTr="000A49F9">
        <w:tc>
          <w:tcPr>
            <w:tcW w:w="5070" w:type="dxa"/>
          </w:tcPr>
          <w:p w14:paraId="7FB0224E"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Crisps</w:t>
            </w:r>
          </w:p>
        </w:tc>
        <w:tc>
          <w:tcPr>
            <w:tcW w:w="1134" w:type="dxa"/>
          </w:tcPr>
          <w:p w14:paraId="232113D5" w14:textId="77777777" w:rsidR="008A5C7B" w:rsidRPr="00064DA0"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30</w:t>
            </w:r>
          </w:p>
        </w:tc>
        <w:tc>
          <w:tcPr>
            <w:tcW w:w="992" w:type="dxa"/>
          </w:tcPr>
          <w:p w14:paraId="470291D8"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29</w:t>
            </w:r>
          </w:p>
        </w:tc>
        <w:tc>
          <w:tcPr>
            <w:tcW w:w="1100" w:type="dxa"/>
          </w:tcPr>
          <w:p w14:paraId="48A1DF8A"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31</w:t>
            </w:r>
          </w:p>
        </w:tc>
        <w:tc>
          <w:tcPr>
            <w:tcW w:w="1100" w:type="dxa"/>
          </w:tcPr>
          <w:p w14:paraId="05098355"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2ADC84AD" w14:textId="77777777" w:rsidTr="000A49F9">
        <w:tc>
          <w:tcPr>
            <w:tcW w:w="5070" w:type="dxa"/>
          </w:tcPr>
          <w:p w14:paraId="72A54E87"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Fried beef sausage</w:t>
            </w:r>
          </w:p>
        </w:tc>
        <w:tc>
          <w:tcPr>
            <w:tcW w:w="1134" w:type="dxa"/>
          </w:tcPr>
          <w:p w14:paraId="4AC285C8"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46</w:t>
            </w:r>
          </w:p>
        </w:tc>
        <w:tc>
          <w:tcPr>
            <w:tcW w:w="992" w:type="dxa"/>
          </w:tcPr>
          <w:p w14:paraId="23932359"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46</w:t>
            </w:r>
          </w:p>
        </w:tc>
        <w:tc>
          <w:tcPr>
            <w:tcW w:w="1100" w:type="dxa"/>
          </w:tcPr>
          <w:p w14:paraId="5EBFD111"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46</w:t>
            </w:r>
          </w:p>
        </w:tc>
        <w:tc>
          <w:tcPr>
            <w:tcW w:w="1100" w:type="dxa"/>
          </w:tcPr>
          <w:p w14:paraId="7FC45ACE"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0F0778BD" w14:textId="77777777" w:rsidTr="000A49F9">
        <w:tc>
          <w:tcPr>
            <w:tcW w:w="5070" w:type="dxa"/>
          </w:tcPr>
          <w:p w14:paraId="68DAB3A4"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Honey</w:t>
            </w:r>
          </w:p>
        </w:tc>
        <w:tc>
          <w:tcPr>
            <w:tcW w:w="1134" w:type="dxa"/>
          </w:tcPr>
          <w:p w14:paraId="292A8FC5"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53</w:t>
            </w:r>
          </w:p>
        </w:tc>
        <w:tc>
          <w:tcPr>
            <w:tcW w:w="992" w:type="dxa"/>
          </w:tcPr>
          <w:p w14:paraId="60DA2F56"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70</w:t>
            </w:r>
          </w:p>
        </w:tc>
        <w:tc>
          <w:tcPr>
            <w:tcW w:w="1100" w:type="dxa"/>
          </w:tcPr>
          <w:p w14:paraId="2D56EDFB"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36</w:t>
            </w:r>
          </w:p>
        </w:tc>
        <w:tc>
          <w:tcPr>
            <w:tcW w:w="1100" w:type="dxa"/>
          </w:tcPr>
          <w:p w14:paraId="7AF473B2"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Low</w:t>
            </w:r>
          </w:p>
        </w:tc>
      </w:tr>
      <w:tr w:rsidR="008A5C7B" w:rsidRPr="00064DA0" w14:paraId="7A92ECDA" w14:textId="77777777" w:rsidTr="000A49F9">
        <w:tc>
          <w:tcPr>
            <w:tcW w:w="5070" w:type="dxa"/>
          </w:tcPr>
          <w:p w14:paraId="2CAFB4EA"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 xml:space="preserve">Raw nuts </w:t>
            </w:r>
          </w:p>
        </w:tc>
        <w:tc>
          <w:tcPr>
            <w:tcW w:w="1134" w:type="dxa"/>
          </w:tcPr>
          <w:p w14:paraId="6BBC4F12"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12</w:t>
            </w:r>
          </w:p>
        </w:tc>
        <w:tc>
          <w:tcPr>
            <w:tcW w:w="992" w:type="dxa"/>
          </w:tcPr>
          <w:p w14:paraId="32324C1E"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12</w:t>
            </w:r>
          </w:p>
        </w:tc>
        <w:tc>
          <w:tcPr>
            <w:tcW w:w="1100" w:type="dxa"/>
          </w:tcPr>
          <w:p w14:paraId="4E9EE800"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13</w:t>
            </w:r>
          </w:p>
        </w:tc>
        <w:tc>
          <w:tcPr>
            <w:tcW w:w="1100" w:type="dxa"/>
          </w:tcPr>
          <w:p w14:paraId="41371E51"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4CD2DDDC" w14:textId="77777777" w:rsidTr="000A49F9">
        <w:tc>
          <w:tcPr>
            <w:tcW w:w="5070" w:type="dxa"/>
          </w:tcPr>
          <w:p w14:paraId="719568D2"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White bread</w:t>
            </w:r>
          </w:p>
        </w:tc>
        <w:tc>
          <w:tcPr>
            <w:tcW w:w="1134" w:type="dxa"/>
          </w:tcPr>
          <w:p w14:paraId="0BE32346"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64</w:t>
            </w:r>
          </w:p>
        </w:tc>
        <w:tc>
          <w:tcPr>
            <w:tcW w:w="992" w:type="dxa"/>
          </w:tcPr>
          <w:p w14:paraId="23CCE5F6"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70</w:t>
            </w:r>
          </w:p>
        </w:tc>
        <w:tc>
          <w:tcPr>
            <w:tcW w:w="1100" w:type="dxa"/>
          </w:tcPr>
          <w:p w14:paraId="069EC452"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58</w:t>
            </w:r>
          </w:p>
        </w:tc>
        <w:tc>
          <w:tcPr>
            <w:tcW w:w="1100" w:type="dxa"/>
          </w:tcPr>
          <w:p w14:paraId="13DE28E0"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Low</w:t>
            </w:r>
          </w:p>
        </w:tc>
      </w:tr>
      <w:tr w:rsidR="008A5C7B" w:rsidRPr="00064DA0" w14:paraId="3B82A398" w14:textId="77777777" w:rsidTr="000A49F9">
        <w:tc>
          <w:tcPr>
            <w:tcW w:w="5070" w:type="dxa"/>
            <w:tcBorders>
              <w:bottom w:val="single" w:sz="4" w:space="0" w:color="auto"/>
            </w:tcBorders>
          </w:tcPr>
          <w:p w14:paraId="50961B82"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 xml:space="preserve">Cake </w:t>
            </w:r>
          </w:p>
        </w:tc>
        <w:tc>
          <w:tcPr>
            <w:tcW w:w="1134" w:type="dxa"/>
            <w:tcBorders>
              <w:bottom w:val="single" w:sz="4" w:space="0" w:color="auto"/>
            </w:tcBorders>
          </w:tcPr>
          <w:p w14:paraId="29AA3B38"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27</w:t>
            </w:r>
          </w:p>
        </w:tc>
        <w:tc>
          <w:tcPr>
            <w:tcW w:w="992" w:type="dxa"/>
            <w:tcBorders>
              <w:bottom w:val="single" w:sz="4" w:space="0" w:color="auto"/>
            </w:tcBorders>
          </w:tcPr>
          <w:p w14:paraId="02AEA9E4"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36</w:t>
            </w:r>
          </w:p>
        </w:tc>
        <w:tc>
          <w:tcPr>
            <w:tcW w:w="1100" w:type="dxa"/>
            <w:tcBorders>
              <w:bottom w:val="single" w:sz="4" w:space="0" w:color="auto"/>
            </w:tcBorders>
          </w:tcPr>
          <w:p w14:paraId="01B83B71"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19</w:t>
            </w:r>
          </w:p>
        </w:tc>
        <w:tc>
          <w:tcPr>
            <w:tcW w:w="1100" w:type="dxa"/>
            <w:tcBorders>
              <w:bottom w:val="single" w:sz="4" w:space="0" w:color="auto"/>
            </w:tcBorders>
          </w:tcPr>
          <w:p w14:paraId="13CD0698"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7C3E2A" w14:paraId="0B2C116D" w14:textId="77777777" w:rsidTr="000A49F9">
        <w:tc>
          <w:tcPr>
            <w:tcW w:w="9396" w:type="dxa"/>
            <w:gridSpan w:val="5"/>
            <w:tcBorders>
              <w:top w:val="single" w:sz="4" w:space="0" w:color="auto"/>
            </w:tcBorders>
          </w:tcPr>
          <w:p w14:paraId="1DCAE125" w14:textId="77777777" w:rsidR="008A5C7B" w:rsidRPr="00064DA0" w:rsidRDefault="008A5C7B" w:rsidP="000A49F9">
            <w:pPr>
              <w:rPr>
                <w:rFonts w:asciiTheme="majorHAnsi" w:hAnsiTheme="majorHAnsi"/>
                <w:sz w:val="24"/>
                <w:szCs w:val="24"/>
                <w:lang w:val="en-US"/>
              </w:rPr>
            </w:pPr>
            <w:r w:rsidRPr="00064DA0">
              <w:rPr>
                <w:rFonts w:asciiTheme="majorHAnsi" w:hAnsiTheme="majorHAnsi"/>
                <w:i/>
                <w:sz w:val="24"/>
                <w:szCs w:val="24"/>
                <w:lang w:val="en-US"/>
              </w:rPr>
              <w:t>Do you think these food products are high, medium or low in salt?</w:t>
            </w:r>
          </w:p>
        </w:tc>
      </w:tr>
      <w:tr w:rsidR="008A5C7B" w:rsidRPr="00064DA0" w14:paraId="2127FE87" w14:textId="77777777" w:rsidTr="000A49F9">
        <w:tc>
          <w:tcPr>
            <w:tcW w:w="5070" w:type="dxa"/>
          </w:tcPr>
          <w:p w14:paraId="34A532ED"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Sausages</w:t>
            </w:r>
          </w:p>
        </w:tc>
        <w:tc>
          <w:tcPr>
            <w:tcW w:w="1134" w:type="dxa"/>
          </w:tcPr>
          <w:p w14:paraId="409F8E02"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22</w:t>
            </w:r>
          </w:p>
        </w:tc>
        <w:tc>
          <w:tcPr>
            <w:tcW w:w="992" w:type="dxa"/>
          </w:tcPr>
          <w:p w14:paraId="4417A962"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19</w:t>
            </w:r>
          </w:p>
        </w:tc>
        <w:tc>
          <w:tcPr>
            <w:tcW w:w="1100" w:type="dxa"/>
          </w:tcPr>
          <w:p w14:paraId="5AC9F974"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25</w:t>
            </w:r>
          </w:p>
        </w:tc>
        <w:tc>
          <w:tcPr>
            <w:tcW w:w="1100" w:type="dxa"/>
          </w:tcPr>
          <w:p w14:paraId="1173C3B7"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68206FA9" w14:textId="77777777" w:rsidTr="000A49F9">
        <w:tc>
          <w:tcPr>
            <w:tcW w:w="5070" w:type="dxa"/>
          </w:tcPr>
          <w:p w14:paraId="165C399E"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Brown bread</w:t>
            </w:r>
          </w:p>
        </w:tc>
        <w:tc>
          <w:tcPr>
            <w:tcW w:w="1134" w:type="dxa"/>
          </w:tcPr>
          <w:p w14:paraId="6B1B1B31" w14:textId="77777777" w:rsidR="008A5C7B" w:rsidRPr="00064DA0"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6</w:t>
            </w:r>
          </w:p>
        </w:tc>
        <w:tc>
          <w:tcPr>
            <w:tcW w:w="992" w:type="dxa"/>
          </w:tcPr>
          <w:p w14:paraId="09EF1ADE"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4</w:t>
            </w:r>
          </w:p>
        </w:tc>
        <w:tc>
          <w:tcPr>
            <w:tcW w:w="1100" w:type="dxa"/>
          </w:tcPr>
          <w:p w14:paraId="34E67810"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8</w:t>
            </w:r>
          </w:p>
        </w:tc>
        <w:tc>
          <w:tcPr>
            <w:tcW w:w="1100" w:type="dxa"/>
          </w:tcPr>
          <w:p w14:paraId="0898C73F"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151D78F3" w14:textId="77777777" w:rsidTr="000A49F9">
        <w:tc>
          <w:tcPr>
            <w:tcW w:w="5070" w:type="dxa"/>
          </w:tcPr>
          <w:p w14:paraId="3F6893F1"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Popcorn</w:t>
            </w:r>
          </w:p>
        </w:tc>
        <w:tc>
          <w:tcPr>
            <w:tcW w:w="1134" w:type="dxa"/>
          </w:tcPr>
          <w:p w14:paraId="2A004D75"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26</w:t>
            </w:r>
          </w:p>
        </w:tc>
        <w:tc>
          <w:tcPr>
            <w:tcW w:w="992" w:type="dxa"/>
          </w:tcPr>
          <w:p w14:paraId="68A8513A"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28</w:t>
            </w:r>
          </w:p>
        </w:tc>
        <w:tc>
          <w:tcPr>
            <w:tcW w:w="1100" w:type="dxa"/>
          </w:tcPr>
          <w:p w14:paraId="1C41021A"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25</w:t>
            </w:r>
          </w:p>
        </w:tc>
        <w:tc>
          <w:tcPr>
            <w:tcW w:w="1100" w:type="dxa"/>
          </w:tcPr>
          <w:p w14:paraId="04FA65BB"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5C6E5A76" w14:textId="77777777" w:rsidTr="000A49F9">
        <w:tc>
          <w:tcPr>
            <w:tcW w:w="5070" w:type="dxa"/>
          </w:tcPr>
          <w:p w14:paraId="26B5B6BB"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Tomato ketchup</w:t>
            </w:r>
          </w:p>
        </w:tc>
        <w:tc>
          <w:tcPr>
            <w:tcW w:w="1134" w:type="dxa"/>
          </w:tcPr>
          <w:p w14:paraId="242FDD1B"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15</w:t>
            </w:r>
          </w:p>
        </w:tc>
        <w:tc>
          <w:tcPr>
            <w:tcW w:w="992" w:type="dxa"/>
          </w:tcPr>
          <w:p w14:paraId="5B421EFC"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16</w:t>
            </w:r>
          </w:p>
        </w:tc>
        <w:tc>
          <w:tcPr>
            <w:tcW w:w="1100" w:type="dxa"/>
          </w:tcPr>
          <w:p w14:paraId="12ABA302"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14</w:t>
            </w:r>
          </w:p>
        </w:tc>
        <w:tc>
          <w:tcPr>
            <w:tcW w:w="1100" w:type="dxa"/>
          </w:tcPr>
          <w:p w14:paraId="5D99480F"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3651BC5F" w14:textId="77777777" w:rsidTr="000A49F9">
        <w:tc>
          <w:tcPr>
            <w:tcW w:w="5070" w:type="dxa"/>
            <w:tcBorders>
              <w:bottom w:val="single" w:sz="4" w:space="0" w:color="auto"/>
            </w:tcBorders>
          </w:tcPr>
          <w:p w14:paraId="10915A1B" w14:textId="77777777" w:rsidR="008A5C7B" w:rsidRPr="00064DA0" w:rsidRDefault="008A5C7B" w:rsidP="000A49F9">
            <w:pPr>
              <w:rPr>
                <w:rFonts w:asciiTheme="majorHAnsi" w:hAnsiTheme="majorHAnsi"/>
                <w:sz w:val="24"/>
                <w:szCs w:val="24"/>
                <w:lang w:val="en-US"/>
              </w:rPr>
            </w:pPr>
            <w:r w:rsidRPr="00064DA0">
              <w:rPr>
                <w:rFonts w:asciiTheme="majorHAnsi" w:hAnsiTheme="majorHAnsi"/>
                <w:sz w:val="24"/>
                <w:szCs w:val="24"/>
                <w:lang w:val="en-US"/>
              </w:rPr>
              <w:t>Instant noodles</w:t>
            </w:r>
          </w:p>
        </w:tc>
        <w:tc>
          <w:tcPr>
            <w:tcW w:w="1134" w:type="dxa"/>
            <w:tcBorders>
              <w:bottom w:val="single" w:sz="4" w:space="0" w:color="auto"/>
            </w:tcBorders>
          </w:tcPr>
          <w:p w14:paraId="333A6D3D"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14</w:t>
            </w:r>
          </w:p>
        </w:tc>
        <w:tc>
          <w:tcPr>
            <w:tcW w:w="992" w:type="dxa"/>
            <w:tcBorders>
              <w:bottom w:val="single" w:sz="4" w:space="0" w:color="auto"/>
            </w:tcBorders>
          </w:tcPr>
          <w:p w14:paraId="637D962C"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13</w:t>
            </w:r>
          </w:p>
        </w:tc>
        <w:tc>
          <w:tcPr>
            <w:tcW w:w="1100" w:type="dxa"/>
            <w:tcBorders>
              <w:bottom w:val="single" w:sz="4" w:space="0" w:color="auto"/>
            </w:tcBorders>
          </w:tcPr>
          <w:p w14:paraId="63F70E18"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15</w:t>
            </w:r>
          </w:p>
        </w:tc>
        <w:tc>
          <w:tcPr>
            <w:tcW w:w="1100" w:type="dxa"/>
            <w:tcBorders>
              <w:bottom w:val="single" w:sz="4" w:space="0" w:color="auto"/>
            </w:tcBorders>
          </w:tcPr>
          <w:p w14:paraId="17E48F14"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High</w:t>
            </w:r>
          </w:p>
        </w:tc>
      </w:tr>
      <w:tr w:rsidR="008A5C7B" w:rsidRPr="00064DA0" w14:paraId="09F396A7" w14:textId="77777777" w:rsidTr="000A49F9">
        <w:tc>
          <w:tcPr>
            <w:tcW w:w="5070" w:type="dxa"/>
            <w:tcBorders>
              <w:top w:val="single" w:sz="4" w:space="0" w:color="auto"/>
              <w:bottom w:val="single" w:sz="4" w:space="0" w:color="auto"/>
            </w:tcBorders>
          </w:tcPr>
          <w:p w14:paraId="78B454A3" w14:textId="77777777" w:rsidR="008A5C7B" w:rsidRPr="00064DA0" w:rsidRDefault="008A5C7B" w:rsidP="000A49F9">
            <w:pPr>
              <w:rPr>
                <w:rFonts w:asciiTheme="majorHAnsi" w:hAnsiTheme="majorHAnsi"/>
                <w:sz w:val="24"/>
                <w:szCs w:val="24"/>
                <w:lang w:val="en-US"/>
              </w:rPr>
            </w:pPr>
            <w:r>
              <w:rPr>
                <w:rFonts w:asciiTheme="majorHAnsi" w:hAnsiTheme="majorHAnsi"/>
                <w:sz w:val="24"/>
                <w:szCs w:val="24"/>
                <w:lang w:val="en-US"/>
              </w:rPr>
              <w:t>Table 1 continued</w:t>
            </w:r>
          </w:p>
        </w:tc>
        <w:tc>
          <w:tcPr>
            <w:tcW w:w="1134" w:type="dxa"/>
            <w:tcBorders>
              <w:top w:val="single" w:sz="4" w:space="0" w:color="auto"/>
              <w:bottom w:val="single" w:sz="4" w:space="0" w:color="auto"/>
            </w:tcBorders>
          </w:tcPr>
          <w:p w14:paraId="391FE009" w14:textId="77777777" w:rsidR="008A5C7B" w:rsidRPr="00064DA0" w:rsidRDefault="008A5C7B" w:rsidP="000A49F9">
            <w:pPr>
              <w:jc w:val="center"/>
              <w:rPr>
                <w:rFonts w:asciiTheme="majorHAnsi" w:hAnsiTheme="majorHAnsi"/>
                <w:sz w:val="24"/>
                <w:szCs w:val="24"/>
                <w:lang w:val="en-US"/>
              </w:rPr>
            </w:pPr>
          </w:p>
        </w:tc>
        <w:tc>
          <w:tcPr>
            <w:tcW w:w="992" w:type="dxa"/>
            <w:tcBorders>
              <w:top w:val="single" w:sz="4" w:space="0" w:color="auto"/>
              <w:bottom w:val="single" w:sz="4" w:space="0" w:color="auto"/>
            </w:tcBorders>
          </w:tcPr>
          <w:p w14:paraId="16E285A0" w14:textId="77777777" w:rsidR="008A5C7B" w:rsidRPr="00E950A8" w:rsidRDefault="008A5C7B" w:rsidP="000A49F9">
            <w:pPr>
              <w:jc w:val="center"/>
              <w:rPr>
                <w:rFonts w:asciiTheme="majorHAnsi" w:hAnsiTheme="majorHAnsi"/>
                <w:sz w:val="24"/>
                <w:szCs w:val="24"/>
                <w:lang w:val="en-US"/>
              </w:rPr>
            </w:pPr>
          </w:p>
        </w:tc>
        <w:tc>
          <w:tcPr>
            <w:tcW w:w="1100" w:type="dxa"/>
            <w:tcBorders>
              <w:top w:val="single" w:sz="4" w:space="0" w:color="auto"/>
              <w:bottom w:val="single" w:sz="4" w:space="0" w:color="auto"/>
            </w:tcBorders>
          </w:tcPr>
          <w:p w14:paraId="0B2D0220" w14:textId="77777777" w:rsidR="008A5C7B" w:rsidRPr="00E950A8" w:rsidRDefault="008A5C7B" w:rsidP="000A49F9">
            <w:pPr>
              <w:jc w:val="center"/>
              <w:rPr>
                <w:rFonts w:asciiTheme="majorHAnsi" w:hAnsiTheme="majorHAnsi"/>
                <w:sz w:val="24"/>
                <w:szCs w:val="24"/>
                <w:lang w:val="en-US"/>
              </w:rPr>
            </w:pPr>
          </w:p>
        </w:tc>
        <w:tc>
          <w:tcPr>
            <w:tcW w:w="1100" w:type="dxa"/>
            <w:tcBorders>
              <w:top w:val="single" w:sz="4" w:space="0" w:color="auto"/>
              <w:bottom w:val="single" w:sz="4" w:space="0" w:color="auto"/>
            </w:tcBorders>
          </w:tcPr>
          <w:p w14:paraId="58B7458A" w14:textId="77777777" w:rsidR="008A5C7B" w:rsidRPr="00E950A8" w:rsidRDefault="008A5C7B" w:rsidP="000A49F9">
            <w:pPr>
              <w:jc w:val="center"/>
              <w:rPr>
                <w:rFonts w:asciiTheme="majorHAnsi" w:hAnsiTheme="majorHAnsi"/>
                <w:sz w:val="24"/>
                <w:szCs w:val="24"/>
                <w:lang w:val="en-US"/>
              </w:rPr>
            </w:pPr>
          </w:p>
        </w:tc>
      </w:tr>
      <w:tr w:rsidR="008A5C7B" w:rsidRPr="00064DA0" w14:paraId="1DBAA038" w14:textId="77777777" w:rsidTr="000A49F9">
        <w:tc>
          <w:tcPr>
            <w:tcW w:w="5070" w:type="dxa"/>
            <w:tcBorders>
              <w:top w:val="single" w:sz="4" w:space="0" w:color="auto"/>
            </w:tcBorders>
          </w:tcPr>
          <w:p w14:paraId="60E73E23" w14:textId="77777777" w:rsidR="008A5C7B" w:rsidRPr="00E950A8" w:rsidRDefault="008A5C7B" w:rsidP="000A49F9">
            <w:pPr>
              <w:rPr>
                <w:rFonts w:asciiTheme="majorHAnsi" w:hAnsiTheme="majorHAnsi"/>
                <w:b/>
                <w:sz w:val="24"/>
                <w:szCs w:val="24"/>
                <w:lang w:val="en-US"/>
              </w:rPr>
            </w:pPr>
            <w:r w:rsidRPr="00064DA0">
              <w:rPr>
                <w:rFonts w:asciiTheme="majorHAnsi" w:hAnsiTheme="majorHAnsi"/>
                <w:b/>
                <w:sz w:val="24"/>
                <w:szCs w:val="24"/>
                <w:lang w:val="en-US"/>
              </w:rPr>
              <w:t xml:space="preserve">Knowledge </w:t>
            </w:r>
            <w:r w:rsidRPr="00E950A8">
              <w:rPr>
                <w:rFonts w:asciiTheme="majorHAnsi" w:hAnsiTheme="majorHAnsi"/>
                <w:b/>
                <w:sz w:val="24"/>
                <w:szCs w:val="24"/>
                <w:lang w:val="en-US"/>
              </w:rPr>
              <w:t>about dietary recommendations</w:t>
            </w:r>
          </w:p>
        </w:tc>
        <w:tc>
          <w:tcPr>
            <w:tcW w:w="1134" w:type="dxa"/>
            <w:tcBorders>
              <w:top w:val="single" w:sz="4" w:space="0" w:color="auto"/>
            </w:tcBorders>
          </w:tcPr>
          <w:p w14:paraId="2247AAC5" w14:textId="77777777" w:rsidR="008A5C7B" w:rsidRPr="00E950A8" w:rsidRDefault="008A5C7B" w:rsidP="000A49F9">
            <w:pPr>
              <w:jc w:val="center"/>
              <w:rPr>
                <w:rFonts w:asciiTheme="majorHAnsi" w:hAnsiTheme="majorHAnsi"/>
                <w:b/>
                <w:sz w:val="24"/>
                <w:szCs w:val="24"/>
                <w:lang w:val="en-US"/>
              </w:rPr>
            </w:pPr>
            <w:r w:rsidRPr="00E950A8">
              <w:rPr>
                <w:rFonts w:asciiTheme="majorHAnsi" w:hAnsiTheme="majorHAnsi"/>
                <w:b/>
                <w:sz w:val="24"/>
                <w:szCs w:val="24"/>
                <w:lang w:val="en-US"/>
              </w:rPr>
              <w:t>52</w:t>
            </w:r>
          </w:p>
        </w:tc>
        <w:tc>
          <w:tcPr>
            <w:tcW w:w="992" w:type="dxa"/>
            <w:tcBorders>
              <w:top w:val="single" w:sz="4" w:space="0" w:color="auto"/>
            </w:tcBorders>
          </w:tcPr>
          <w:p w14:paraId="326F0A2E" w14:textId="77777777" w:rsidR="008A5C7B" w:rsidRPr="00E950A8" w:rsidRDefault="008A5C7B" w:rsidP="000A49F9">
            <w:pPr>
              <w:jc w:val="center"/>
              <w:rPr>
                <w:rFonts w:asciiTheme="majorHAnsi" w:hAnsiTheme="majorHAnsi"/>
                <w:b/>
                <w:sz w:val="24"/>
                <w:szCs w:val="24"/>
                <w:lang w:val="en-US"/>
              </w:rPr>
            </w:pPr>
            <w:r w:rsidRPr="00E950A8">
              <w:rPr>
                <w:rFonts w:asciiTheme="majorHAnsi" w:hAnsiTheme="majorHAnsi"/>
                <w:b/>
                <w:sz w:val="24"/>
                <w:szCs w:val="24"/>
                <w:lang w:val="en-US"/>
              </w:rPr>
              <w:t>56</w:t>
            </w:r>
          </w:p>
        </w:tc>
        <w:tc>
          <w:tcPr>
            <w:tcW w:w="1100" w:type="dxa"/>
            <w:tcBorders>
              <w:top w:val="single" w:sz="4" w:space="0" w:color="auto"/>
            </w:tcBorders>
          </w:tcPr>
          <w:p w14:paraId="68E64C8B" w14:textId="77777777" w:rsidR="008A5C7B" w:rsidRPr="00E950A8" w:rsidRDefault="008A5C7B" w:rsidP="000A49F9">
            <w:pPr>
              <w:jc w:val="center"/>
              <w:rPr>
                <w:rFonts w:asciiTheme="majorHAnsi" w:hAnsiTheme="majorHAnsi"/>
                <w:b/>
                <w:sz w:val="24"/>
                <w:szCs w:val="24"/>
                <w:lang w:val="en-US"/>
              </w:rPr>
            </w:pPr>
            <w:r w:rsidRPr="00E950A8">
              <w:rPr>
                <w:rFonts w:asciiTheme="majorHAnsi" w:hAnsiTheme="majorHAnsi"/>
                <w:b/>
                <w:sz w:val="24"/>
                <w:szCs w:val="24"/>
                <w:lang w:val="en-US"/>
              </w:rPr>
              <w:t>49</w:t>
            </w:r>
          </w:p>
        </w:tc>
        <w:tc>
          <w:tcPr>
            <w:tcW w:w="1100" w:type="dxa"/>
            <w:tcBorders>
              <w:top w:val="single" w:sz="4" w:space="0" w:color="auto"/>
            </w:tcBorders>
          </w:tcPr>
          <w:p w14:paraId="6613556C" w14:textId="77777777" w:rsidR="008A5C7B" w:rsidRPr="00E950A8" w:rsidRDefault="008A5C7B" w:rsidP="000A49F9">
            <w:pPr>
              <w:jc w:val="center"/>
              <w:rPr>
                <w:rFonts w:asciiTheme="majorHAnsi" w:hAnsiTheme="majorHAnsi"/>
                <w:b/>
                <w:sz w:val="24"/>
                <w:szCs w:val="24"/>
                <w:lang w:val="en-US"/>
              </w:rPr>
            </w:pPr>
          </w:p>
          <w:p w14:paraId="0EC103C7" w14:textId="77777777" w:rsidR="008A5C7B" w:rsidRPr="00E950A8" w:rsidRDefault="008A5C7B" w:rsidP="000A49F9">
            <w:pPr>
              <w:jc w:val="center"/>
              <w:rPr>
                <w:rFonts w:asciiTheme="majorHAnsi" w:hAnsiTheme="majorHAnsi"/>
                <w:b/>
                <w:sz w:val="24"/>
                <w:szCs w:val="24"/>
                <w:lang w:val="en-US"/>
              </w:rPr>
            </w:pPr>
          </w:p>
        </w:tc>
      </w:tr>
      <w:tr w:rsidR="008A5C7B" w:rsidRPr="00064DA0" w14:paraId="4CF0E707" w14:textId="77777777" w:rsidTr="000A49F9">
        <w:tc>
          <w:tcPr>
            <w:tcW w:w="5070" w:type="dxa"/>
          </w:tcPr>
          <w:p w14:paraId="1BA13D4B" w14:textId="77777777" w:rsidR="008A5C7B" w:rsidRPr="00E950A8" w:rsidRDefault="008A5C7B" w:rsidP="000A49F9">
            <w:pPr>
              <w:rPr>
                <w:rFonts w:asciiTheme="majorHAnsi" w:hAnsiTheme="majorHAnsi"/>
                <w:i/>
                <w:sz w:val="24"/>
                <w:szCs w:val="24"/>
                <w:lang w:val="en-US"/>
              </w:rPr>
            </w:pPr>
            <w:r w:rsidRPr="00064DA0">
              <w:rPr>
                <w:rFonts w:asciiTheme="majorHAnsi" w:hAnsiTheme="majorHAnsi"/>
                <w:i/>
                <w:sz w:val="24"/>
                <w:szCs w:val="24"/>
                <w:lang w:val="en-US"/>
              </w:rPr>
              <w:t>How many servings of fruits and vegetables together do y</w:t>
            </w:r>
            <w:r w:rsidRPr="00E950A8">
              <w:rPr>
                <w:rFonts w:asciiTheme="majorHAnsi" w:hAnsiTheme="majorHAnsi"/>
                <w:i/>
                <w:sz w:val="24"/>
                <w:szCs w:val="24"/>
                <w:lang w:val="en-US"/>
              </w:rPr>
              <w:t>ou think experts advise people to eat every day?</w:t>
            </w:r>
          </w:p>
          <w:p w14:paraId="13B91B86" w14:textId="77777777" w:rsidR="008A5C7B" w:rsidRPr="00E950A8" w:rsidRDefault="008A5C7B" w:rsidP="000A49F9">
            <w:pPr>
              <w:rPr>
                <w:rFonts w:asciiTheme="majorHAnsi" w:hAnsiTheme="majorHAnsi"/>
                <w:sz w:val="24"/>
                <w:szCs w:val="24"/>
                <w:lang w:val="en-US"/>
              </w:rPr>
            </w:pPr>
          </w:p>
        </w:tc>
        <w:tc>
          <w:tcPr>
            <w:tcW w:w="1134" w:type="dxa"/>
          </w:tcPr>
          <w:p w14:paraId="3F619CC7"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8</w:t>
            </w:r>
          </w:p>
        </w:tc>
        <w:tc>
          <w:tcPr>
            <w:tcW w:w="992" w:type="dxa"/>
          </w:tcPr>
          <w:p w14:paraId="1EC84182"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16</w:t>
            </w:r>
          </w:p>
        </w:tc>
        <w:tc>
          <w:tcPr>
            <w:tcW w:w="1100" w:type="dxa"/>
          </w:tcPr>
          <w:p w14:paraId="0385C915"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w:t>
            </w:r>
          </w:p>
        </w:tc>
        <w:tc>
          <w:tcPr>
            <w:tcW w:w="1100" w:type="dxa"/>
          </w:tcPr>
          <w:p w14:paraId="3E7FEE97"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4-6</w:t>
            </w:r>
          </w:p>
        </w:tc>
      </w:tr>
      <w:tr w:rsidR="008A5C7B" w:rsidRPr="00064DA0" w14:paraId="51F055B4" w14:textId="77777777" w:rsidTr="000A49F9">
        <w:tc>
          <w:tcPr>
            <w:tcW w:w="5070" w:type="dxa"/>
          </w:tcPr>
          <w:p w14:paraId="50DBDF05" w14:textId="77777777" w:rsidR="008A5C7B" w:rsidRPr="00064DA0" w:rsidRDefault="008A5C7B" w:rsidP="000A49F9">
            <w:pPr>
              <w:rPr>
                <w:rFonts w:asciiTheme="majorHAnsi" w:hAnsiTheme="majorHAnsi"/>
                <w:i/>
                <w:sz w:val="24"/>
                <w:szCs w:val="24"/>
                <w:lang w:val="en-US"/>
              </w:rPr>
            </w:pPr>
            <w:r w:rsidRPr="00064DA0">
              <w:rPr>
                <w:rFonts w:asciiTheme="majorHAnsi" w:hAnsiTheme="majorHAnsi"/>
                <w:i/>
                <w:sz w:val="24"/>
                <w:szCs w:val="24"/>
                <w:lang w:val="en-US"/>
              </w:rPr>
              <w:t>What do you think is the recommended period of exclusively breastfeeding infants?</w:t>
            </w:r>
          </w:p>
        </w:tc>
        <w:tc>
          <w:tcPr>
            <w:tcW w:w="1134" w:type="dxa"/>
          </w:tcPr>
          <w:p w14:paraId="1E0796BD" w14:textId="77777777" w:rsidR="008A5C7B" w:rsidRPr="00064DA0"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96</w:t>
            </w:r>
          </w:p>
        </w:tc>
        <w:tc>
          <w:tcPr>
            <w:tcW w:w="992" w:type="dxa"/>
          </w:tcPr>
          <w:p w14:paraId="242E94EC"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96</w:t>
            </w:r>
          </w:p>
        </w:tc>
        <w:tc>
          <w:tcPr>
            <w:tcW w:w="1100" w:type="dxa"/>
          </w:tcPr>
          <w:p w14:paraId="2A13E76B"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96</w:t>
            </w:r>
          </w:p>
        </w:tc>
        <w:tc>
          <w:tcPr>
            <w:tcW w:w="1100" w:type="dxa"/>
          </w:tcPr>
          <w:p w14:paraId="58A1CADD"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6 months</w:t>
            </w:r>
          </w:p>
        </w:tc>
      </w:tr>
      <w:tr w:rsidR="008A5C7B" w:rsidRPr="00064DA0" w14:paraId="59F57C7A" w14:textId="77777777" w:rsidTr="000A49F9">
        <w:tc>
          <w:tcPr>
            <w:tcW w:w="5070" w:type="dxa"/>
            <w:tcBorders>
              <w:top w:val="single" w:sz="4" w:space="0" w:color="auto"/>
            </w:tcBorders>
          </w:tcPr>
          <w:p w14:paraId="0C14B6EE" w14:textId="77777777" w:rsidR="008A5C7B" w:rsidRPr="00E950A8" w:rsidRDefault="008A5C7B" w:rsidP="000A49F9">
            <w:pPr>
              <w:rPr>
                <w:rFonts w:asciiTheme="majorHAnsi" w:hAnsiTheme="majorHAnsi"/>
                <w:b/>
                <w:sz w:val="24"/>
                <w:szCs w:val="24"/>
                <w:lang w:val="en-US"/>
              </w:rPr>
            </w:pPr>
            <w:r w:rsidRPr="00064DA0">
              <w:rPr>
                <w:rFonts w:asciiTheme="majorHAnsi" w:hAnsiTheme="majorHAnsi"/>
                <w:b/>
                <w:sz w:val="24"/>
                <w:szCs w:val="24"/>
                <w:lang w:val="en-US"/>
              </w:rPr>
              <w:t xml:space="preserve">Knowledge about the health </w:t>
            </w:r>
            <w:r w:rsidRPr="00E950A8">
              <w:rPr>
                <w:rFonts w:asciiTheme="majorHAnsi" w:hAnsiTheme="majorHAnsi"/>
                <w:b/>
                <w:sz w:val="24"/>
                <w:szCs w:val="24"/>
                <w:lang w:val="en-US"/>
              </w:rPr>
              <w:t xml:space="preserve">consequences </w:t>
            </w:r>
            <w:r w:rsidRPr="00E950A8">
              <w:rPr>
                <w:rFonts w:asciiTheme="majorHAnsi" w:hAnsiTheme="majorHAnsi"/>
                <w:b/>
                <w:sz w:val="24"/>
                <w:szCs w:val="24"/>
                <w:lang w:val="en-US"/>
              </w:rPr>
              <w:lastRenderedPageBreak/>
              <w:t>of not following dietary recommendations</w:t>
            </w:r>
          </w:p>
        </w:tc>
        <w:tc>
          <w:tcPr>
            <w:tcW w:w="1134" w:type="dxa"/>
            <w:tcBorders>
              <w:top w:val="single" w:sz="4" w:space="0" w:color="auto"/>
            </w:tcBorders>
          </w:tcPr>
          <w:p w14:paraId="11BA8874" w14:textId="77777777" w:rsidR="008A5C7B" w:rsidRPr="00E950A8" w:rsidRDefault="008A5C7B" w:rsidP="000A49F9">
            <w:pPr>
              <w:jc w:val="center"/>
              <w:rPr>
                <w:rFonts w:asciiTheme="majorHAnsi" w:hAnsiTheme="majorHAnsi"/>
                <w:b/>
                <w:sz w:val="24"/>
                <w:szCs w:val="24"/>
                <w:lang w:val="en-US"/>
              </w:rPr>
            </w:pPr>
            <w:r w:rsidRPr="00E950A8">
              <w:rPr>
                <w:rFonts w:asciiTheme="majorHAnsi" w:hAnsiTheme="majorHAnsi"/>
                <w:b/>
                <w:sz w:val="24"/>
                <w:szCs w:val="24"/>
                <w:lang w:val="en-US"/>
              </w:rPr>
              <w:lastRenderedPageBreak/>
              <w:t>79</w:t>
            </w:r>
          </w:p>
        </w:tc>
        <w:tc>
          <w:tcPr>
            <w:tcW w:w="992" w:type="dxa"/>
            <w:tcBorders>
              <w:top w:val="single" w:sz="4" w:space="0" w:color="auto"/>
            </w:tcBorders>
          </w:tcPr>
          <w:p w14:paraId="3C118243" w14:textId="77777777" w:rsidR="008A5C7B" w:rsidRPr="00E950A8" w:rsidRDefault="008A5C7B" w:rsidP="000A49F9">
            <w:pPr>
              <w:jc w:val="center"/>
              <w:rPr>
                <w:rFonts w:asciiTheme="majorHAnsi" w:hAnsiTheme="majorHAnsi"/>
                <w:b/>
                <w:sz w:val="24"/>
                <w:szCs w:val="24"/>
                <w:lang w:val="en-US"/>
              </w:rPr>
            </w:pPr>
            <w:r w:rsidRPr="00E950A8">
              <w:rPr>
                <w:rFonts w:asciiTheme="majorHAnsi" w:hAnsiTheme="majorHAnsi"/>
                <w:b/>
                <w:sz w:val="24"/>
                <w:szCs w:val="24"/>
                <w:lang w:val="en-US"/>
              </w:rPr>
              <w:t>72</w:t>
            </w:r>
          </w:p>
        </w:tc>
        <w:tc>
          <w:tcPr>
            <w:tcW w:w="1100" w:type="dxa"/>
            <w:tcBorders>
              <w:top w:val="single" w:sz="4" w:space="0" w:color="auto"/>
            </w:tcBorders>
          </w:tcPr>
          <w:p w14:paraId="06BF200E" w14:textId="77777777" w:rsidR="008A5C7B" w:rsidRPr="00E950A8" w:rsidRDefault="008A5C7B" w:rsidP="000A49F9">
            <w:pPr>
              <w:jc w:val="center"/>
              <w:rPr>
                <w:rFonts w:asciiTheme="majorHAnsi" w:hAnsiTheme="majorHAnsi"/>
                <w:b/>
                <w:sz w:val="24"/>
                <w:szCs w:val="24"/>
                <w:lang w:val="en-US"/>
              </w:rPr>
            </w:pPr>
            <w:r w:rsidRPr="00E950A8">
              <w:rPr>
                <w:rFonts w:asciiTheme="majorHAnsi" w:hAnsiTheme="majorHAnsi"/>
                <w:b/>
                <w:sz w:val="24"/>
                <w:szCs w:val="24"/>
                <w:lang w:val="en-US"/>
              </w:rPr>
              <w:t>86</w:t>
            </w:r>
          </w:p>
          <w:p w14:paraId="6D3D7926" w14:textId="77777777" w:rsidR="008A5C7B" w:rsidRPr="00E950A8" w:rsidRDefault="008A5C7B" w:rsidP="000A49F9">
            <w:pPr>
              <w:jc w:val="center"/>
              <w:rPr>
                <w:rFonts w:asciiTheme="majorHAnsi" w:hAnsiTheme="majorHAnsi"/>
                <w:b/>
                <w:sz w:val="24"/>
                <w:szCs w:val="24"/>
                <w:lang w:val="en-US"/>
              </w:rPr>
            </w:pPr>
          </w:p>
          <w:p w14:paraId="6A5D8C41" w14:textId="77777777" w:rsidR="008A5C7B" w:rsidRPr="00E950A8" w:rsidRDefault="008A5C7B" w:rsidP="000A49F9">
            <w:pPr>
              <w:jc w:val="center"/>
              <w:rPr>
                <w:rFonts w:asciiTheme="majorHAnsi" w:hAnsiTheme="majorHAnsi"/>
                <w:b/>
                <w:sz w:val="24"/>
                <w:szCs w:val="24"/>
                <w:lang w:val="en-US"/>
              </w:rPr>
            </w:pPr>
          </w:p>
        </w:tc>
        <w:tc>
          <w:tcPr>
            <w:tcW w:w="1100" w:type="dxa"/>
            <w:tcBorders>
              <w:top w:val="single" w:sz="4" w:space="0" w:color="auto"/>
            </w:tcBorders>
          </w:tcPr>
          <w:p w14:paraId="21DA9792" w14:textId="77777777" w:rsidR="008A5C7B" w:rsidRPr="00E950A8" w:rsidRDefault="008A5C7B" w:rsidP="000A49F9">
            <w:pPr>
              <w:jc w:val="center"/>
              <w:rPr>
                <w:rFonts w:asciiTheme="majorHAnsi" w:hAnsiTheme="majorHAnsi"/>
                <w:sz w:val="24"/>
                <w:szCs w:val="24"/>
                <w:lang w:val="en-US"/>
              </w:rPr>
            </w:pPr>
          </w:p>
        </w:tc>
      </w:tr>
      <w:tr w:rsidR="008A5C7B" w:rsidRPr="00064DA0" w14:paraId="1B603B23" w14:textId="77777777" w:rsidTr="000A49F9">
        <w:tc>
          <w:tcPr>
            <w:tcW w:w="5070" w:type="dxa"/>
          </w:tcPr>
          <w:p w14:paraId="39B53641" w14:textId="77777777" w:rsidR="008A5C7B" w:rsidRPr="00E950A8" w:rsidRDefault="008A5C7B" w:rsidP="000A49F9">
            <w:pPr>
              <w:rPr>
                <w:rFonts w:asciiTheme="majorHAnsi" w:hAnsiTheme="majorHAnsi"/>
                <w:i/>
                <w:sz w:val="24"/>
                <w:szCs w:val="24"/>
                <w:lang w:val="en-US"/>
              </w:rPr>
            </w:pPr>
            <w:r w:rsidRPr="00064DA0">
              <w:rPr>
                <w:rFonts w:asciiTheme="majorHAnsi" w:hAnsiTheme="majorHAnsi"/>
                <w:i/>
                <w:sz w:val="24"/>
                <w:szCs w:val="24"/>
                <w:lang w:val="en-US"/>
              </w:rPr>
              <w:lastRenderedPageBreak/>
              <w:t xml:space="preserve">Are you aware of any health problems associated with eating none or too little </w:t>
            </w:r>
            <w:r w:rsidRPr="00E950A8">
              <w:rPr>
                <w:rFonts w:asciiTheme="majorHAnsi" w:hAnsiTheme="majorHAnsi"/>
                <w:i/>
                <w:sz w:val="24"/>
                <w:szCs w:val="24"/>
                <w:lang w:val="en-US"/>
              </w:rPr>
              <w:t>fresh fruits and vegetables?</w:t>
            </w:r>
          </w:p>
          <w:p w14:paraId="77EF1E99" w14:textId="77777777" w:rsidR="008A5C7B" w:rsidRPr="00E950A8" w:rsidRDefault="008A5C7B" w:rsidP="000A49F9">
            <w:pPr>
              <w:rPr>
                <w:rFonts w:asciiTheme="majorHAnsi" w:hAnsiTheme="majorHAnsi"/>
                <w:sz w:val="24"/>
                <w:szCs w:val="24"/>
                <w:lang w:val="en-US"/>
              </w:rPr>
            </w:pPr>
          </w:p>
        </w:tc>
        <w:tc>
          <w:tcPr>
            <w:tcW w:w="1134" w:type="dxa"/>
          </w:tcPr>
          <w:p w14:paraId="2B75BC42"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78</w:t>
            </w:r>
          </w:p>
        </w:tc>
        <w:tc>
          <w:tcPr>
            <w:tcW w:w="992" w:type="dxa"/>
          </w:tcPr>
          <w:p w14:paraId="5EC40060"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74</w:t>
            </w:r>
          </w:p>
        </w:tc>
        <w:tc>
          <w:tcPr>
            <w:tcW w:w="1100" w:type="dxa"/>
          </w:tcPr>
          <w:p w14:paraId="204F38E5"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82</w:t>
            </w:r>
          </w:p>
        </w:tc>
        <w:tc>
          <w:tcPr>
            <w:tcW w:w="1100" w:type="dxa"/>
          </w:tcPr>
          <w:p w14:paraId="1A4670C0" w14:textId="77777777" w:rsidR="008A5C7B" w:rsidRPr="00E950A8" w:rsidRDefault="008A5C7B" w:rsidP="000A49F9">
            <w:pPr>
              <w:jc w:val="center"/>
              <w:rPr>
                <w:rFonts w:asciiTheme="majorHAnsi" w:hAnsiTheme="majorHAnsi"/>
                <w:sz w:val="24"/>
                <w:szCs w:val="24"/>
                <w:lang w:val="en-US"/>
              </w:rPr>
            </w:pPr>
          </w:p>
        </w:tc>
      </w:tr>
      <w:tr w:rsidR="008A5C7B" w:rsidRPr="00064DA0" w14:paraId="402EE5C9" w14:textId="77777777" w:rsidTr="000A49F9">
        <w:tc>
          <w:tcPr>
            <w:tcW w:w="5070" w:type="dxa"/>
          </w:tcPr>
          <w:p w14:paraId="55C968D5" w14:textId="77777777" w:rsidR="008A5C7B" w:rsidRPr="00E950A8" w:rsidRDefault="008A5C7B" w:rsidP="000A49F9">
            <w:pPr>
              <w:rPr>
                <w:rFonts w:asciiTheme="majorHAnsi" w:hAnsiTheme="majorHAnsi"/>
                <w:i/>
                <w:sz w:val="24"/>
                <w:szCs w:val="24"/>
                <w:lang w:val="en-US"/>
              </w:rPr>
            </w:pPr>
            <w:r w:rsidRPr="00064DA0">
              <w:rPr>
                <w:rFonts w:asciiTheme="majorHAnsi" w:hAnsiTheme="majorHAnsi"/>
                <w:i/>
                <w:sz w:val="24"/>
                <w:szCs w:val="24"/>
                <w:lang w:val="en-US"/>
              </w:rPr>
              <w:t xml:space="preserve">Are you aware of any health problems or diseases associated with excess </w:t>
            </w:r>
            <w:r w:rsidRPr="00E950A8">
              <w:rPr>
                <w:rFonts w:asciiTheme="majorHAnsi" w:hAnsiTheme="majorHAnsi"/>
                <w:i/>
                <w:sz w:val="24"/>
                <w:szCs w:val="24"/>
                <w:lang w:val="en-US"/>
              </w:rPr>
              <w:t>body weight?</w:t>
            </w:r>
          </w:p>
          <w:p w14:paraId="2AC79948" w14:textId="77777777" w:rsidR="008A5C7B" w:rsidRPr="00E950A8" w:rsidRDefault="008A5C7B" w:rsidP="000A49F9">
            <w:pPr>
              <w:rPr>
                <w:rFonts w:asciiTheme="majorHAnsi" w:hAnsiTheme="majorHAnsi"/>
                <w:sz w:val="24"/>
                <w:szCs w:val="24"/>
                <w:lang w:val="en-US"/>
              </w:rPr>
            </w:pPr>
          </w:p>
        </w:tc>
        <w:tc>
          <w:tcPr>
            <w:tcW w:w="1134" w:type="dxa"/>
          </w:tcPr>
          <w:p w14:paraId="46503A32"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92</w:t>
            </w:r>
          </w:p>
        </w:tc>
        <w:tc>
          <w:tcPr>
            <w:tcW w:w="992" w:type="dxa"/>
          </w:tcPr>
          <w:p w14:paraId="0ED55E3E"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88</w:t>
            </w:r>
          </w:p>
        </w:tc>
        <w:tc>
          <w:tcPr>
            <w:tcW w:w="1100" w:type="dxa"/>
          </w:tcPr>
          <w:p w14:paraId="2A8D2E57"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96</w:t>
            </w:r>
          </w:p>
        </w:tc>
        <w:tc>
          <w:tcPr>
            <w:tcW w:w="1100" w:type="dxa"/>
          </w:tcPr>
          <w:p w14:paraId="053793D4" w14:textId="77777777" w:rsidR="008A5C7B" w:rsidRPr="00E950A8" w:rsidRDefault="008A5C7B" w:rsidP="000A49F9">
            <w:pPr>
              <w:jc w:val="center"/>
              <w:rPr>
                <w:rFonts w:asciiTheme="majorHAnsi" w:hAnsiTheme="majorHAnsi"/>
                <w:sz w:val="24"/>
                <w:szCs w:val="24"/>
                <w:lang w:val="en-US"/>
              </w:rPr>
            </w:pPr>
          </w:p>
        </w:tc>
      </w:tr>
      <w:tr w:rsidR="008A5C7B" w:rsidRPr="00064DA0" w14:paraId="6D424886" w14:textId="77777777" w:rsidTr="000A49F9">
        <w:tc>
          <w:tcPr>
            <w:tcW w:w="5070" w:type="dxa"/>
          </w:tcPr>
          <w:p w14:paraId="62322B95" w14:textId="77777777" w:rsidR="008A5C7B" w:rsidRPr="00064DA0" w:rsidRDefault="008A5C7B" w:rsidP="000A49F9">
            <w:pPr>
              <w:rPr>
                <w:rFonts w:asciiTheme="majorHAnsi" w:hAnsiTheme="majorHAnsi"/>
                <w:i/>
                <w:sz w:val="24"/>
                <w:szCs w:val="24"/>
                <w:lang w:val="en-US"/>
              </w:rPr>
            </w:pPr>
            <w:r w:rsidRPr="00064DA0">
              <w:rPr>
                <w:rFonts w:asciiTheme="majorHAnsi" w:hAnsiTheme="majorHAnsi"/>
                <w:i/>
                <w:sz w:val="24"/>
                <w:szCs w:val="24"/>
                <w:lang w:val="en-US"/>
              </w:rPr>
              <w:t>Which health problems or diseases do you think are associated with not exclusively breastfeeding infants?</w:t>
            </w:r>
          </w:p>
        </w:tc>
        <w:tc>
          <w:tcPr>
            <w:tcW w:w="1134" w:type="dxa"/>
          </w:tcPr>
          <w:p w14:paraId="39BECB9F" w14:textId="77777777" w:rsidR="008A5C7B" w:rsidRPr="00E950A8" w:rsidRDefault="008A5C7B" w:rsidP="000A49F9">
            <w:pPr>
              <w:jc w:val="center"/>
              <w:rPr>
                <w:rFonts w:asciiTheme="majorHAnsi" w:hAnsiTheme="majorHAnsi"/>
                <w:sz w:val="24"/>
                <w:szCs w:val="24"/>
                <w:lang w:val="en-US"/>
              </w:rPr>
            </w:pPr>
            <w:r w:rsidRPr="00064DA0">
              <w:rPr>
                <w:rFonts w:asciiTheme="majorHAnsi" w:hAnsiTheme="majorHAnsi"/>
                <w:sz w:val="24"/>
                <w:szCs w:val="24"/>
                <w:lang w:val="en-US"/>
              </w:rPr>
              <w:t>67</w:t>
            </w:r>
          </w:p>
        </w:tc>
        <w:tc>
          <w:tcPr>
            <w:tcW w:w="992" w:type="dxa"/>
          </w:tcPr>
          <w:p w14:paraId="67965A17"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54</w:t>
            </w:r>
          </w:p>
        </w:tc>
        <w:tc>
          <w:tcPr>
            <w:tcW w:w="1100" w:type="dxa"/>
          </w:tcPr>
          <w:p w14:paraId="0E0B2190"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81</w:t>
            </w:r>
          </w:p>
        </w:tc>
        <w:tc>
          <w:tcPr>
            <w:tcW w:w="1100" w:type="dxa"/>
          </w:tcPr>
          <w:p w14:paraId="5C1358CB" w14:textId="77777777" w:rsidR="008A5C7B" w:rsidRPr="00E950A8" w:rsidRDefault="008A5C7B" w:rsidP="000A49F9">
            <w:pPr>
              <w:jc w:val="center"/>
              <w:rPr>
                <w:rFonts w:asciiTheme="majorHAnsi" w:hAnsiTheme="majorHAnsi"/>
                <w:sz w:val="24"/>
                <w:szCs w:val="24"/>
                <w:lang w:val="en-US"/>
              </w:rPr>
            </w:pPr>
          </w:p>
        </w:tc>
      </w:tr>
      <w:tr w:rsidR="008A5C7B" w:rsidRPr="00064DA0" w14:paraId="62188271" w14:textId="77777777" w:rsidTr="000A49F9">
        <w:tc>
          <w:tcPr>
            <w:tcW w:w="5070" w:type="dxa"/>
            <w:tcBorders>
              <w:top w:val="single" w:sz="4" w:space="0" w:color="auto"/>
              <w:bottom w:val="single" w:sz="4" w:space="0" w:color="auto"/>
            </w:tcBorders>
          </w:tcPr>
          <w:p w14:paraId="22E52249" w14:textId="77777777" w:rsidR="008A5C7B" w:rsidRPr="00E950A8" w:rsidRDefault="008A5C7B" w:rsidP="000A49F9">
            <w:pPr>
              <w:rPr>
                <w:rFonts w:asciiTheme="majorHAnsi" w:hAnsiTheme="majorHAnsi"/>
                <w:sz w:val="24"/>
                <w:szCs w:val="24"/>
                <w:vertAlign w:val="superscript"/>
                <w:lang w:val="en-US"/>
              </w:rPr>
            </w:pPr>
            <w:r w:rsidRPr="00064DA0">
              <w:rPr>
                <w:rFonts w:asciiTheme="majorHAnsi" w:hAnsiTheme="majorHAnsi"/>
                <w:sz w:val="24"/>
                <w:szCs w:val="24"/>
                <w:lang w:val="en-US"/>
              </w:rPr>
              <w:t xml:space="preserve">Observations </w:t>
            </w:r>
            <w:r w:rsidRPr="00064DA0">
              <w:rPr>
                <w:rFonts w:asciiTheme="majorHAnsi" w:hAnsiTheme="majorHAnsi"/>
                <w:sz w:val="24"/>
                <w:szCs w:val="24"/>
                <w:vertAlign w:val="superscript"/>
                <w:lang w:val="en-US"/>
              </w:rPr>
              <w:t>a</w:t>
            </w:r>
          </w:p>
        </w:tc>
        <w:tc>
          <w:tcPr>
            <w:tcW w:w="1134" w:type="dxa"/>
            <w:tcBorders>
              <w:top w:val="single" w:sz="4" w:space="0" w:color="auto"/>
              <w:bottom w:val="single" w:sz="4" w:space="0" w:color="auto"/>
            </w:tcBorders>
          </w:tcPr>
          <w:p w14:paraId="4B6109AF"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399</w:t>
            </w:r>
          </w:p>
        </w:tc>
        <w:tc>
          <w:tcPr>
            <w:tcW w:w="992" w:type="dxa"/>
            <w:tcBorders>
              <w:top w:val="single" w:sz="4" w:space="0" w:color="auto"/>
              <w:bottom w:val="single" w:sz="4" w:space="0" w:color="auto"/>
            </w:tcBorders>
          </w:tcPr>
          <w:p w14:paraId="64BD5D22"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200</w:t>
            </w:r>
          </w:p>
        </w:tc>
        <w:tc>
          <w:tcPr>
            <w:tcW w:w="1100" w:type="dxa"/>
            <w:tcBorders>
              <w:top w:val="single" w:sz="4" w:space="0" w:color="auto"/>
              <w:bottom w:val="single" w:sz="4" w:space="0" w:color="auto"/>
            </w:tcBorders>
          </w:tcPr>
          <w:p w14:paraId="4FAAC408" w14:textId="77777777" w:rsidR="008A5C7B" w:rsidRPr="00E950A8" w:rsidRDefault="008A5C7B" w:rsidP="000A49F9">
            <w:pPr>
              <w:jc w:val="center"/>
              <w:rPr>
                <w:rFonts w:asciiTheme="majorHAnsi" w:hAnsiTheme="majorHAnsi"/>
                <w:sz w:val="24"/>
                <w:szCs w:val="24"/>
                <w:lang w:val="en-US"/>
              </w:rPr>
            </w:pPr>
            <w:r w:rsidRPr="00E950A8">
              <w:rPr>
                <w:rFonts w:asciiTheme="majorHAnsi" w:hAnsiTheme="majorHAnsi"/>
                <w:sz w:val="24"/>
                <w:szCs w:val="24"/>
                <w:lang w:val="en-US"/>
              </w:rPr>
              <w:t>199</w:t>
            </w:r>
          </w:p>
        </w:tc>
        <w:tc>
          <w:tcPr>
            <w:tcW w:w="1100" w:type="dxa"/>
            <w:tcBorders>
              <w:top w:val="single" w:sz="4" w:space="0" w:color="auto"/>
              <w:bottom w:val="single" w:sz="4" w:space="0" w:color="auto"/>
            </w:tcBorders>
          </w:tcPr>
          <w:p w14:paraId="652F4936" w14:textId="77777777" w:rsidR="008A5C7B" w:rsidRPr="00E950A8" w:rsidRDefault="008A5C7B" w:rsidP="000A49F9">
            <w:pPr>
              <w:jc w:val="center"/>
              <w:rPr>
                <w:rFonts w:asciiTheme="majorHAnsi" w:hAnsiTheme="majorHAnsi"/>
                <w:sz w:val="24"/>
                <w:szCs w:val="24"/>
                <w:lang w:val="en-US"/>
              </w:rPr>
            </w:pPr>
          </w:p>
        </w:tc>
      </w:tr>
    </w:tbl>
    <w:p w14:paraId="6151237B" w14:textId="77777777" w:rsidR="008A5C7B" w:rsidRPr="000C3350" w:rsidRDefault="008A5C7B" w:rsidP="008A5C7B">
      <w:pPr>
        <w:spacing w:line="480" w:lineRule="auto"/>
        <w:rPr>
          <w:rFonts w:asciiTheme="majorHAnsi" w:hAnsiTheme="majorHAnsi"/>
          <w:sz w:val="20"/>
          <w:szCs w:val="20"/>
          <w:lang w:val="en-US"/>
        </w:rPr>
      </w:pPr>
      <w:proofErr w:type="gramStart"/>
      <w:r w:rsidRPr="000C3350">
        <w:rPr>
          <w:rFonts w:asciiTheme="majorHAnsi" w:hAnsiTheme="majorHAnsi"/>
          <w:sz w:val="20"/>
          <w:szCs w:val="20"/>
          <w:vertAlign w:val="superscript"/>
          <w:lang w:val="en-US"/>
        </w:rPr>
        <w:t>a</w:t>
      </w:r>
      <w:proofErr w:type="gramEnd"/>
      <w:r w:rsidRPr="000C3350">
        <w:rPr>
          <w:rFonts w:asciiTheme="majorHAnsi" w:hAnsiTheme="majorHAnsi"/>
          <w:sz w:val="20"/>
          <w:szCs w:val="20"/>
          <w:vertAlign w:val="superscript"/>
          <w:lang w:val="en-US"/>
        </w:rPr>
        <w:t xml:space="preserve"> </w:t>
      </w:r>
      <w:r w:rsidRPr="000C3350">
        <w:rPr>
          <w:rFonts w:asciiTheme="majorHAnsi" w:hAnsiTheme="majorHAnsi"/>
          <w:sz w:val="20"/>
          <w:szCs w:val="20"/>
          <w:lang w:val="en-US"/>
        </w:rPr>
        <w:t>Number of observations refers to the number of unique households</w:t>
      </w:r>
    </w:p>
    <w:p w14:paraId="00CB1E3F" w14:textId="77777777" w:rsidR="008A5C7B"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The average number of correct responses for the three categories and the calculated nutrition knowledge scores are presented in Table 2. The average aggregate nutrition knowledge score is 0.59, which means that the average respondent had 59% of the knowledge of the best-performing individuals (95</w:t>
      </w:r>
      <w:r w:rsidRPr="00E950A8">
        <w:rPr>
          <w:rFonts w:asciiTheme="majorHAnsi" w:hAnsiTheme="majorHAnsi"/>
          <w:sz w:val="24"/>
          <w:szCs w:val="24"/>
          <w:vertAlign w:val="superscript"/>
          <w:lang w:val="en-US"/>
        </w:rPr>
        <w:t>th</w:t>
      </w:r>
      <w:r w:rsidRPr="00E950A8">
        <w:rPr>
          <w:rFonts w:asciiTheme="majorHAnsi" w:hAnsiTheme="majorHAnsi"/>
          <w:sz w:val="24"/>
          <w:szCs w:val="24"/>
          <w:lang w:val="en-US"/>
        </w:rPr>
        <w:t xml:space="preserve"> percentile of correct answers) in the sample.</w:t>
      </w:r>
    </w:p>
    <w:p w14:paraId="0B541455" w14:textId="77777777" w:rsidR="008A5C7B" w:rsidRDefault="008A5C7B" w:rsidP="008A5C7B">
      <w:pPr>
        <w:rPr>
          <w:rFonts w:asciiTheme="majorHAnsi" w:hAnsiTheme="majorHAnsi"/>
          <w:sz w:val="24"/>
          <w:szCs w:val="24"/>
          <w:lang w:val="en-US"/>
        </w:rPr>
      </w:pPr>
      <w:r>
        <w:rPr>
          <w:rFonts w:asciiTheme="majorHAnsi" w:hAnsiTheme="majorHAnsi"/>
          <w:sz w:val="24"/>
          <w:szCs w:val="24"/>
          <w:lang w:val="en-US"/>
        </w:rPr>
        <w:br w:type="page"/>
      </w:r>
    </w:p>
    <w:p w14:paraId="339CB242" w14:textId="77777777" w:rsidR="008A5C7B" w:rsidRPr="00E950A8" w:rsidRDefault="008A5C7B" w:rsidP="008A5C7B">
      <w:pPr>
        <w:spacing w:line="240" w:lineRule="auto"/>
        <w:rPr>
          <w:rFonts w:asciiTheme="majorHAnsi" w:hAnsiTheme="majorHAnsi"/>
          <w:sz w:val="24"/>
          <w:szCs w:val="24"/>
          <w:lang w:val="en-US"/>
        </w:rPr>
      </w:pPr>
      <w:proofErr w:type="gramStart"/>
      <w:r w:rsidRPr="00064DA0">
        <w:rPr>
          <w:rFonts w:asciiTheme="majorHAnsi" w:hAnsiTheme="majorHAnsi"/>
          <w:sz w:val="24"/>
          <w:szCs w:val="24"/>
          <w:lang w:val="en-US"/>
        </w:rPr>
        <w:lastRenderedPageBreak/>
        <w:t>Table 2</w:t>
      </w:r>
      <w:r w:rsidRPr="00E950A8">
        <w:rPr>
          <w:rFonts w:asciiTheme="majorHAnsi" w:hAnsiTheme="majorHAnsi"/>
          <w:sz w:val="24"/>
          <w:szCs w:val="24"/>
          <w:lang w:val="en-US"/>
        </w:rPr>
        <w:t>.</w:t>
      </w:r>
      <w:proofErr w:type="gramEnd"/>
      <w:r w:rsidRPr="00E950A8">
        <w:rPr>
          <w:rFonts w:asciiTheme="majorHAnsi" w:hAnsiTheme="majorHAnsi"/>
          <w:sz w:val="24"/>
          <w:szCs w:val="24"/>
          <w:lang w:val="en-US"/>
        </w:rPr>
        <w:t xml:space="preserve"> Number of correct responses and maternal nutrition knowledge scores</w:t>
      </w:r>
    </w:p>
    <w:tbl>
      <w:tblPr>
        <w:tblW w:w="8662" w:type="dxa"/>
        <w:tblInd w:w="55" w:type="dxa"/>
        <w:tblCellMar>
          <w:left w:w="70" w:type="dxa"/>
          <w:right w:w="70" w:type="dxa"/>
        </w:tblCellMar>
        <w:tblLook w:val="04A0" w:firstRow="1" w:lastRow="0" w:firstColumn="1" w:lastColumn="0" w:noHBand="0" w:noVBand="1"/>
      </w:tblPr>
      <w:tblGrid>
        <w:gridCol w:w="4410"/>
        <w:gridCol w:w="1417"/>
        <w:gridCol w:w="1276"/>
        <w:gridCol w:w="1559"/>
      </w:tblGrid>
      <w:tr w:rsidR="008A5C7B" w:rsidRPr="00064DA0" w14:paraId="78FF0305" w14:textId="77777777" w:rsidTr="000A49F9">
        <w:trPr>
          <w:trHeight w:val="300"/>
        </w:trPr>
        <w:tc>
          <w:tcPr>
            <w:tcW w:w="4410" w:type="dxa"/>
            <w:tcBorders>
              <w:top w:val="single" w:sz="4" w:space="0" w:color="auto"/>
            </w:tcBorders>
            <w:shd w:val="clear" w:color="auto" w:fill="auto"/>
            <w:noWrap/>
            <w:vAlign w:val="center"/>
          </w:tcPr>
          <w:p w14:paraId="1D6F67DB" w14:textId="77777777" w:rsidR="008A5C7B" w:rsidRPr="00E950A8" w:rsidRDefault="008A5C7B" w:rsidP="000A49F9">
            <w:pPr>
              <w:spacing w:after="0" w:line="240" w:lineRule="auto"/>
              <w:jc w:val="center"/>
              <w:rPr>
                <w:rFonts w:asciiTheme="majorHAnsi" w:eastAsia="Times New Roman" w:hAnsiTheme="majorHAnsi" w:cs="Times New Roman"/>
                <w:b/>
                <w:color w:val="000000"/>
                <w:sz w:val="24"/>
                <w:szCs w:val="24"/>
                <w:lang w:val="en-US" w:eastAsia="de-DE"/>
              </w:rPr>
            </w:pPr>
          </w:p>
        </w:tc>
        <w:tc>
          <w:tcPr>
            <w:tcW w:w="1417" w:type="dxa"/>
            <w:tcBorders>
              <w:top w:val="single" w:sz="4" w:space="0" w:color="auto"/>
            </w:tcBorders>
            <w:shd w:val="clear" w:color="auto" w:fill="auto"/>
            <w:noWrap/>
            <w:vAlign w:val="center"/>
          </w:tcPr>
          <w:p w14:paraId="55EFFE88" w14:textId="77777777" w:rsidR="008A5C7B" w:rsidRPr="00E950A8" w:rsidRDefault="008A5C7B" w:rsidP="000A49F9">
            <w:pPr>
              <w:spacing w:after="0" w:line="240" w:lineRule="auto"/>
              <w:jc w:val="center"/>
              <w:rPr>
                <w:rFonts w:asciiTheme="majorHAnsi" w:eastAsia="Times New Roman" w:hAnsiTheme="majorHAnsi" w:cs="Times New Roman"/>
                <w:b/>
                <w:color w:val="000000"/>
                <w:sz w:val="24"/>
                <w:szCs w:val="24"/>
                <w:lang w:val="en-US" w:eastAsia="de-DE"/>
              </w:rPr>
            </w:pPr>
            <w:r w:rsidRPr="00E950A8">
              <w:rPr>
                <w:rFonts w:asciiTheme="majorHAnsi" w:eastAsia="Times New Roman" w:hAnsiTheme="majorHAnsi" w:cs="Times New Roman"/>
                <w:b/>
                <w:color w:val="000000"/>
                <w:sz w:val="24"/>
                <w:szCs w:val="24"/>
                <w:lang w:val="en-US" w:eastAsia="de-DE"/>
              </w:rPr>
              <w:t>All years</w:t>
            </w:r>
          </w:p>
        </w:tc>
        <w:tc>
          <w:tcPr>
            <w:tcW w:w="1276" w:type="dxa"/>
            <w:tcBorders>
              <w:top w:val="single" w:sz="4" w:space="0" w:color="auto"/>
            </w:tcBorders>
            <w:vAlign w:val="center"/>
          </w:tcPr>
          <w:p w14:paraId="730491EA" w14:textId="77777777" w:rsidR="008A5C7B" w:rsidRPr="00E950A8" w:rsidRDefault="008A5C7B" w:rsidP="000A49F9">
            <w:pPr>
              <w:spacing w:after="0" w:line="240" w:lineRule="auto"/>
              <w:jc w:val="center"/>
              <w:rPr>
                <w:rFonts w:asciiTheme="majorHAnsi" w:eastAsia="Times New Roman" w:hAnsiTheme="majorHAnsi" w:cs="Times New Roman"/>
                <w:b/>
                <w:color w:val="000000"/>
                <w:sz w:val="24"/>
                <w:szCs w:val="24"/>
                <w:lang w:val="en-US" w:eastAsia="de-DE"/>
              </w:rPr>
            </w:pPr>
            <w:r w:rsidRPr="00E950A8">
              <w:rPr>
                <w:rFonts w:asciiTheme="majorHAnsi" w:eastAsia="Times New Roman" w:hAnsiTheme="majorHAnsi" w:cs="Times New Roman"/>
                <w:b/>
                <w:color w:val="000000"/>
                <w:sz w:val="24"/>
                <w:szCs w:val="24"/>
                <w:lang w:val="en-US" w:eastAsia="de-DE"/>
              </w:rPr>
              <w:t>2012</w:t>
            </w:r>
          </w:p>
        </w:tc>
        <w:tc>
          <w:tcPr>
            <w:tcW w:w="1559" w:type="dxa"/>
            <w:tcBorders>
              <w:top w:val="single" w:sz="4" w:space="0" w:color="auto"/>
            </w:tcBorders>
            <w:vAlign w:val="center"/>
          </w:tcPr>
          <w:p w14:paraId="115EB2D3" w14:textId="77777777" w:rsidR="008A5C7B" w:rsidRPr="00E950A8" w:rsidRDefault="008A5C7B" w:rsidP="000A49F9">
            <w:pPr>
              <w:spacing w:after="0" w:line="240" w:lineRule="auto"/>
              <w:jc w:val="center"/>
              <w:rPr>
                <w:rFonts w:asciiTheme="majorHAnsi" w:eastAsia="Times New Roman" w:hAnsiTheme="majorHAnsi" w:cs="Times New Roman"/>
                <w:b/>
                <w:color w:val="000000"/>
                <w:sz w:val="24"/>
                <w:szCs w:val="24"/>
                <w:lang w:val="en-US" w:eastAsia="de-DE"/>
              </w:rPr>
            </w:pPr>
            <w:r w:rsidRPr="00E950A8">
              <w:rPr>
                <w:rFonts w:asciiTheme="majorHAnsi" w:eastAsia="Times New Roman" w:hAnsiTheme="majorHAnsi" w:cs="Times New Roman"/>
                <w:b/>
                <w:color w:val="000000"/>
                <w:sz w:val="24"/>
                <w:szCs w:val="24"/>
                <w:lang w:val="en-US" w:eastAsia="de-DE"/>
              </w:rPr>
              <w:t>2015</w:t>
            </w:r>
          </w:p>
        </w:tc>
      </w:tr>
      <w:tr w:rsidR="008A5C7B" w:rsidRPr="00064DA0" w14:paraId="66C1A705" w14:textId="77777777" w:rsidTr="000A49F9">
        <w:trPr>
          <w:trHeight w:val="300"/>
        </w:trPr>
        <w:tc>
          <w:tcPr>
            <w:tcW w:w="4410" w:type="dxa"/>
            <w:tcBorders>
              <w:top w:val="single" w:sz="4" w:space="0" w:color="auto"/>
            </w:tcBorders>
            <w:shd w:val="clear" w:color="auto" w:fill="auto"/>
            <w:noWrap/>
            <w:vAlign w:val="bottom"/>
          </w:tcPr>
          <w:p w14:paraId="6A23C3C3" w14:textId="77777777" w:rsidR="008A5C7B" w:rsidRPr="00064DA0" w:rsidRDefault="008A5C7B" w:rsidP="000A49F9">
            <w:pPr>
              <w:spacing w:after="0" w:line="240" w:lineRule="auto"/>
              <w:rPr>
                <w:rFonts w:asciiTheme="majorHAnsi" w:eastAsia="Times New Roman" w:hAnsiTheme="majorHAnsi" w:cs="Times New Roman"/>
                <w:b/>
                <w:i/>
                <w:color w:val="000000"/>
                <w:sz w:val="24"/>
                <w:szCs w:val="24"/>
                <w:lang w:val="en-US" w:eastAsia="de-DE"/>
              </w:rPr>
            </w:pPr>
            <w:r w:rsidRPr="00064DA0">
              <w:rPr>
                <w:rFonts w:asciiTheme="majorHAnsi" w:eastAsia="Times New Roman" w:hAnsiTheme="majorHAnsi" w:cs="Times New Roman"/>
                <w:b/>
                <w:i/>
                <w:color w:val="000000"/>
                <w:sz w:val="24"/>
                <w:szCs w:val="24"/>
                <w:lang w:val="en-US" w:eastAsia="de-DE"/>
              </w:rPr>
              <w:t>Number of correct responses</w:t>
            </w:r>
          </w:p>
        </w:tc>
        <w:tc>
          <w:tcPr>
            <w:tcW w:w="1417" w:type="dxa"/>
            <w:tcBorders>
              <w:top w:val="single" w:sz="4" w:space="0" w:color="auto"/>
            </w:tcBorders>
            <w:shd w:val="clear" w:color="auto" w:fill="auto"/>
            <w:noWrap/>
            <w:vAlign w:val="bottom"/>
          </w:tcPr>
          <w:p w14:paraId="7919EDB9" w14:textId="77777777" w:rsidR="008A5C7B" w:rsidRPr="00064DA0"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276" w:type="dxa"/>
            <w:tcBorders>
              <w:top w:val="single" w:sz="4" w:space="0" w:color="auto"/>
            </w:tcBorders>
          </w:tcPr>
          <w:p w14:paraId="72C1C2E5"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559" w:type="dxa"/>
            <w:tcBorders>
              <w:top w:val="single" w:sz="4" w:space="0" w:color="auto"/>
            </w:tcBorders>
          </w:tcPr>
          <w:p w14:paraId="0E5ED297"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r>
      <w:tr w:rsidR="008A5C7B" w:rsidRPr="00064DA0" w14:paraId="4C0C306E" w14:textId="77777777" w:rsidTr="000A49F9">
        <w:trPr>
          <w:trHeight w:val="300"/>
        </w:trPr>
        <w:tc>
          <w:tcPr>
            <w:tcW w:w="4410" w:type="dxa"/>
            <w:shd w:val="clear" w:color="auto" w:fill="auto"/>
            <w:noWrap/>
            <w:vAlign w:val="bottom"/>
            <w:hideMark/>
          </w:tcPr>
          <w:p w14:paraId="2E31658D"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 xml:space="preserve">Knowing </w:t>
            </w:r>
            <w:r w:rsidRPr="00E950A8">
              <w:rPr>
                <w:rFonts w:asciiTheme="majorHAnsi" w:eastAsia="Times New Roman" w:hAnsiTheme="majorHAnsi" w:cs="Times New Roman"/>
                <w:color w:val="000000"/>
                <w:sz w:val="24"/>
                <w:szCs w:val="24"/>
                <w:lang w:val="en-US" w:eastAsia="de-DE"/>
              </w:rPr>
              <w:t xml:space="preserve">food ingredients </w:t>
            </w:r>
            <w:r w:rsidRPr="00E950A8">
              <w:rPr>
                <w:rFonts w:asciiTheme="majorHAnsi" w:eastAsia="Times New Roman" w:hAnsiTheme="majorHAnsi" w:cs="Times New Roman"/>
                <w:color w:val="000000"/>
                <w:sz w:val="24"/>
                <w:szCs w:val="24"/>
                <w:vertAlign w:val="superscript"/>
                <w:lang w:val="en-US" w:eastAsia="de-DE"/>
              </w:rPr>
              <w:t>a</w:t>
            </w:r>
          </w:p>
          <w:p w14:paraId="381199EE"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shd w:val="clear" w:color="auto" w:fill="auto"/>
            <w:noWrap/>
            <w:vAlign w:val="bottom"/>
            <w:hideMark/>
          </w:tcPr>
          <w:p w14:paraId="164B12C9"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5.96     (2.94)</w:t>
            </w:r>
          </w:p>
        </w:tc>
        <w:tc>
          <w:tcPr>
            <w:tcW w:w="1276" w:type="dxa"/>
          </w:tcPr>
          <w:p w14:paraId="591C5BE5"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p w14:paraId="2FFE46D8"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6.63  (2.81)</w:t>
            </w:r>
          </w:p>
        </w:tc>
        <w:tc>
          <w:tcPr>
            <w:tcW w:w="1559" w:type="dxa"/>
          </w:tcPr>
          <w:p w14:paraId="48F0A077"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p w14:paraId="5248C075"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5.30       (2.92)</w:t>
            </w:r>
          </w:p>
        </w:tc>
      </w:tr>
      <w:tr w:rsidR="008A5C7B" w:rsidRPr="00064DA0" w14:paraId="7B775FC2" w14:textId="77777777" w:rsidTr="000A49F9">
        <w:trPr>
          <w:trHeight w:val="300"/>
        </w:trPr>
        <w:tc>
          <w:tcPr>
            <w:tcW w:w="4410" w:type="dxa"/>
            <w:shd w:val="clear" w:color="auto" w:fill="auto"/>
            <w:noWrap/>
            <w:vAlign w:val="bottom"/>
            <w:hideMark/>
          </w:tcPr>
          <w:p w14:paraId="0AAAC355" w14:textId="77777777" w:rsidR="008A5C7B" w:rsidRPr="00064DA0" w:rsidRDefault="008A5C7B" w:rsidP="000A49F9">
            <w:pPr>
              <w:spacing w:after="0" w:line="240" w:lineRule="auto"/>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 xml:space="preserve">Knowing dietary </w:t>
            </w:r>
            <w:r w:rsidRPr="00E950A8">
              <w:rPr>
                <w:rFonts w:asciiTheme="majorHAnsi" w:eastAsia="Times New Roman" w:hAnsiTheme="majorHAnsi" w:cs="Times New Roman"/>
                <w:color w:val="000000"/>
                <w:sz w:val="24"/>
                <w:szCs w:val="24"/>
                <w:lang w:val="en-US" w:eastAsia="de-DE"/>
              </w:rPr>
              <w:t xml:space="preserve">recommendations </w:t>
            </w:r>
            <w:r w:rsidRPr="00064DA0">
              <w:rPr>
                <w:rFonts w:asciiTheme="majorHAnsi" w:eastAsia="Times New Roman" w:hAnsiTheme="majorHAnsi" w:cs="Times New Roman"/>
                <w:color w:val="000000"/>
                <w:sz w:val="24"/>
                <w:szCs w:val="24"/>
                <w:vertAlign w:val="superscript"/>
                <w:lang w:val="en-US" w:eastAsia="de-DE"/>
              </w:rPr>
              <w:t>b</w:t>
            </w:r>
          </w:p>
          <w:p w14:paraId="54143F69"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shd w:val="clear" w:color="auto" w:fill="auto"/>
            <w:noWrap/>
            <w:vAlign w:val="bottom"/>
            <w:hideMark/>
          </w:tcPr>
          <w:p w14:paraId="27D18D71"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1.05    (0.34)</w:t>
            </w:r>
          </w:p>
        </w:tc>
        <w:tc>
          <w:tcPr>
            <w:tcW w:w="1276" w:type="dxa"/>
          </w:tcPr>
          <w:p w14:paraId="2D2BE9EA"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p w14:paraId="08B982E3"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1.12  (0.43)</w:t>
            </w:r>
          </w:p>
        </w:tc>
        <w:tc>
          <w:tcPr>
            <w:tcW w:w="1559" w:type="dxa"/>
          </w:tcPr>
          <w:p w14:paraId="4FDEFFE0"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p w14:paraId="390B242B"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0.97       (0.21)</w:t>
            </w:r>
          </w:p>
        </w:tc>
      </w:tr>
      <w:tr w:rsidR="008A5C7B" w:rsidRPr="00064DA0" w14:paraId="2822F4D4" w14:textId="77777777" w:rsidTr="000A49F9">
        <w:trPr>
          <w:trHeight w:val="300"/>
        </w:trPr>
        <w:tc>
          <w:tcPr>
            <w:tcW w:w="4410" w:type="dxa"/>
            <w:tcBorders>
              <w:bottom w:val="single" w:sz="4" w:space="0" w:color="auto"/>
            </w:tcBorders>
            <w:shd w:val="clear" w:color="auto" w:fill="auto"/>
            <w:noWrap/>
            <w:vAlign w:val="bottom"/>
            <w:hideMark/>
          </w:tcPr>
          <w:p w14:paraId="2DA18306"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 xml:space="preserve">Knowing health </w:t>
            </w:r>
            <w:r w:rsidRPr="00E950A8">
              <w:rPr>
                <w:rFonts w:asciiTheme="majorHAnsi" w:eastAsia="Times New Roman" w:hAnsiTheme="majorHAnsi" w:cs="Times New Roman"/>
                <w:color w:val="000000"/>
                <w:sz w:val="24"/>
                <w:szCs w:val="24"/>
                <w:lang w:val="en-US" w:eastAsia="de-DE"/>
              </w:rPr>
              <w:t xml:space="preserve">consequences </w:t>
            </w:r>
            <w:r w:rsidRPr="00E950A8">
              <w:rPr>
                <w:rFonts w:asciiTheme="majorHAnsi" w:eastAsia="Times New Roman" w:hAnsiTheme="majorHAnsi" w:cs="Times New Roman"/>
                <w:color w:val="000000"/>
                <w:sz w:val="24"/>
                <w:szCs w:val="24"/>
                <w:vertAlign w:val="superscript"/>
                <w:lang w:val="en-US" w:eastAsia="de-DE"/>
              </w:rPr>
              <w:t>c</w:t>
            </w:r>
          </w:p>
          <w:p w14:paraId="282C4616"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tcBorders>
              <w:bottom w:val="single" w:sz="4" w:space="0" w:color="auto"/>
            </w:tcBorders>
            <w:shd w:val="clear" w:color="auto" w:fill="auto"/>
            <w:noWrap/>
            <w:vAlign w:val="bottom"/>
            <w:hideMark/>
          </w:tcPr>
          <w:p w14:paraId="458989B7"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2.37    (0.81)</w:t>
            </w:r>
          </w:p>
        </w:tc>
        <w:tc>
          <w:tcPr>
            <w:tcW w:w="1276" w:type="dxa"/>
            <w:tcBorders>
              <w:bottom w:val="single" w:sz="4" w:space="0" w:color="auto"/>
            </w:tcBorders>
          </w:tcPr>
          <w:p w14:paraId="48751582"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p w14:paraId="4EC708DF"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2.15  (0.87)</w:t>
            </w:r>
          </w:p>
        </w:tc>
        <w:tc>
          <w:tcPr>
            <w:tcW w:w="1559" w:type="dxa"/>
            <w:tcBorders>
              <w:bottom w:val="single" w:sz="4" w:space="0" w:color="auto"/>
            </w:tcBorders>
          </w:tcPr>
          <w:p w14:paraId="44AC3B63"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p w14:paraId="1E6F1FC8"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2.60       (0.67)</w:t>
            </w:r>
          </w:p>
        </w:tc>
      </w:tr>
      <w:tr w:rsidR="008A5C7B" w:rsidRPr="00064DA0" w14:paraId="56C82C5F" w14:textId="77777777" w:rsidTr="000A49F9">
        <w:trPr>
          <w:trHeight w:val="300"/>
        </w:trPr>
        <w:tc>
          <w:tcPr>
            <w:tcW w:w="4410" w:type="dxa"/>
            <w:tcBorders>
              <w:top w:val="single" w:sz="4" w:space="0" w:color="auto"/>
            </w:tcBorders>
            <w:shd w:val="clear" w:color="auto" w:fill="auto"/>
            <w:noWrap/>
            <w:vAlign w:val="bottom"/>
          </w:tcPr>
          <w:p w14:paraId="60173331" w14:textId="77777777" w:rsidR="008A5C7B" w:rsidRPr="00E950A8" w:rsidRDefault="008A5C7B" w:rsidP="000A49F9">
            <w:pPr>
              <w:spacing w:after="0" w:line="240" w:lineRule="auto"/>
              <w:rPr>
                <w:rFonts w:asciiTheme="majorHAnsi" w:eastAsia="Times New Roman" w:hAnsiTheme="majorHAnsi" w:cs="Times New Roman"/>
                <w:b/>
                <w:i/>
                <w:color w:val="000000"/>
                <w:sz w:val="24"/>
                <w:szCs w:val="24"/>
                <w:lang w:val="en-US" w:eastAsia="de-DE"/>
              </w:rPr>
            </w:pPr>
            <w:r w:rsidRPr="00064DA0">
              <w:rPr>
                <w:rFonts w:asciiTheme="majorHAnsi" w:eastAsia="Times New Roman" w:hAnsiTheme="majorHAnsi" w:cs="Times New Roman"/>
                <w:b/>
                <w:i/>
                <w:color w:val="000000"/>
                <w:sz w:val="24"/>
                <w:szCs w:val="24"/>
                <w:lang w:val="en-US" w:eastAsia="de-DE"/>
              </w:rPr>
              <w:t xml:space="preserve">Standardized knowledge </w:t>
            </w:r>
            <w:r w:rsidRPr="00E950A8">
              <w:rPr>
                <w:rFonts w:asciiTheme="majorHAnsi" w:eastAsia="Times New Roman" w:hAnsiTheme="majorHAnsi" w:cs="Times New Roman"/>
                <w:b/>
                <w:i/>
                <w:color w:val="000000"/>
                <w:sz w:val="24"/>
                <w:szCs w:val="24"/>
                <w:lang w:val="en-US" w:eastAsia="de-DE"/>
              </w:rPr>
              <w:t>scores</w:t>
            </w:r>
          </w:p>
        </w:tc>
        <w:tc>
          <w:tcPr>
            <w:tcW w:w="1417" w:type="dxa"/>
            <w:tcBorders>
              <w:top w:val="single" w:sz="4" w:space="0" w:color="auto"/>
            </w:tcBorders>
            <w:shd w:val="clear" w:color="auto" w:fill="auto"/>
            <w:noWrap/>
            <w:vAlign w:val="bottom"/>
          </w:tcPr>
          <w:p w14:paraId="7513D842"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276" w:type="dxa"/>
            <w:tcBorders>
              <w:top w:val="single" w:sz="4" w:space="0" w:color="auto"/>
            </w:tcBorders>
          </w:tcPr>
          <w:p w14:paraId="155C46AD"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559" w:type="dxa"/>
            <w:tcBorders>
              <w:top w:val="single" w:sz="4" w:space="0" w:color="auto"/>
            </w:tcBorders>
          </w:tcPr>
          <w:p w14:paraId="10102781"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r>
      <w:tr w:rsidR="008A5C7B" w:rsidRPr="00064DA0" w14:paraId="16026AB2" w14:textId="77777777" w:rsidTr="000A49F9">
        <w:trPr>
          <w:trHeight w:val="300"/>
        </w:trPr>
        <w:tc>
          <w:tcPr>
            <w:tcW w:w="4410" w:type="dxa"/>
            <w:shd w:val="clear" w:color="auto" w:fill="auto"/>
            <w:noWrap/>
            <w:vAlign w:val="bottom"/>
            <w:hideMark/>
          </w:tcPr>
          <w:p w14:paraId="585B0E4E"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 xml:space="preserve">Knowing </w:t>
            </w:r>
            <w:r w:rsidRPr="00E950A8">
              <w:rPr>
                <w:rFonts w:asciiTheme="majorHAnsi" w:eastAsia="Times New Roman" w:hAnsiTheme="majorHAnsi" w:cs="Times New Roman"/>
                <w:color w:val="000000"/>
                <w:sz w:val="24"/>
                <w:szCs w:val="24"/>
                <w:lang w:val="en-US" w:eastAsia="de-DE"/>
              </w:rPr>
              <w:t>food ingredients</w:t>
            </w:r>
          </w:p>
        </w:tc>
        <w:tc>
          <w:tcPr>
            <w:tcW w:w="1417" w:type="dxa"/>
            <w:shd w:val="clear" w:color="auto" w:fill="auto"/>
            <w:noWrap/>
            <w:vAlign w:val="bottom"/>
            <w:hideMark/>
          </w:tcPr>
          <w:p w14:paraId="38409F5A"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0.46</w:t>
            </w:r>
          </w:p>
        </w:tc>
        <w:tc>
          <w:tcPr>
            <w:tcW w:w="1276" w:type="dxa"/>
          </w:tcPr>
          <w:p w14:paraId="222E1172"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p w14:paraId="5C5FFC68"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0.47</w:t>
            </w:r>
          </w:p>
        </w:tc>
        <w:tc>
          <w:tcPr>
            <w:tcW w:w="1559" w:type="dxa"/>
          </w:tcPr>
          <w:p w14:paraId="6963123F"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p w14:paraId="18BFED61"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0.44</w:t>
            </w:r>
          </w:p>
        </w:tc>
      </w:tr>
      <w:tr w:rsidR="008A5C7B" w:rsidRPr="00064DA0" w14:paraId="4BFC2B10" w14:textId="77777777" w:rsidTr="000A49F9">
        <w:trPr>
          <w:trHeight w:val="300"/>
        </w:trPr>
        <w:tc>
          <w:tcPr>
            <w:tcW w:w="4410" w:type="dxa"/>
            <w:shd w:val="clear" w:color="auto" w:fill="auto"/>
            <w:noWrap/>
            <w:vAlign w:val="bottom"/>
          </w:tcPr>
          <w:p w14:paraId="75C3FAF0" w14:textId="77777777" w:rsidR="008A5C7B" w:rsidRPr="00064DA0"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shd w:val="clear" w:color="auto" w:fill="auto"/>
            <w:noWrap/>
            <w:vAlign w:val="bottom"/>
          </w:tcPr>
          <w:p w14:paraId="7A7EC5F1"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(0.22)</w:t>
            </w:r>
          </w:p>
        </w:tc>
        <w:tc>
          <w:tcPr>
            <w:tcW w:w="1276" w:type="dxa"/>
          </w:tcPr>
          <w:p w14:paraId="6C7C9906"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(0.20)</w:t>
            </w:r>
          </w:p>
        </w:tc>
        <w:tc>
          <w:tcPr>
            <w:tcW w:w="1559" w:type="dxa"/>
          </w:tcPr>
          <w:p w14:paraId="0307595E"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(0.24)</w:t>
            </w:r>
          </w:p>
        </w:tc>
      </w:tr>
      <w:tr w:rsidR="008A5C7B" w:rsidRPr="00064DA0" w14:paraId="33D55FD9" w14:textId="77777777" w:rsidTr="000A49F9">
        <w:trPr>
          <w:trHeight w:val="300"/>
        </w:trPr>
        <w:tc>
          <w:tcPr>
            <w:tcW w:w="4410" w:type="dxa"/>
            <w:shd w:val="clear" w:color="auto" w:fill="auto"/>
            <w:noWrap/>
            <w:vAlign w:val="bottom"/>
          </w:tcPr>
          <w:p w14:paraId="240CDC55" w14:textId="77777777" w:rsidR="008A5C7B" w:rsidRPr="00064DA0"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shd w:val="clear" w:color="auto" w:fill="auto"/>
            <w:noWrap/>
            <w:vAlign w:val="bottom"/>
          </w:tcPr>
          <w:p w14:paraId="1C6D795B" w14:textId="77777777" w:rsidR="008A5C7B" w:rsidRPr="00064DA0"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276" w:type="dxa"/>
          </w:tcPr>
          <w:p w14:paraId="2ED54EAF"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559" w:type="dxa"/>
          </w:tcPr>
          <w:p w14:paraId="48385302"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r>
      <w:tr w:rsidR="008A5C7B" w:rsidRPr="00064DA0" w14:paraId="09D1056B" w14:textId="77777777" w:rsidTr="000A49F9">
        <w:trPr>
          <w:trHeight w:val="300"/>
        </w:trPr>
        <w:tc>
          <w:tcPr>
            <w:tcW w:w="4410" w:type="dxa"/>
            <w:shd w:val="clear" w:color="auto" w:fill="auto"/>
            <w:noWrap/>
            <w:vAlign w:val="bottom"/>
            <w:hideMark/>
          </w:tcPr>
          <w:p w14:paraId="1BCAE5CB"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 xml:space="preserve">Knowing </w:t>
            </w:r>
            <w:r w:rsidRPr="00E950A8">
              <w:rPr>
                <w:rFonts w:asciiTheme="majorHAnsi" w:eastAsia="Times New Roman" w:hAnsiTheme="majorHAnsi" w:cs="Times New Roman"/>
                <w:color w:val="000000"/>
                <w:sz w:val="24"/>
                <w:szCs w:val="24"/>
                <w:lang w:val="en-US" w:eastAsia="de-DE"/>
              </w:rPr>
              <w:t>dietary recommendations</w:t>
            </w:r>
          </w:p>
        </w:tc>
        <w:tc>
          <w:tcPr>
            <w:tcW w:w="1417" w:type="dxa"/>
            <w:shd w:val="clear" w:color="auto" w:fill="auto"/>
            <w:noWrap/>
            <w:vAlign w:val="bottom"/>
            <w:hideMark/>
          </w:tcPr>
          <w:p w14:paraId="51DE6E0B"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0.52</w:t>
            </w:r>
          </w:p>
        </w:tc>
        <w:tc>
          <w:tcPr>
            <w:tcW w:w="1276" w:type="dxa"/>
          </w:tcPr>
          <w:p w14:paraId="5D3078E8"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0.56</w:t>
            </w:r>
          </w:p>
        </w:tc>
        <w:tc>
          <w:tcPr>
            <w:tcW w:w="1559" w:type="dxa"/>
          </w:tcPr>
          <w:p w14:paraId="279B3F1D"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0.49</w:t>
            </w:r>
          </w:p>
        </w:tc>
      </w:tr>
      <w:tr w:rsidR="008A5C7B" w:rsidRPr="00064DA0" w14:paraId="29CC73AE" w14:textId="77777777" w:rsidTr="000A49F9">
        <w:trPr>
          <w:trHeight w:val="300"/>
        </w:trPr>
        <w:tc>
          <w:tcPr>
            <w:tcW w:w="4410" w:type="dxa"/>
            <w:shd w:val="clear" w:color="auto" w:fill="auto"/>
            <w:noWrap/>
            <w:vAlign w:val="bottom"/>
          </w:tcPr>
          <w:p w14:paraId="32C99118" w14:textId="77777777" w:rsidR="008A5C7B" w:rsidRPr="00064DA0"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shd w:val="clear" w:color="auto" w:fill="auto"/>
            <w:noWrap/>
            <w:vAlign w:val="bottom"/>
          </w:tcPr>
          <w:p w14:paraId="79D01A89"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(0.17)</w:t>
            </w:r>
          </w:p>
        </w:tc>
        <w:tc>
          <w:tcPr>
            <w:tcW w:w="1276" w:type="dxa"/>
          </w:tcPr>
          <w:p w14:paraId="3F96EB49"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(0.21)</w:t>
            </w:r>
          </w:p>
        </w:tc>
        <w:tc>
          <w:tcPr>
            <w:tcW w:w="1559" w:type="dxa"/>
          </w:tcPr>
          <w:p w14:paraId="1BCD308E"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(0.11)</w:t>
            </w:r>
          </w:p>
        </w:tc>
      </w:tr>
      <w:tr w:rsidR="008A5C7B" w:rsidRPr="00064DA0" w14:paraId="090AE110" w14:textId="77777777" w:rsidTr="000A49F9">
        <w:trPr>
          <w:trHeight w:val="300"/>
        </w:trPr>
        <w:tc>
          <w:tcPr>
            <w:tcW w:w="4410" w:type="dxa"/>
            <w:shd w:val="clear" w:color="auto" w:fill="auto"/>
            <w:noWrap/>
            <w:vAlign w:val="bottom"/>
          </w:tcPr>
          <w:p w14:paraId="237EA79D" w14:textId="77777777" w:rsidR="008A5C7B" w:rsidRPr="00064DA0"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shd w:val="clear" w:color="auto" w:fill="auto"/>
            <w:noWrap/>
            <w:vAlign w:val="bottom"/>
          </w:tcPr>
          <w:p w14:paraId="4CF0FDDD" w14:textId="77777777" w:rsidR="008A5C7B" w:rsidRPr="00064DA0"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276" w:type="dxa"/>
          </w:tcPr>
          <w:p w14:paraId="5447DA3B"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559" w:type="dxa"/>
          </w:tcPr>
          <w:p w14:paraId="638BE631"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r>
      <w:tr w:rsidR="008A5C7B" w:rsidRPr="00064DA0" w14:paraId="2A659C4B" w14:textId="77777777" w:rsidTr="000A49F9">
        <w:trPr>
          <w:trHeight w:val="300"/>
        </w:trPr>
        <w:tc>
          <w:tcPr>
            <w:tcW w:w="4410" w:type="dxa"/>
            <w:shd w:val="clear" w:color="auto" w:fill="auto"/>
            <w:noWrap/>
            <w:vAlign w:val="bottom"/>
            <w:hideMark/>
          </w:tcPr>
          <w:p w14:paraId="0168CE93"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 xml:space="preserve">Knowing </w:t>
            </w:r>
            <w:r w:rsidRPr="00E950A8">
              <w:rPr>
                <w:rFonts w:asciiTheme="majorHAnsi" w:eastAsia="Times New Roman" w:hAnsiTheme="majorHAnsi" w:cs="Times New Roman"/>
                <w:color w:val="000000"/>
                <w:sz w:val="24"/>
                <w:szCs w:val="24"/>
                <w:lang w:val="en-US" w:eastAsia="de-DE"/>
              </w:rPr>
              <w:t>health consequences</w:t>
            </w:r>
          </w:p>
        </w:tc>
        <w:tc>
          <w:tcPr>
            <w:tcW w:w="1417" w:type="dxa"/>
            <w:shd w:val="clear" w:color="auto" w:fill="auto"/>
            <w:noWrap/>
            <w:vAlign w:val="bottom"/>
            <w:hideMark/>
          </w:tcPr>
          <w:p w14:paraId="2CC993E0"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0.79</w:t>
            </w:r>
          </w:p>
        </w:tc>
        <w:tc>
          <w:tcPr>
            <w:tcW w:w="1276" w:type="dxa"/>
          </w:tcPr>
          <w:p w14:paraId="4C3AD43D"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0.72</w:t>
            </w:r>
          </w:p>
        </w:tc>
        <w:tc>
          <w:tcPr>
            <w:tcW w:w="1559" w:type="dxa"/>
          </w:tcPr>
          <w:p w14:paraId="07ED01AA"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0.87</w:t>
            </w:r>
          </w:p>
        </w:tc>
      </w:tr>
      <w:tr w:rsidR="008A5C7B" w:rsidRPr="00064DA0" w14:paraId="07EDFB02" w14:textId="77777777" w:rsidTr="000A49F9">
        <w:trPr>
          <w:trHeight w:val="300"/>
        </w:trPr>
        <w:tc>
          <w:tcPr>
            <w:tcW w:w="4410" w:type="dxa"/>
            <w:shd w:val="clear" w:color="auto" w:fill="auto"/>
            <w:noWrap/>
            <w:vAlign w:val="bottom"/>
          </w:tcPr>
          <w:p w14:paraId="1729B24E" w14:textId="77777777" w:rsidR="008A5C7B" w:rsidRPr="00064DA0"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shd w:val="clear" w:color="auto" w:fill="auto"/>
            <w:noWrap/>
            <w:vAlign w:val="bottom"/>
          </w:tcPr>
          <w:p w14:paraId="35AA11A2"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(0.2</w:t>
            </w:r>
            <w:r w:rsidRPr="00E950A8">
              <w:rPr>
                <w:rFonts w:asciiTheme="majorHAnsi" w:eastAsia="Times New Roman" w:hAnsiTheme="majorHAnsi" w:cs="Times New Roman"/>
                <w:color w:val="000000"/>
                <w:sz w:val="24"/>
                <w:szCs w:val="24"/>
                <w:lang w:val="en-US" w:eastAsia="de-DE"/>
              </w:rPr>
              <w:t>7)</w:t>
            </w:r>
          </w:p>
        </w:tc>
        <w:tc>
          <w:tcPr>
            <w:tcW w:w="1276" w:type="dxa"/>
          </w:tcPr>
          <w:p w14:paraId="58734FA3"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(0.29)</w:t>
            </w:r>
          </w:p>
        </w:tc>
        <w:tc>
          <w:tcPr>
            <w:tcW w:w="1559" w:type="dxa"/>
          </w:tcPr>
          <w:p w14:paraId="5AC30D9C"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(0.22)</w:t>
            </w:r>
          </w:p>
        </w:tc>
      </w:tr>
      <w:tr w:rsidR="008A5C7B" w:rsidRPr="00064DA0" w14:paraId="0176BBEE" w14:textId="77777777" w:rsidTr="000A49F9">
        <w:trPr>
          <w:trHeight w:val="300"/>
        </w:trPr>
        <w:tc>
          <w:tcPr>
            <w:tcW w:w="4410" w:type="dxa"/>
            <w:shd w:val="clear" w:color="auto" w:fill="auto"/>
            <w:noWrap/>
            <w:vAlign w:val="bottom"/>
          </w:tcPr>
          <w:p w14:paraId="4FC32D54" w14:textId="77777777" w:rsidR="008A5C7B" w:rsidRPr="00064DA0"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shd w:val="clear" w:color="auto" w:fill="auto"/>
            <w:noWrap/>
            <w:vAlign w:val="bottom"/>
          </w:tcPr>
          <w:p w14:paraId="0DAED2CD" w14:textId="77777777" w:rsidR="008A5C7B" w:rsidRPr="00064DA0"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276" w:type="dxa"/>
          </w:tcPr>
          <w:p w14:paraId="06D9A970"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c>
          <w:tcPr>
            <w:tcW w:w="1559" w:type="dxa"/>
          </w:tcPr>
          <w:p w14:paraId="6745F28B"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p>
        </w:tc>
      </w:tr>
      <w:tr w:rsidR="008A5C7B" w:rsidRPr="00064DA0" w14:paraId="30F84109" w14:textId="77777777" w:rsidTr="000A49F9">
        <w:trPr>
          <w:trHeight w:val="300"/>
        </w:trPr>
        <w:tc>
          <w:tcPr>
            <w:tcW w:w="4410" w:type="dxa"/>
            <w:tcBorders>
              <w:bottom w:val="single" w:sz="4" w:space="0" w:color="auto"/>
            </w:tcBorders>
            <w:shd w:val="clear" w:color="auto" w:fill="auto"/>
            <w:noWrap/>
            <w:vAlign w:val="bottom"/>
            <w:hideMark/>
          </w:tcPr>
          <w:p w14:paraId="43144F7C"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r w:rsidRPr="00064DA0">
              <w:rPr>
                <w:rFonts w:asciiTheme="majorHAnsi" w:eastAsia="Times New Roman" w:hAnsiTheme="majorHAnsi" w:cs="Times New Roman"/>
                <w:color w:val="000000"/>
                <w:sz w:val="24"/>
                <w:szCs w:val="24"/>
                <w:lang w:val="en-US" w:eastAsia="de-DE"/>
              </w:rPr>
              <w:t xml:space="preserve">Aggregate </w:t>
            </w:r>
            <w:r w:rsidRPr="00E950A8">
              <w:rPr>
                <w:rFonts w:asciiTheme="majorHAnsi" w:eastAsia="Times New Roman" w:hAnsiTheme="majorHAnsi" w:cs="Times New Roman"/>
                <w:color w:val="000000"/>
                <w:sz w:val="24"/>
                <w:szCs w:val="24"/>
                <w:lang w:val="en-US" w:eastAsia="de-DE"/>
              </w:rPr>
              <w:t>nutrition knowledge score</w:t>
            </w:r>
          </w:p>
          <w:p w14:paraId="7D3A2076" w14:textId="77777777" w:rsidR="008A5C7B" w:rsidRPr="00E950A8" w:rsidRDefault="008A5C7B" w:rsidP="000A49F9">
            <w:pPr>
              <w:spacing w:after="0" w:line="240" w:lineRule="auto"/>
              <w:rPr>
                <w:rFonts w:asciiTheme="majorHAnsi" w:eastAsia="Times New Roman" w:hAnsiTheme="majorHAnsi" w:cs="Times New Roman"/>
                <w:color w:val="000000"/>
                <w:sz w:val="24"/>
                <w:szCs w:val="24"/>
                <w:lang w:val="en-US" w:eastAsia="de-DE"/>
              </w:rPr>
            </w:pPr>
          </w:p>
        </w:tc>
        <w:tc>
          <w:tcPr>
            <w:tcW w:w="1417" w:type="dxa"/>
            <w:tcBorders>
              <w:bottom w:val="single" w:sz="4" w:space="0" w:color="auto"/>
            </w:tcBorders>
            <w:shd w:val="clear" w:color="auto" w:fill="auto"/>
            <w:noWrap/>
            <w:vAlign w:val="bottom"/>
            <w:hideMark/>
          </w:tcPr>
          <w:p w14:paraId="39FC410F"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0.59    (0.13)</w:t>
            </w:r>
          </w:p>
        </w:tc>
        <w:tc>
          <w:tcPr>
            <w:tcW w:w="1276" w:type="dxa"/>
            <w:tcBorders>
              <w:bottom w:val="single" w:sz="4" w:space="0" w:color="auto"/>
            </w:tcBorders>
          </w:tcPr>
          <w:p w14:paraId="1D58AF66"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0.58   (0.15)</w:t>
            </w:r>
          </w:p>
        </w:tc>
        <w:tc>
          <w:tcPr>
            <w:tcW w:w="1559" w:type="dxa"/>
            <w:tcBorders>
              <w:bottom w:val="single" w:sz="4" w:space="0" w:color="auto"/>
            </w:tcBorders>
          </w:tcPr>
          <w:p w14:paraId="6E4D9273" w14:textId="77777777" w:rsidR="008A5C7B" w:rsidRPr="00E950A8" w:rsidRDefault="008A5C7B" w:rsidP="000A49F9">
            <w:pPr>
              <w:spacing w:after="0" w:line="240" w:lineRule="auto"/>
              <w:jc w:val="center"/>
              <w:rPr>
                <w:rFonts w:asciiTheme="majorHAnsi" w:eastAsia="Times New Roman" w:hAnsiTheme="majorHAnsi" w:cs="Times New Roman"/>
                <w:color w:val="000000"/>
                <w:sz w:val="24"/>
                <w:szCs w:val="24"/>
                <w:lang w:val="en-US" w:eastAsia="de-DE"/>
              </w:rPr>
            </w:pPr>
            <w:r w:rsidRPr="00E950A8">
              <w:rPr>
                <w:rFonts w:asciiTheme="majorHAnsi" w:eastAsia="Times New Roman" w:hAnsiTheme="majorHAnsi" w:cs="Times New Roman"/>
                <w:color w:val="000000"/>
                <w:sz w:val="24"/>
                <w:szCs w:val="24"/>
                <w:lang w:val="en-US" w:eastAsia="de-DE"/>
              </w:rPr>
              <w:t>0.60       (0.12)</w:t>
            </w:r>
          </w:p>
        </w:tc>
      </w:tr>
    </w:tbl>
    <w:p w14:paraId="3EE3C877" w14:textId="77777777" w:rsidR="008A5C7B" w:rsidRPr="000C3350" w:rsidRDefault="008A5C7B" w:rsidP="008A5C7B">
      <w:pPr>
        <w:spacing w:after="0" w:line="240" w:lineRule="auto"/>
        <w:rPr>
          <w:rFonts w:asciiTheme="majorHAnsi" w:hAnsiTheme="majorHAnsi"/>
          <w:sz w:val="20"/>
          <w:szCs w:val="20"/>
          <w:lang w:val="en-US"/>
        </w:rPr>
      </w:pPr>
      <w:r w:rsidRPr="000C3350">
        <w:rPr>
          <w:rFonts w:asciiTheme="majorHAnsi" w:hAnsiTheme="majorHAnsi"/>
          <w:sz w:val="20"/>
          <w:szCs w:val="20"/>
          <w:lang w:val="en-US"/>
        </w:rPr>
        <w:t>Mean values are shown with standard deviations in parentheses.</w:t>
      </w:r>
    </w:p>
    <w:p w14:paraId="438E6109" w14:textId="77777777" w:rsidR="008A5C7B" w:rsidRPr="000C3350" w:rsidRDefault="008A5C7B" w:rsidP="008A5C7B">
      <w:pPr>
        <w:spacing w:after="0" w:line="240" w:lineRule="auto"/>
        <w:rPr>
          <w:rFonts w:asciiTheme="majorHAnsi" w:hAnsiTheme="majorHAnsi"/>
          <w:sz w:val="20"/>
          <w:szCs w:val="20"/>
          <w:lang w:val="en-US"/>
        </w:rPr>
      </w:pPr>
      <w:proofErr w:type="spellStart"/>
      <w:proofErr w:type="gramStart"/>
      <w:r w:rsidRPr="000C3350">
        <w:rPr>
          <w:rFonts w:asciiTheme="majorHAnsi" w:hAnsiTheme="majorHAnsi"/>
          <w:sz w:val="20"/>
          <w:szCs w:val="20"/>
          <w:vertAlign w:val="superscript"/>
          <w:lang w:val="en-US"/>
        </w:rPr>
        <w:t>a</w:t>
      </w:r>
      <w:proofErr w:type="spellEnd"/>
      <w:proofErr w:type="gramEnd"/>
      <w:r w:rsidRPr="000C3350">
        <w:rPr>
          <w:rFonts w:asciiTheme="majorHAnsi" w:hAnsiTheme="majorHAnsi"/>
          <w:sz w:val="20"/>
          <w:szCs w:val="20"/>
          <w:lang w:val="en-US"/>
        </w:rPr>
        <w:t xml:space="preserve"> The total number of questions in this category was 18.</w:t>
      </w:r>
    </w:p>
    <w:p w14:paraId="482D6E03" w14:textId="77777777" w:rsidR="008A5C7B" w:rsidRPr="000C3350" w:rsidRDefault="008A5C7B" w:rsidP="008A5C7B">
      <w:pPr>
        <w:spacing w:after="0" w:line="240" w:lineRule="auto"/>
        <w:rPr>
          <w:rFonts w:asciiTheme="majorHAnsi" w:hAnsiTheme="majorHAnsi"/>
          <w:sz w:val="20"/>
          <w:szCs w:val="20"/>
          <w:lang w:val="en-US"/>
        </w:rPr>
      </w:pPr>
      <w:proofErr w:type="gramStart"/>
      <w:r w:rsidRPr="000C3350">
        <w:rPr>
          <w:rFonts w:asciiTheme="majorHAnsi" w:hAnsiTheme="majorHAnsi"/>
          <w:sz w:val="20"/>
          <w:szCs w:val="20"/>
          <w:vertAlign w:val="superscript"/>
          <w:lang w:val="en-US"/>
        </w:rPr>
        <w:t>b</w:t>
      </w:r>
      <w:proofErr w:type="gramEnd"/>
      <w:r w:rsidRPr="000C3350">
        <w:rPr>
          <w:rFonts w:asciiTheme="majorHAnsi" w:hAnsiTheme="majorHAnsi"/>
          <w:sz w:val="20"/>
          <w:szCs w:val="20"/>
          <w:lang w:val="en-US"/>
        </w:rPr>
        <w:t xml:space="preserve"> The total number of questions in this category was 2.</w:t>
      </w:r>
    </w:p>
    <w:p w14:paraId="11E23778" w14:textId="77777777" w:rsidR="008A5C7B" w:rsidRDefault="008A5C7B" w:rsidP="008A5C7B">
      <w:pPr>
        <w:spacing w:line="480" w:lineRule="auto"/>
        <w:jc w:val="both"/>
        <w:rPr>
          <w:rFonts w:asciiTheme="majorHAnsi" w:hAnsiTheme="majorHAnsi"/>
          <w:sz w:val="24"/>
          <w:szCs w:val="24"/>
          <w:lang w:val="en-US"/>
        </w:rPr>
      </w:pPr>
      <w:proofErr w:type="gramStart"/>
      <w:r w:rsidRPr="000C3350">
        <w:rPr>
          <w:rFonts w:asciiTheme="majorHAnsi" w:hAnsiTheme="majorHAnsi"/>
          <w:sz w:val="20"/>
          <w:szCs w:val="20"/>
          <w:vertAlign w:val="superscript"/>
          <w:lang w:val="en-US"/>
        </w:rPr>
        <w:t>c</w:t>
      </w:r>
      <w:proofErr w:type="gramEnd"/>
      <w:r w:rsidRPr="000C3350">
        <w:rPr>
          <w:rFonts w:asciiTheme="majorHAnsi" w:hAnsiTheme="majorHAnsi"/>
          <w:sz w:val="20"/>
          <w:szCs w:val="20"/>
          <w:lang w:val="en-US"/>
        </w:rPr>
        <w:t xml:space="preserve"> The total number of qu</w:t>
      </w:r>
      <w:r>
        <w:rPr>
          <w:rFonts w:asciiTheme="majorHAnsi" w:hAnsiTheme="majorHAnsi"/>
          <w:sz w:val="20"/>
          <w:szCs w:val="20"/>
          <w:lang w:val="en-US"/>
        </w:rPr>
        <w:t>estions in this category was 3.</w:t>
      </w:r>
    </w:p>
    <w:p w14:paraId="2E76A9EC" w14:textId="77777777" w:rsidR="008A5C7B"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 xml:space="preserve">Table 3 shows descriptive statistics for the other variables used in the empirical analysis. The average height-for-age Z-score of children and adolescents in our sample is -0.85, with lower values in 2012 (-1.05) than in 2015 (-0.66). HAZ of boys (-0.92) is lower than of girls (-0.78), which is consistent with other studies in Africa and Asia ( Debela et al.,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2pv5ijnuls","properties":{"formattedCitation":"(2015)","plainCitation":"(2015)"},"citationItems":[{"id":1003,"uris":["http://zotero.org/groups/698231/items/MS74H4UW"],"uri":["http://zotero.org/groups/698231/items/MS74H4UW"],"itemData":{"id":1003,"type":"article-journal","title":"Does Ethiopia’s productive safety net program improve child nutrition?","container-title":"Food Security","page":"1273-1289","volume":"7","issue":"6","source":"CrossRef","DOI":"10.1007/s12571-015-0499-9","ISSN":"1876-4517, 1876-4525","language":"en","author":[{"family":"Debela","given":"Bethelhem Legesse"},{"family":"Shively","given":"Gerald"},{"family":"Holden","given":"Stein T."}],"issued":{"date-parts":[["2015",12]]}},"suppress-author":true}],"schema":"https://github.com/citation-style-language/schema/raw/master/csl-citation.json"} </w:instrText>
      </w:r>
      <w:r w:rsidRPr="00064DA0">
        <w:rPr>
          <w:rFonts w:asciiTheme="majorHAnsi" w:hAnsiTheme="majorHAnsi"/>
          <w:sz w:val="24"/>
          <w:szCs w:val="24"/>
          <w:lang w:val="en-US"/>
        </w:rPr>
        <w:fldChar w:fldCharType="separate"/>
      </w:r>
      <w:r w:rsidRPr="00064DA0">
        <w:rPr>
          <w:rFonts w:ascii="Cambria" w:hAnsi="Cambria"/>
          <w:sz w:val="24"/>
          <w:lang w:val="en-US"/>
        </w:rPr>
        <w:t>2015</w:t>
      </w:r>
      <w:r w:rsidRPr="00E950A8">
        <w:rPr>
          <w:rFonts w:ascii="Cambria" w:hAnsi="Cambria"/>
          <w:sz w:val="24"/>
          <w:lang w:val="en-US"/>
        </w:rPr>
        <w:t xml:space="preserve">; </w:t>
      </w:r>
      <w:r w:rsidRPr="00064DA0">
        <w:rPr>
          <w:rFonts w:asciiTheme="majorHAnsi" w:hAnsiTheme="majorHAnsi"/>
          <w:sz w:val="24"/>
          <w:szCs w:val="24"/>
          <w:lang w:val="en-US"/>
        </w:rPr>
        <w:fldChar w:fldCharType="end"/>
      </w:r>
      <w:proofErr w:type="spellStart"/>
      <w:r w:rsidRPr="00064DA0">
        <w:rPr>
          <w:rFonts w:asciiTheme="majorHAnsi" w:hAnsiTheme="majorHAnsi"/>
          <w:sz w:val="24"/>
          <w:szCs w:val="24"/>
          <w:lang w:val="en-US"/>
        </w:rPr>
        <w:t>Christiaensen</w:t>
      </w:r>
      <w:proofErr w:type="spellEnd"/>
      <w:r w:rsidRPr="00064DA0">
        <w:rPr>
          <w:rFonts w:asciiTheme="majorHAnsi" w:hAnsiTheme="majorHAnsi"/>
          <w:sz w:val="24"/>
          <w:szCs w:val="24"/>
          <w:lang w:val="en-US"/>
        </w:rPr>
        <w:t xml:space="preserve"> &amp;</w:t>
      </w:r>
      <w:r w:rsidRPr="00E950A8">
        <w:rPr>
          <w:rFonts w:asciiTheme="majorHAnsi" w:hAnsiTheme="majorHAnsi"/>
          <w:sz w:val="24"/>
          <w:szCs w:val="24"/>
          <w:lang w:val="en-US"/>
        </w:rPr>
        <w:t xml:space="preserve"> Alderman,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iq1j66hct","properties":{"formattedCitation":"(2004)","plainCitation":"(2004)"},"citationItems":[{"id":840,"uris":["http://zotero.org/groups/698231/items/76HGZEWN"],"uri":["http://zotero.org/groups/698231/items/76HGZEWN"],"itemData":{"id":840,"type":"article-journal","title":"Child malnutrition in Ethiopia: can maternal knowledge augment the role of income?","container-title":"Economic Development and Cultural Change","page":"287-312","volume":"52","issue":"2","source":"JSTOR","DOI":"10.1086/380822","ISSN":"0013-0079","shortTitle":"Child Malnutrition in Ethiopia","journalAbbreviation":"Economic Development and Cultural Change","author":[{"family":"Christiaensen","given":"Luc"},{"family":"Alderman","given":"Harold"}],"issued":{"date-parts":[["2004"]]}},"suppress-author":true}],"schema":"https://github.com/citation-style-language/schema/raw/master/csl-citation.json"} </w:instrText>
      </w:r>
      <w:r w:rsidRPr="00064DA0">
        <w:rPr>
          <w:rFonts w:asciiTheme="majorHAnsi" w:hAnsiTheme="majorHAnsi"/>
          <w:sz w:val="24"/>
          <w:szCs w:val="24"/>
          <w:lang w:val="en-US"/>
        </w:rPr>
        <w:fldChar w:fldCharType="separate"/>
      </w:r>
      <w:r w:rsidRPr="00E950A8">
        <w:rPr>
          <w:rFonts w:ascii="Cambria" w:hAnsi="Cambria"/>
          <w:sz w:val="24"/>
          <w:lang w:val="en-US"/>
        </w:rPr>
        <w:t>2004;</w:t>
      </w:r>
      <w:r w:rsidRPr="00064DA0">
        <w:rPr>
          <w:rFonts w:asciiTheme="majorHAnsi" w:hAnsiTheme="majorHAnsi"/>
          <w:sz w:val="24"/>
          <w:szCs w:val="24"/>
          <w:lang w:val="en-US"/>
        </w:rPr>
        <w:fldChar w:fldCharType="end"/>
      </w:r>
      <w:r w:rsidRPr="00064DA0">
        <w:rPr>
          <w:rFonts w:asciiTheme="majorHAnsi" w:hAnsiTheme="majorHAnsi"/>
          <w:sz w:val="24"/>
          <w:szCs w:val="24"/>
          <w:lang w:val="en-US"/>
        </w:rPr>
        <w:t xml:space="preserve"> </w:t>
      </w:r>
      <w:r w:rsidRPr="00E950A8">
        <w:rPr>
          <w:rFonts w:asciiTheme="majorHAnsi" w:hAnsiTheme="majorHAnsi"/>
          <w:sz w:val="24"/>
          <w:szCs w:val="24"/>
          <w:lang w:val="en-US"/>
        </w:rPr>
        <w:t xml:space="preserve">Webb &amp; Block, </w:t>
      </w:r>
      <w:r w:rsidRPr="00064DA0">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2alk5mgmb7","properties":{"formattedCitation":"(2004)","plainCitation":"(2004)"},"citationItems":[{"id":980,"uris":["http://zotero.org/groups/698231/items/5CGSDHK3"],"uri":["http://zotero.org/groups/698231/items/5CGSDHK3"],"itemData":{"id":980,"type":"article-journal","title":"Nutrition information and formal schooling as inputs to child nutrition","container-title":"Economic Development and Cultural Change","page":"801-820","volume":"52","issue":"4","source":"journals.uchicago.edu (Atypon)","DOI":"10.1086/420901","ISSN":"0013-0079","journalAbbreviation":"Economic Development and Cultural Change","author":[{"family":"Webb","given":"Patrick"},{"family":"Block","given":"Steven"}],"issued":{"date-parts":[["2004",7,1]]}},"suppress-author":true}],"schema":"https://github.com/citation-style-language/schema/raw/master/csl-citation.json"} </w:instrText>
      </w:r>
      <w:r w:rsidRPr="00064DA0">
        <w:rPr>
          <w:rFonts w:asciiTheme="majorHAnsi" w:hAnsiTheme="majorHAnsi"/>
          <w:sz w:val="24"/>
          <w:szCs w:val="24"/>
          <w:lang w:val="en-US"/>
        </w:rPr>
        <w:fldChar w:fldCharType="separate"/>
      </w:r>
      <w:r w:rsidRPr="00E950A8">
        <w:rPr>
          <w:rFonts w:ascii="Cambria" w:hAnsi="Cambria"/>
          <w:sz w:val="24"/>
          <w:lang w:val="en-US"/>
        </w:rPr>
        <w:t>2004)</w:t>
      </w:r>
      <w:r w:rsidRPr="00064DA0">
        <w:rPr>
          <w:rFonts w:asciiTheme="majorHAnsi" w:hAnsiTheme="majorHAnsi"/>
          <w:sz w:val="24"/>
          <w:szCs w:val="24"/>
          <w:lang w:val="en-US"/>
        </w:rPr>
        <w:fldChar w:fldCharType="end"/>
      </w:r>
      <w:r w:rsidRPr="00064DA0">
        <w:rPr>
          <w:rFonts w:asciiTheme="majorHAnsi" w:hAnsiTheme="majorHAnsi"/>
          <w:sz w:val="24"/>
          <w:szCs w:val="24"/>
          <w:lang w:val="en-US"/>
        </w:rPr>
        <w:t>.</w:t>
      </w:r>
    </w:p>
    <w:p w14:paraId="19618679" w14:textId="77777777" w:rsidR="008A5C7B" w:rsidRDefault="008A5C7B" w:rsidP="008A5C7B">
      <w:pPr>
        <w:rPr>
          <w:rFonts w:asciiTheme="majorHAnsi" w:hAnsiTheme="majorHAnsi"/>
          <w:sz w:val="24"/>
          <w:szCs w:val="24"/>
          <w:lang w:val="en-US"/>
        </w:rPr>
      </w:pPr>
      <w:r>
        <w:rPr>
          <w:rFonts w:asciiTheme="majorHAnsi" w:hAnsiTheme="majorHAnsi"/>
          <w:sz w:val="24"/>
          <w:szCs w:val="24"/>
          <w:lang w:val="en-US"/>
        </w:rPr>
        <w:br w:type="page"/>
      </w:r>
    </w:p>
    <w:p w14:paraId="4D708B3A" w14:textId="77777777" w:rsidR="008A5C7B" w:rsidRDefault="008A5C7B" w:rsidP="008A5C7B">
      <w:pPr>
        <w:rPr>
          <w:rFonts w:asciiTheme="majorHAnsi" w:hAnsiTheme="majorHAnsi"/>
          <w:sz w:val="24"/>
          <w:szCs w:val="24"/>
          <w:lang w:val="en-US"/>
        </w:rPr>
        <w:sectPr w:rsidR="008A5C7B" w:rsidSect="008A5C7B">
          <w:headerReference w:type="default" r:id="rId13"/>
          <w:footerReference w:type="default" r:id="rId14"/>
          <w:pgSz w:w="11906" w:h="16838"/>
          <w:pgMar w:top="1417" w:right="1133" w:bottom="1134" w:left="1417" w:header="708" w:footer="708" w:gutter="0"/>
          <w:cols w:space="708"/>
          <w:docGrid w:linePitch="360"/>
        </w:sectPr>
      </w:pPr>
    </w:p>
    <w:p w14:paraId="7199FD8B" w14:textId="77777777" w:rsidR="008A5C7B" w:rsidRPr="007A1166" w:rsidRDefault="008A5C7B" w:rsidP="008A5C7B">
      <w:pPr>
        <w:tabs>
          <w:tab w:val="left" w:pos="3435"/>
        </w:tabs>
        <w:spacing w:line="240" w:lineRule="auto"/>
        <w:rPr>
          <w:rFonts w:asciiTheme="majorHAnsi" w:hAnsiTheme="majorHAnsi"/>
          <w:sz w:val="24"/>
          <w:szCs w:val="24"/>
          <w:lang w:val="en-US"/>
        </w:rPr>
      </w:pPr>
      <w:proofErr w:type="gramStart"/>
      <w:r w:rsidRPr="007A1166">
        <w:rPr>
          <w:rFonts w:asciiTheme="majorHAnsi" w:hAnsiTheme="majorHAnsi"/>
          <w:sz w:val="24"/>
          <w:szCs w:val="24"/>
          <w:lang w:val="en-US"/>
        </w:rPr>
        <w:lastRenderedPageBreak/>
        <w:t>Table 3.</w:t>
      </w:r>
      <w:proofErr w:type="gramEnd"/>
      <w:r w:rsidRPr="007A1166">
        <w:rPr>
          <w:rFonts w:asciiTheme="majorHAnsi" w:hAnsiTheme="majorHAnsi"/>
          <w:sz w:val="24"/>
          <w:szCs w:val="24"/>
          <w:lang w:val="en-US"/>
        </w:rPr>
        <w:t xml:space="preserve"> Descriptive statistics</w:t>
      </w:r>
    </w:p>
    <w:tbl>
      <w:tblPr>
        <w:tblStyle w:val="TableGrid1"/>
        <w:tblW w:w="13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4"/>
        <w:gridCol w:w="1214"/>
        <w:gridCol w:w="1215"/>
        <w:gridCol w:w="1215"/>
        <w:gridCol w:w="235"/>
        <w:gridCol w:w="1676"/>
        <w:gridCol w:w="1701"/>
        <w:gridCol w:w="1213"/>
        <w:gridCol w:w="84"/>
        <w:gridCol w:w="165"/>
      </w:tblGrid>
      <w:tr w:rsidR="008A5C7B" w:rsidRPr="007C3E2A" w14:paraId="616DB31D" w14:textId="77777777" w:rsidTr="000A49F9">
        <w:tc>
          <w:tcPr>
            <w:tcW w:w="4334" w:type="dxa"/>
            <w:tcBorders>
              <w:top w:val="single" w:sz="4" w:space="0" w:color="auto"/>
            </w:tcBorders>
          </w:tcPr>
          <w:p w14:paraId="3BA0B6A8" w14:textId="77777777" w:rsidR="008A5C7B" w:rsidRPr="007A1166" w:rsidRDefault="008A5C7B" w:rsidP="000A49F9">
            <w:pPr>
              <w:rPr>
                <w:rFonts w:asciiTheme="majorHAnsi" w:hAnsiTheme="majorHAnsi"/>
                <w:sz w:val="24"/>
                <w:szCs w:val="24"/>
                <w:lang w:val="en-US"/>
              </w:rPr>
            </w:pPr>
            <w:r w:rsidRPr="007A1166">
              <w:rPr>
                <w:rFonts w:asciiTheme="majorHAnsi" w:hAnsiTheme="majorHAnsi"/>
                <w:sz w:val="24"/>
                <w:szCs w:val="24"/>
                <w:lang w:val="en-US"/>
              </w:rPr>
              <w:t>Variables</w:t>
            </w:r>
          </w:p>
        </w:tc>
        <w:tc>
          <w:tcPr>
            <w:tcW w:w="1214" w:type="dxa"/>
            <w:tcBorders>
              <w:top w:val="single" w:sz="4" w:space="0" w:color="auto"/>
            </w:tcBorders>
          </w:tcPr>
          <w:p w14:paraId="1F8C19EF"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All</w:t>
            </w:r>
          </w:p>
        </w:tc>
        <w:tc>
          <w:tcPr>
            <w:tcW w:w="2430" w:type="dxa"/>
            <w:gridSpan w:val="2"/>
            <w:tcBorders>
              <w:top w:val="single" w:sz="4" w:space="0" w:color="auto"/>
              <w:bottom w:val="single" w:sz="4" w:space="0" w:color="auto"/>
            </w:tcBorders>
          </w:tcPr>
          <w:p w14:paraId="5CCBA390"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Year</w:t>
            </w:r>
          </w:p>
        </w:tc>
        <w:tc>
          <w:tcPr>
            <w:tcW w:w="235" w:type="dxa"/>
            <w:tcBorders>
              <w:top w:val="single" w:sz="4" w:space="0" w:color="auto"/>
            </w:tcBorders>
          </w:tcPr>
          <w:p w14:paraId="0B4EBEEE" w14:textId="77777777" w:rsidR="008A5C7B" w:rsidRPr="007A1166" w:rsidRDefault="008A5C7B" w:rsidP="000A49F9">
            <w:pPr>
              <w:jc w:val="center"/>
              <w:rPr>
                <w:rFonts w:asciiTheme="majorHAnsi" w:hAnsiTheme="majorHAnsi"/>
                <w:sz w:val="24"/>
                <w:szCs w:val="24"/>
                <w:lang w:val="en-US"/>
              </w:rPr>
            </w:pPr>
          </w:p>
        </w:tc>
        <w:tc>
          <w:tcPr>
            <w:tcW w:w="4590" w:type="dxa"/>
            <w:gridSpan w:val="3"/>
            <w:tcBorders>
              <w:top w:val="single" w:sz="4" w:space="0" w:color="auto"/>
              <w:bottom w:val="single" w:sz="4" w:space="0" w:color="auto"/>
            </w:tcBorders>
          </w:tcPr>
          <w:p w14:paraId="66FF6E5A"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By maternal nutrition knowledge </w:t>
            </w:r>
            <w:r w:rsidRPr="007A1166">
              <w:rPr>
                <w:rFonts w:asciiTheme="majorHAnsi" w:hAnsiTheme="majorHAnsi"/>
                <w:sz w:val="24"/>
                <w:szCs w:val="24"/>
                <w:vertAlign w:val="superscript"/>
                <w:lang w:val="en-US"/>
              </w:rPr>
              <w:t>c</w:t>
            </w:r>
          </w:p>
        </w:tc>
        <w:tc>
          <w:tcPr>
            <w:tcW w:w="249" w:type="dxa"/>
            <w:gridSpan w:val="2"/>
            <w:tcBorders>
              <w:top w:val="single" w:sz="4" w:space="0" w:color="auto"/>
            </w:tcBorders>
          </w:tcPr>
          <w:p w14:paraId="70394DE1" w14:textId="77777777" w:rsidR="008A5C7B" w:rsidRPr="007A1166" w:rsidRDefault="008A5C7B" w:rsidP="000A49F9">
            <w:pPr>
              <w:jc w:val="center"/>
              <w:rPr>
                <w:rFonts w:asciiTheme="majorHAnsi" w:hAnsiTheme="majorHAnsi"/>
                <w:sz w:val="24"/>
                <w:szCs w:val="24"/>
                <w:lang w:val="en-US"/>
              </w:rPr>
            </w:pPr>
          </w:p>
        </w:tc>
      </w:tr>
      <w:tr w:rsidR="008A5C7B" w:rsidRPr="007A1166" w14:paraId="69BDFC23" w14:textId="77777777" w:rsidTr="000A49F9">
        <w:trPr>
          <w:gridAfter w:val="1"/>
          <w:wAfter w:w="165" w:type="dxa"/>
        </w:trPr>
        <w:tc>
          <w:tcPr>
            <w:tcW w:w="4334" w:type="dxa"/>
            <w:tcBorders>
              <w:bottom w:val="single" w:sz="4" w:space="0" w:color="auto"/>
            </w:tcBorders>
          </w:tcPr>
          <w:p w14:paraId="487D3B79" w14:textId="77777777" w:rsidR="008A5C7B" w:rsidRPr="007A1166" w:rsidRDefault="008A5C7B" w:rsidP="000A49F9">
            <w:pPr>
              <w:rPr>
                <w:rFonts w:asciiTheme="majorHAnsi" w:hAnsiTheme="majorHAnsi"/>
                <w:sz w:val="24"/>
                <w:szCs w:val="24"/>
                <w:lang w:val="en-US"/>
              </w:rPr>
            </w:pPr>
          </w:p>
        </w:tc>
        <w:tc>
          <w:tcPr>
            <w:tcW w:w="1214" w:type="dxa"/>
            <w:tcBorders>
              <w:bottom w:val="single" w:sz="4" w:space="0" w:color="auto"/>
            </w:tcBorders>
          </w:tcPr>
          <w:p w14:paraId="075F65EE" w14:textId="77777777" w:rsidR="008A5C7B" w:rsidRPr="007A1166" w:rsidRDefault="008A5C7B" w:rsidP="000A49F9">
            <w:pPr>
              <w:jc w:val="center"/>
              <w:rPr>
                <w:rFonts w:asciiTheme="majorHAnsi" w:hAnsiTheme="majorHAnsi"/>
                <w:sz w:val="24"/>
                <w:szCs w:val="24"/>
                <w:lang w:val="en-US"/>
              </w:rPr>
            </w:pPr>
          </w:p>
        </w:tc>
        <w:tc>
          <w:tcPr>
            <w:tcW w:w="1215" w:type="dxa"/>
            <w:tcBorders>
              <w:top w:val="single" w:sz="4" w:space="0" w:color="auto"/>
              <w:bottom w:val="single" w:sz="4" w:space="0" w:color="auto"/>
            </w:tcBorders>
          </w:tcPr>
          <w:p w14:paraId="71D60E2F"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2012</w:t>
            </w:r>
          </w:p>
        </w:tc>
        <w:tc>
          <w:tcPr>
            <w:tcW w:w="1215" w:type="dxa"/>
            <w:tcBorders>
              <w:top w:val="single" w:sz="4" w:space="0" w:color="auto"/>
              <w:bottom w:val="single" w:sz="4" w:space="0" w:color="auto"/>
            </w:tcBorders>
          </w:tcPr>
          <w:p w14:paraId="3BEB202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2015</w:t>
            </w:r>
          </w:p>
        </w:tc>
        <w:tc>
          <w:tcPr>
            <w:tcW w:w="235" w:type="dxa"/>
            <w:tcBorders>
              <w:bottom w:val="single" w:sz="4" w:space="0" w:color="auto"/>
            </w:tcBorders>
          </w:tcPr>
          <w:p w14:paraId="463D5468" w14:textId="77777777" w:rsidR="008A5C7B" w:rsidRPr="007A1166" w:rsidRDefault="008A5C7B" w:rsidP="000A49F9">
            <w:pPr>
              <w:jc w:val="center"/>
              <w:rPr>
                <w:rFonts w:asciiTheme="majorHAnsi" w:hAnsiTheme="majorHAnsi"/>
                <w:sz w:val="24"/>
                <w:szCs w:val="24"/>
                <w:lang w:val="en-US"/>
              </w:rPr>
            </w:pPr>
          </w:p>
        </w:tc>
        <w:tc>
          <w:tcPr>
            <w:tcW w:w="1676" w:type="dxa"/>
            <w:tcBorders>
              <w:top w:val="single" w:sz="4" w:space="0" w:color="auto"/>
              <w:bottom w:val="single" w:sz="4" w:space="0" w:color="auto"/>
            </w:tcBorders>
          </w:tcPr>
          <w:p w14:paraId="39DBE443"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High nutrition knowledge</w:t>
            </w:r>
          </w:p>
        </w:tc>
        <w:tc>
          <w:tcPr>
            <w:tcW w:w="1701" w:type="dxa"/>
            <w:tcBorders>
              <w:top w:val="single" w:sz="4" w:space="0" w:color="auto"/>
              <w:bottom w:val="single" w:sz="4" w:space="0" w:color="auto"/>
            </w:tcBorders>
          </w:tcPr>
          <w:p w14:paraId="43D0A6F2"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Low nutrition knowledge</w:t>
            </w:r>
          </w:p>
        </w:tc>
        <w:tc>
          <w:tcPr>
            <w:tcW w:w="1297" w:type="dxa"/>
            <w:gridSpan w:val="2"/>
            <w:tcBorders>
              <w:bottom w:val="single" w:sz="4" w:space="0" w:color="auto"/>
            </w:tcBorders>
          </w:tcPr>
          <w:p w14:paraId="36A16C21"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Difference</w:t>
            </w:r>
          </w:p>
        </w:tc>
      </w:tr>
      <w:tr w:rsidR="008A5C7B" w:rsidRPr="007C3E2A" w14:paraId="33B96D07" w14:textId="77777777" w:rsidTr="000A49F9">
        <w:trPr>
          <w:gridAfter w:val="1"/>
          <w:wAfter w:w="165" w:type="dxa"/>
        </w:trPr>
        <w:tc>
          <w:tcPr>
            <w:tcW w:w="4334" w:type="dxa"/>
          </w:tcPr>
          <w:p w14:paraId="387EB5DD" w14:textId="77777777" w:rsidR="008A5C7B" w:rsidRPr="007A1166" w:rsidRDefault="008A5C7B" w:rsidP="000A49F9">
            <w:pPr>
              <w:rPr>
                <w:rFonts w:asciiTheme="majorHAnsi" w:eastAsiaTheme="minorEastAsia" w:hAnsiTheme="majorHAnsi" w:cs="Times New Roman"/>
                <w:i/>
                <w:sz w:val="24"/>
                <w:szCs w:val="24"/>
                <w:lang w:val="en-US" w:eastAsia="de-DE"/>
              </w:rPr>
            </w:pPr>
            <w:r w:rsidRPr="007A1166">
              <w:rPr>
                <w:rFonts w:asciiTheme="majorHAnsi" w:eastAsiaTheme="minorEastAsia" w:hAnsiTheme="majorHAnsi" w:cs="Times New Roman"/>
                <w:i/>
                <w:sz w:val="24"/>
                <w:szCs w:val="24"/>
                <w:lang w:val="en-US" w:eastAsia="de-DE"/>
              </w:rPr>
              <w:t>Height-for-age Z-score (HAZ)</w:t>
            </w:r>
          </w:p>
        </w:tc>
        <w:tc>
          <w:tcPr>
            <w:tcW w:w="1214" w:type="dxa"/>
          </w:tcPr>
          <w:p w14:paraId="7013AF62" w14:textId="77777777" w:rsidR="008A5C7B" w:rsidRPr="007A1166" w:rsidRDefault="008A5C7B" w:rsidP="000A49F9">
            <w:pPr>
              <w:jc w:val="center"/>
              <w:rPr>
                <w:rFonts w:asciiTheme="majorHAnsi" w:hAnsiTheme="majorHAnsi"/>
                <w:sz w:val="24"/>
                <w:szCs w:val="24"/>
                <w:lang w:val="en-US"/>
              </w:rPr>
            </w:pPr>
          </w:p>
        </w:tc>
        <w:tc>
          <w:tcPr>
            <w:tcW w:w="1215" w:type="dxa"/>
          </w:tcPr>
          <w:p w14:paraId="3E3C231C" w14:textId="77777777" w:rsidR="008A5C7B" w:rsidRPr="007A1166" w:rsidRDefault="008A5C7B" w:rsidP="000A49F9">
            <w:pPr>
              <w:jc w:val="center"/>
              <w:rPr>
                <w:rFonts w:asciiTheme="majorHAnsi" w:hAnsiTheme="majorHAnsi"/>
                <w:sz w:val="24"/>
                <w:szCs w:val="24"/>
                <w:lang w:val="en-US"/>
              </w:rPr>
            </w:pPr>
          </w:p>
        </w:tc>
        <w:tc>
          <w:tcPr>
            <w:tcW w:w="1215" w:type="dxa"/>
          </w:tcPr>
          <w:p w14:paraId="241BC137" w14:textId="77777777" w:rsidR="008A5C7B" w:rsidRPr="007A1166" w:rsidRDefault="008A5C7B" w:rsidP="000A49F9">
            <w:pPr>
              <w:jc w:val="center"/>
              <w:rPr>
                <w:rFonts w:asciiTheme="majorHAnsi" w:hAnsiTheme="majorHAnsi"/>
                <w:sz w:val="24"/>
                <w:szCs w:val="24"/>
                <w:lang w:val="en-US"/>
              </w:rPr>
            </w:pPr>
          </w:p>
        </w:tc>
        <w:tc>
          <w:tcPr>
            <w:tcW w:w="235" w:type="dxa"/>
          </w:tcPr>
          <w:p w14:paraId="57D01EDD" w14:textId="77777777" w:rsidR="008A5C7B" w:rsidRPr="007A1166" w:rsidRDefault="008A5C7B" w:rsidP="000A49F9">
            <w:pPr>
              <w:jc w:val="center"/>
              <w:rPr>
                <w:rFonts w:asciiTheme="majorHAnsi" w:hAnsiTheme="majorHAnsi"/>
                <w:sz w:val="24"/>
                <w:szCs w:val="24"/>
                <w:lang w:val="en-US"/>
              </w:rPr>
            </w:pPr>
          </w:p>
        </w:tc>
        <w:tc>
          <w:tcPr>
            <w:tcW w:w="1676" w:type="dxa"/>
          </w:tcPr>
          <w:p w14:paraId="663CF3DA" w14:textId="77777777" w:rsidR="008A5C7B" w:rsidRPr="007A1166" w:rsidRDefault="008A5C7B" w:rsidP="000A49F9">
            <w:pPr>
              <w:jc w:val="center"/>
              <w:rPr>
                <w:rFonts w:asciiTheme="majorHAnsi" w:hAnsiTheme="majorHAnsi"/>
                <w:sz w:val="24"/>
                <w:szCs w:val="24"/>
                <w:lang w:val="en-US"/>
              </w:rPr>
            </w:pPr>
          </w:p>
        </w:tc>
        <w:tc>
          <w:tcPr>
            <w:tcW w:w="1701" w:type="dxa"/>
          </w:tcPr>
          <w:p w14:paraId="4B63DDCB"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5140884A" w14:textId="77777777" w:rsidR="008A5C7B" w:rsidRPr="007A1166" w:rsidRDefault="008A5C7B" w:rsidP="000A49F9">
            <w:pPr>
              <w:jc w:val="center"/>
              <w:rPr>
                <w:rFonts w:asciiTheme="majorHAnsi" w:hAnsiTheme="majorHAnsi"/>
                <w:sz w:val="24"/>
                <w:szCs w:val="24"/>
                <w:lang w:val="en-US"/>
              </w:rPr>
            </w:pPr>
          </w:p>
        </w:tc>
      </w:tr>
      <w:tr w:rsidR="008A5C7B" w:rsidRPr="007A1166" w14:paraId="2158CA7F" w14:textId="77777777" w:rsidTr="000A49F9">
        <w:trPr>
          <w:gridAfter w:val="1"/>
          <w:wAfter w:w="165" w:type="dxa"/>
        </w:trPr>
        <w:tc>
          <w:tcPr>
            <w:tcW w:w="4334" w:type="dxa"/>
          </w:tcPr>
          <w:p w14:paraId="6B987FD4" w14:textId="77777777" w:rsidR="008A5C7B" w:rsidRPr="007A1166" w:rsidRDefault="008A5C7B" w:rsidP="000A49F9">
            <w:pPr>
              <w:rPr>
                <w:rFonts w:asciiTheme="majorHAnsi" w:eastAsiaTheme="minorEastAsia" w:hAnsiTheme="majorHAnsi" w:cs="Times New Roman"/>
                <w:sz w:val="24"/>
                <w:szCs w:val="24"/>
                <w:lang w:val="en-US" w:eastAsia="de-DE"/>
              </w:rPr>
            </w:pPr>
            <w:r w:rsidRPr="007A1166">
              <w:rPr>
                <w:rFonts w:asciiTheme="majorHAnsi" w:eastAsiaTheme="minorEastAsia" w:hAnsiTheme="majorHAnsi" w:cs="Times New Roman"/>
                <w:sz w:val="24"/>
                <w:szCs w:val="24"/>
                <w:lang w:val="en-US" w:eastAsia="de-DE"/>
              </w:rPr>
              <w:t>HAZ</w:t>
            </w:r>
          </w:p>
        </w:tc>
        <w:tc>
          <w:tcPr>
            <w:tcW w:w="1214" w:type="dxa"/>
          </w:tcPr>
          <w:p w14:paraId="546CE37F"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-0.85 (1.20)</w:t>
            </w:r>
          </w:p>
        </w:tc>
        <w:tc>
          <w:tcPr>
            <w:tcW w:w="1215" w:type="dxa"/>
          </w:tcPr>
          <w:p w14:paraId="70606629"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-1.05 (1.30)</w:t>
            </w:r>
          </w:p>
        </w:tc>
        <w:tc>
          <w:tcPr>
            <w:tcW w:w="1215" w:type="dxa"/>
          </w:tcPr>
          <w:p w14:paraId="3D3C29B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-0.66 (1.19)</w:t>
            </w:r>
          </w:p>
        </w:tc>
        <w:tc>
          <w:tcPr>
            <w:tcW w:w="235" w:type="dxa"/>
          </w:tcPr>
          <w:p w14:paraId="4819C7EB" w14:textId="77777777" w:rsidR="008A5C7B" w:rsidRPr="007A1166" w:rsidRDefault="008A5C7B" w:rsidP="000A49F9">
            <w:pPr>
              <w:jc w:val="center"/>
              <w:rPr>
                <w:rFonts w:asciiTheme="majorHAnsi" w:hAnsiTheme="majorHAnsi"/>
                <w:sz w:val="24"/>
                <w:szCs w:val="24"/>
                <w:lang w:val="en-US"/>
              </w:rPr>
            </w:pPr>
          </w:p>
        </w:tc>
        <w:tc>
          <w:tcPr>
            <w:tcW w:w="1676" w:type="dxa"/>
          </w:tcPr>
          <w:p w14:paraId="20176C2C"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-0.69</w:t>
            </w:r>
          </w:p>
          <w:p w14:paraId="3D9D99BE"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(1.07)</w:t>
            </w:r>
          </w:p>
        </w:tc>
        <w:tc>
          <w:tcPr>
            <w:tcW w:w="1701" w:type="dxa"/>
          </w:tcPr>
          <w:p w14:paraId="621FEBF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-1.01</w:t>
            </w:r>
          </w:p>
          <w:p w14:paraId="7DACF3D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(1.31)</w:t>
            </w:r>
          </w:p>
          <w:p w14:paraId="6F138261"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5A7DA611"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0.31***</w:t>
            </w:r>
          </w:p>
        </w:tc>
      </w:tr>
      <w:tr w:rsidR="008A5C7B" w:rsidRPr="007A1166" w14:paraId="489688DF" w14:textId="77777777" w:rsidTr="000A49F9">
        <w:trPr>
          <w:gridAfter w:val="1"/>
          <w:wAfter w:w="165" w:type="dxa"/>
        </w:trPr>
        <w:tc>
          <w:tcPr>
            <w:tcW w:w="4334" w:type="dxa"/>
          </w:tcPr>
          <w:p w14:paraId="665D2853" w14:textId="77777777" w:rsidR="008A5C7B" w:rsidRPr="007A1166" w:rsidRDefault="008A5C7B" w:rsidP="000A49F9">
            <w:pPr>
              <w:rPr>
                <w:rFonts w:asciiTheme="majorHAnsi" w:eastAsiaTheme="minorEastAsia" w:hAnsiTheme="majorHAnsi" w:cs="Times New Roman"/>
                <w:sz w:val="24"/>
                <w:szCs w:val="24"/>
                <w:lang w:val="en-US" w:eastAsia="de-DE"/>
              </w:rPr>
            </w:pPr>
            <w:r w:rsidRPr="007A1166">
              <w:rPr>
                <w:rFonts w:asciiTheme="majorHAnsi" w:eastAsiaTheme="minorEastAsia" w:hAnsiTheme="majorHAnsi" w:cs="Times New Roman"/>
                <w:sz w:val="24"/>
                <w:szCs w:val="24"/>
                <w:lang w:val="en-US" w:eastAsia="de-DE"/>
              </w:rPr>
              <w:t>HAZ, boys</w:t>
            </w:r>
          </w:p>
        </w:tc>
        <w:tc>
          <w:tcPr>
            <w:tcW w:w="1214" w:type="dxa"/>
          </w:tcPr>
          <w:p w14:paraId="1EE0EF3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-0.92</w:t>
            </w:r>
          </w:p>
          <w:p w14:paraId="3645DC82"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(1.22)</w:t>
            </w:r>
          </w:p>
        </w:tc>
        <w:tc>
          <w:tcPr>
            <w:tcW w:w="1215" w:type="dxa"/>
          </w:tcPr>
          <w:p w14:paraId="312944AA"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-1.15 (1.21)</w:t>
            </w:r>
          </w:p>
        </w:tc>
        <w:tc>
          <w:tcPr>
            <w:tcW w:w="1215" w:type="dxa"/>
          </w:tcPr>
          <w:p w14:paraId="173BF4A5"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-0.66 (1.18)</w:t>
            </w:r>
          </w:p>
          <w:p w14:paraId="72250AF8" w14:textId="77777777" w:rsidR="008A5C7B" w:rsidRPr="007A1166" w:rsidRDefault="008A5C7B" w:rsidP="000A49F9">
            <w:pPr>
              <w:jc w:val="center"/>
              <w:rPr>
                <w:rFonts w:asciiTheme="majorHAnsi" w:hAnsiTheme="majorHAnsi"/>
                <w:sz w:val="24"/>
                <w:szCs w:val="24"/>
                <w:lang w:val="en-US"/>
              </w:rPr>
            </w:pPr>
          </w:p>
        </w:tc>
        <w:tc>
          <w:tcPr>
            <w:tcW w:w="235" w:type="dxa"/>
          </w:tcPr>
          <w:p w14:paraId="1222D2AB" w14:textId="77777777" w:rsidR="008A5C7B" w:rsidRPr="007A1166" w:rsidRDefault="008A5C7B" w:rsidP="000A49F9">
            <w:pPr>
              <w:jc w:val="center"/>
              <w:rPr>
                <w:rFonts w:asciiTheme="majorHAnsi" w:hAnsiTheme="majorHAnsi"/>
                <w:sz w:val="24"/>
                <w:szCs w:val="24"/>
                <w:lang w:val="en-US"/>
              </w:rPr>
            </w:pPr>
          </w:p>
        </w:tc>
        <w:tc>
          <w:tcPr>
            <w:tcW w:w="1676" w:type="dxa"/>
          </w:tcPr>
          <w:p w14:paraId="5CF8A649"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-0.74 </w:t>
            </w:r>
          </w:p>
          <w:p w14:paraId="4A103940"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(1.13)</w:t>
            </w:r>
          </w:p>
        </w:tc>
        <w:tc>
          <w:tcPr>
            <w:tcW w:w="1701" w:type="dxa"/>
          </w:tcPr>
          <w:p w14:paraId="6B713A51"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-1.09 </w:t>
            </w:r>
          </w:p>
          <w:p w14:paraId="71D72F1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(1.29)</w:t>
            </w:r>
          </w:p>
        </w:tc>
        <w:tc>
          <w:tcPr>
            <w:tcW w:w="1297" w:type="dxa"/>
            <w:gridSpan w:val="2"/>
          </w:tcPr>
          <w:p w14:paraId="67371E69"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0.35**</w:t>
            </w:r>
          </w:p>
        </w:tc>
      </w:tr>
      <w:tr w:rsidR="008A5C7B" w:rsidRPr="007A1166" w14:paraId="4CC9B4AC" w14:textId="77777777" w:rsidTr="000A49F9">
        <w:trPr>
          <w:gridAfter w:val="1"/>
          <w:wAfter w:w="165" w:type="dxa"/>
        </w:trPr>
        <w:tc>
          <w:tcPr>
            <w:tcW w:w="4334" w:type="dxa"/>
          </w:tcPr>
          <w:p w14:paraId="520DADF9" w14:textId="77777777" w:rsidR="008A5C7B" w:rsidRPr="007A1166" w:rsidRDefault="008A5C7B" w:rsidP="000A49F9">
            <w:pPr>
              <w:rPr>
                <w:rFonts w:asciiTheme="majorHAnsi" w:eastAsiaTheme="minorEastAsia" w:hAnsiTheme="majorHAnsi" w:cs="Times New Roman"/>
                <w:sz w:val="24"/>
                <w:szCs w:val="24"/>
                <w:lang w:val="en-US" w:eastAsia="de-DE"/>
              </w:rPr>
            </w:pPr>
            <w:r w:rsidRPr="007A1166">
              <w:rPr>
                <w:rFonts w:asciiTheme="majorHAnsi" w:eastAsiaTheme="minorEastAsia" w:hAnsiTheme="majorHAnsi" w:cs="Times New Roman"/>
                <w:sz w:val="24"/>
                <w:szCs w:val="24"/>
                <w:lang w:val="en-US" w:eastAsia="de-DE"/>
              </w:rPr>
              <w:t>HAZ, girls</w:t>
            </w:r>
          </w:p>
        </w:tc>
        <w:tc>
          <w:tcPr>
            <w:tcW w:w="1214" w:type="dxa"/>
          </w:tcPr>
          <w:p w14:paraId="71D816ED"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-0.78 (1.26)</w:t>
            </w:r>
          </w:p>
        </w:tc>
        <w:tc>
          <w:tcPr>
            <w:tcW w:w="1215" w:type="dxa"/>
          </w:tcPr>
          <w:p w14:paraId="09F46A6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-0.94 (1.38)</w:t>
            </w:r>
          </w:p>
        </w:tc>
        <w:tc>
          <w:tcPr>
            <w:tcW w:w="1215" w:type="dxa"/>
          </w:tcPr>
          <w:p w14:paraId="00A29EE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-0.66 (1.01)</w:t>
            </w:r>
          </w:p>
          <w:p w14:paraId="79B6C135" w14:textId="77777777" w:rsidR="008A5C7B" w:rsidRPr="007A1166" w:rsidRDefault="008A5C7B" w:rsidP="000A49F9">
            <w:pPr>
              <w:jc w:val="center"/>
              <w:rPr>
                <w:rFonts w:asciiTheme="majorHAnsi" w:hAnsiTheme="majorHAnsi"/>
                <w:sz w:val="24"/>
                <w:szCs w:val="24"/>
                <w:lang w:val="en-US"/>
              </w:rPr>
            </w:pPr>
          </w:p>
        </w:tc>
        <w:tc>
          <w:tcPr>
            <w:tcW w:w="235" w:type="dxa"/>
          </w:tcPr>
          <w:p w14:paraId="731EFE6C" w14:textId="77777777" w:rsidR="008A5C7B" w:rsidRPr="007A1166" w:rsidRDefault="008A5C7B" w:rsidP="000A49F9">
            <w:pPr>
              <w:jc w:val="center"/>
              <w:rPr>
                <w:rFonts w:asciiTheme="majorHAnsi" w:hAnsiTheme="majorHAnsi"/>
                <w:sz w:val="24"/>
                <w:szCs w:val="24"/>
                <w:lang w:val="en-US"/>
              </w:rPr>
            </w:pPr>
          </w:p>
        </w:tc>
        <w:tc>
          <w:tcPr>
            <w:tcW w:w="1676" w:type="dxa"/>
          </w:tcPr>
          <w:p w14:paraId="07135752"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-0.65 </w:t>
            </w:r>
          </w:p>
          <w:p w14:paraId="0C098F6D"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(1.02)</w:t>
            </w:r>
          </w:p>
        </w:tc>
        <w:tc>
          <w:tcPr>
            <w:tcW w:w="1701" w:type="dxa"/>
          </w:tcPr>
          <w:p w14:paraId="65D009A2"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-0.92</w:t>
            </w:r>
          </w:p>
          <w:p w14:paraId="790E7F2A"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(1.33)</w:t>
            </w:r>
          </w:p>
        </w:tc>
        <w:tc>
          <w:tcPr>
            <w:tcW w:w="1297" w:type="dxa"/>
            <w:gridSpan w:val="2"/>
          </w:tcPr>
          <w:p w14:paraId="3C315D01"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0.27*</w:t>
            </w:r>
          </w:p>
        </w:tc>
      </w:tr>
      <w:tr w:rsidR="008A5C7B" w:rsidRPr="007A1166" w14:paraId="5E5D967A" w14:textId="77777777" w:rsidTr="000A49F9">
        <w:trPr>
          <w:gridAfter w:val="1"/>
          <w:wAfter w:w="165" w:type="dxa"/>
        </w:trPr>
        <w:tc>
          <w:tcPr>
            <w:tcW w:w="4334" w:type="dxa"/>
          </w:tcPr>
          <w:p w14:paraId="712504FF" w14:textId="77777777" w:rsidR="008A5C7B" w:rsidRPr="007A1166" w:rsidRDefault="008A5C7B" w:rsidP="000A49F9">
            <w:pPr>
              <w:rPr>
                <w:rFonts w:asciiTheme="majorHAnsi" w:eastAsiaTheme="minorEastAsia" w:hAnsiTheme="majorHAnsi" w:cs="Times New Roman"/>
                <w:sz w:val="24"/>
                <w:szCs w:val="24"/>
                <w:vertAlign w:val="superscript"/>
                <w:lang w:val="en-US" w:eastAsia="de-DE"/>
              </w:rPr>
            </w:pPr>
            <w:r w:rsidRPr="007A1166">
              <w:rPr>
                <w:rFonts w:asciiTheme="majorHAnsi" w:eastAsiaTheme="minorEastAsia" w:hAnsiTheme="majorHAnsi" w:cs="Times New Roman"/>
                <w:sz w:val="24"/>
                <w:szCs w:val="24"/>
                <w:lang w:val="en-US" w:eastAsia="de-DE"/>
              </w:rPr>
              <w:t>P</w:t>
            </w:r>
            <w:r>
              <w:rPr>
                <w:rFonts w:asciiTheme="majorHAnsi" w:eastAsiaTheme="minorEastAsia" w:hAnsiTheme="majorHAnsi" w:cs="Times New Roman"/>
                <w:sz w:val="24"/>
                <w:szCs w:val="24"/>
                <w:lang w:val="en-US" w:eastAsia="de-DE"/>
              </w:rPr>
              <w:t>revalence of stunting</w:t>
            </w:r>
            <w:r w:rsidRPr="007A1166">
              <w:rPr>
                <w:rFonts w:asciiTheme="majorHAnsi" w:eastAsiaTheme="minorEastAsia" w:hAnsiTheme="majorHAnsi" w:cs="Times New Roman"/>
                <w:sz w:val="24"/>
                <w:szCs w:val="24"/>
                <w:lang w:val="en-US" w:eastAsia="de-DE"/>
              </w:rPr>
              <w:t xml:space="preserve"> </w:t>
            </w:r>
            <w:r w:rsidRPr="007A1166">
              <w:rPr>
                <w:rFonts w:asciiTheme="majorHAnsi" w:eastAsiaTheme="minorEastAsia" w:hAnsiTheme="majorHAnsi" w:cs="Times New Roman"/>
                <w:sz w:val="24"/>
                <w:szCs w:val="24"/>
                <w:vertAlign w:val="superscript"/>
                <w:lang w:val="en-US" w:eastAsia="de-DE"/>
              </w:rPr>
              <w:t>a</w:t>
            </w:r>
          </w:p>
        </w:tc>
        <w:tc>
          <w:tcPr>
            <w:tcW w:w="1214" w:type="dxa"/>
          </w:tcPr>
          <w:p w14:paraId="343D94A9"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16</w:t>
            </w:r>
          </w:p>
        </w:tc>
        <w:tc>
          <w:tcPr>
            <w:tcW w:w="1215" w:type="dxa"/>
          </w:tcPr>
          <w:p w14:paraId="397CF222"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21</w:t>
            </w:r>
          </w:p>
        </w:tc>
        <w:tc>
          <w:tcPr>
            <w:tcW w:w="1215" w:type="dxa"/>
          </w:tcPr>
          <w:p w14:paraId="0961DAEC"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12</w:t>
            </w:r>
          </w:p>
          <w:p w14:paraId="0A1837AD" w14:textId="77777777" w:rsidR="008A5C7B" w:rsidRPr="007A1166" w:rsidRDefault="008A5C7B" w:rsidP="000A49F9">
            <w:pPr>
              <w:jc w:val="center"/>
              <w:rPr>
                <w:rFonts w:asciiTheme="majorHAnsi" w:hAnsiTheme="majorHAnsi"/>
                <w:sz w:val="24"/>
                <w:szCs w:val="24"/>
                <w:lang w:val="en-US"/>
              </w:rPr>
            </w:pPr>
          </w:p>
        </w:tc>
        <w:tc>
          <w:tcPr>
            <w:tcW w:w="235" w:type="dxa"/>
          </w:tcPr>
          <w:p w14:paraId="5E1C9434" w14:textId="77777777" w:rsidR="008A5C7B" w:rsidRPr="007A1166" w:rsidRDefault="008A5C7B" w:rsidP="000A49F9">
            <w:pPr>
              <w:jc w:val="center"/>
              <w:rPr>
                <w:rFonts w:asciiTheme="majorHAnsi" w:hAnsiTheme="majorHAnsi"/>
                <w:sz w:val="24"/>
                <w:szCs w:val="24"/>
                <w:lang w:val="en-US"/>
              </w:rPr>
            </w:pPr>
          </w:p>
        </w:tc>
        <w:tc>
          <w:tcPr>
            <w:tcW w:w="1676" w:type="dxa"/>
          </w:tcPr>
          <w:p w14:paraId="096E7D1D"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13</w:t>
            </w:r>
          </w:p>
        </w:tc>
        <w:tc>
          <w:tcPr>
            <w:tcW w:w="1701" w:type="dxa"/>
          </w:tcPr>
          <w:p w14:paraId="6EC27C6D"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19</w:t>
            </w:r>
          </w:p>
        </w:tc>
        <w:tc>
          <w:tcPr>
            <w:tcW w:w="1297" w:type="dxa"/>
            <w:gridSpan w:val="2"/>
          </w:tcPr>
          <w:p w14:paraId="362C58F6"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-0.06*</w:t>
            </w:r>
          </w:p>
        </w:tc>
      </w:tr>
      <w:tr w:rsidR="008A5C7B" w:rsidRPr="007A1166" w14:paraId="538900E7" w14:textId="77777777" w:rsidTr="000A49F9">
        <w:trPr>
          <w:gridAfter w:val="1"/>
          <w:wAfter w:w="165" w:type="dxa"/>
        </w:trPr>
        <w:tc>
          <w:tcPr>
            <w:tcW w:w="4334" w:type="dxa"/>
          </w:tcPr>
          <w:p w14:paraId="4762C09A" w14:textId="77777777" w:rsidR="008A5C7B" w:rsidRPr="007A1166" w:rsidRDefault="008A5C7B" w:rsidP="000A49F9">
            <w:pPr>
              <w:rPr>
                <w:rFonts w:asciiTheme="majorHAnsi" w:eastAsiaTheme="minorEastAsia" w:hAnsiTheme="majorHAnsi" w:cs="Times New Roman"/>
                <w:sz w:val="24"/>
                <w:szCs w:val="24"/>
                <w:vertAlign w:val="superscript"/>
                <w:lang w:val="en-US" w:eastAsia="de-DE"/>
              </w:rPr>
            </w:pPr>
            <w:r>
              <w:rPr>
                <w:rFonts w:asciiTheme="majorHAnsi" w:eastAsiaTheme="minorEastAsia" w:hAnsiTheme="majorHAnsi" w:cs="Times New Roman"/>
                <w:sz w:val="24"/>
                <w:szCs w:val="24"/>
                <w:lang w:val="en-US" w:eastAsia="de-DE"/>
              </w:rPr>
              <w:t xml:space="preserve">Prevalence of mild </w:t>
            </w:r>
            <w:r w:rsidRPr="007A1166">
              <w:rPr>
                <w:rFonts w:asciiTheme="majorHAnsi" w:eastAsiaTheme="minorEastAsia" w:hAnsiTheme="majorHAnsi" w:cs="Times New Roman"/>
                <w:sz w:val="24"/>
                <w:szCs w:val="24"/>
                <w:lang w:val="en-US" w:eastAsia="de-DE"/>
              </w:rPr>
              <w:t>stunt</w:t>
            </w:r>
            <w:r>
              <w:rPr>
                <w:rFonts w:asciiTheme="majorHAnsi" w:eastAsiaTheme="minorEastAsia" w:hAnsiTheme="majorHAnsi" w:cs="Times New Roman"/>
                <w:sz w:val="24"/>
                <w:szCs w:val="24"/>
                <w:lang w:val="en-US" w:eastAsia="de-DE"/>
              </w:rPr>
              <w:t>ing</w:t>
            </w:r>
            <w:r w:rsidRPr="007A1166">
              <w:rPr>
                <w:rFonts w:asciiTheme="majorHAnsi" w:eastAsiaTheme="minorEastAsia" w:hAnsiTheme="majorHAnsi" w:cs="Times New Roman"/>
                <w:sz w:val="24"/>
                <w:szCs w:val="24"/>
                <w:lang w:val="en-US" w:eastAsia="de-DE"/>
              </w:rPr>
              <w:t xml:space="preserve"> </w:t>
            </w:r>
            <w:r w:rsidRPr="007A1166">
              <w:rPr>
                <w:rFonts w:asciiTheme="majorHAnsi" w:eastAsiaTheme="minorEastAsia" w:hAnsiTheme="majorHAnsi" w:cs="Times New Roman"/>
                <w:sz w:val="24"/>
                <w:szCs w:val="24"/>
                <w:vertAlign w:val="superscript"/>
                <w:lang w:val="en-US" w:eastAsia="de-DE"/>
              </w:rPr>
              <w:t>a</w:t>
            </w:r>
          </w:p>
        </w:tc>
        <w:tc>
          <w:tcPr>
            <w:tcW w:w="1214" w:type="dxa"/>
          </w:tcPr>
          <w:p w14:paraId="3283BE92"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43</w:t>
            </w:r>
          </w:p>
        </w:tc>
        <w:tc>
          <w:tcPr>
            <w:tcW w:w="1215" w:type="dxa"/>
          </w:tcPr>
          <w:p w14:paraId="0332ACBA"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50</w:t>
            </w:r>
          </w:p>
        </w:tc>
        <w:tc>
          <w:tcPr>
            <w:tcW w:w="1215" w:type="dxa"/>
          </w:tcPr>
          <w:p w14:paraId="4A190C33"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36</w:t>
            </w:r>
          </w:p>
          <w:p w14:paraId="3DF5D5F3" w14:textId="77777777" w:rsidR="008A5C7B" w:rsidRPr="007A1166" w:rsidRDefault="008A5C7B" w:rsidP="000A49F9">
            <w:pPr>
              <w:jc w:val="center"/>
              <w:rPr>
                <w:rFonts w:asciiTheme="majorHAnsi" w:hAnsiTheme="majorHAnsi"/>
                <w:sz w:val="24"/>
                <w:szCs w:val="24"/>
                <w:lang w:val="en-US"/>
              </w:rPr>
            </w:pPr>
          </w:p>
        </w:tc>
        <w:tc>
          <w:tcPr>
            <w:tcW w:w="235" w:type="dxa"/>
          </w:tcPr>
          <w:p w14:paraId="1B1D9875" w14:textId="77777777" w:rsidR="008A5C7B" w:rsidRPr="007A1166" w:rsidRDefault="008A5C7B" w:rsidP="000A49F9">
            <w:pPr>
              <w:jc w:val="center"/>
              <w:rPr>
                <w:rFonts w:asciiTheme="majorHAnsi" w:hAnsiTheme="majorHAnsi"/>
                <w:sz w:val="24"/>
                <w:szCs w:val="24"/>
                <w:lang w:val="en-US"/>
              </w:rPr>
            </w:pPr>
          </w:p>
        </w:tc>
        <w:tc>
          <w:tcPr>
            <w:tcW w:w="1676" w:type="dxa"/>
          </w:tcPr>
          <w:p w14:paraId="596E776D"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37</w:t>
            </w:r>
          </w:p>
        </w:tc>
        <w:tc>
          <w:tcPr>
            <w:tcW w:w="1701" w:type="dxa"/>
          </w:tcPr>
          <w:p w14:paraId="7DE86FE7"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w:t>
            </w:r>
            <w:r w:rsidRPr="007A1166">
              <w:rPr>
                <w:rFonts w:asciiTheme="majorHAnsi" w:hAnsiTheme="majorHAnsi"/>
                <w:sz w:val="24"/>
                <w:szCs w:val="24"/>
                <w:lang w:val="en-US"/>
              </w:rPr>
              <w:t>49</w:t>
            </w:r>
          </w:p>
        </w:tc>
        <w:tc>
          <w:tcPr>
            <w:tcW w:w="1297" w:type="dxa"/>
            <w:gridSpan w:val="2"/>
          </w:tcPr>
          <w:p w14:paraId="5919F2E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-0.12**</w:t>
            </w:r>
          </w:p>
        </w:tc>
      </w:tr>
      <w:tr w:rsidR="008A5C7B" w:rsidRPr="007A1166" w14:paraId="0B950275" w14:textId="77777777" w:rsidTr="000A49F9">
        <w:trPr>
          <w:gridAfter w:val="1"/>
          <w:wAfter w:w="165" w:type="dxa"/>
        </w:trPr>
        <w:tc>
          <w:tcPr>
            <w:tcW w:w="4334" w:type="dxa"/>
          </w:tcPr>
          <w:p w14:paraId="49F48E76" w14:textId="77777777" w:rsidR="008A5C7B" w:rsidRPr="00B0182C" w:rsidRDefault="008A5C7B" w:rsidP="000A49F9">
            <w:pPr>
              <w:rPr>
                <w:rFonts w:asciiTheme="majorHAnsi" w:eastAsiaTheme="minorEastAsia" w:hAnsiTheme="majorHAnsi" w:cs="Times New Roman"/>
                <w:sz w:val="24"/>
                <w:szCs w:val="24"/>
                <w:vertAlign w:val="superscript"/>
                <w:lang w:val="en-US" w:eastAsia="de-DE"/>
              </w:rPr>
            </w:pPr>
            <w:r>
              <w:rPr>
                <w:rFonts w:asciiTheme="majorHAnsi" w:eastAsiaTheme="minorEastAsia" w:hAnsiTheme="majorHAnsi" w:cs="Times New Roman"/>
                <w:sz w:val="24"/>
                <w:szCs w:val="24"/>
                <w:lang w:val="en-US" w:eastAsia="de-DE"/>
              </w:rPr>
              <w:t xml:space="preserve">Prevalence of extreme stunting </w:t>
            </w:r>
            <w:r>
              <w:rPr>
                <w:rFonts w:asciiTheme="majorHAnsi" w:eastAsiaTheme="minorEastAsia" w:hAnsiTheme="majorHAnsi" w:cs="Times New Roman"/>
                <w:sz w:val="24"/>
                <w:szCs w:val="24"/>
                <w:vertAlign w:val="superscript"/>
                <w:lang w:val="en-US" w:eastAsia="de-DE"/>
              </w:rPr>
              <w:t>a</w:t>
            </w:r>
          </w:p>
        </w:tc>
        <w:tc>
          <w:tcPr>
            <w:tcW w:w="1214" w:type="dxa"/>
          </w:tcPr>
          <w:p w14:paraId="460A17F6"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0.04</w:t>
            </w:r>
          </w:p>
        </w:tc>
        <w:tc>
          <w:tcPr>
            <w:tcW w:w="1215" w:type="dxa"/>
          </w:tcPr>
          <w:p w14:paraId="0C462312"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0.07</w:t>
            </w:r>
          </w:p>
        </w:tc>
        <w:tc>
          <w:tcPr>
            <w:tcW w:w="1215" w:type="dxa"/>
          </w:tcPr>
          <w:p w14:paraId="79BC0FD3"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0.02</w:t>
            </w:r>
          </w:p>
        </w:tc>
        <w:tc>
          <w:tcPr>
            <w:tcW w:w="235" w:type="dxa"/>
          </w:tcPr>
          <w:p w14:paraId="3EB80AE3" w14:textId="77777777" w:rsidR="008A5C7B" w:rsidRPr="007A1166" w:rsidRDefault="008A5C7B" w:rsidP="000A49F9">
            <w:pPr>
              <w:jc w:val="center"/>
              <w:rPr>
                <w:rFonts w:asciiTheme="majorHAnsi" w:hAnsiTheme="majorHAnsi"/>
                <w:sz w:val="24"/>
                <w:szCs w:val="24"/>
                <w:lang w:val="en-US"/>
              </w:rPr>
            </w:pPr>
          </w:p>
        </w:tc>
        <w:tc>
          <w:tcPr>
            <w:tcW w:w="1676" w:type="dxa"/>
          </w:tcPr>
          <w:p w14:paraId="35867C42"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0.01</w:t>
            </w:r>
          </w:p>
        </w:tc>
        <w:tc>
          <w:tcPr>
            <w:tcW w:w="1701" w:type="dxa"/>
          </w:tcPr>
          <w:p w14:paraId="0359C8FF"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0.07</w:t>
            </w:r>
          </w:p>
        </w:tc>
        <w:tc>
          <w:tcPr>
            <w:tcW w:w="1297" w:type="dxa"/>
            <w:gridSpan w:val="2"/>
          </w:tcPr>
          <w:p w14:paraId="26808A06" w14:textId="77777777" w:rsidR="008A5C7B" w:rsidRDefault="008A5C7B" w:rsidP="000A49F9">
            <w:pPr>
              <w:jc w:val="center"/>
              <w:rPr>
                <w:rFonts w:asciiTheme="majorHAnsi" w:hAnsiTheme="majorHAnsi"/>
                <w:sz w:val="24"/>
                <w:szCs w:val="24"/>
                <w:lang w:val="en-US"/>
              </w:rPr>
            </w:pPr>
            <w:r>
              <w:rPr>
                <w:rFonts w:asciiTheme="majorHAnsi" w:hAnsiTheme="majorHAnsi"/>
                <w:sz w:val="24"/>
                <w:szCs w:val="24"/>
                <w:lang w:val="en-US"/>
              </w:rPr>
              <w:t>-0.06***</w:t>
            </w:r>
          </w:p>
          <w:p w14:paraId="2C3BC22D" w14:textId="77777777" w:rsidR="008A5C7B" w:rsidRPr="007A1166" w:rsidRDefault="008A5C7B" w:rsidP="000A49F9">
            <w:pPr>
              <w:jc w:val="center"/>
              <w:rPr>
                <w:rFonts w:asciiTheme="majorHAnsi" w:hAnsiTheme="majorHAnsi"/>
                <w:sz w:val="24"/>
                <w:szCs w:val="24"/>
                <w:lang w:val="en-US"/>
              </w:rPr>
            </w:pPr>
          </w:p>
        </w:tc>
      </w:tr>
      <w:tr w:rsidR="008A5C7B" w:rsidRPr="007A1166" w14:paraId="08D80AA3" w14:textId="77777777" w:rsidTr="000A49F9">
        <w:trPr>
          <w:gridAfter w:val="1"/>
          <w:wAfter w:w="165" w:type="dxa"/>
        </w:trPr>
        <w:tc>
          <w:tcPr>
            <w:tcW w:w="4334" w:type="dxa"/>
          </w:tcPr>
          <w:p w14:paraId="6E8BE844" w14:textId="77777777" w:rsidR="008A5C7B" w:rsidRPr="007A1166" w:rsidRDefault="008A5C7B" w:rsidP="000A49F9">
            <w:pPr>
              <w:rPr>
                <w:rFonts w:asciiTheme="majorHAnsi" w:eastAsiaTheme="minorEastAsia" w:hAnsiTheme="majorHAnsi" w:cs="Times New Roman"/>
                <w:i/>
                <w:sz w:val="24"/>
                <w:szCs w:val="24"/>
                <w:lang w:val="en-US" w:eastAsia="de-DE"/>
              </w:rPr>
            </w:pPr>
            <w:r w:rsidRPr="007A1166">
              <w:rPr>
                <w:rFonts w:asciiTheme="majorHAnsi" w:eastAsiaTheme="minorEastAsia" w:hAnsiTheme="majorHAnsi" w:cs="Times New Roman"/>
                <w:i/>
                <w:sz w:val="24"/>
                <w:szCs w:val="24"/>
                <w:lang w:val="en-US" w:eastAsia="de-DE"/>
              </w:rPr>
              <w:t>Child characteristics</w:t>
            </w:r>
          </w:p>
        </w:tc>
        <w:tc>
          <w:tcPr>
            <w:tcW w:w="1214" w:type="dxa"/>
          </w:tcPr>
          <w:p w14:paraId="085A6787" w14:textId="77777777" w:rsidR="008A5C7B" w:rsidRPr="007A1166" w:rsidRDefault="008A5C7B" w:rsidP="000A49F9">
            <w:pPr>
              <w:jc w:val="center"/>
              <w:rPr>
                <w:rFonts w:asciiTheme="majorHAnsi" w:hAnsiTheme="majorHAnsi"/>
                <w:sz w:val="24"/>
                <w:szCs w:val="24"/>
                <w:lang w:val="en-US"/>
              </w:rPr>
            </w:pPr>
          </w:p>
        </w:tc>
        <w:tc>
          <w:tcPr>
            <w:tcW w:w="1215" w:type="dxa"/>
          </w:tcPr>
          <w:p w14:paraId="0F424C09" w14:textId="77777777" w:rsidR="008A5C7B" w:rsidRPr="007A1166" w:rsidRDefault="008A5C7B" w:rsidP="000A49F9">
            <w:pPr>
              <w:jc w:val="center"/>
              <w:rPr>
                <w:rFonts w:asciiTheme="majorHAnsi" w:hAnsiTheme="majorHAnsi"/>
                <w:sz w:val="24"/>
                <w:szCs w:val="24"/>
                <w:lang w:val="en-US"/>
              </w:rPr>
            </w:pPr>
          </w:p>
        </w:tc>
        <w:tc>
          <w:tcPr>
            <w:tcW w:w="1215" w:type="dxa"/>
          </w:tcPr>
          <w:p w14:paraId="7D6BAC43" w14:textId="77777777" w:rsidR="008A5C7B" w:rsidRPr="007A1166" w:rsidRDefault="008A5C7B" w:rsidP="000A49F9">
            <w:pPr>
              <w:jc w:val="center"/>
              <w:rPr>
                <w:rFonts w:asciiTheme="majorHAnsi" w:hAnsiTheme="majorHAnsi"/>
                <w:sz w:val="24"/>
                <w:szCs w:val="24"/>
                <w:lang w:val="en-US"/>
              </w:rPr>
            </w:pPr>
          </w:p>
        </w:tc>
        <w:tc>
          <w:tcPr>
            <w:tcW w:w="235" w:type="dxa"/>
          </w:tcPr>
          <w:p w14:paraId="26BC92FB" w14:textId="77777777" w:rsidR="008A5C7B" w:rsidRPr="007A1166" w:rsidRDefault="008A5C7B" w:rsidP="000A49F9">
            <w:pPr>
              <w:jc w:val="center"/>
              <w:rPr>
                <w:rFonts w:asciiTheme="majorHAnsi" w:hAnsiTheme="majorHAnsi"/>
                <w:sz w:val="24"/>
                <w:szCs w:val="24"/>
                <w:lang w:val="en-US"/>
              </w:rPr>
            </w:pPr>
          </w:p>
        </w:tc>
        <w:tc>
          <w:tcPr>
            <w:tcW w:w="1676" w:type="dxa"/>
          </w:tcPr>
          <w:p w14:paraId="2B5F7EC7" w14:textId="77777777" w:rsidR="008A5C7B" w:rsidRPr="007A1166" w:rsidRDefault="008A5C7B" w:rsidP="000A49F9">
            <w:pPr>
              <w:jc w:val="center"/>
              <w:rPr>
                <w:rFonts w:asciiTheme="majorHAnsi" w:hAnsiTheme="majorHAnsi"/>
                <w:sz w:val="24"/>
                <w:szCs w:val="24"/>
                <w:lang w:val="en-US"/>
              </w:rPr>
            </w:pPr>
          </w:p>
        </w:tc>
        <w:tc>
          <w:tcPr>
            <w:tcW w:w="1701" w:type="dxa"/>
          </w:tcPr>
          <w:p w14:paraId="098F58BC"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5B4BDFDD" w14:textId="77777777" w:rsidR="008A5C7B" w:rsidRPr="007A1166" w:rsidRDefault="008A5C7B" w:rsidP="000A49F9">
            <w:pPr>
              <w:jc w:val="center"/>
              <w:rPr>
                <w:rFonts w:asciiTheme="majorHAnsi" w:hAnsiTheme="majorHAnsi"/>
                <w:sz w:val="24"/>
                <w:szCs w:val="24"/>
                <w:lang w:val="en-US"/>
              </w:rPr>
            </w:pPr>
          </w:p>
        </w:tc>
      </w:tr>
      <w:tr w:rsidR="008A5C7B" w:rsidRPr="007A1166" w14:paraId="55E27CDF" w14:textId="77777777" w:rsidTr="000A49F9">
        <w:trPr>
          <w:gridAfter w:val="1"/>
          <w:wAfter w:w="165" w:type="dxa"/>
        </w:trPr>
        <w:tc>
          <w:tcPr>
            <w:tcW w:w="4334" w:type="dxa"/>
          </w:tcPr>
          <w:p w14:paraId="631CD186" w14:textId="77777777" w:rsidR="008A5C7B" w:rsidRPr="007A1166" w:rsidRDefault="008A5C7B" w:rsidP="000A49F9">
            <w:pPr>
              <w:rPr>
                <w:rFonts w:asciiTheme="majorHAnsi" w:hAnsiTheme="majorHAnsi"/>
                <w:sz w:val="24"/>
                <w:szCs w:val="24"/>
                <w:lang w:val="en-US"/>
              </w:rPr>
            </w:pPr>
            <w:r w:rsidRPr="007A1166">
              <w:rPr>
                <w:rFonts w:asciiTheme="majorHAnsi" w:eastAsiaTheme="minorEastAsia" w:hAnsiTheme="majorHAnsi" w:cs="Times New Roman"/>
                <w:sz w:val="24"/>
                <w:szCs w:val="24"/>
                <w:lang w:val="en-US" w:eastAsia="de-DE"/>
              </w:rPr>
              <w:t>Age of child in months</w:t>
            </w:r>
          </w:p>
        </w:tc>
        <w:tc>
          <w:tcPr>
            <w:tcW w:w="1214" w:type="dxa"/>
          </w:tcPr>
          <w:p w14:paraId="639EF85D"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120 (41.13)</w:t>
            </w:r>
          </w:p>
        </w:tc>
        <w:tc>
          <w:tcPr>
            <w:tcW w:w="1215" w:type="dxa"/>
          </w:tcPr>
          <w:p w14:paraId="64AAFD32"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117 (42.44)</w:t>
            </w:r>
          </w:p>
        </w:tc>
        <w:tc>
          <w:tcPr>
            <w:tcW w:w="1215" w:type="dxa"/>
          </w:tcPr>
          <w:p w14:paraId="0EC05935"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123 (39.78)</w:t>
            </w:r>
          </w:p>
        </w:tc>
        <w:tc>
          <w:tcPr>
            <w:tcW w:w="235" w:type="dxa"/>
          </w:tcPr>
          <w:p w14:paraId="042B0B44" w14:textId="77777777" w:rsidR="008A5C7B" w:rsidRPr="007A1166" w:rsidRDefault="008A5C7B" w:rsidP="000A49F9">
            <w:pPr>
              <w:jc w:val="center"/>
              <w:rPr>
                <w:rFonts w:asciiTheme="majorHAnsi" w:hAnsiTheme="majorHAnsi"/>
                <w:sz w:val="24"/>
                <w:szCs w:val="24"/>
                <w:lang w:val="en-US"/>
              </w:rPr>
            </w:pPr>
          </w:p>
        </w:tc>
        <w:tc>
          <w:tcPr>
            <w:tcW w:w="1676" w:type="dxa"/>
          </w:tcPr>
          <w:p w14:paraId="025BEE59"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120 </w:t>
            </w:r>
          </w:p>
          <w:p w14:paraId="1BD37A1E"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(41.93)</w:t>
            </w:r>
          </w:p>
        </w:tc>
        <w:tc>
          <w:tcPr>
            <w:tcW w:w="1701" w:type="dxa"/>
          </w:tcPr>
          <w:p w14:paraId="1B0083B4"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120 </w:t>
            </w:r>
          </w:p>
          <w:p w14:paraId="7DC960B6"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(40.37)</w:t>
            </w:r>
          </w:p>
          <w:p w14:paraId="31901B88"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007CFC2A"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-0.78</w:t>
            </w:r>
          </w:p>
        </w:tc>
      </w:tr>
      <w:tr w:rsidR="008A5C7B" w:rsidRPr="007A1166" w14:paraId="15B1CA7E" w14:textId="77777777" w:rsidTr="000A49F9">
        <w:trPr>
          <w:gridAfter w:val="1"/>
          <w:wAfter w:w="165" w:type="dxa"/>
        </w:trPr>
        <w:tc>
          <w:tcPr>
            <w:tcW w:w="4334" w:type="dxa"/>
          </w:tcPr>
          <w:p w14:paraId="6CDD57E5" w14:textId="77777777" w:rsidR="008A5C7B" w:rsidRPr="007A1166" w:rsidRDefault="008A5C7B" w:rsidP="000A49F9">
            <w:pPr>
              <w:rPr>
                <w:rFonts w:asciiTheme="majorHAnsi" w:hAnsiTheme="majorHAnsi"/>
                <w:sz w:val="24"/>
                <w:szCs w:val="24"/>
                <w:lang w:val="en-US"/>
              </w:rPr>
            </w:pPr>
            <w:r w:rsidRPr="007A1166">
              <w:rPr>
                <w:rFonts w:asciiTheme="majorHAnsi" w:eastAsiaTheme="minorEastAsia" w:hAnsiTheme="majorHAnsi" w:cs="Times New Roman"/>
                <w:sz w:val="24"/>
                <w:szCs w:val="24"/>
                <w:lang w:val="en-US" w:eastAsia="de-DE"/>
              </w:rPr>
              <w:t>Sex of child (1=female)</w:t>
            </w:r>
          </w:p>
        </w:tc>
        <w:tc>
          <w:tcPr>
            <w:tcW w:w="1214" w:type="dxa"/>
          </w:tcPr>
          <w:p w14:paraId="0281CC2E"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0.52 (0.50)</w:t>
            </w:r>
          </w:p>
        </w:tc>
        <w:tc>
          <w:tcPr>
            <w:tcW w:w="1215" w:type="dxa"/>
          </w:tcPr>
          <w:p w14:paraId="4882A80C"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0.48 (0.50)</w:t>
            </w:r>
          </w:p>
        </w:tc>
        <w:tc>
          <w:tcPr>
            <w:tcW w:w="1215" w:type="dxa"/>
          </w:tcPr>
          <w:p w14:paraId="5775BC10"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0.56 (0.50)</w:t>
            </w:r>
          </w:p>
        </w:tc>
        <w:tc>
          <w:tcPr>
            <w:tcW w:w="235" w:type="dxa"/>
          </w:tcPr>
          <w:p w14:paraId="5ABC8B47" w14:textId="77777777" w:rsidR="008A5C7B" w:rsidRPr="007A1166" w:rsidRDefault="008A5C7B" w:rsidP="000A49F9">
            <w:pPr>
              <w:jc w:val="center"/>
              <w:rPr>
                <w:rFonts w:asciiTheme="majorHAnsi" w:hAnsiTheme="majorHAnsi"/>
                <w:sz w:val="24"/>
                <w:szCs w:val="24"/>
                <w:lang w:val="en-US"/>
              </w:rPr>
            </w:pPr>
          </w:p>
        </w:tc>
        <w:tc>
          <w:tcPr>
            <w:tcW w:w="1676" w:type="dxa"/>
          </w:tcPr>
          <w:p w14:paraId="0E37F7FD"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0.53  </w:t>
            </w:r>
          </w:p>
          <w:p w14:paraId="14316C8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(0.50)</w:t>
            </w:r>
          </w:p>
        </w:tc>
        <w:tc>
          <w:tcPr>
            <w:tcW w:w="1701" w:type="dxa"/>
          </w:tcPr>
          <w:p w14:paraId="471DDCD9"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0.51  </w:t>
            </w:r>
          </w:p>
          <w:p w14:paraId="5FAE4E31"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(0.50)</w:t>
            </w:r>
          </w:p>
          <w:p w14:paraId="3CFA9414"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740F9AC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0.03</w:t>
            </w:r>
          </w:p>
        </w:tc>
      </w:tr>
      <w:tr w:rsidR="008A5C7B" w:rsidRPr="007A1166" w14:paraId="777B8CBD" w14:textId="77777777" w:rsidTr="000A49F9">
        <w:trPr>
          <w:gridAfter w:val="1"/>
          <w:wAfter w:w="165" w:type="dxa"/>
        </w:trPr>
        <w:tc>
          <w:tcPr>
            <w:tcW w:w="4334" w:type="dxa"/>
          </w:tcPr>
          <w:p w14:paraId="60B20389" w14:textId="77777777" w:rsidR="008A5C7B" w:rsidRPr="007A1166" w:rsidRDefault="008A5C7B" w:rsidP="000A49F9">
            <w:pPr>
              <w:rPr>
                <w:rFonts w:asciiTheme="majorHAnsi" w:hAnsiTheme="majorHAnsi"/>
                <w:sz w:val="24"/>
                <w:szCs w:val="24"/>
                <w:lang w:val="en-US"/>
              </w:rPr>
            </w:pPr>
            <w:r w:rsidRPr="007A1166">
              <w:rPr>
                <w:rFonts w:asciiTheme="majorHAnsi" w:eastAsiaTheme="minorEastAsia" w:hAnsiTheme="majorHAnsi" w:cs="Times New Roman"/>
                <w:sz w:val="24"/>
                <w:szCs w:val="24"/>
                <w:lang w:val="en-US" w:eastAsia="de-DE"/>
              </w:rPr>
              <w:t>Infection during past month (1/0)</w:t>
            </w:r>
          </w:p>
        </w:tc>
        <w:tc>
          <w:tcPr>
            <w:tcW w:w="1214" w:type="dxa"/>
          </w:tcPr>
          <w:p w14:paraId="283E8EB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0.08 (0.26)</w:t>
            </w:r>
          </w:p>
        </w:tc>
        <w:tc>
          <w:tcPr>
            <w:tcW w:w="1215" w:type="dxa"/>
          </w:tcPr>
          <w:p w14:paraId="02F5C432"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0.09 (0.29)</w:t>
            </w:r>
          </w:p>
        </w:tc>
        <w:tc>
          <w:tcPr>
            <w:tcW w:w="1215" w:type="dxa"/>
          </w:tcPr>
          <w:p w14:paraId="2974711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0.06 (0.24)</w:t>
            </w:r>
          </w:p>
        </w:tc>
        <w:tc>
          <w:tcPr>
            <w:tcW w:w="235" w:type="dxa"/>
          </w:tcPr>
          <w:p w14:paraId="7323E276" w14:textId="77777777" w:rsidR="008A5C7B" w:rsidRPr="007A1166" w:rsidRDefault="008A5C7B" w:rsidP="000A49F9">
            <w:pPr>
              <w:jc w:val="center"/>
              <w:rPr>
                <w:rFonts w:asciiTheme="majorHAnsi" w:hAnsiTheme="majorHAnsi"/>
                <w:sz w:val="24"/>
                <w:szCs w:val="24"/>
                <w:lang w:val="en-US"/>
              </w:rPr>
            </w:pPr>
          </w:p>
        </w:tc>
        <w:tc>
          <w:tcPr>
            <w:tcW w:w="1676" w:type="dxa"/>
          </w:tcPr>
          <w:p w14:paraId="42B3CEEA"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0.10  </w:t>
            </w:r>
          </w:p>
          <w:p w14:paraId="0715BF34"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(0.30)</w:t>
            </w:r>
          </w:p>
        </w:tc>
        <w:tc>
          <w:tcPr>
            <w:tcW w:w="1701" w:type="dxa"/>
          </w:tcPr>
          <w:p w14:paraId="6854D959"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0.05 </w:t>
            </w:r>
          </w:p>
          <w:p w14:paraId="1A2312A9"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(0.22)</w:t>
            </w:r>
          </w:p>
        </w:tc>
        <w:tc>
          <w:tcPr>
            <w:tcW w:w="1297" w:type="dxa"/>
            <w:gridSpan w:val="2"/>
          </w:tcPr>
          <w:p w14:paraId="4E8FA361"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0.04*</w:t>
            </w:r>
          </w:p>
        </w:tc>
      </w:tr>
      <w:tr w:rsidR="008A5C7B" w:rsidRPr="007A1166" w14:paraId="1BFC43D2" w14:textId="77777777" w:rsidTr="000A49F9">
        <w:trPr>
          <w:gridAfter w:val="1"/>
          <w:wAfter w:w="165" w:type="dxa"/>
        </w:trPr>
        <w:tc>
          <w:tcPr>
            <w:tcW w:w="4334" w:type="dxa"/>
            <w:tcBorders>
              <w:bottom w:val="single" w:sz="4" w:space="0" w:color="auto"/>
            </w:tcBorders>
          </w:tcPr>
          <w:p w14:paraId="59D319F5" w14:textId="77777777" w:rsidR="008A5C7B" w:rsidRPr="007A1166" w:rsidRDefault="008A5C7B" w:rsidP="000A49F9">
            <w:pPr>
              <w:rPr>
                <w:rFonts w:asciiTheme="majorHAnsi" w:eastAsiaTheme="minorEastAsia" w:hAnsiTheme="majorHAnsi" w:cs="Times New Roman"/>
                <w:sz w:val="24"/>
                <w:szCs w:val="24"/>
                <w:lang w:val="en-US" w:eastAsia="de-DE"/>
              </w:rPr>
            </w:pPr>
          </w:p>
        </w:tc>
        <w:tc>
          <w:tcPr>
            <w:tcW w:w="1214" w:type="dxa"/>
            <w:tcBorders>
              <w:bottom w:val="single" w:sz="4" w:space="0" w:color="auto"/>
            </w:tcBorders>
          </w:tcPr>
          <w:p w14:paraId="1297AA0B" w14:textId="77777777" w:rsidR="008A5C7B" w:rsidRPr="007A1166" w:rsidRDefault="008A5C7B" w:rsidP="000A49F9">
            <w:pPr>
              <w:rPr>
                <w:rFonts w:asciiTheme="majorHAnsi" w:hAnsiTheme="majorHAnsi"/>
                <w:sz w:val="24"/>
                <w:szCs w:val="24"/>
                <w:lang w:val="en-US"/>
              </w:rPr>
            </w:pPr>
          </w:p>
        </w:tc>
        <w:tc>
          <w:tcPr>
            <w:tcW w:w="1215" w:type="dxa"/>
            <w:tcBorders>
              <w:bottom w:val="single" w:sz="4" w:space="0" w:color="auto"/>
            </w:tcBorders>
          </w:tcPr>
          <w:p w14:paraId="5F6319E6" w14:textId="77777777" w:rsidR="008A5C7B" w:rsidRPr="007A1166" w:rsidRDefault="008A5C7B" w:rsidP="000A49F9">
            <w:pPr>
              <w:rPr>
                <w:rFonts w:asciiTheme="majorHAnsi" w:hAnsiTheme="majorHAnsi"/>
                <w:sz w:val="24"/>
                <w:szCs w:val="24"/>
                <w:lang w:val="en-US"/>
              </w:rPr>
            </w:pPr>
          </w:p>
        </w:tc>
        <w:tc>
          <w:tcPr>
            <w:tcW w:w="1215" w:type="dxa"/>
            <w:tcBorders>
              <w:bottom w:val="single" w:sz="4" w:space="0" w:color="auto"/>
            </w:tcBorders>
          </w:tcPr>
          <w:p w14:paraId="77E56557" w14:textId="77777777" w:rsidR="008A5C7B" w:rsidRPr="007A1166" w:rsidRDefault="008A5C7B" w:rsidP="000A49F9">
            <w:pPr>
              <w:rPr>
                <w:rFonts w:asciiTheme="majorHAnsi" w:hAnsiTheme="majorHAnsi"/>
                <w:sz w:val="24"/>
                <w:szCs w:val="24"/>
                <w:lang w:val="en-US"/>
              </w:rPr>
            </w:pPr>
          </w:p>
        </w:tc>
        <w:tc>
          <w:tcPr>
            <w:tcW w:w="235" w:type="dxa"/>
            <w:tcBorders>
              <w:bottom w:val="single" w:sz="4" w:space="0" w:color="auto"/>
            </w:tcBorders>
          </w:tcPr>
          <w:p w14:paraId="366DC42D" w14:textId="77777777" w:rsidR="008A5C7B" w:rsidRPr="007A1166" w:rsidRDefault="008A5C7B" w:rsidP="000A49F9">
            <w:pPr>
              <w:jc w:val="center"/>
              <w:rPr>
                <w:rFonts w:asciiTheme="majorHAnsi" w:hAnsiTheme="majorHAnsi"/>
                <w:sz w:val="24"/>
                <w:szCs w:val="24"/>
                <w:lang w:val="en-US"/>
              </w:rPr>
            </w:pPr>
          </w:p>
        </w:tc>
        <w:tc>
          <w:tcPr>
            <w:tcW w:w="1676" w:type="dxa"/>
            <w:tcBorders>
              <w:bottom w:val="single" w:sz="4" w:space="0" w:color="auto"/>
            </w:tcBorders>
          </w:tcPr>
          <w:p w14:paraId="2C0BB8B5" w14:textId="77777777" w:rsidR="008A5C7B" w:rsidRPr="007A1166" w:rsidRDefault="008A5C7B" w:rsidP="000A49F9">
            <w:pPr>
              <w:jc w:val="center"/>
              <w:rPr>
                <w:rFonts w:asciiTheme="majorHAnsi" w:hAnsiTheme="majorHAnsi"/>
                <w:sz w:val="24"/>
                <w:szCs w:val="24"/>
                <w:lang w:val="en-US"/>
              </w:rPr>
            </w:pPr>
          </w:p>
        </w:tc>
        <w:tc>
          <w:tcPr>
            <w:tcW w:w="1701" w:type="dxa"/>
            <w:tcBorders>
              <w:bottom w:val="single" w:sz="4" w:space="0" w:color="auto"/>
            </w:tcBorders>
          </w:tcPr>
          <w:p w14:paraId="58B9C0BC" w14:textId="77777777" w:rsidR="008A5C7B" w:rsidRPr="007A1166" w:rsidRDefault="008A5C7B" w:rsidP="000A49F9">
            <w:pPr>
              <w:jc w:val="center"/>
              <w:rPr>
                <w:rFonts w:asciiTheme="majorHAnsi" w:hAnsiTheme="majorHAnsi"/>
                <w:sz w:val="24"/>
                <w:szCs w:val="24"/>
                <w:lang w:val="en-US"/>
              </w:rPr>
            </w:pPr>
          </w:p>
        </w:tc>
        <w:tc>
          <w:tcPr>
            <w:tcW w:w="1297" w:type="dxa"/>
            <w:gridSpan w:val="2"/>
            <w:tcBorders>
              <w:bottom w:val="single" w:sz="4" w:space="0" w:color="auto"/>
            </w:tcBorders>
          </w:tcPr>
          <w:p w14:paraId="6923C2FD" w14:textId="77777777" w:rsidR="008A5C7B" w:rsidRPr="007A1166" w:rsidRDefault="008A5C7B" w:rsidP="000A49F9">
            <w:pPr>
              <w:jc w:val="center"/>
              <w:rPr>
                <w:rFonts w:asciiTheme="majorHAnsi" w:hAnsiTheme="majorHAnsi"/>
                <w:sz w:val="24"/>
                <w:szCs w:val="24"/>
                <w:lang w:val="en-US"/>
              </w:rPr>
            </w:pPr>
          </w:p>
        </w:tc>
      </w:tr>
      <w:tr w:rsidR="008A5C7B" w:rsidRPr="007A1166" w14:paraId="2CBE2DF0" w14:textId="77777777" w:rsidTr="000A49F9">
        <w:trPr>
          <w:gridAfter w:val="1"/>
          <w:wAfter w:w="165" w:type="dxa"/>
        </w:trPr>
        <w:tc>
          <w:tcPr>
            <w:tcW w:w="4334" w:type="dxa"/>
            <w:tcBorders>
              <w:top w:val="single" w:sz="4" w:space="0" w:color="auto"/>
            </w:tcBorders>
          </w:tcPr>
          <w:p w14:paraId="37C295F3" w14:textId="77777777" w:rsidR="008A5C7B" w:rsidRPr="007A1166" w:rsidRDefault="008A5C7B" w:rsidP="000A49F9">
            <w:pPr>
              <w:rPr>
                <w:rFonts w:asciiTheme="majorHAnsi" w:eastAsiaTheme="minorEastAsia" w:hAnsiTheme="majorHAnsi" w:cs="Times New Roman"/>
                <w:sz w:val="24"/>
                <w:szCs w:val="24"/>
                <w:lang w:val="en-US" w:eastAsia="de-DE"/>
              </w:rPr>
            </w:pPr>
          </w:p>
        </w:tc>
        <w:tc>
          <w:tcPr>
            <w:tcW w:w="1214" w:type="dxa"/>
            <w:tcBorders>
              <w:top w:val="single" w:sz="4" w:space="0" w:color="auto"/>
            </w:tcBorders>
          </w:tcPr>
          <w:p w14:paraId="3EFF49C5" w14:textId="77777777" w:rsidR="008A5C7B" w:rsidRPr="007A1166" w:rsidRDefault="008A5C7B" w:rsidP="000A49F9">
            <w:pPr>
              <w:jc w:val="center"/>
              <w:rPr>
                <w:rFonts w:asciiTheme="majorHAnsi" w:hAnsiTheme="majorHAnsi"/>
                <w:sz w:val="24"/>
                <w:szCs w:val="24"/>
                <w:lang w:val="en-US"/>
              </w:rPr>
            </w:pPr>
          </w:p>
        </w:tc>
        <w:tc>
          <w:tcPr>
            <w:tcW w:w="1215" w:type="dxa"/>
            <w:tcBorders>
              <w:top w:val="single" w:sz="4" w:space="0" w:color="auto"/>
            </w:tcBorders>
          </w:tcPr>
          <w:p w14:paraId="62BDD0C6" w14:textId="77777777" w:rsidR="008A5C7B" w:rsidRPr="007A1166" w:rsidRDefault="008A5C7B" w:rsidP="000A49F9">
            <w:pPr>
              <w:jc w:val="center"/>
              <w:rPr>
                <w:rFonts w:asciiTheme="majorHAnsi" w:hAnsiTheme="majorHAnsi"/>
                <w:sz w:val="24"/>
                <w:szCs w:val="24"/>
                <w:lang w:val="en-US"/>
              </w:rPr>
            </w:pPr>
          </w:p>
        </w:tc>
        <w:tc>
          <w:tcPr>
            <w:tcW w:w="1215" w:type="dxa"/>
            <w:tcBorders>
              <w:top w:val="single" w:sz="4" w:space="0" w:color="auto"/>
            </w:tcBorders>
          </w:tcPr>
          <w:p w14:paraId="26FF1D57" w14:textId="77777777" w:rsidR="008A5C7B" w:rsidRPr="007A1166" w:rsidRDefault="008A5C7B" w:rsidP="000A49F9">
            <w:pPr>
              <w:jc w:val="center"/>
              <w:rPr>
                <w:rFonts w:asciiTheme="majorHAnsi" w:hAnsiTheme="majorHAnsi"/>
                <w:sz w:val="24"/>
                <w:szCs w:val="24"/>
                <w:lang w:val="en-US"/>
              </w:rPr>
            </w:pPr>
          </w:p>
        </w:tc>
        <w:tc>
          <w:tcPr>
            <w:tcW w:w="235" w:type="dxa"/>
            <w:tcBorders>
              <w:top w:val="single" w:sz="4" w:space="0" w:color="auto"/>
            </w:tcBorders>
          </w:tcPr>
          <w:p w14:paraId="24154B2E" w14:textId="77777777" w:rsidR="008A5C7B" w:rsidRPr="007A1166" w:rsidRDefault="008A5C7B" w:rsidP="000A49F9">
            <w:pPr>
              <w:jc w:val="center"/>
              <w:rPr>
                <w:rFonts w:asciiTheme="majorHAnsi" w:hAnsiTheme="majorHAnsi"/>
                <w:sz w:val="24"/>
                <w:szCs w:val="24"/>
                <w:lang w:val="en-US"/>
              </w:rPr>
            </w:pPr>
          </w:p>
        </w:tc>
        <w:tc>
          <w:tcPr>
            <w:tcW w:w="1676" w:type="dxa"/>
            <w:tcBorders>
              <w:top w:val="single" w:sz="4" w:space="0" w:color="auto"/>
            </w:tcBorders>
          </w:tcPr>
          <w:p w14:paraId="5FF1DC81" w14:textId="77777777" w:rsidR="008A5C7B" w:rsidRPr="007A1166" w:rsidRDefault="008A5C7B" w:rsidP="000A49F9">
            <w:pPr>
              <w:jc w:val="center"/>
              <w:rPr>
                <w:rFonts w:asciiTheme="majorHAnsi" w:hAnsiTheme="majorHAnsi"/>
                <w:sz w:val="24"/>
                <w:szCs w:val="24"/>
                <w:lang w:val="en-US"/>
              </w:rPr>
            </w:pPr>
          </w:p>
        </w:tc>
        <w:tc>
          <w:tcPr>
            <w:tcW w:w="1701" w:type="dxa"/>
            <w:tcBorders>
              <w:top w:val="single" w:sz="4" w:space="0" w:color="auto"/>
            </w:tcBorders>
          </w:tcPr>
          <w:p w14:paraId="5CA534ED" w14:textId="77777777" w:rsidR="008A5C7B" w:rsidRPr="007A1166" w:rsidRDefault="008A5C7B" w:rsidP="000A49F9">
            <w:pPr>
              <w:jc w:val="center"/>
              <w:rPr>
                <w:rFonts w:asciiTheme="majorHAnsi" w:hAnsiTheme="majorHAnsi"/>
                <w:sz w:val="24"/>
                <w:szCs w:val="24"/>
                <w:lang w:val="en-US"/>
              </w:rPr>
            </w:pPr>
          </w:p>
        </w:tc>
        <w:tc>
          <w:tcPr>
            <w:tcW w:w="1297" w:type="dxa"/>
            <w:gridSpan w:val="2"/>
            <w:tcBorders>
              <w:top w:val="single" w:sz="4" w:space="0" w:color="auto"/>
            </w:tcBorders>
          </w:tcPr>
          <w:p w14:paraId="48EC4FCC" w14:textId="77777777" w:rsidR="008A5C7B" w:rsidRPr="007A1166" w:rsidRDefault="008A5C7B" w:rsidP="000A49F9">
            <w:pPr>
              <w:jc w:val="center"/>
              <w:rPr>
                <w:rFonts w:asciiTheme="majorHAnsi" w:hAnsiTheme="majorHAnsi"/>
                <w:sz w:val="24"/>
                <w:szCs w:val="24"/>
                <w:lang w:val="en-US"/>
              </w:rPr>
            </w:pPr>
          </w:p>
        </w:tc>
      </w:tr>
      <w:tr w:rsidR="008A5C7B" w:rsidRPr="007A1166" w14:paraId="12BC786A" w14:textId="77777777" w:rsidTr="000A49F9">
        <w:trPr>
          <w:gridAfter w:val="1"/>
          <w:wAfter w:w="165" w:type="dxa"/>
        </w:trPr>
        <w:tc>
          <w:tcPr>
            <w:tcW w:w="4334" w:type="dxa"/>
            <w:tcBorders>
              <w:bottom w:val="single" w:sz="4" w:space="0" w:color="auto"/>
            </w:tcBorders>
          </w:tcPr>
          <w:p w14:paraId="16F50816" w14:textId="77777777" w:rsidR="008A5C7B" w:rsidRPr="007A1166" w:rsidRDefault="008A5C7B" w:rsidP="000A49F9">
            <w:pPr>
              <w:pageBreakBefore/>
              <w:rPr>
                <w:rFonts w:asciiTheme="majorHAnsi" w:eastAsiaTheme="minorEastAsia" w:hAnsiTheme="majorHAnsi" w:cs="Times New Roman"/>
                <w:i/>
                <w:sz w:val="24"/>
                <w:szCs w:val="24"/>
                <w:lang w:val="en-US" w:eastAsia="de-DE"/>
              </w:rPr>
            </w:pPr>
            <w:r w:rsidRPr="007A1166">
              <w:rPr>
                <w:rFonts w:asciiTheme="majorHAnsi" w:eastAsiaTheme="minorEastAsia" w:hAnsiTheme="majorHAnsi" w:cs="Times New Roman"/>
                <w:i/>
                <w:sz w:val="24"/>
                <w:szCs w:val="24"/>
                <w:lang w:val="en-US" w:eastAsia="de-DE"/>
              </w:rPr>
              <w:lastRenderedPageBreak/>
              <w:t>Table 3 continued</w:t>
            </w:r>
          </w:p>
        </w:tc>
        <w:tc>
          <w:tcPr>
            <w:tcW w:w="1214" w:type="dxa"/>
            <w:tcBorders>
              <w:bottom w:val="single" w:sz="4" w:space="0" w:color="auto"/>
            </w:tcBorders>
          </w:tcPr>
          <w:p w14:paraId="5143FACC" w14:textId="77777777" w:rsidR="008A5C7B" w:rsidRPr="007A1166" w:rsidRDefault="008A5C7B" w:rsidP="000A49F9">
            <w:pPr>
              <w:pageBreakBefore/>
              <w:jc w:val="center"/>
              <w:rPr>
                <w:rFonts w:asciiTheme="majorHAnsi" w:hAnsiTheme="majorHAnsi"/>
                <w:sz w:val="24"/>
                <w:szCs w:val="24"/>
                <w:lang w:val="en-US"/>
              </w:rPr>
            </w:pPr>
          </w:p>
        </w:tc>
        <w:tc>
          <w:tcPr>
            <w:tcW w:w="1215" w:type="dxa"/>
            <w:tcBorders>
              <w:bottom w:val="single" w:sz="4" w:space="0" w:color="auto"/>
            </w:tcBorders>
          </w:tcPr>
          <w:p w14:paraId="37F956E6" w14:textId="77777777" w:rsidR="008A5C7B" w:rsidRPr="007A1166" w:rsidRDefault="008A5C7B" w:rsidP="000A49F9">
            <w:pPr>
              <w:pageBreakBefore/>
              <w:jc w:val="center"/>
              <w:rPr>
                <w:rFonts w:asciiTheme="majorHAnsi" w:hAnsiTheme="majorHAnsi"/>
                <w:sz w:val="24"/>
                <w:szCs w:val="24"/>
                <w:lang w:val="en-US"/>
              </w:rPr>
            </w:pPr>
          </w:p>
        </w:tc>
        <w:tc>
          <w:tcPr>
            <w:tcW w:w="1215" w:type="dxa"/>
            <w:tcBorders>
              <w:bottom w:val="single" w:sz="4" w:space="0" w:color="auto"/>
            </w:tcBorders>
          </w:tcPr>
          <w:p w14:paraId="738799E1" w14:textId="77777777" w:rsidR="008A5C7B" w:rsidRPr="007A1166" w:rsidRDefault="008A5C7B" w:rsidP="000A49F9">
            <w:pPr>
              <w:pageBreakBefore/>
              <w:jc w:val="center"/>
              <w:rPr>
                <w:rFonts w:asciiTheme="majorHAnsi" w:hAnsiTheme="majorHAnsi"/>
                <w:sz w:val="24"/>
                <w:szCs w:val="24"/>
                <w:lang w:val="en-US"/>
              </w:rPr>
            </w:pPr>
          </w:p>
        </w:tc>
        <w:tc>
          <w:tcPr>
            <w:tcW w:w="235" w:type="dxa"/>
            <w:tcBorders>
              <w:bottom w:val="single" w:sz="4" w:space="0" w:color="auto"/>
            </w:tcBorders>
          </w:tcPr>
          <w:p w14:paraId="34275542" w14:textId="77777777" w:rsidR="008A5C7B" w:rsidRPr="007A1166" w:rsidRDefault="008A5C7B" w:rsidP="000A49F9">
            <w:pPr>
              <w:pageBreakBefore/>
              <w:jc w:val="center"/>
              <w:rPr>
                <w:rFonts w:asciiTheme="majorHAnsi" w:hAnsiTheme="majorHAnsi"/>
                <w:sz w:val="24"/>
                <w:szCs w:val="24"/>
                <w:lang w:val="en-US"/>
              </w:rPr>
            </w:pPr>
          </w:p>
        </w:tc>
        <w:tc>
          <w:tcPr>
            <w:tcW w:w="1676" w:type="dxa"/>
            <w:tcBorders>
              <w:bottom w:val="single" w:sz="4" w:space="0" w:color="auto"/>
            </w:tcBorders>
          </w:tcPr>
          <w:p w14:paraId="63FE9CDE" w14:textId="77777777" w:rsidR="008A5C7B" w:rsidRPr="007A1166" w:rsidRDefault="008A5C7B" w:rsidP="000A49F9">
            <w:pPr>
              <w:pageBreakBefore/>
              <w:jc w:val="center"/>
              <w:rPr>
                <w:rFonts w:asciiTheme="majorHAnsi" w:hAnsiTheme="majorHAnsi"/>
                <w:sz w:val="24"/>
                <w:szCs w:val="24"/>
                <w:lang w:val="en-US"/>
              </w:rPr>
            </w:pPr>
          </w:p>
        </w:tc>
        <w:tc>
          <w:tcPr>
            <w:tcW w:w="1701" w:type="dxa"/>
            <w:tcBorders>
              <w:bottom w:val="single" w:sz="4" w:space="0" w:color="auto"/>
            </w:tcBorders>
          </w:tcPr>
          <w:p w14:paraId="39D4CCF6" w14:textId="77777777" w:rsidR="008A5C7B" w:rsidRPr="007A1166" w:rsidRDefault="008A5C7B" w:rsidP="000A49F9">
            <w:pPr>
              <w:pageBreakBefore/>
              <w:jc w:val="center"/>
              <w:rPr>
                <w:rFonts w:asciiTheme="majorHAnsi" w:hAnsiTheme="majorHAnsi"/>
                <w:sz w:val="24"/>
                <w:szCs w:val="24"/>
                <w:lang w:val="en-US"/>
              </w:rPr>
            </w:pPr>
          </w:p>
        </w:tc>
        <w:tc>
          <w:tcPr>
            <w:tcW w:w="1297" w:type="dxa"/>
            <w:gridSpan w:val="2"/>
            <w:tcBorders>
              <w:bottom w:val="single" w:sz="4" w:space="0" w:color="auto"/>
            </w:tcBorders>
          </w:tcPr>
          <w:p w14:paraId="33C7CAD1" w14:textId="77777777" w:rsidR="008A5C7B" w:rsidRPr="007A1166" w:rsidRDefault="008A5C7B" w:rsidP="000A49F9">
            <w:pPr>
              <w:pageBreakBefore/>
              <w:jc w:val="center"/>
              <w:rPr>
                <w:rFonts w:asciiTheme="majorHAnsi" w:hAnsiTheme="majorHAnsi"/>
                <w:sz w:val="24"/>
                <w:szCs w:val="24"/>
                <w:lang w:val="en-US"/>
              </w:rPr>
            </w:pPr>
          </w:p>
        </w:tc>
      </w:tr>
      <w:tr w:rsidR="008A5C7B" w:rsidRPr="007A1166" w14:paraId="6B1549E2" w14:textId="77777777" w:rsidTr="000A49F9">
        <w:trPr>
          <w:gridAfter w:val="1"/>
          <w:wAfter w:w="165" w:type="dxa"/>
        </w:trPr>
        <w:tc>
          <w:tcPr>
            <w:tcW w:w="4334" w:type="dxa"/>
            <w:tcBorders>
              <w:top w:val="single" w:sz="4" w:space="0" w:color="auto"/>
            </w:tcBorders>
          </w:tcPr>
          <w:p w14:paraId="63642EBB" w14:textId="77777777" w:rsidR="008A5C7B" w:rsidRPr="007A1166" w:rsidRDefault="008A5C7B" w:rsidP="000A49F9">
            <w:pPr>
              <w:rPr>
                <w:rFonts w:asciiTheme="majorHAnsi" w:eastAsiaTheme="minorEastAsia" w:hAnsiTheme="majorHAnsi" w:cs="Times New Roman"/>
                <w:i/>
                <w:sz w:val="24"/>
                <w:szCs w:val="24"/>
                <w:lang w:val="en-US" w:eastAsia="de-DE"/>
              </w:rPr>
            </w:pPr>
            <w:r w:rsidRPr="007A1166">
              <w:rPr>
                <w:rFonts w:asciiTheme="majorHAnsi" w:eastAsiaTheme="minorEastAsia" w:hAnsiTheme="majorHAnsi" w:cs="Times New Roman"/>
                <w:i/>
                <w:sz w:val="24"/>
                <w:szCs w:val="24"/>
                <w:lang w:val="en-US" w:eastAsia="de-DE"/>
              </w:rPr>
              <w:t>Household characteristics</w:t>
            </w:r>
          </w:p>
        </w:tc>
        <w:tc>
          <w:tcPr>
            <w:tcW w:w="1214" w:type="dxa"/>
            <w:tcBorders>
              <w:top w:val="single" w:sz="4" w:space="0" w:color="auto"/>
            </w:tcBorders>
          </w:tcPr>
          <w:p w14:paraId="1561ACEE" w14:textId="77777777" w:rsidR="008A5C7B" w:rsidRPr="007A1166" w:rsidRDefault="008A5C7B" w:rsidP="000A49F9">
            <w:pPr>
              <w:jc w:val="center"/>
              <w:rPr>
                <w:rFonts w:asciiTheme="majorHAnsi" w:hAnsiTheme="majorHAnsi"/>
                <w:sz w:val="24"/>
                <w:szCs w:val="24"/>
                <w:lang w:val="en-US"/>
              </w:rPr>
            </w:pPr>
          </w:p>
        </w:tc>
        <w:tc>
          <w:tcPr>
            <w:tcW w:w="1215" w:type="dxa"/>
            <w:tcBorders>
              <w:top w:val="single" w:sz="4" w:space="0" w:color="auto"/>
            </w:tcBorders>
          </w:tcPr>
          <w:p w14:paraId="5F33D6A3" w14:textId="77777777" w:rsidR="008A5C7B" w:rsidRPr="007A1166" w:rsidRDefault="008A5C7B" w:rsidP="000A49F9">
            <w:pPr>
              <w:jc w:val="center"/>
              <w:rPr>
                <w:rFonts w:asciiTheme="majorHAnsi" w:hAnsiTheme="majorHAnsi"/>
                <w:sz w:val="24"/>
                <w:szCs w:val="24"/>
                <w:lang w:val="en-US"/>
              </w:rPr>
            </w:pPr>
          </w:p>
        </w:tc>
        <w:tc>
          <w:tcPr>
            <w:tcW w:w="1215" w:type="dxa"/>
            <w:tcBorders>
              <w:top w:val="single" w:sz="4" w:space="0" w:color="auto"/>
            </w:tcBorders>
          </w:tcPr>
          <w:p w14:paraId="62BE238C" w14:textId="77777777" w:rsidR="008A5C7B" w:rsidRPr="007A1166" w:rsidRDefault="008A5C7B" w:rsidP="000A49F9">
            <w:pPr>
              <w:jc w:val="center"/>
              <w:rPr>
                <w:rFonts w:asciiTheme="majorHAnsi" w:hAnsiTheme="majorHAnsi"/>
                <w:sz w:val="24"/>
                <w:szCs w:val="24"/>
                <w:lang w:val="en-US"/>
              </w:rPr>
            </w:pPr>
          </w:p>
        </w:tc>
        <w:tc>
          <w:tcPr>
            <w:tcW w:w="235" w:type="dxa"/>
            <w:tcBorders>
              <w:top w:val="single" w:sz="4" w:space="0" w:color="auto"/>
            </w:tcBorders>
          </w:tcPr>
          <w:p w14:paraId="3366A720" w14:textId="77777777" w:rsidR="008A5C7B" w:rsidRPr="007A1166" w:rsidRDefault="008A5C7B" w:rsidP="000A49F9">
            <w:pPr>
              <w:jc w:val="center"/>
              <w:rPr>
                <w:rFonts w:asciiTheme="majorHAnsi" w:hAnsiTheme="majorHAnsi"/>
                <w:sz w:val="24"/>
                <w:szCs w:val="24"/>
                <w:lang w:val="en-US"/>
              </w:rPr>
            </w:pPr>
          </w:p>
        </w:tc>
        <w:tc>
          <w:tcPr>
            <w:tcW w:w="1676" w:type="dxa"/>
            <w:tcBorders>
              <w:top w:val="single" w:sz="4" w:space="0" w:color="auto"/>
            </w:tcBorders>
          </w:tcPr>
          <w:p w14:paraId="0426345F" w14:textId="77777777" w:rsidR="008A5C7B" w:rsidRPr="007A1166" w:rsidRDefault="008A5C7B" w:rsidP="000A49F9">
            <w:pPr>
              <w:jc w:val="center"/>
              <w:rPr>
                <w:rFonts w:asciiTheme="majorHAnsi" w:hAnsiTheme="majorHAnsi"/>
                <w:sz w:val="24"/>
                <w:szCs w:val="24"/>
                <w:lang w:val="en-US"/>
              </w:rPr>
            </w:pPr>
          </w:p>
        </w:tc>
        <w:tc>
          <w:tcPr>
            <w:tcW w:w="1701" w:type="dxa"/>
            <w:tcBorders>
              <w:top w:val="single" w:sz="4" w:space="0" w:color="auto"/>
            </w:tcBorders>
          </w:tcPr>
          <w:p w14:paraId="48B3C766" w14:textId="77777777" w:rsidR="008A5C7B" w:rsidRPr="007A1166" w:rsidRDefault="008A5C7B" w:rsidP="000A49F9">
            <w:pPr>
              <w:jc w:val="center"/>
              <w:rPr>
                <w:rFonts w:asciiTheme="majorHAnsi" w:hAnsiTheme="majorHAnsi"/>
                <w:sz w:val="24"/>
                <w:szCs w:val="24"/>
                <w:lang w:val="en-US"/>
              </w:rPr>
            </w:pPr>
          </w:p>
        </w:tc>
        <w:tc>
          <w:tcPr>
            <w:tcW w:w="1297" w:type="dxa"/>
            <w:gridSpan w:val="2"/>
            <w:tcBorders>
              <w:top w:val="single" w:sz="4" w:space="0" w:color="auto"/>
            </w:tcBorders>
          </w:tcPr>
          <w:p w14:paraId="33F5784F" w14:textId="77777777" w:rsidR="008A5C7B" w:rsidRPr="007A1166" w:rsidRDefault="008A5C7B" w:rsidP="000A49F9">
            <w:pPr>
              <w:jc w:val="center"/>
              <w:rPr>
                <w:rFonts w:asciiTheme="majorHAnsi" w:hAnsiTheme="majorHAnsi"/>
                <w:sz w:val="24"/>
                <w:szCs w:val="24"/>
                <w:lang w:val="en-US"/>
              </w:rPr>
            </w:pPr>
          </w:p>
        </w:tc>
      </w:tr>
      <w:tr w:rsidR="008A5C7B" w:rsidRPr="007A1166" w14:paraId="13C88DD4" w14:textId="77777777" w:rsidTr="000A49F9">
        <w:trPr>
          <w:gridAfter w:val="1"/>
          <w:wAfter w:w="165" w:type="dxa"/>
        </w:trPr>
        <w:tc>
          <w:tcPr>
            <w:tcW w:w="4334" w:type="dxa"/>
          </w:tcPr>
          <w:p w14:paraId="2AC0657A" w14:textId="77777777" w:rsidR="008A5C7B" w:rsidRPr="007A1166" w:rsidRDefault="008A5C7B" w:rsidP="000A49F9">
            <w:pPr>
              <w:rPr>
                <w:rFonts w:asciiTheme="majorHAnsi" w:hAnsiTheme="majorHAnsi"/>
                <w:sz w:val="24"/>
                <w:szCs w:val="24"/>
                <w:lang w:val="en-US"/>
              </w:rPr>
            </w:pPr>
            <w:r w:rsidRPr="007A1166">
              <w:rPr>
                <w:rFonts w:asciiTheme="majorHAnsi" w:eastAsiaTheme="minorEastAsia" w:hAnsiTheme="majorHAnsi" w:cs="Times New Roman"/>
                <w:sz w:val="24"/>
                <w:szCs w:val="24"/>
                <w:lang w:val="en-US" w:eastAsia="de-DE"/>
              </w:rPr>
              <w:t>Sex of household head (1=female)</w:t>
            </w:r>
          </w:p>
        </w:tc>
        <w:tc>
          <w:tcPr>
            <w:tcW w:w="1214" w:type="dxa"/>
          </w:tcPr>
          <w:p w14:paraId="3201D542"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0.28 (0.45)</w:t>
            </w:r>
          </w:p>
        </w:tc>
        <w:tc>
          <w:tcPr>
            <w:tcW w:w="1215" w:type="dxa"/>
          </w:tcPr>
          <w:p w14:paraId="0B5F19F3"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0.29 (0.45)</w:t>
            </w:r>
          </w:p>
        </w:tc>
        <w:tc>
          <w:tcPr>
            <w:tcW w:w="1215" w:type="dxa"/>
          </w:tcPr>
          <w:p w14:paraId="5A733201"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0.27 (0.44)</w:t>
            </w:r>
          </w:p>
        </w:tc>
        <w:tc>
          <w:tcPr>
            <w:tcW w:w="235" w:type="dxa"/>
          </w:tcPr>
          <w:p w14:paraId="10522915" w14:textId="77777777" w:rsidR="008A5C7B" w:rsidRPr="007A1166" w:rsidRDefault="008A5C7B" w:rsidP="000A49F9">
            <w:pPr>
              <w:jc w:val="center"/>
              <w:rPr>
                <w:rFonts w:asciiTheme="majorHAnsi" w:hAnsiTheme="majorHAnsi"/>
                <w:sz w:val="24"/>
                <w:szCs w:val="24"/>
                <w:lang w:val="en-US"/>
              </w:rPr>
            </w:pPr>
          </w:p>
        </w:tc>
        <w:tc>
          <w:tcPr>
            <w:tcW w:w="1676" w:type="dxa"/>
          </w:tcPr>
          <w:p w14:paraId="3AFEC081"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0.23   </w:t>
            </w:r>
          </w:p>
          <w:p w14:paraId="5A2BDF5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(0.42)</w:t>
            </w:r>
          </w:p>
        </w:tc>
        <w:tc>
          <w:tcPr>
            <w:tcW w:w="1701" w:type="dxa"/>
          </w:tcPr>
          <w:p w14:paraId="6023FB93"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0.33 </w:t>
            </w:r>
          </w:p>
          <w:p w14:paraId="5F77109D"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(0.47)</w:t>
            </w:r>
          </w:p>
          <w:p w14:paraId="75C54B8C"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2CF02502"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-0.10**</w:t>
            </w:r>
          </w:p>
        </w:tc>
      </w:tr>
      <w:tr w:rsidR="008A5C7B" w:rsidRPr="007A1166" w14:paraId="5BD9E6E0" w14:textId="77777777" w:rsidTr="000A49F9">
        <w:trPr>
          <w:gridAfter w:val="1"/>
          <w:wAfter w:w="165" w:type="dxa"/>
        </w:trPr>
        <w:tc>
          <w:tcPr>
            <w:tcW w:w="4334" w:type="dxa"/>
          </w:tcPr>
          <w:p w14:paraId="0FF5B82A" w14:textId="77777777" w:rsidR="008A5C7B" w:rsidRPr="007A1166" w:rsidRDefault="008A5C7B" w:rsidP="000A49F9">
            <w:pPr>
              <w:rPr>
                <w:rFonts w:asciiTheme="majorHAnsi" w:hAnsiTheme="majorHAnsi"/>
                <w:sz w:val="24"/>
                <w:szCs w:val="24"/>
                <w:lang w:val="en-US"/>
              </w:rPr>
            </w:pPr>
            <w:r w:rsidRPr="007A1166">
              <w:rPr>
                <w:rFonts w:asciiTheme="majorHAnsi" w:eastAsiaTheme="minorEastAsia" w:hAnsiTheme="majorHAnsi" w:cs="Times New Roman"/>
                <w:sz w:val="24"/>
                <w:szCs w:val="24"/>
                <w:lang w:val="en-US" w:eastAsia="de-DE"/>
              </w:rPr>
              <w:t>Age of household head (years)</w:t>
            </w:r>
          </w:p>
        </w:tc>
        <w:tc>
          <w:tcPr>
            <w:tcW w:w="1214" w:type="dxa"/>
          </w:tcPr>
          <w:p w14:paraId="60A6D4EF"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41    (10.55)</w:t>
            </w:r>
          </w:p>
        </w:tc>
        <w:tc>
          <w:tcPr>
            <w:tcW w:w="1215" w:type="dxa"/>
          </w:tcPr>
          <w:p w14:paraId="7B43BF12"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40  (10.57)</w:t>
            </w:r>
          </w:p>
        </w:tc>
        <w:tc>
          <w:tcPr>
            <w:tcW w:w="1215" w:type="dxa"/>
          </w:tcPr>
          <w:p w14:paraId="7106051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41  (10.53)</w:t>
            </w:r>
          </w:p>
        </w:tc>
        <w:tc>
          <w:tcPr>
            <w:tcW w:w="235" w:type="dxa"/>
          </w:tcPr>
          <w:p w14:paraId="0EFEC87C" w14:textId="77777777" w:rsidR="008A5C7B" w:rsidRPr="007A1166" w:rsidRDefault="008A5C7B" w:rsidP="000A49F9">
            <w:pPr>
              <w:jc w:val="center"/>
              <w:rPr>
                <w:rFonts w:asciiTheme="majorHAnsi" w:hAnsiTheme="majorHAnsi"/>
                <w:sz w:val="24"/>
                <w:szCs w:val="24"/>
                <w:lang w:val="en-US"/>
              </w:rPr>
            </w:pPr>
          </w:p>
        </w:tc>
        <w:tc>
          <w:tcPr>
            <w:tcW w:w="1676" w:type="dxa"/>
          </w:tcPr>
          <w:p w14:paraId="5F5DF145"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40 </w:t>
            </w:r>
          </w:p>
          <w:p w14:paraId="31FDD50F"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(9.69)</w:t>
            </w:r>
          </w:p>
        </w:tc>
        <w:tc>
          <w:tcPr>
            <w:tcW w:w="1701" w:type="dxa"/>
          </w:tcPr>
          <w:p w14:paraId="71E376FD"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41</w:t>
            </w:r>
          </w:p>
          <w:p w14:paraId="3E58C03F"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(11.42)</w:t>
            </w:r>
          </w:p>
          <w:p w14:paraId="6DD3FFC9"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7908A61F"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-0.58</w:t>
            </w:r>
          </w:p>
        </w:tc>
      </w:tr>
      <w:tr w:rsidR="008A5C7B" w:rsidRPr="007A1166" w14:paraId="1CA35FCF" w14:textId="77777777" w:rsidTr="000A49F9">
        <w:trPr>
          <w:gridAfter w:val="1"/>
          <w:wAfter w:w="165" w:type="dxa"/>
        </w:trPr>
        <w:tc>
          <w:tcPr>
            <w:tcW w:w="4334" w:type="dxa"/>
          </w:tcPr>
          <w:p w14:paraId="517B03B4" w14:textId="77777777" w:rsidR="008A5C7B" w:rsidRPr="007A1166" w:rsidRDefault="008A5C7B" w:rsidP="000A49F9">
            <w:pPr>
              <w:rPr>
                <w:rFonts w:asciiTheme="majorHAnsi" w:hAnsiTheme="majorHAnsi"/>
                <w:sz w:val="24"/>
                <w:szCs w:val="24"/>
                <w:vertAlign w:val="superscript"/>
                <w:lang w:val="en-US"/>
              </w:rPr>
            </w:pPr>
            <w:r w:rsidRPr="007A1166">
              <w:rPr>
                <w:rFonts w:asciiTheme="majorHAnsi" w:eastAsiaTheme="minorEastAsia" w:hAnsiTheme="majorHAnsi" w:cs="Times New Roman"/>
                <w:sz w:val="24"/>
                <w:szCs w:val="24"/>
                <w:lang w:val="en-US" w:eastAsia="de-DE"/>
              </w:rPr>
              <w:t>Height of mother (cm)</w:t>
            </w:r>
          </w:p>
        </w:tc>
        <w:tc>
          <w:tcPr>
            <w:tcW w:w="1214" w:type="dxa"/>
          </w:tcPr>
          <w:p w14:paraId="7749F28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159    (5.81)</w:t>
            </w:r>
          </w:p>
        </w:tc>
        <w:tc>
          <w:tcPr>
            <w:tcW w:w="1215" w:type="dxa"/>
          </w:tcPr>
          <w:p w14:paraId="6AEABCBF"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158  (5.81)</w:t>
            </w:r>
          </w:p>
        </w:tc>
        <w:tc>
          <w:tcPr>
            <w:tcW w:w="1215" w:type="dxa"/>
          </w:tcPr>
          <w:p w14:paraId="4A57EE23"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159  (5.78)</w:t>
            </w:r>
          </w:p>
        </w:tc>
        <w:tc>
          <w:tcPr>
            <w:tcW w:w="235" w:type="dxa"/>
          </w:tcPr>
          <w:p w14:paraId="2A578D35" w14:textId="77777777" w:rsidR="008A5C7B" w:rsidRPr="007A1166" w:rsidRDefault="008A5C7B" w:rsidP="000A49F9">
            <w:pPr>
              <w:jc w:val="center"/>
              <w:rPr>
                <w:rFonts w:asciiTheme="majorHAnsi" w:hAnsiTheme="majorHAnsi"/>
                <w:sz w:val="24"/>
                <w:szCs w:val="24"/>
                <w:lang w:val="en-US"/>
              </w:rPr>
            </w:pPr>
          </w:p>
        </w:tc>
        <w:tc>
          <w:tcPr>
            <w:tcW w:w="1676" w:type="dxa"/>
          </w:tcPr>
          <w:p w14:paraId="7BD0F195"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159   </w:t>
            </w:r>
          </w:p>
          <w:p w14:paraId="19D0DE56"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(5.35)</w:t>
            </w:r>
          </w:p>
        </w:tc>
        <w:tc>
          <w:tcPr>
            <w:tcW w:w="1701" w:type="dxa"/>
          </w:tcPr>
          <w:p w14:paraId="7CEE50CC"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158   </w:t>
            </w:r>
          </w:p>
          <w:p w14:paraId="5D9E8DD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(6.26)</w:t>
            </w:r>
          </w:p>
          <w:p w14:paraId="26B4EC0B"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05D0218A"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0.70</w:t>
            </w:r>
          </w:p>
        </w:tc>
      </w:tr>
      <w:tr w:rsidR="008A5C7B" w:rsidRPr="007A1166" w14:paraId="140B8B1C" w14:textId="77777777" w:rsidTr="000A49F9">
        <w:trPr>
          <w:gridAfter w:val="1"/>
          <w:wAfter w:w="165" w:type="dxa"/>
        </w:trPr>
        <w:tc>
          <w:tcPr>
            <w:tcW w:w="4334" w:type="dxa"/>
          </w:tcPr>
          <w:p w14:paraId="429F5646" w14:textId="77777777" w:rsidR="008A5C7B" w:rsidRPr="007A1166" w:rsidRDefault="008A5C7B" w:rsidP="000A49F9">
            <w:pPr>
              <w:widowControl w:val="0"/>
              <w:autoSpaceDE w:val="0"/>
              <w:autoSpaceDN w:val="0"/>
              <w:adjustRightInd w:val="0"/>
              <w:rPr>
                <w:rFonts w:asciiTheme="majorHAnsi" w:eastAsiaTheme="minorEastAsia" w:hAnsiTheme="majorHAnsi" w:cs="Times New Roman"/>
                <w:sz w:val="24"/>
                <w:szCs w:val="24"/>
                <w:lang w:val="en-US" w:eastAsia="de-DE"/>
              </w:rPr>
            </w:pPr>
            <w:r>
              <w:rPr>
                <w:rFonts w:asciiTheme="majorHAnsi" w:eastAsiaTheme="minorEastAsia" w:hAnsiTheme="majorHAnsi" w:cs="Times New Roman"/>
                <w:sz w:val="24"/>
                <w:szCs w:val="24"/>
                <w:lang w:val="en-US" w:eastAsia="de-DE"/>
              </w:rPr>
              <w:t>Education of mother (schooling years)</w:t>
            </w:r>
          </w:p>
        </w:tc>
        <w:tc>
          <w:tcPr>
            <w:tcW w:w="1214" w:type="dxa"/>
          </w:tcPr>
          <w:p w14:paraId="75BD9F9B"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9.63 (4.62)</w:t>
            </w:r>
          </w:p>
        </w:tc>
        <w:tc>
          <w:tcPr>
            <w:tcW w:w="1215" w:type="dxa"/>
          </w:tcPr>
          <w:p w14:paraId="06A0F7E5"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9.81 (4.96)</w:t>
            </w:r>
          </w:p>
        </w:tc>
        <w:tc>
          <w:tcPr>
            <w:tcW w:w="1215" w:type="dxa"/>
          </w:tcPr>
          <w:p w14:paraId="6852C5F6"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9.47 (4.30)</w:t>
            </w:r>
          </w:p>
        </w:tc>
        <w:tc>
          <w:tcPr>
            <w:tcW w:w="235" w:type="dxa"/>
          </w:tcPr>
          <w:p w14:paraId="4A8149EE" w14:textId="77777777" w:rsidR="008A5C7B" w:rsidRPr="007A1166" w:rsidRDefault="008A5C7B" w:rsidP="000A49F9">
            <w:pPr>
              <w:jc w:val="center"/>
              <w:rPr>
                <w:rFonts w:asciiTheme="majorHAnsi" w:hAnsiTheme="majorHAnsi"/>
                <w:sz w:val="24"/>
                <w:szCs w:val="24"/>
                <w:lang w:val="en-US"/>
              </w:rPr>
            </w:pPr>
          </w:p>
        </w:tc>
        <w:tc>
          <w:tcPr>
            <w:tcW w:w="1676" w:type="dxa"/>
          </w:tcPr>
          <w:p w14:paraId="5CFE07F3" w14:textId="77777777" w:rsidR="008A5C7B" w:rsidRDefault="008A5C7B" w:rsidP="000A49F9">
            <w:pPr>
              <w:jc w:val="center"/>
              <w:rPr>
                <w:rFonts w:asciiTheme="majorHAnsi" w:hAnsiTheme="majorHAnsi"/>
                <w:sz w:val="24"/>
                <w:szCs w:val="24"/>
                <w:lang w:val="en-US"/>
              </w:rPr>
            </w:pPr>
            <w:r>
              <w:rPr>
                <w:rFonts w:asciiTheme="majorHAnsi" w:hAnsiTheme="majorHAnsi"/>
                <w:sz w:val="24"/>
                <w:szCs w:val="24"/>
                <w:lang w:val="en-US"/>
              </w:rPr>
              <w:t xml:space="preserve">10.49  </w:t>
            </w:r>
          </w:p>
          <w:p w14:paraId="1883E2FA"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(4.88)</w:t>
            </w:r>
          </w:p>
        </w:tc>
        <w:tc>
          <w:tcPr>
            <w:tcW w:w="1701" w:type="dxa"/>
          </w:tcPr>
          <w:p w14:paraId="16A7414D" w14:textId="77777777" w:rsidR="008A5C7B" w:rsidRDefault="008A5C7B" w:rsidP="000A49F9">
            <w:pPr>
              <w:jc w:val="center"/>
              <w:rPr>
                <w:rFonts w:asciiTheme="majorHAnsi" w:hAnsiTheme="majorHAnsi"/>
                <w:sz w:val="24"/>
                <w:szCs w:val="24"/>
                <w:lang w:val="en-US"/>
              </w:rPr>
            </w:pPr>
            <w:r>
              <w:rPr>
                <w:rFonts w:asciiTheme="majorHAnsi" w:hAnsiTheme="majorHAnsi"/>
                <w:sz w:val="24"/>
                <w:szCs w:val="24"/>
                <w:lang w:val="en-US"/>
              </w:rPr>
              <w:t xml:space="preserve">8.72   </w:t>
            </w:r>
          </w:p>
          <w:p w14:paraId="2980EE75" w14:textId="77777777" w:rsidR="008A5C7B" w:rsidRPr="007A1166" w:rsidRDefault="008A5C7B" w:rsidP="000A49F9">
            <w:pPr>
              <w:jc w:val="center"/>
              <w:rPr>
                <w:rFonts w:asciiTheme="majorHAnsi" w:hAnsiTheme="majorHAnsi"/>
                <w:sz w:val="24"/>
                <w:szCs w:val="24"/>
                <w:lang w:val="en-US"/>
              </w:rPr>
            </w:pPr>
            <w:r>
              <w:rPr>
                <w:rFonts w:asciiTheme="majorHAnsi" w:hAnsiTheme="majorHAnsi"/>
                <w:sz w:val="24"/>
                <w:szCs w:val="24"/>
                <w:lang w:val="en-US"/>
              </w:rPr>
              <w:t xml:space="preserve"> (4.15)</w:t>
            </w:r>
          </w:p>
        </w:tc>
        <w:tc>
          <w:tcPr>
            <w:tcW w:w="1297" w:type="dxa"/>
            <w:gridSpan w:val="2"/>
          </w:tcPr>
          <w:p w14:paraId="5248BCEB" w14:textId="77777777" w:rsidR="008A5C7B" w:rsidRDefault="008A5C7B" w:rsidP="000A49F9">
            <w:pPr>
              <w:jc w:val="center"/>
              <w:rPr>
                <w:rFonts w:asciiTheme="majorHAnsi" w:hAnsiTheme="majorHAnsi"/>
                <w:sz w:val="24"/>
                <w:szCs w:val="24"/>
                <w:lang w:val="en-US"/>
              </w:rPr>
            </w:pPr>
            <w:r>
              <w:rPr>
                <w:rFonts w:asciiTheme="majorHAnsi" w:hAnsiTheme="majorHAnsi"/>
                <w:sz w:val="24"/>
                <w:szCs w:val="24"/>
                <w:lang w:val="en-US"/>
              </w:rPr>
              <w:t xml:space="preserve">1.77*** </w:t>
            </w:r>
          </w:p>
          <w:p w14:paraId="4B8468F9" w14:textId="77777777" w:rsidR="008A5C7B" w:rsidRDefault="008A5C7B" w:rsidP="000A49F9">
            <w:pPr>
              <w:jc w:val="center"/>
              <w:rPr>
                <w:rFonts w:asciiTheme="majorHAnsi" w:hAnsiTheme="majorHAnsi"/>
                <w:sz w:val="24"/>
                <w:szCs w:val="24"/>
                <w:lang w:val="en-US"/>
              </w:rPr>
            </w:pPr>
          </w:p>
          <w:p w14:paraId="31BBFDFC" w14:textId="77777777" w:rsidR="008A5C7B" w:rsidRPr="007A1166" w:rsidRDefault="008A5C7B" w:rsidP="000A49F9">
            <w:pPr>
              <w:jc w:val="center"/>
              <w:rPr>
                <w:rFonts w:asciiTheme="majorHAnsi" w:hAnsiTheme="majorHAnsi"/>
                <w:sz w:val="24"/>
                <w:szCs w:val="24"/>
                <w:lang w:val="en-US"/>
              </w:rPr>
            </w:pPr>
          </w:p>
        </w:tc>
      </w:tr>
      <w:tr w:rsidR="008A5C7B" w:rsidRPr="007A1166" w14:paraId="43FEF30E" w14:textId="77777777" w:rsidTr="000A49F9">
        <w:trPr>
          <w:gridAfter w:val="1"/>
          <w:wAfter w:w="165" w:type="dxa"/>
        </w:trPr>
        <w:tc>
          <w:tcPr>
            <w:tcW w:w="4334" w:type="dxa"/>
          </w:tcPr>
          <w:p w14:paraId="19E46D7E" w14:textId="77777777" w:rsidR="008A5C7B" w:rsidRPr="007A1166" w:rsidRDefault="008A5C7B" w:rsidP="000A49F9">
            <w:pPr>
              <w:widowControl w:val="0"/>
              <w:autoSpaceDE w:val="0"/>
              <w:autoSpaceDN w:val="0"/>
              <w:adjustRightInd w:val="0"/>
              <w:rPr>
                <w:rFonts w:asciiTheme="majorHAnsi" w:eastAsiaTheme="minorEastAsia" w:hAnsiTheme="majorHAnsi" w:cs="Times New Roman"/>
                <w:sz w:val="24"/>
                <w:szCs w:val="24"/>
                <w:lang w:val="en-US" w:eastAsia="de-DE"/>
              </w:rPr>
            </w:pPr>
            <w:r w:rsidRPr="007A1166">
              <w:rPr>
                <w:rFonts w:asciiTheme="majorHAnsi" w:eastAsiaTheme="minorEastAsia" w:hAnsiTheme="majorHAnsi" w:cs="Times New Roman"/>
                <w:sz w:val="24"/>
                <w:szCs w:val="24"/>
                <w:lang w:val="en-US" w:eastAsia="de-DE"/>
              </w:rPr>
              <w:t>Consumption expenditure per adult equivalent (</w:t>
            </w:r>
            <w:proofErr w:type="spellStart"/>
            <w:r w:rsidRPr="007A1166">
              <w:rPr>
                <w:rFonts w:asciiTheme="majorHAnsi" w:eastAsiaTheme="minorEastAsia" w:hAnsiTheme="majorHAnsi" w:cs="Times New Roman"/>
                <w:sz w:val="24"/>
                <w:szCs w:val="24"/>
                <w:lang w:val="en-US" w:eastAsia="de-DE"/>
              </w:rPr>
              <w:t>Ksh</w:t>
            </w:r>
            <w:proofErr w:type="spellEnd"/>
            <w:r w:rsidRPr="007A1166">
              <w:rPr>
                <w:rFonts w:asciiTheme="majorHAnsi" w:eastAsiaTheme="minorEastAsia" w:hAnsiTheme="majorHAnsi" w:cs="Times New Roman"/>
                <w:sz w:val="24"/>
                <w:szCs w:val="24"/>
                <w:lang w:val="en-US" w:eastAsia="de-DE"/>
              </w:rPr>
              <w:t xml:space="preserve">/month) </w:t>
            </w:r>
            <w:r w:rsidRPr="007A1166">
              <w:rPr>
                <w:rFonts w:asciiTheme="majorHAnsi" w:eastAsiaTheme="minorEastAsia" w:hAnsiTheme="majorHAnsi" w:cs="Times New Roman"/>
                <w:sz w:val="24"/>
                <w:szCs w:val="24"/>
                <w:vertAlign w:val="superscript"/>
                <w:lang w:val="en-US" w:eastAsia="de-DE"/>
              </w:rPr>
              <w:t>b</w:t>
            </w:r>
          </w:p>
        </w:tc>
        <w:tc>
          <w:tcPr>
            <w:tcW w:w="1214" w:type="dxa"/>
          </w:tcPr>
          <w:p w14:paraId="6B4936B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677</w:t>
            </w:r>
            <w:r>
              <w:rPr>
                <w:rFonts w:asciiTheme="majorHAnsi" w:hAnsiTheme="majorHAnsi"/>
                <w:sz w:val="24"/>
                <w:szCs w:val="24"/>
                <w:lang w:val="en-US"/>
              </w:rPr>
              <w:t>1</w:t>
            </w:r>
            <w:r w:rsidRPr="007A1166">
              <w:rPr>
                <w:rFonts w:asciiTheme="majorHAnsi" w:hAnsiTheme="majorHAnsi"/>
                <w:sz w:val="24"/>
                <w:szCs w:val="24"/>
                <w:lang w:val="en-US"/>
              </w:rPr>
              <w:t xml:space="preserve">    (3945)</w:t>
            </w:r>
          </w:p>
        </w:tc>
        <w:tc>
          <w:tcPr>
            <w:tcW w:w="1215" w:type="dxa"/>
          </w:tcPr>
          <w:p w14:paraId="72C4F04E"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7031 (4595)</w:t>
            </w:r>
          </w:p>
        </w:tc>
        <w:tc>
          <w:tcPr>
            <w:tcW w:w="1215" w:type="dxa"/>
          </w:tcPr>
          <w:p w14:paraId="0843DAD9"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6540 (3258)</w:t>
            </w:r>
          </w:p>
        </w:tc>
        <w:tc>
          <w:tcPr>
            <w:tcW w:w="235" w:type="dxa"/>
          </w:tcPr>
          <w:p w14:paraId="2E2F69B6" w14:textId="77777777" w:rsidR="008A5C7B" w:rsidRPr="007A1166" w:rsidRDefault="008A5C7B" w:rsidP="000A49F9">
            <w:pPr>
              <w:jc w:val="center"/>
              <w:rPr>
                <w:rFonts w:asciiTheme="majorHAnsi" w:hAnsiTheme="majorHAnsi"/>
                <w:sz w:val="24"/>
                <w:szCs w:val="24"/>
                <w:lang w:val="en-US"/>
              </w:rPr>
            </w:pPr>
          </w:p>
        </w:tc>
        <w:tc>
          <w:tcPr>
            <w:tcW w:w="1676" w:type="dxa"/>
          </w:tcPr>
          <w:p w14:paraId="6BF72B67"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723</w:t>
            </w:r>
            <w:r>
              <w:rPr>
                <w:rFonts w:asciiTheme="majorHAnsi" w:hAnsiTheme="majorHAnsi"/>
                <w:sz w:val="24"/>
                <w:szCs w:val="24"/>
                <w:lang w:val="en-US"/>
              </w:rPr>
              <w:t>1</w:t>
            </w:r>
          </w:p>
          <w:p w14:paraId="044908C8"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(4447)</w:t>
            </w:r>
          </w:p>
        </w:tc>
        <w:tc>
          <w:tcPr>
            <w:tcW w:w="1701" w:type="dxa"/>
          </w:tcPr>
          <w:p w14:paraId="00E2859A"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6284 </w:t>
            </w:r>
          </w:p>
          <w:p w14:paraId="0D2C071E"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(3274)</w:t>
            </w:r>
          </w:p>
          <w:p w14:paraId="6D19B6C7"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0E85F46F"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947**</w:t>
            </w:r>
          </w:p>
        </w:tc>
      </w:tr>
      <w:tr w:rsidR="008A5C7B" w:rsidRPr="007A1166" w14:paraId="537F8CE0" w14:textId="77777777" w:rsidTr="000A49F9">
        <w:trPr>
          <w:gridAfter w:val="1"/>
          <w:wAfter w:w="165" w:type="dxa"/>
        </w:trPr>
        <w:tc>
          <w:tcPr>
            <w:tcW w:w="4334" w:type="dxa"/>
          </w:tcPr>
          <w:p w14:paraId="26BF4AC9" w14:textId="77777777" w:rsidR="008A5C7B" w:rsidRPr="007A1166" w:rsidRDefault="008A5C7B" w:rsidP="000A49F9">
            <w:pPr>
              <w:widowControl w:val="0"/>
              <w:autoSpaceDE w:val="0"/>
              <w:autoSpaceDN w:val="0"/>
              <w:adjustRightInd w:val="0"/>
              <w:rPr>
                <w:rFonts w:asciiTheme="majorHAnsi" w:eastAsiaTheme="minorEastAsia" w:hAnsiTheme="majorHAnsi" w:cs="Times New Roman"/>
                <w:i/>
                <w:sz w:val="24"/>
                <w:szCs w:val="24"/>
                <w:lang w:val="en-US" w:eastAsia="de-DE"/>
              </w:rPr>
            </w:pPr>
            <w:r w:rsidRPr="007A1166">
              <w:rPr>
                <w:rFonts w:asciiTheme="majorHAnsi" w:eastAsiaTheme="minorEastAsia" w:hAnsiTheme="majorHAnsi" w:cs="Times New Roman"/>
                <w:i/>
                <w:sz w:val="24"/>
                <w:szCs w:val="24"/>
                <w:lang w:val="en-US" w:eastAsia="de-DE"/>
              </w:rPr>
              <w:t>Town dummies</w:t>
            </w:r>
          </w:p>
        </w:tc>
        <w:tc>
          <w:tcPr>
            <w:tcW w:w="1214" w:type="dxa"/>
          </w:tcPr>
          <w:p w14:paraId="13A4CDAD" w14:textId="77777777" w:rsidR="008A5C7B" w:rsidRPr="007A1166" w:rsidRDefault="008A5C7B" w:rsidP="000A49F9">
            <w:pPr>
              <w:jc w:val="center"/>
              <w:rPr>
                <w:rFonts w:asciiTheme="majorHAnsi" w:hAnsiTheme="majorHAnsi"/>
                <w:sz w:val="24"/>
                <w:szCs w:val="24"/>
                <w:lang w:val="en-US"/>
              </w:rPr>
            </w:pPr>
          </w:p>
        </w:tc>
        <w:tc>
          <w:tcPr>
            <w:tcW w:w="1215" w:type="dxa"/>
          </w:tcPr>
          <w:p w14:paraId="3473125B" w14:textId="77777777" w:rsidR="008A5C7B" w:rsidRPr="007A1166" w:rsidRDefault="008A5C7B" w:rsidP="000A49F9">
            <w:pPr>
              <w:jc w:val="center"/>
              <w:rPr>
                <w:rFonts w:asciiTheme="majorHAnsi" w:hAnsiTheme="majorHAnsi"/>
                <w:sz w:val="24"/>
                <w:szCs w:val="24"/>
                <w:lang w:val="en-US"/>
              </w:rPr>
            </w:pPr>
          </w:p>
        </w:tc>
        <w:tc>
          <w:tcPr>
            <w:tcW w:w="1215" w:type="dxa"/>
          </w:tcPr>
          <w:p w14:paraId="3D9402DA" w14:textId="77777777" w:rsidR="008A5C7B" w:rsidRPr="007A1166" w:rsidRDefault="008A5C7B" w:rsidP="000A49F9">
            <w:pPr>
              <w:jc w:val="center"/>
              <w:rPr>
                <w:rFonts w:asciiTheme="majorHAnsi" w:hAnsiTheme="majorHAnsi"/>
                <w:sz w:val="24"/>
                <w:szCs w:val="24"/>
                <w:lang w:val="en-US"/>
              </w:rPr>
            </w:pPr>
          </w:p>
        </w:tc>
        <w:tc>
          <w:tcPr>
            <w:tcW w:w="235" w:type="dxa"/>
          </w:tcPr>
          <w:p w14:paraId="723E3E35" w14:textId="77777777" w:rsidR="008A5C7B" w:rsidRPr="007A1166" w:rsidRDefault="008A5C7B" w:rsidP="000A49F9">
            <w:pPr>
              <w:jc w:val="center"/>
              <w:rPr>
                <w:rFonts w:asciiTheme="majorHAnsi" w:hAnsiTheme="majorHAnsi"/>
                <w:sz w:val="24"/>
                <w:szCs w:val="24"/>
                <w:lang w:val="en-US"/>
              </w:rPr>
            </w:pPr>
          </w:p>
        </w:tc>
        <w:tc>
          <w:tcPr>
            <w:tcW w:w="1676" w:type="dxa"/>
          </w:tcPr>
          <w:p w14:paraId="58E56F5D" w14:textId="77777777" w:rsidR="008A5C7B" w:rsidRPr="007A1166" w:rsidRDefault="008A5C7B" w:rsidP="000A49F9">
            <w:pPr>
              <w:jc w:val="center"/>
              <w:rPr>
                <w:rFonts w:asciiTheme="majorHAnsi" w:hAnsiTheme="majorHAnsi"/>
                <w:sz w:val="24"/>
                <w:szCs w:val="24"/>
                <w:lang w:val="en-US"/>
              </w:rPr>
            </w:pPr>
          </w:p>
        </w:tc>
        <w:tc>
          <w:tcPr>
            <w:tcW w:w="1701" w:type="dxa"/>
          </w:tcPr>
          <w:p w14:paraId="74EE2337"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6EC9EC6A" w14:textId="77777777" w:rsidR="008A5C7B" w:rsidRPr="007A1166" w:rsidRDefault="008A5C7B" w:rsidP="000A49F9">
            <w:pPr>
              <w:jc w:val="center"/>
              <w:rPr>
                <w:rFonts w:asciiTheme="majorHAnsi" w:hAnsiTheme="majorHAnsi"/>
                <w:sz w:val="24"/>
                <w:szCs w:val="24"/>
                <w:lang w:val="en-US"/>
              </w:rPr>
            </w:pPr>
          </w:p>
        </w:tc>
      </w:tr>
      <w:tr w:rsidR="008A5C7B" w:rsidRPr="007A1166" w14:paraId="466385EE" w14:textId="77777777" w:rsidTr="000A49F9">
        <w:trPr>
          <w:gridAfter w:val="1"/>
          <w:wAfter w:w="165" w:type="dxa"/>
        </w:trPr>
        <w:tc>
          <w:tcPr>
            <w:tcW w:w="4334" w:type="dxa"/>
          </w:tcPr>
          <w:p w14:paraId="5F4C5CA4" w14:textId="77777777" w:rsidR="008A5C7B" w:rsidRPr="007A1166" w:rsidRDefault="008A5C7B" w:rsidP="000A49F9">
            <w:pPr>
              <w:widowControl w:val="0"/>
              <w:autoSpaceDE w:val="0"/>
              <w:autoSpaceDN w:val="0"/>
              <w:adjustRightInd w:val="0"/>
              <w:rPr>
                <w:rFonts w:asciiTheme="majorHAnsi" w:eastAsiaTheme="minorEastAsia" w:hAnsiTheme="majorHAnsi" w:cs="Times New Roman"/>
                <w:sz w:val="24"/>
                <w:szCs w:val="24"/>
                <w:lang w:val="en-US" w:eastAsia="de-DE"/>
              </w:rPr>
            </w:pPr>
            <w:proofErr w:type="spellStart"/>
            <w:r w:rsidRPr="007A1166">
              <w:rPr>
                <w:rFonts w:asciiTheme="majorHAnsi" w:eastAsiaTheme="minorEastAsia" w:hAnsiTheme="majorHAnsi" w:cs="Times New Roman"/>
                <w:sz w:val="24"/>
                <w:szCs w:val="24"/>
                <w:lang w:val="en-US" w:eastAsia="de-DE"/>
              </w:rPr>
              <w:t>Ol</w:t>
            </w:r>
            <w:proofErr w:type="spellEnd"/>
            <w:r w:rsidRPr="007A1166">
              <w:rPr>
                <w:rFonts w:asciiTheme="majorHAnsi" w:eastAsiaTheme="minorEastAsia" w:hAnsiTheme="majorHAnsi" w:cs="Times New Roman"/>
                <w:sz w:val="24"/>
                <w:szCs w:val="24"/>
                <w:lang w:val="en-US" w:eastAsia="de-DE"/>
              </w:rPr>
              <w:t xml:space="preserve"> </w:t>
            </w:r>
            <w:proofErr w:type="spellStart"/>
            <w:r w:rsidRPr="007A1166">
              <w:rPr>
                <w:rFonts w:asciiTheme="majorHAnsi" w:eastAsiaTheme="minorEastAsia" w:hAnsiTheme="majorHAnsi" w:cs="Times New Roman"/>
                <w:sz w:val="24"/>
                <w:szCs w:val="24"/>
                <w:lang w:val="en-US" w:eastAsia="de-DE"/>
              </w:rPr>
              <w:t>Kalou</w:t>
            </w:r>
            <w:proofErr w:type="spellEnd"/>
            <w:r w:rsidRPr="007A1166">
              <w:rPr>
                <w:rFonts w:asciiTheme="majorHAnsi" w:eastAsiaTheme="minorEastAsia" w:hAnsiTheme="majorHAnsi" w:cs="Times New Roman"/>
                <w:sz w:val="24"/>
                <w:szCs w:val="24"/>
                <w:lang w:val="en-US" w:eastAsia="de-DE"/>
              </w:rPr>
              <w:t xml:space="preserve"> </w:t>
            </w:r>
          </w:p>
        </w:tc>
        <w:tc>
          <w:tcPr>
            <w:tcW w:w="1214" w:type="dxa"/>
          </w:tcPr>
          <w:p w14:paraId="0F8AF5A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0.34 (0.47)</w:t>
            </w:r>
          </w:p>
        </w:tc>
        <w:tc>
          <w:tcPr>
            <w:tcW w:w="1215" w:type="dxa"/>
          </w:tcPr>
          <w:p w14:paraId="60FF5EC9"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0.36 (0.48)</w:t>
            </w:r>
          </w:p>
        </w:tc>
        <w:tc>
          <w:tcPr>
            <w:tcW w:w="1215" w:type="dxa"/>
          </w:tcPr>
          <w:p w14:paraId="3FE431AA"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0.32 (0.47)</w:t>
            </w:r>
          </w:p>
        </w:tc>
        <w:tc>
          <w:tcPr>
            <w:tcW w:w="235" w:type="dxa"/>
          </w:tcPr>
          <w:p w14:paraId="30522F22" w14:textId="77777777" w:rsidR="008A5C7B" w:rsidRPr="007A1166" w:rsidRDefault="008A5C7B" w:rsidP="000A49F9">
            <w:pPr>
              <w:jc w:val="center"/>
              <w:rPr>
                <w:rFonts w:asciiTheme="majorHAnsi" w:hAnsiTheme="majorHAnsi"/>
                <w:sz w:val="24"/>
                <w:szCs w:val="24"/>
                <w:lang w:val="en-US"/>
              </w:rPr>
            </w:pPr>
          </w:p>
        </w:tc>
        <w:tc>
          <w:tcPr>
            <w:tcW w:w="1676" w:type="dxa"/>
          </w:tcPr>
          <w:p w14:paraId="5BE7062A"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0.33   </w:t>
            </w:r>
          </w:p>
          <w:p w14:paraId="48E458C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(0.47)</w:t>
            </w:r>
          </w:p>
        </w:tc>
        <w:tc>
          <w:tcPr>
            <w:tcW w:w="1701" w:type="dxa"/>
          </w:tcPr>
          <w:p w14:paraId="7B2F2DEC"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0.34  </w:t>
            </w:r>
          </w:p>
          <w:p w14:paraId="5C01B031"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(0.47)</w:t>
            </w:r>
          </w:p>
          <w:p w14:paraId="47D13293"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3F8E0506"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-0.00</w:t>
            </w:r>
          </w:p>
        </w:tc>
      </w:tr>
      <w:tr w:rsidR="008A5C7B" w:rsidRPr="007A1166" w14:paraId="39344A90" w14:textId="77777777" w:rsidTr="000A49F9">
        <w:trPr>
          <w:gridAfter w:val="1"/>
          <w:wAfter w:w="165" w:type="dxa"/>
        </w:trPr>
        <w:tc>
          <w:tcPr>
            <w:tcW w:w="4334" w:type="dxa"/>
          </w:tcPr>
          <w:p w14:paraId="7315D1A0" w14:textId="77777777" w:rsidR="008A5C7B" w:rsidRPr="007A1166" w:rsidRDefault="008A5C7B" w:rsidP="000A49F9">
            <w:pPr>
              <w:rPr>
                <w:rFonts w:asciiTheme="majorHAnsi" w:hAnsiTheme="majorHAnsi"/>
                <w:sz w:val="24"/>
                <w:szCs w:val="24"/>
                <w:lang w:val="en-US"/>
              </w:rPr>
            </w:pPr>
            <w:proofErr w:type="spellStart"/>
            <w:r w:rsidRPr="007A1166">
              <w:rPr>
                <w:rFonts w:asciiTheme="majorHAnsi" w:eastAsiaTheme="minorEastAsia" w:hAnsiTheme="majorHAnsi" w:cs="Times New Roman"/>
                <w:sz w:val="24"/>
                <w:szCs w:val="24"/>
                <w:lang w:val="en-US" w:eastAsia="de-DE"/>
              </w:rPr>
              <w:t>Mwea</w:t>
            </w:r>
            <w:proofErr w:type="spellEnd"/>
            <w:r w:rsidRPr="007A1166">
              <w:rPr>
                <w:rFonts w:asciiTheme="majorHAnsi" w:eastAsiaTheme="minorEastAsia" w:hAnsiTheme="majorHAnsi" w:cs="Times New Roman"/>
                <w:sz w:val="24"/>
                <w:szCs w:val="24"/>
                <w:lang w:val="en-US" w:eastAsia="de-DE"/>
              </w:rPr>
              <w:t xml:space="preserve"> </w:t>
            </w:r>
          </w:p>
        </w:tc>
        <w:tc>
          <w:tcPr>
            <w:tcW w:w="1214" w:type="dxa"/>
          </w:tcPr>
          <w:p w14:paraId="2717E2FC"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0.28 (0.45)</w:t>
            </w:r>
          </w:p>
        </w:tc>
        <w:tc>
          <w:tcPr>
            <w:tcW w:w="1215" w:type="dxa"/>
          </w:tcPr>
          <w:p w14:paraId="5A6B9AC3"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0.23 (0.42)</w:t>
            </w:r>
          </w:p>
        </w:tc>
        <w:tc>
          <w:tcPr>
            <w:tcW w:w="1215" w:type="dxa"/>
          </w:tcPr>
          <w:p w14:paraId="6D1D1409"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0.32 (0.47)</w:t>
            </w:r>
          </w:p>
        </w:tc>
        <w:tc>
          <w:tcPr>
            <w:tcW w:w="235" w:type="dxa"/>
          </w:tcPr>
          <w:p w14:paraId="0F969E60" w14:textId="77777777" w:rsidR="008A5C7B" w:rsidRPr="007A1166" w:rsidRDefault="008A5C7B" w:rsidP="000A49F9">
            <w:pPr>
              <w:jc w:val="center"/>
              <w:rPr>
                <w:rFonts w:asciiTheme="majorHAnsi" w:hAnsiTheme="majorHAnsi"/>
                <w:sz w:val="24"/>
                <w:szCs w:val="24"/>
                <w:lang w:val="en-US"/>
              </w:rPr>
            </w:pPr>
          </w:p>
        </w:tc>
        <w:tc>
          <w:tcPr>
            <w:tcW w:w="1676" w:type="dxa"/>
          </w:tcPr>
          <w:p w14:paraId="20467B27"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0.31   </w:t>
            </w:r>
          </w:p>
          <w:p w14:paraId="4AEF5C70"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(0.46)</w:t>
            </w:r>
          </w:p>
        </w:tc>
        <w:tc>
          <w:tcPr>
            <w:tcW w:w="1701" w:type="dxa"/>
          </w:tcPr>
          <w:p w14:paraId="5BBA0349"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0.25 </w:t>
            </w:r>
          </w:p>
          <w:p w14:paraId="0A1CF61E"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(0.43)</w:t>
            </w:r>
          </w:p>
          <w:p w14:paraId="141A9446" w14:textId="77777777" w:rsidR="008A5C7B" w:rsidRPr="007A1166" w:rsidRDefault="008A5C7B" w:rsidP="000A49F9">
            <w:pPr>
              <w:jc w:val="center"/>
              <w:rPr>
                <w:rFonts w:asciiTheme="majorHAnsi" w:hAnsiTheme="majorHAnsi"/>
                <w:sz w:val="24"/>
                <w:szCs w:val="24"/>
                <w:lang w:val="en-US"/>
              </w:rPr>
            </w:pPr>
          </w:p>
        </w:tc>
        <w:tc>
          <w:tcPr>
            <w:tcW w:w="1297" w:type="dxa"/>
            <w:gridSpan w:val="2"/>
          </w:tcPr>
          <w:p w14:paraId="5AB6FDD2"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0.06</w:t>
            </w:r>
          </w:p>
        </w:tc>
      </w:tr>
      <w:tr w:rsidR="008A5C7B" w:rsidRPr="007A1166" w14:paraId="5279DFBA" w14:textId="77777777" w:rsidTr="000A49F9">
        <w:trPr>
          <w:gridAfter w:val="1"/>
          <w:wAfter w:w="165" w:type="dxa"/>
        </w:trPr>
        <w:tc>
          <w:tcPr>
            <w:tcW w:w="4334" w:type="dxa"/>
            <w:tcBorders>
              <w:bottom w:val="single" w:sz="4" w:space="0" w:color="auto"/>
            </w:tcBorders>
          </w:tcPr>
          <w:p w14:paraId="261D5805" w14:textId="77777777" w:rsidR="008A5C7B" w:rsidRPr="007A1166" w:rsidRDefault="008A5C7B" w:rsidP="000A49F9">
            <w:pPr>
              <w:rPr>
                <w:rFonts w:asciiTheme="majorHAnsi" w:eastAsiaTheme="minorEastAsia" w:hAnsiTheme="majorHAnsi" w:cs="Times New Roman"/>
                <w:sz w:val="24"/>
                <w:szCs w:val="24"/>
                <w:lang w:val="en-US" w:eastAsia="de-DE"/>
              </w:rPr>
            </w:pPr>
            <w:proofErr w:type="spellStart"/>
            <w:r w:rsidRPr="007A1166">
              <w:rPr>
                <w:rFonts w:asciiTheme="majorHAnsi" w:eastAsiaTheme="minorEastAsia" w:hAnsiTheme="majorHAnsi" w:cs="Times New Roman"/>
                <w:sz w:val="24"/>
                <w:szCs w:val="24"/>
                <w:lang w:val="en-US" w:eastAsia="de-DE"/>
              </w:rPr>
              <w:t>Njabini</w:t>
            </w:r>
            <w:proofErr w:type="spellEnd"/>
            <w:r w:rsidRPr="007A1166">
              <w:rPr>
                <w:rFonts w:asciiTheme="majorHAnsi" w:eastAsiaTheme="minorEastAsia" w:hAnsiTheme="majorHAnsi" w:cs="Times New Roman"/>
                <w:sz w:val="24"/>
                <w:szCs w:val="24"/>
                <w:lang w:val="en-US" w:eastAsia="de-DE"/>
              </w:rPr>
              <w:t xml:space="preserve"> </w:t>
            </w:r>
          </w:p>
        </w:tc>
        <w:tc>
          <w:tcPr>
            <w:tcW w:w="1214" w:type="dxa"/>
            <w:tcBorders>
              <w:bottom w:val="single" w:sz="4" w:space="0" w:color="auto"/>
            </w:tcBorders>
          </w:tcPr>
          <w:p w14:paraId="4EC68C43"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0.39 (0.49)</w:t>
            </w:r>
          </w:p>
        </w:tc>
        <w:tc>
          <w:tcPr>
            <w:tcW w:w="1215" w:type="dxa"/>
            <w:tcBorders>
              <w:bottom w:val="single" w:sz="4" w:space="0" w:color="auto"/>
            </w:tcBorders>
          </w:tcPr>
          <w:p w14:paraId="31FFB504"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0.42 (0.49)</w:t>
            </w:r>
          </w:p>
        </w:tc>
        <w:tc>
          <w:tcPr>
            <w:tcW w:w="1215" w:type="dxa"/>
            <w:tcBorders>
              <w:bottom w:val="single" w:sz="4" w:space="0" w:color="auto"/>
            </w:tcBorders>
          </w:tcPr>
          <w:p w14:paraId="39D029A7"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0.35 (0.48)</w:t>
            </w:r>
          </w:p>
        </w:tc>
        <w:tc>
          <w:tcPr>
            <w:tcW w:w="235" w:type="dxa"/>
            <w:tcBorders>
              <w:bottom w:val="single" w:sz="4" w:space="0" w:color="auto"/>
            </w:tcBorders>
          </w:tcPr>
          <w:p w14:paraId="01DAC549" w14:textId="77777777" w:rsidR="008A5C7B" w:rsidRPr="007A1166" w:rsidRDefault="008A5C7B" w:rsidP="000A49F9">
            <w:pPr>
              <w:jc w:val="center"/>
              <w:rPr>
                <w:rFonts w:asciiTheme="majorHAnsi" w:hAnsiTheme="majorHAnsi"/>
                <w:sz w:val="24"/>
                <w:szCs w:val="24"/>
                <w:lang w:val="en-US"/>
              </w:rPr>
            </w:pPr>
          </w:p>
        </w:tc>
        <w:tc>
          <w:tcPr>
            <w:tcW w:w="1676" w:type="dxa"/>
            <w:tcBorders>
              <w:bottom w:val="single" w:sz="4" w:space="0" w:color="auto"/>
            </w:tcBorders>
          </w:tcPr>
          <w:p w14:paraId="40CF3E49"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0.36   </w:t>
            </w:r>
          </w:p>
          <w:p w14:paraId="69955C46"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(0.48)</w:t>
            </w:r>
          </w:p>
        </w:tc>
        <w:tc>
          <w:tcPr>
            <w:tcW w:w="1701" w:type="dxa"/>
            <w:tcBorders>
              <w:bottom w:val="single" w:sz="4" w:space="0" w:color="auto"/>
            </w:tcBorders>
          </w:tcPr>
          <w:p w14:paraId="2201CD89" w14:textId="77777777" w:rsidR="008A5C7B"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0.42 </w:t>
            </w:r>
          </w:p>
          <w:p w14:paraId="3A36CE05"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 xml:space="preserve"> (0.49)</w:t>
            </w:r>
          </w:p>
        </w:tc>
        <w:tc>
          <w:tcPr>
            <w:tcW w:w="1297" w:type="dxa"/>
            <w:gridSpan w:val="2"/>
            <w:tcBorders>
              <w:bottom w:val="single" w:sz="4" w:space="0" w:color="auto"/>
            </w:tcBorders>
          </w:tcPr>
          <w:p w14:paraId="638A7A12"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-0.05</w:t>
            </w:r>
          </w:p>
        </w:tc>
      </w:tr>
      <w:tr w:rsidR="008A5C7B" w:rsidRPr="007A1166" w14:paraId="4508E299" w14:textId="77777777" w:rsidTr="000A49F9">
        <w:trPr>
          <w:gridAfter w:val="1"/>
          <w:wAfter w:w="165" w:type="dxa"/>
        </w:trPr>
        <w:tc>
          <w:tcPr>
            <w:tcW w:w="4334" w:type="dxa"/>
            <w:tcBorders>
              <w:top w:val="single" w:sz="4" w:space="0" w:color="auto"/>
              <w:bottom w:val="single" w:sz="4" w:space="0" w:color="auto"/>
            </w:tcBorders>
          </w:tcPr>
          <w:p w14:paraId="2888BE96" w14:textId="77777777" w:rsidR="008A5C7B" w:rsidRPr="007A1166" w:rsidRDefault="008A5C7B" w:rsidP="000A49F9">
            <w:pPr>
              <w:rPr>
                <w:rFonts w:asciiTheme="majorHAnsi" w:hAnsiTheme="majorHAnsi"/>
                <w:sz w:val="24"/>
                <w:szCs w:val="24"/>
                <w:lang w:val="en-US"/>
              </w:rPr>
            </w:pPr>
            <w:r w:rsidRPr="007A1166">
              <w:rPr>
                <w:rFonts w:asciiTheme="majorHAnsi" w:hAnsiTheme="majorHAnsi"/>
                <w:sz w:val="24"/>
                <w:szCs w:val="24"/>
                <w:lang w:val="en-US"/>
              </w:rPr>
              <w:t>Number of observations</w:t>
            </w:r>
          </w:p>
        </w:tc>
        <w:tc>
          <w:tcPr>
            <w:tcW w:w="1214" w:type="dxa"/>
            <w:tcBorders>
              <w:top w:val="single" w:sz="4" w:space="0" w:color="auto"/>
              <w:bottom w:val="single" w:sz="4" w:space="0" w:color="auto"/>
            </w:tcBorders>
          </w:tcPr>
          <w:p w14:paraId="21043611"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426</w:t>
            </w:r>
          </w:p>
        </w:tc>
        <w:tc>
          <w:tcPr>
            <w:tcW w:w="1215" w:type="dxa"/>
            <w:tcBorders>
              <w:top w:val="single" w:sz="4" w:space="0" w:color="auto"/>
              <w:bottom w:val="single" w:sz="4" w:space="0" w:color="auto"/>
            </w:tcBorders>
          </w:tcPr>
          <w:p w14:paraId="399AFF25"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200</w:t>
            </w:r>
          </w:p>
        </w:tc>
        <w:tc>
          <w:tcPr>
            <w:tcW w:w="1215" w:type="dxa"/>
            <w:tcBorders>
              <w:top w:val="single" w:sz="4" w:space="0" w:color="auto"/>
              <w:bottom w:val="single" w:sz="4" w:space="0" w:color="auto"/>
            </w:tcBorders>
          </w:tcPr>
          <w:p w14:paraId="0A3B0789"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226</w:t>
            </w:r>
          </w:p>
        </w:tc>
        <w:tc>
          <w:tcPr>
            <w:tcW w:w="235" w:type="dxa"/>
            <w:tcBorders>
              <w:top w:val="single" w:sz="4" w:space="0" w:color="auto"/>
              <w:bottom w:val="single" w:sz="4" w:space="0" w:color="auto"/>
            </w:tcBorders>
          </w:tcPr>
          <w:p w14:paraId="159CC520" w14:textId="77777777" w:rsidR="008A5C7B" w:rsidRPr="007A1166" w:rsidRDefault="008A5C7B" w:rsidP="000A49F9">
            <w:pPr>
              <w:jc w:val="center"/>
              <w:rPr>
                <w:rFonts w:asciiTheme="majorHAnsi" w:hAnsiTheme="majorHAnsi"/>
                <w:sz w:val="24"/>
                <w:szCs w:val="24"/>
                <w:lang w:val="en-US"/>
              </w:rPr>
            </w:pPr>
          </w:p>
        </w:tc>
        <w:tc>
          <w:tcPr>
            <w:tcW w:w="1676" w:type="dxa"/>
            <w:tcBorders>
              <w:top w:val="single" w:sz="4" w:space="0" w:color="auto"/>
              <w:bottom w:val="single" w:sz="4" w:space="0" w:color="auto"/>
            </w:tcBorders>
          </w:tcPr>
          <w:p w14:paraId="3A431280"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219</w:t>
            </w:r>
          </w:p>
        </w:tc>
        <w:tc>
          <w:tcPr>
            <w:tcW w:w="1701" w:type="dxa"/>
            <w:tcBorders>
              <w:top w:val="single" w:sz="4" w:space="0" w:color="auto"/>
              <w:bottom w:val="single" w:sz="4" w:space="0" w:color="auto"/>
            </w:tcBorders>
          </w:tcPr>
          <w:p w14:paraId="3A2982FB" w14:textId="77777777" w:rsidR="008A5C7B" w:rsidRPr="007A1166" w:rsidRDefault="008A5C7B" w:rsidP="000A49F9">
            <w:pPr>
              <w:jc w:val="center"/>
              <w:rPr>
                <w:rFonts w:asciiTheme="majorHAnsi" w:hAnsiTheme="majorHAnsi"/>
                <w:sz w:val="24"/>
                <w:szCs w:val="24"/>
                <w:lang w:val="en-US"/>
              </w:rPr>
            </w:pPr>
            <w:r w:rsidRPr="007A1166">
              <w:rPr>
                <w:rFonts w:asciiTheme="majorHAnsi" w:hAnsiTheme="majorHAnsi"/>
                <w:sz w:val="24"/>
                <w:szCs w:val="24"/>
                <w:lang w:val="en-US"/>
              </w:rPr>
              <w:t>207</w:t>
            </w:r>
          </w:p>
        </w:tc>
        <w:tc>
          <w:tcPr>
            <w:tcW w:w="1297" w:type="dxa"/>
            <w:gridSpan w:val="2"/>
            <w:tcBorders>
              <w:top w:val="single" w:sz="4" w:space="0" w:color="auto"/>
              <w:bottom w:val="single" w:sz="4" w:space="0" w:color="auto"/>
            </w:tcBorders>
          </w:tcPr>
          <w:p w14:paraId="65929FCA" w14:textId="77777777" w:rsidR="008A5C7B" w:rsidRPr="007A1166" w:rsidRDefault="008A5C7B" w:rsidP="000A49F9">
            <w:pPr>
              <w:jc w:val="center"/>
              <w:rPr>
                <w:rFonts w:asciiTheme="majorHAnsi" w:hAnsiTheme="majorHAnsi"/>
                <w:sz w:val="24"/>
                <w:szCs w:val="24"/>
                <w:lang w:val="en-US"/>
              </w:rPr>
            </w:pPr>
          </w:p>
        </w:tc>
      </w:tr>
    </w:tbl>
    <w:p w14:paraId="00E9D5BD" w14:textId="77777777" w:rsidR="008A5C7B" w:rsidRPr="007A1166" w:rsidRDefault="008A5C7B" w:rsidP="008A5C7B">
      <w:pPr>
        <w:spacing w:after="0" w:line="240" w:lineRule="auto"/>
        <w:rPr>
          <w:rFonts w:asciiTheme="majorHAnsi" w:hAnsiTheme="majorHAnsi"/>
          <w:sz w:val="20"/>
          <w:szCs w:val="20"/>
          <w:lang w:val="en-US"/>
        </w:rPr>
      </w:pPr>
      <w:r w:rsidRPr="007A1166">
        <w:rPr>
          <w:rFonts w:asciiTheme="majorHAnsi" w:hAnsiTheme="majorHAnsi"/>
          <w:sz w:val="20"/>
          <w:szCs w:val="20"/>
          <w:lang w:val="en-US"/>
        </w:rPr>
        <w:t>Mean values are shown with standard deviations in parentheses.</w:t>
      </w:r>
    </w:p>
    <w:p w14:paraId="25B95215" w14:textId="77777777" w:rsidR="008A5C7B" w:rsidRDefault="008A5C7B" w:rsidP="008A5C7B">
      <w:pPr>
        <w:spacing w:after="0" w:line="240" w:lineRule="auto"/>
        <w:rPr>
          <w:rFonts w:asciiTheme="majorHAnsi" w:hAnsiTheme="majorHAnsi"/>
          <w:sz w:val="20"/>
          <w:szCs w:val="20"/>
          <w:lang w:val="en-US"/>
        </w:rPr>
      </w:pPr>
      <w:proofErr w:type="gramStart"/>
      <w:r w:rsidRPr="007A1166">
        <w:rPr>
          <w:rFonts w:asciiTheme="majorHAnsi" w:hAnsiTheme="majorHAnsi"/>
          <w:sz w:val="20"/>
          <w:szCs w:val="20"/>
          <w:vertAlign w:val="superscript"/>
          <w:lang w:val="en-US"/>
        </w:rPr>
        <w:t>a</w:t>
      </w:r>
      <w:proofErr w:type="gramEnd"/>
      <w:r w:rsidRPr="007A1166">
        <w:rPr>
          <w:rFonts w:asciiTheme="majorHAnsi" w:hAnsiTheme="majorHAnsi"/>
          <w:sz w:val="20"/>
          <w:szCs w:val="20"/>
          <w:vertAlign w:val="superscript"/>
          <w:lang w:val="en-US"/>
        </w:rPr>
        <w:t xml:space="preserve"> </w:t>
      </w:r>
      <w:r w:rsidRPr="007A1166">
        <w:rPr>
          <w:rFonts w:asciiTheme="majorHAnsi" w:hAnsiTheme="majorHAnsi"/>
          <w:sz w:val="20"/>
          <w:szCs w:val="20"/>
          <w:lang w:val="en-US"/>
        </w:rPr>
        <w:t>Stunt</w:t>
      </w:r>
      <w:r>
        <w:rPr>
          <w:rFonts w:asciiTheme="majorHAnsi" w:hAnsiTheme="majorHAnsi"/>
          <w:sz w:val="20"/>
          <w:szCs w:val="20"/>
          <w:lang w:val="en-US"/>
        </w:rPr>
        <w:t xml:space="preserve">ing is defined as </w:t>
      </w:r>
      <w:r w:rsidRPr="007A1166">
        <w:rPr>
          <w:rFonts w:asciiTheme="majorHAnsi" w:hAnsiTheme="majorHAnsi"/>
          <w:sz w:val="20"/>
          <w:szCs w:val="20"/>
          <w:lang w:val="en-US"/>
        </w:rPr>
        <w:t>HAZ&lt;-2; mild</w:t>
      </w:r>
      <w:r>
        <w:rPr>
          <w:rFonts w:asciiTheme="majorHAnsi" w:hAnsiTheme="majorHAnsi"/>
          <w:sz w:val="20"/>
          <w:szCs w:val="20"/>
          <w:lang w:val="en-US"/>
        </w:rPr>
        <w:t xml:space="preserve"> stunting as </w:t>
      </w:r>
      <w:r w:rsidRPr="007A1166">
        <w:rPr>
          <w:rFonts w:asciiTheme="majorHAnsi" w:hAnsiTheme="majorHAnsi"/>
          <w:sz w:val="20"/>
          <w:szCs w:val="20"/>
          <w:lang w:val="en-US"/>
        </w:rPr>
        <w:t>HAZ&lt;-1</w:t>
      </w:r>
      <w:r>
        <w:rPr>
          <w:rFonts w:asciiTheme="majorHAnsi" w:hAnsiTheme="majorHAnsi"/>
          <w:sz w:val="20"/>
          <w:szCs w:val="20"/>
          <w:lang w:val="en-US"/>
        </w:rPr>
        <w:t>; extreme stunting as HAZ&lt;-3.</w:t>
      </w:r>
    </w:p>
    <w:p w14:paraId="518EBFBA" w14:textId="77777777" w:rsidR="008A5C7B" w:rsidRPr="007A1166" w:rsidRDefault="008A5C7B" w:rsidP="008A5C7B">
      <w:pPr>
        <w:spacing w:after="0" w:line="240" w:lineRule="auto"/>
        <w:rPr>
          <w:rFonts w:asciiTheme="majorHAnsi" w:hAnsiTheme="majorHAnsi"/>
          <w:sz w:val="20"/>
          <w:szCs w:val="20"/>
          <w:lang w:val="en-US"/>
        </w:rPr>
      </w:pPr>
      <w:proofErr w:type="gramStart"/>
      <w:r w:rsidRPr="007A1166">
        <w:rPr>
          <w:rFonts w:asciiTheme="majorHAnsi" w:hAnsiTheme="majorHAnsi"/>
          <w:sz w:val="20"/>
          <w:szCs w:val="20"/>
          <w:vertAlign w:val="superscript"/>
          <w:lang w:val="en-US"/>
        </w:rPr>
        <w:t>b</w:t>
      </w:r>
      <w:proofErr w:type="gramEnd"/>
      <w:r w:rsidRPr="007A1166">
        <w:rPr>
          <w:rFonts w:asciiTheme="majorHAnsi" w:hAnsiTheme="majorHAnsi"/>
          <w:sz w:val="20"/>
          <w:szCs w:val="20"/>
          <w:vertAlign w:val="superscript"/>
          <w:lang w:val="en-US"/>
        </w:rPr>
        <w:t xml:space="preserve"> </w:t>
      </w:r>
      <w:r w:rsidRPr="007A1166">
        <w:rPr>
          <w:rFonts w:asciiTheme="majorHAnsi" w:hAnsiTheme="majorHAnsi"/>
          <w:sz w:val="20"/>
          <w:szCs w:val="20"/>
          <w:lang w:val="en-US"/>
        </w:rPr>
        <w:t>1 US dollar = 95 Kenyan shilling (</w:t>
      </w:r>
      <w:proofErr w:type="spellStart"/>
      <w:r w:rsidRPr="007A1166">
        <w:rPr>
          <w:rFonts w:asciiTheme="majorHAnsi" w:hAnsiTheme="majorHAnsi"/>
          <w:sz w:val="20"/>
          <w:szCs w:val="20"/>
          <w:lang w:val="en-US"/>
        </w:rPr>
        <w:t>Ksh</w:t>
      </w:r>
      <w:proofErr w:type="spellEnd"/>
      <w:r w:rsidRPr="007A1166">
        <w:rPr>
          <w:rFonts w:asciiTheme="majorHAnsi" w:hAnsiTheme="majorHAnsi"/>
          <w:sz w:val="20"/>
          <w:szCs w:val="20"/>
          <w:lang w:val="en-US"/>
        </w:rPr>
        <w:t>); average official exchange rate in 2015.</w:t>
      </w:r>
    </w:p>
    <w:p w14:paraId="6C5E2E94" w14:textId="77777777" w:rsidR="008A5C7B" w:rsidRPr="007A1166" w:rsidRDefault="008A5C7B" w:rsidP="008A5C7B">
      <w:pPr>
        <w:spacing w:after="0" w:line="240" w:lineRule="auto"/>
        <w:rPr>
          <w:rFonts w:asciiTheme="majorHAnsi" w:hAnsiTheme="majorHAnsi"/>
          <w:sz w:val="20"/>
          <w:szCs w:val="20"/>
          <w:lang w:val="en-US"/>
        </w:rPr>
      </w:pPr>
      <w:proofErr w:type="gramStart"/>
      <w:r w:rsidRPr="007A1166">
        <w:rPr>
          <w:rFonts w:asciiTheme="majorHAnsi" w:hAnsiTheme="majorHAnsi"/>
          <w:sz w:val="20"/>
          <w:szCs w:val="20"/>
          <w:vertAlign w:val="superscript"/>
          <w:lang w:val="en-US"/>
        </w:rPr>
        <w:t>c</w:t>
      </w:r>
      <w:proofErr w:type="gramEnd"/>
      <w:r w:rsidRPr="007A1166">
        <w:rPr>
          <w:rFonts w:asciiTheme="majorHAnsi" w:hAnsiTheme="majorHAnsi"/>
          <w:sz w:val="20"/>
          <w:szCs w:val="20"/>
          <w:vertAlign w:val="superscript"/>
          <w:lang w:val="en-US"/>
        </w:rPr>
        <w:t xml:space="preserve"> </w:t>
      </w:r>
      <w:r w:rsidRPr="007A1166">
        <w:rPr>
          <w:rFonts w:asciiTheme="majorHAnsi" w:hAnsiTheme="majorHAnsi"/>
          <w:sz w:val="20"/>
          <w:szCs w:val="20"/>
          <w:lang w:val="en-US"/>
        </w:rPr>
        <w:t>Using the aggregate maternal nutrition knowledge score, households were subdivided into those with above and those with below average scores.</w:t>
      </w:r>
    </w:p>
    <w:p w14:paraId="742DCA7D" w14:textId="77777777" w:rsidR="008A5C7B" w:rsidRPr="007A1166" w:rsidRDefault="008A5C7B" w:rsidP="008A5C7B">
      <w:pPr>
        <w:spacing w:after="0" w:line="240" w:lineRule="auto"/>
        <w:rPr>
          <w:rFonts w:asciiTheme="majorHAnsi" w:hAnsiTheme="majorHAnsi"/>
          <w:sz w:val="20"/>
          <w:szCs w:val="20"/>
          <w:lang w:val="en-US"/>
        </w:rPr>
      </w:pPr>
      <w:proofErr w:type="gramStart"/>
      <w:r w:rsidRPr="007A1166">
        <w:rPr>
          <w:rFonts w:asciiTheme="majorHAnsi" w:hAnsiTheme="majorHAnsi"/>
          <w:sz w:val="20"/>
          <w:szCs w:val="20"/>
          <w:vertAlign w:val="superscript"/>
          <w:lang w:val="en-US"/>
        </w:rPr>
        <w:t>e</w:t>
      </w:r>
      <w:proofErr w:type="gramEnd"/>
      <w:r w:rsidRPr="007A1166">
        <w:rPr>
          <w:rFonts w:asciiTheme="majorHAnsi" w:hAnsiTheme="majorHAnsi"/>
          <w:sz w:val="20"/>
          <w:szCs w:val="20"/>
          <w:vertAlign w:val="superscript"/>
          <w:lang w:val="en-US"/>
        </w:rPr>
        <w:t xml:space="preserve"> </w:t>
      </w:r>
      <w:r w:rsidRPr="007A1166">
        <w:rPr>
          <w:rFonts w:asciiTheme="majorHAnsi" w:hAnsiTheme="majorHAnsi"/>
          <w:sz w:val="20"/>
          <w:szCs w:val="20"/>
          <w:lang w:val="en-US"/>
        </w:rPr>
        <w:t>Consumption expenditure value for 2015 has been deflated to 2012 values using World Bank’s Consumer Price Index (2010=100)</w:t>
      </w:r>
    </w:p>
    <w:p w14:paraId="1BBE1ED0" w14:textId="77777777" w:rsidR="008A5C7B" w:rsidRDefault="008A5C7B" w:rsidP="008A5C7B">
      <w:pPr>
        <w:rPr>
          <w:rFonts w:asciiTheme="majorHAnsi" w:hAnsiTheme="majorHAnsi"/>
          <w:sz w:val="24"/>
          <w:szCs w:val="24"/>
          <w:lang w:val="en-US"/>
        </w:rPr>
        <w:sectPr w:rsidR="008A5C7B" w:rsidSect="000A49F9">
          <w:pgSz w:w="16838" w:h="11906" w:orient="landscape"/>
          <w:pgMar w:top="1418" w:right="1418" w:bottom="1134" w:left="1134" w:header="709" w:footer="709" w:gutter="0"/>
          <w:cols w:space="708"/>
          <w:docGrid w:linePitch="360"/>
        </w:sectPr>
      </w:pPr>
    </w:p>
    <w:p w14:paraId="67B0DFB6" w14:textId="77777777" w:rsidR="008A5C7B" w:rsidRPr="00E950A8"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lastRenderedPageBreak/>
        <w:t>In the right-hand part of Table 3, we subdivide the sample into households with high and low maternal nutrition knowledge using the average aggregate nutrition score as the cutoff point. Children and adolescents with mothers that have high nutrition knowledge have a significantly larger HAZ (</w:t>
      </w:r>
      <w:r w:rsidRPr="000C3350">
        <w:rPr>
          <w:rFonts w:asciiTheme="majorHAnsi" w:hAnsiTheme="majorHAnsi"/>
          <w:i/>
          <w:sz w:val="24"/>
          <w:szCs w:val="24"/>
          <w:lang w:val="en-US"/>
        </w:rPr>
        <w:t>p</w:t>
      </w:r>
      <w:r w:rsidRPr="00064DA0">
        <w:rPr>
          <w:rFonts w:asciiTheme="majorHAnsi" w:hAnsiTheme="majorHAnsi"/>
          <w:sz w:val="24"/>
          <w:szCs w:val="24"/>
          <w:lang w:val="en-US"/>
        </w:rPr>
        <w:t>&lt;0.01) tha</w:t>
      </w:r>
      <w:r w:rsidRPr="00E950A8">
        <w:rPr>
          <w:rFonts w:asciiTheme="majorHAnsi" w:hAnsiTheme="majorHAnsi"/>
          <w:sz w:val="24"/>
          <w:szCs w:val="24"/>
          <w:lang w:val="en-US"/>
        </w:rPr>
        <w:t>n children and adolescents with mothers that have low nutrition knowledge. We also observe significant differences between the two groups for some of the other child and household characteristics, such as the incidence of infectious diseases, sex of the household head, and household consumption expenditures. These are variables that we control for in the parametric regressions.</w:t>
      </w:r>
    </w:p>
    <w:p w14:paraId="07833445" w14:textId="77777777" w:rsidR="008A5C7B" w:rsidRPr="00E950A8" w:rsidRDefault="008A5C7B" w:rsidP="008A5C7B">
      <w:pPr>
        <w:spacing w:line="480" w:lineRule="auto"/>
        <w:ind w:firstLine="708"/>
        <w:jc w:val="center"/>
        <w:rPr>
          <w:rFonts w:asciiTheme="majorHAnsi" w:hAnsiTheme="majorHAnsi"/>
          <w:sz w:val="24"/>
          <w:szCs w:val="24"/>
          <w:lang w:val="en-US"/>
        </w:rPr>
      </w:pPr>
    </w:p>
    <w:p w14:paraId="4F78E4CD" w14:textId="77777777" w:rsidR="008A5C7B" w:rsidRPr="00A254F5" w:rsidRDefault="008A5C7B" w:rsidP="007C3E2A">
      <w:pPr>
        <w:pStyle w:val="berschrift2"/>
        <w:rPr>
          <w:lang w:val="en-US"/>
        </w:rPr>
      </w:pPr>
      <w:r w:rsidRPr="00A254F5">
        <w:rPr>
          <w:lang w:val="en-US"/>
        </w:rPr>
        <w:t>Non-Parametric Estimation Results</w:t>
      </w:r>
    </w:p>
    <w:p w14:paraId="6BEE6CFA" w14:textId="77777777" w:rsidR="008A5C7B" w:rsidRDefault="008A5C7B" w:rsidP="008A5C7B">
      <w:pPr>
        <w:spacing w:line="480" w:lineRule="auto"/>
        <w:jc w:val="both"/>
        <w:rPr>
          <w:rFonts w:asciiTheme="majorHAnsi" w:hAnsiTheme="majorHAnsi"/>
          <w:sz w:val="24"/>
          <w:szCs w:val="24"/>
          <w:lang w:val="en-US"/>
        </w:rPr>
      </w:pPr>
      <w:r w:rsidRPr="00E950A8">
        <w:rPr>
          <w:rFonts w:asciiTheme="majorHAnsi" w:hAnsiTheme="majorHAnsi"/>
          <w:sz w:val="24"/>
          <w:szCs w:val="24"/>
          <w:lang w:val="en-US"/>
        </w:rPr>
        <w:t>The graphical illustration of the non-parametric analysis shows a positive link between maternal nutrition knowledge and HAZ of children and adolescents (Figure 1). Panel (A) depicts the local polynomial regression plot. It can clearly be seen that maternal nutrition knowledge has a positive association with HAZ. Panel (B) shows the distribution of HAZ in households with high and low maternal nutrition knowledge. In households with high nutrition knowledge</w:t>
      </w:r>
      <w:r>
        <w:rPr>
          <w:rFonts w:asciiTheme="majorHAnsi" w:hAnsiTheme="majorHAnsi"/>
          <w:sz w:val="24"/>
          <w:szCs w:val="24"/>
          <w:lang w:val="en-US"/>
        </w:rPr>
        <w:t>,</w:t>
      </w:r>
      <w:r w:rsidRPr="00E950A8">
        <w:rPr>
          <w:rFonts w:asciiTheme="majorHAnsi" w:hAnsiTheme="majorHAnsi"/>
          <w:sz w:val="24"/>
          <w:szCs w:val="24"/>
          <w:lang w:val="en-US"/>
        </w:rPr>
        <w:t xml:space="preserve"> the HAZ distribution is shifted to the right, which further underlines the positive association. The subsequent analysis investigates this relationship after controlling for confounding factors.</w:t>
      </w:r>
    </w:p>
    <w:p w14:paraId="34D7B13A" w14:textId="77777777" w:rsidR="008A5C7B" w:rsidRDefault="008A5C7B" w:rsidP="008A5C7B">
      <w:pPr>
        <w:rPr>
          <w:rFonts w:asciiTheme="majorHAnsi" w:hAnsiTheme="majorHAnsi"/>
          <w:sz w:val="24"/>
          <w:szCs w:val="24"/>
          <w:lang w:val="en-US"/>
        </w:rPr>
      </w:pPr>
      <w:r>
        <w:rPr>
          <w:rFonts w:asciiTheme="majorHAnsi" w:hAnsiTheme="majorHAnsi"/>
          <w:sz w:val="24"/>
          <w:szCs w:val="24"/>
          <w:lang w:val="en-US"/>
        </w:rPr>
        <w:br w:type="page"/>
      </w:r>
    </w:p>
    <w:p w14:paraId="51B6C208" w14:textId="77777777" w:rsidR="008A5C7B" w:rsidRDefault="008A5C7B" w:rsidP="008A5C7B">
      <w:pPr>
        <w:spacing w:line="480" w:lineRule="auto"/>
        <w:jc w:val="both"/>
        <w:rPr>
          <w:rFonts w:asciiTheme="majorHAnsi" w:hAnsiTheme="majorHAnsi"/>
          <w:sz w:val="24"/>
          <w:szCs w:val="24"/>
          <w:lang w:val="en-US"/>
        </w:rPr>
        <w:sectPr w:rsidR="008A5C7B" w:rsidSect="000A49F9">
          <w:pgSz w:w="11906" w:h="16838"/>
          <w:pgMar w:top="1417" w:right="1133" w:bottom="1134" w:left="1417" w:header="708" w:footer="708" w:gutter="0"/>
          <w:cols w:space="708"/>
          <w:docGrid w:linePitch="360"/>
        </w:sectPr>
      </w:pPr>
    </w:p>
    <w:p w14:paraId="6B3E7D14" w14:textId="77777777" w:rsidR="008A5C7B" w:rsidRDefault="008A5C7B" w:rsidP="008A5C7B">
      <w:pPr>
        <w:spacing w:line="480" w:lineRule="auto"/>
        <w:rPr>
          <w:rFonts w:asciiTheme="majorHAnsi" w:hAnsiTheme="majorHAnsi"/>
          <w:sz w:val="24"/>
          <w:szCs w:val="24"/>
          <w:lang w:val="en-US"/>
        </w:rPr>
      </w:pPr>
      <w:r>
        <w:rPr>
          <w:rFonts w:asciiTheme="majorHAnsi" w:hAnsiTheme="majorHAnsi"/>
          <w:noProof/>
          <w:sz w:val="24"/>
          <w:szCs w:val="24"/>
          <w:lang w:val="en-US"/>
        </w:rPr>
        <w:lastRenderedPageBreak/>
        <w:drawing>
          <wp:inline distT="0" distB="0" distL="0" distR="0" wp14:anchorId="7B4007F1" wp14:editId="627D8F93">
            <wp:extent cx="5939942" cy="7402982"/>
            <wp:effectExtent l="0" t="0" r="3810" b="7620"/>
            <wp:docPr id="3" name="Picture 3" descr="C:\Users\bdebela\PowerFolders\Bethelhem Legesse Debela Files\GlobalFood Postdoc Research\Data Sets\Kenya-Urban\Working data\aprilHAZandN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debela\PowerFolders\Bethelhem Legesse Debela Files\GlobalFood Postdoc Research\Data Sets\Kenya-Urban\Working data\aprilHAZandNK.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1060" cy="7404375"/>
                    </a:xfrm>
                    <a:prstGeom prst="rect">
                      <a:avLst/>
                    </a:prstGeom>
                    <a:noFill/>
                    <a:ln>
                      <a:noFill/>
                    </a:ln>
                  </pic:spPr>
                </pic:pic>
              </a:graphicData>
            </a:graphic>
          </wp:inline>
        </w:drawing>
      </w:r>
    </w:p>
    <w:p w14:paraId="57514FBE" w14:textId="77777777" w:rsidR="008A5C7B" w:rsidRPr="00E950A8" w:rsidRDefault="008A5C7B" w:rsidP="008A5C7B">
      <w:pPr>
        <w:spacing w:line="480" w:lineRule="auto"/>
        <w:rPr>
          <w:rFonts w:asciiTheme="majorHAnsi" w:hAnsiTheme="majorHAnsi"/>
          <w:sz w:val="24"/>
          <w:szCs w:val="24"/>
          <w:lang w:val="en-US"/>
        </w:rPr>
      </w:pPr>
      <w:proofErr w:type="gramStart"/>
      <w:r w:rsidRPr="00E950A8">
        <w:rPr>
          <w:rFonts w:asciiTheme="majorHAnsi" w:hAnsiTheme="majorHAnsi"/>
          <w:sz w:val="24"/>
          <w:szCs w:val="24"/>
          <w:lang w:val="en-US"/>
        </w:rPr>
        <w:t>Figure 1.</w:t>
      </w:r>
      <w:proofErr w:type="gramEnd"/>
      <w:r w:rsidRPr="00E950A8">
        <w:rPr>
          <w:rFonts w:asciiTheme="majorHAnsi" w:hAnsiTheme="majorHAnsi"/>
          <w:sz w:val="24"/>
          <w:szCs w:val="24"/>
          <w:lang w:val="en-US"/>
        </w:rPr>
        <w:t xml:space="preserve"> Relationship between maternal nutrition knowledge and child HAZ</w:t>
      </w:r>
    </w:p>
    <w:p w14:paraId="656D0004" w14:textId="77777777" w:rsidR="008A5C7B" w:rsidRDefault="008A5C7B" w:rsidP="008A5C7B">
      <w:pPr>
        <w:rPr>
          <w:rFonts w:asciiTheme="majorHAnsi" w:hAnsiTheme="majorHAnsi"/>
          <w:sz w:val="24"/>
          <w:szCs w:val="24"/>
          <w:lang w:val="en-US"/>
        </w:rPr>
      </w:pPr>
      <w:r>
        <w:rPr>
          <w:rFonts w:asciiTheme="majorHAnsi" w:hAnsiTheme="majorHAnsi"/>
          <w:sz w:val="24"/>
          <w:szCs w:val="24"/>
          <w:lang w:val="en-US"/>
        </w:rPr>
        <w:t xml:space="preserve">Notes: Panel </w:t>
      </w:r>
      <w:r w:rsidRPr="00E950A8">
        <w:rPr>
          <w:rFonts w:asciiTheme="majorHAnsi" w:hAnsiTheme="majorHAnsi"/>
          <w:sz w:val="24"/>
          <w:szCs w:val="24"/>
          <w:lang w:val="en-US"/>
        </w:rPr>
        <w:t xml:space="preserve">(A) shows a local polynomial regression with N=426 observations of children and adolescents (aged 5-18). </w:t>
      </w:r>
      <w:r>
        <w:rPr>
          <w:rFonts w:asciiTheme="majorHAnsi" w:hAnsiTheme="majorHAnsi"/>
          <w:sz w:val="24"/>
          <w:szCs w:val="24"/>
          <w:lang w:val="en-US"/>
        </w:rPr>
        <w:t xml:space="preserve">Panel </w:t>
      </w:r>
      <w:r w:rsidRPr="00E950A8">
        <w:rPr>
          <w:rFonts w:asciiTheme="majorHAnsi" w:hAnsiTheme="majorHAnsi"/>
          <w:sz w:val="24"/>
          <w:szCs w:val="24"/>
          <w:lang w:val="en-US"/>
        </w:rPr>
        <w:t>(B) shows kernel density plots of child and adolescent HAZ in households with high maternal nutrition knowledge score (N=219) and in households with low maternal nutrition knowledge score (N=207).</w:t>
      </w:r>
    </w:p>
    <w:p w14:paraId="21A68B0C" w14:textId="77777777" w:rsidR="008A5C7B" w:rsidRPr="00A254F5" w:rsidRDefault="008A5C7B" w:rsidP="007C3E2A">
      <w:pPr>
        <w:pStyle w:val="berschrift2"/>
        <w:rPr>
          <w:lang w:val="en-US"/>
        </w:rPr>
      </w:pPr>
      <w:r w:rsidRPr="00A254F5">
        <w:rPr>
          <w:lang w:val="en-US"/>
        </w:rPr>
        <w:lastRenderedPageBreak/>
        <w:t>Parametric Estimation Results</w:t>
      </w:r>
    </w:p>
    <w:p w14:paraId="0D310CED" w14:textId="77777777" w:rsidR="008A5C7B" w:rsidRPr="00E950A8" w:rsidRDefault="008A5C7B" w:rsidP="008A5C7B">
      <w:pPr>
        <w:spacing w:line="480" w:lineRule="auto"/>
        <w:jc w:val="both"/>
        <w:rPr>
          <w:rFonts w:asciiTheme="majorHAnsi" w:hAnsiTheme="majorHAnsi"/>
          <w:sz w:val="24"/>
          <w:szCs w:val="24"/>
          <w:lang w:val="en-US"/>
        </w:rPr>
      </w:pPr>
      <w:r w:rsidRPr="00E950A8">
        <w:rPr>
          <w:rFonts w:asciiTheme="majorHAnsi" w:hAnsiTheme="majorHAnsi"/>
          <w:sz w:val="24"/>
          <w:szCs w:val="24"/>
          <w:lang w:val="en-US"/>
        </w:rPr>
        <w:t>Table 4 shows estimation results of the HAZ models using the aggregate maternal nutrition knowledge score, next to a set of child and household level covariates as explanatory variable</w:t>
      </w:r>
      <w:r>
        <w:rPr>
          <w:rFonts w:asciiTheme="majorHAnsi" w:hAnsiTheme="majorHAnsi"/>
          <w:sz w:val="24"/>
          <w:szCs w:val="24"/>
          <w:lang w:val="en-US"/>
        </w:rPr>
        <w:t>s</w:t>
      </w:r>
      <w:r w:rsidRPr="00E950A8">
        <w:rPr>
          <w:rFonts w:asciiTheme="majorHAnsi" w:hAnsiTheme="majorHAnsi"/>
          <w:sz w:val="24"/>
          <w:szCs w:val="24"/>
          <w:lang w:val="en-US"/>
        </w:rPr>
        <w:t xml:space="preserve">. Model (1A) does not control for </w:t>
      </w:r>
      <w:r>
        <w:rPr>
          <w:rFonts w:asciiTheme="majorHAnsi" w:hAnsiTheme="majorHAnsi"/>
          <w:sz w:val="24"/>
          <w:szCs w:val="24"/>
          <w:lang w:val="en-US"/>
        </w:rPr>
        <w:t xml:space="preserve">maternal education and </w:t>
      </w:r>
      <w:r w:rsidRPr="00E950A8">
        <w:rPr>
          <w:rFonts w:asciiTheme="majorHAnsi" w:hAnsiTheme="majorHAnsi"/>
          <w:sz w:val="24"/>
          <w:szCs w:val="24"/>
          <w:lang w:val="en-US"/>
        </w:rPr>
        <w:t xml:space="preserve">household consumption expenditures. </w:t>
      </w:r>
      <w:r>
        <w:rPr>
          <w:rFonts w:asciiTheme="majorHAnsi" w:hAnsiTheme="majorHAnsi"/>
          <w:sz w:val="24"/>
          <w:szCs w:val="24"/>
          <w:lang w:val="en-US"/>
        </w:rPr>
        <w:t xml:space="preserve">The estimates </w:t>
      </w:r>
      <w:r w:rsidRPr="00E950A8">
        <w:rPr>
          <w:rFonts w:asciiTheme="majorHAnsi" w:hAnsiTheme="majorHAnsi"/>
          <w:sz w:val="24"/>
          <w:szCs w:val="24"/>
          <w:lang w:val="en-US"/>
        </w:rPr>
        <w:t>show that maternal nutrition knowledge is positively and significantly associated with HAZ of children and adolescents (</w:t>
      </w:r>
      <w:r w:rsidRPr="000C3350">
        <w:rPr>
          <w:rFonts w:asciiTheme="majorHAnsi" w:hAnsiTheme="majorHAnsi"/>
          <w:i/>
          <w:sz w:val="24"/>
          <w:szCs w:val="24"/>
          <w:lang w:val="en-US"/>
        </w:rPr>
        <w:t>p</w:t>
      </w:r>
      <w:r w:rsidRPr="00064DA0">
        <w:rPr>
          <w:rFonts w:asciiTheme="majorHAnsi" w:hAnsiTheme="majorHAnsi"/>
          <w:sz w:val="24"/>
          <w:szCs w:val="24"/>
          <w:lang w:val="en-US"/>
        </w:rPr>
        <w:t>&lt;0.01)</w:t>
      </w:r>
      <w:r w:rsidRPr="00E950A8">
        <w:rPr>
          <w:rFonts w:asciiTheme="majorHAnsi" w:hAnsiTheme="majorHAnsi"/>
          <w:sz w:val="24"/>
          <w:szCs w:val="24"/>
          <w:lang w:val="en-US"/>
        </w:rPr>
        <w:t xml:space="preserve">. The estimation coefficient of 1.25 implies that an increase in the knowledge score from 0 to 1 would increase child HAZ by 1.25. This is an extreme interpretation, however, because most of the </w:t>
      </w:r>
      <w:r>
        <w:rPr>
          <w:rFonts w:asciiTheme="majorHAnsi" w:hAnsiTheme="majorHAnsi"/>
          <w:sz w:val="24"/>
          <w:szCs w:val="24"/>
          <w:lang w:val="en-US"/>
        </w:rPr>
        <w:t xml:space="preserve">observed </w:t>
      </w:r>
      <w:r w:rsidRPr="00E950A8">
        <w:rPr>
          <w:rFonts w:asciiTheme="majorHAnsi" w:hAnsiTheme="majorHAnsi"/>
          <w:sz w:val="24"/>
          <w:szCs w:val="24"/>
          <w:lang w:val="en-US"/>
        </w:rPr>
        <w:t xml:space="preserve">knowledge scores are in a narrower range. As shown in Table 2, the aggregate nutrition knowledge score has a mean value of 0.59 and a standard deviation of 0.13. Using the 1.25 estimate from model (1A), an increase </w:t>
      </w:r>
      <w:proofErr w:type="gramStart"/>
      <w:r w:rsidRPr="00E950A8">
        <w:rPr>
          <w:rFonts w:asciiTheme="majorHAnsi" w:hAnsiTheme="majorHAnsi"/>
          <w:sz w:val="24"/>
          <w:szCs w:val="24"/>
          <w:lang w:val="en-US"/>
        </w:rPr>
        <w:t>in the knowledge score by one standard deviation</w:t>
      </w:r>
      <w:proofErr w:type="gramEnd"/>
      <w:r w:rsidRPr="00E950A8">
        <w:rPr>
          <w:rFonts w:asciiTheme="majorHAnsi" w:hAnsiTheme="majorHAnsi"/>
          <w:sz w:val="24"/>
          <w:szCs w:val="24"/>
          <w:lang w:val="en-US"/>
        </w:rPr>
        <w:t xml:space="preserve"> is associated with a 0.16 increase in HAZ.</w:t>
      </w:r>
    </w:p>
    <w:p w14:paraId="2DC9911A" w14:textId="77777777" w:rsidR="008A5C7B"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 xml:space="preserve">Model (1B) in Table 4 </w:t>
      </w:r>
      <w:r>
        <w:rPr>
          <w:rFonts w:asciiTheme="majorHAnsi" w:hAnsiTheme="majorHAnsi"/>
          <w:sz w:val="24"/>
          <w:szCs w:val="24"/>
          <w:lang w:val="en-US"/>
        </w:rPr>
        <w:t xml:space="preserve">additionally controls for maternal education. Results show that education of the mother positively affects HAZ of children and adolescents. In line with previous research by </w:t>
      </w:r>
      <w:proofErr w:type="spellStart"/>
      <w:r>
        <w:rPr>
          <w:rFonts w:asciiTheme="majorHAnsi" w:hAnsiTheme="majorHAnsi"/>
          <w:sz w:val="24"/>
          <w:szCs w:val="24"/>
          <w:lang w:val="en-US"/>
        </w:rPr>
        <w:t>Burchi</w:t>
      </w:r>
      <w:proofErr w:type="spellEnd"/>
      <w:r>
        <w:rPr>
          <w:rFonts w:asciiTheme="majorHAnsi" w:hAnsiTheme="majorHAnsi"/>
          <w:sz w:val="24"/>
          <w:szCs w:val="24"/>
          <w:lang w:val="en-US"/>
        </w:rPr>
        <w:t xml:space="preserve"> (2010) for younger children, we find that maternal nutrition knowledge remains positive and significant (p&lt;0.01), even after accounting for maternal education. The coefficient magnitude for nutrition knowledge declines somewhat, implying that maternal nutrition knowledge and maternal education are positively correlated, as one would expect. However, the results also clearly suggest that formal school education is not the only pathway through which nutrition knowledge is acquired.</w:t>
      </w:r>
    </w:p>
    <w:p w14:paraId="28D06458" w14:textId="77777777" w:rsidR="008A5C7B" w:rsidRDefault="008A5C7B" w:rsidP="008A5C7B">
      <w:pPr>
        <w:spacing w:line="480" w:lineRule="auto"/>
        <w:ind w:firstLine="708"/>
        <w:jc w:val="both"/>
        <w:rPr>
          <w:rFonts w:asciiTheme="majorHAnsi" w:hAnsiTheme="majorHAnsi"/>
          <w:sz w:val="24"/>
          <w:szCs w:val="24"/>
          <w:lang w:val="en-US"/>
        </w:rPr>
      </w:pPr>
      <w:r>
        <w:rPr>
          <w:rFonts w:asciiTheme="majorHAnsi" w:hAnsiTheme="majorHAnsi"/>
          <w:sz w:val="24"/>
          <w:szCs w:val="24"/>
          <w:lang w:val="en-US"/>
        </w:rPr>
        <w:t>Model (1C) in Table 4 excludes maternal education</w:t>
      </w:r>
      <w:r w:rsidRPr="00E950A8" w:rsidDel="005C5238">
        <w:rPr>
          <w:rFonts w:asciiTheme="majorHAnsi" w:hAnsiTheme="majorHAnsi"/>
          <w:sz w:val="24"/>
          <w:szCs w:val="24"/>
          <w:lang w:val="en-US"/>
        </w:rPr>
        <w:t xml:space="preserve"> </w:t>
      </w:r>
      <w:r>
        <w:rPr>
          <w:rFonts w:asciiTheme="majorHAnsi" w:hAnsiTheme="majorHAnsi"/>
          <w:sz w:val="24"/>
          <w:szCs w:val="24"/>
          <w:lang w:val="en-US"/>
        </w:rPr>
        <w:t xml:space="preserve">and </w:t>
      </w:r>
      <w:r w:rsidRPr="00E950A8">
        <w:rPr>
          <w:rFonts w:asciiTheme="majorHAnsi" w:hAnsiTheme="majorHAnsi"/>
          <w:sz w:val="24"/>
          <w:szCs w:val="24"/>
          <w:lang w:val="en-US"/>
        </w:rPr>
        <w:t>controls for household consumption expenditures</w:t>
      </w:r>
      <w:r>
        <w:rPr>
          <w:rFonts w:asciiTheme="majorHAnsi" w:hAnsiTheme="majorHAnsi"/>
          <w:sz w:val="24"/>
          <w:szCs w:val="24"/>
          <w:lang w:val="en-US"/>
        </w:rPr>
        <w:t xml:space="preserve"> instead</w:t>
      </w:r>
      <w:r w:rsidRPr="00E950A8">
        <w:rPr>
          <w:rFonts w:asciiTheme="majorHAnsi" w:hAnsiTheme="majorHAnsi"/>
          <w:sz w:val="24"/>
          <w:szCs w:val="24"/>
          <w:lang w:val="en-US"/>
        </w:rPr>
        <w:t>. Consumption expenditure</w:t>
      </w:r>
      <w:r>
        <w:rPr>
          <w:rFonts w:asciiTheme="majorHAnsi" w:hAnsiTheme="majorHAnsi"/>
          <w:sz w:val="24"/>
          <w:szCs w:val="24"/>
          <w:lang w:val="en-US"/>
        </w:rPr>
        <w:t>s</w:t>
      </w:r>
      <w:r w:rsidRPr="00E950A8">
        <w:rPr>
          <w:rFonts w:asciiTheme="majorHAnsi" w:hAnsiTheme="majorHAnsi"/>
          <w:sz w:val="24"/>
          <w:szCs w:val="24"/>
          <w:lang w:val="en-US"/>
        </w:rPr>
        <w:t xml:space="preserve"> ha</w:t>
      </w:r>
      <w:r>
        <w:rPr>
          <w:rFonts w:asciiTheme="majorHAnsi" w:hAnsiTheme="majorHAnsi"/>
          <w:sz w:val="24"/>
          <w:szCs w:val="24"/>
          <w:lang w:val="en-US"/>
        </w:rPr>
        <w:t>ve</w:t>
      </w:r>
      <w:r w:rsidRPr="00E950A8">
        <w:rPr>
          <w:rFonts w:asciiTheme="majorHAnsi" w:hAnsiTheme="majorHAnsi"/>
          <w:sz w:val="24"/>
          <w:szCs w:val="24"/>
          <w:lang w:val="en-US"/>
        </w:rPr>
        <w:t xml:space="preserve"> a significantly positive effect on HAZ of children and adolescents, as one would expect. At the same time, the coefficient </w:t>
      </w:r>
      <w:r>
        <w:rPr>
          <w:rFonts w:asciiTheme="majorHAnsi" w:hAnsiTheme="majorHAnsi"/>
          <w:sz w:val="24"/>
          <w:szCs w:val="24"/>
          <w:lang w:val="en-US"/>
        </w:rPr>
        <w:t xml:space="preserve">for </w:t>
      </w:r>
      <w:r w:rsidRPr="00E950A8">
        <w:rPr>
          <w:rFonts w:asciiTheme="majorHAnsi" w:hAnsiTheme="majorHAnsi"/>
          <w:sz w:val="24"/>
          <w:szCs w:val="24"/>
          <w:lang w:val="en-US"/>
        </w:rPr>
        <w:t xml:space="preserve">maternal nutrition knowledge shrinks, but remains positive and statistically </w:t>
      </w:r>
      <w:r w:rsidRPr="00E950A8">
        <w:rPr>
          <w:rFonts w:asciiTheme="majorHAnsi" w:hAnsiTheme="majorHAnsi"/>
          <w:sz w:val="24"/>
          <w:szCs w:val="24"/>
          <w:lang w:val="en-US"/>
        </w:rPr>
        <w:lastRenderedPageBreak/>
        <w:t>significant (</w:t>
      </w:r>
      <w:r w:rsidRPr="000C3350">
        <w:rPr>
          <w:rFonts w:asciiTheme="majorHAnsi" w:hAnsiTheme="majorHAnsi"/>
          <w:i/>
          <w:sz w:val="24"/>
          <w:szCs w:val="24"/>
          <w:lang w:val="en-US"/>
        </w:rPr>
        <w:t>p</w:t>
      </w:r>
      <w:r w:rsidRPr="00E950A8">
        <w:rPr>
          <w:rFonts w:asciiTheme="majorHAnsi" w:hAnsiTheme="majorHAnsi"/>
          <w:sz w:val="24"/>
          <w:szCs w:val="24"/>
          <w:lang w:val="en-US"/>
        </w:rPr>
        <w:t>&lt;0.05). This suggests that maternal nutrition knowledge plays an important role for child nutritional outcomes, even after controlling for household living standard.</w:t>
      </w:r>
      <w:r w:rsidRPr="00E950A8">
        <w:rPr>
          <w:rStyle w:val="Funotenzeichen"/>
          <w:rFonts w:asciiTheme="majorHAnsi" w:hAnsiTheme="majorHAnsi"/>
          <w:sz w:val="24"/>
          <w:szCs w:val="24"/>
          <w:lang w:val="en-US"/>
        </w:rPr>
        <w:footnoteReference w:id="4"/>
      </w:r>
    </w:p>
    <w:p w14:paraId="5DA64BE6" w14:textId="77777777" w:rsidR="008A5C7B" w:rsidRDefault="008A5C7B" w:rsidP="008A5C7B">
      <w:pPr>
        <w:rPr>
          <w:rFonts w:asciiTheme="majorHAnsi" w:hAnsiTheme="majorHAnsi"/>
          <w:sz w:val="24"/>
          <w:szCs w:val="24"/>
          <w:lang w:val="en-US"/>
        </w:rPr>
      </w:pPr>
    </w:p>
    <w:p w14:paraId="4FBA9EC8" w14:textId="77777777" w:rsidR="008A5C7B" w:rsidRDefault="008A5C7B" w:rsidP="008A5C7B">
      <w:pPr>
        <w:spacing w:line="240" w:lineRule="auto"/>
        <w:rPr>
          <w:rFonts w:asciiTheme="majorHAnsi" w:hAnsiTheme="majorHAnsi"/>
          <w:sz w:val="24"/>
          <w:szCs w:val="24"/>
          <w:lang w:val="en-US"/>
        </w:rPr>
      </w:pPr>
      <w:proofErr w:type="gramStart"/>
      <w:r w:rsidRPr="007A1166">
        <w:rPr>
          <w:rFonts w:asciiTheme="majorHAnsi" w:hAnsiTheme="majorHAnsi"/>
          <w:sz w:val="24"/>
          <w:szCs w:val="24"/>
          <w:lang w:val="en-US"/>
        </w:rPr>
        <w:t>Table 4.</w:t>
      </w:r>
      <w:proofErr w:type="gramEnd"/>
      <w:r w:rsidRPr="007A1166">
        <w:rPr>
          <w:rFonts w:asciiTheme="majorHAnsi" w:hAnsiTheme="majorHAnsi"/>
          <w:sz w:val="24"/>
          <w:szCs w:val="24"/>
          <w:lang w:val="en-US"/>
        </w:rPr>
        <w:t xml:space="preserve"> Association between aggregate maternal nutrition knowledge and child HAZ</w:t>
      </w:r>
    </w:p>
    <w:tbl>
      <w:tblPr>
        <w:tblW w:w="9993" w:type="dxa"/>
        <w:jc w:val="center"/>
        <w:tblLayout w:type="fixed"/>
        <w:tblCellMar>
          <w:left w:w="144" w:type="dxa"/>
          <w:right w:w="144" w:type="dxa"/>
        </w:tblCellMar>
        <w:tblLook w:val="0000" w:firstRow="0" w:lastRow="0" w:firstColumn="0" w:lastColumn="0" w:noHBand="0" w:noVBand="0"/>
      </w:tblPr>
      <w:tblGrid>
        <w:gridCol w:w="3807"/>
        <w:gridCol w:w="1596"/>
        <w:gridCol w:w="1596"/>
        <w:gridCol w:w="1417"/>
        <w:gridCol w:w="1577"/>
      </w:tblGrid>
      <w:tr w:rsidR="008A5C7B" w:rsidRPr="00BE6529" w14:paraId="5A664FC3" w14:textId="77777777" w:rsidTr="000A49F9">
        <w:trPr>
          <w:jc w:val="center"/>
        </w:trPr>
        <w:tc>
          <w:tcPr>
            <w:tcW w:w="3807" w:type="dxa"/>
            <w:tcBorders>
              <w:top w:val="single" w:sz="6" w:space="0" w:color="auto"/>
              <w:left w:val="nil"/>
              <w:bottom w:val="nil"/>
              <w:right w:val="nil"/>
            </w:tcBorders>
          </w:tcPr>
          <w:p w14:paraId="456A2B88" w14:textId="77777777" w:rsidR="008A5C7B" w:rsidRPr="00BE6529" w:rsidRDefault="008A5C7B" w:rsidP="000A49F9">
            <w:pPr>
              <w:widowControl w:val="0"/>
              <w:autoSpaceDE w:val="0"/>
              <w:autoSpaceDN w:val="0"/>
              <w:adjustRightInd w:val="0"/>
              <w:spacing w:before="79" w:after="79" w:line="240" w:lineRule="auto"/>
              <w:rPr>
                <w:rFonts w:asciiTheme="majorHAnsi" w:hAnsiTheme="majorHAnsi" w:cs="Times New Roman"/>
                <w:lang w:val="en-US"/>
              </w:rPr>
            </w:pPr>
          </w:p>
        </w:tc>
        <w:tc>
          <w:tcPr>
            <w:tcW w:w="1596" w:type="dxa"/>
            <w:tcBorders>
              <w:top w:val="single" w:sz="6" w:space="0" w:color="auto"/>
              <w:left w:val="nil"/>
              <w:bottom w:val="nil"/>
              <w:right w:val="nil"/>
            </w:tcBorders>
          </w:tcPr>
          <w:p w14:paraId="1514E82F" w14:textId="77777777" w:rsidR="008A5C7B" w:rsidRPr="00BE6529"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BE6529">
              <w:rPr>
                <w:rFonts w:asciiTheme="majorHAnsi" w:hAnsiTheme="majorHAnsi" w:cs="Times New Roman"/>
                <w:lang w:val="en-US"/>
              </w:rPr>
              <w:t>Model</w:t>
            </w:r>
            <w:r>
              <w:rPr>
                <w:rFonts w:asciiTheme="majorHAnsi" w:hAnsiTheme="majorHAnsi" w:cs="Times New Roman"/>
                <w:lang w:val="en-US"/>
              </w:rPr>
              <w:t xml:space="preserve"> (</w:t>
            </w:r>
            <w:r w:rsidRPr="00BE6529">
              <w:rPr>
                <w:rFonts w:asciiTheme="majorHAnsi" w:hAnsiTheme="majorHAnsi" w:cs="Times New Roman"/>
                <w:lang w:val="en-US"/>
              </w:rPr>
              <w:t>1A</w:t>
            </w:r>
            <w:r>
              <w:rPr>
                <w:rFonts w:asciiTheme="majorHAnsi" w:hAnsiTheme="majorHAnsi" w:cs="Times New Roman"/>
                <w:lang w:val="en-US"/>
              </w:rPr>
              <w:t>)</w:t>
            </w:r>
          </w:p>
        </w:tc>
        <w:tc>
          <w:tcPr>
            <w:tcW w:w="1596" w:type="dxa"/>
            <w:tcBorders>
              <w:top w:val="single" w:sz="6" w:space="0" w:color="auto"/>
              <w:left w:val="nil"/>
              <w:bottom w:val="nil"/>
              <w:right w:val="nil"/>
            </w:tcBorders>
          </w:tcPr>
          <w:p w14:paraId="5E1C1C81" w14:textId="77777777" w:rsidR="008A5C7B" w:rsidRPr="00BE6529" w:rsidRDefault="008A5C7B" w:rsidP="000A49F9">
            <w:pPr>
              <w:widowControl w:val="0"/>
              <w:autoSpaceDE w:val="0"/>
              <w:autoSpaceDN w:val="0"/>
              <w:adjustRightInd w:val="0"/>
              <w:spacing w:before="79" w:after="79" w:line="240" w:lineRule="auto"/>
              <w:jc w:val="center"/>
              <w:rPr>
                <w:rFonts w:asciiTheme="majorHAnsi" w:hAnsiTheme="majorHAnsi" w:cs="Times New Roman"/>
              </w:rPr>
            </w:pPr>
            <w:r w:rsidRPr="00BE6529">
              <w:rPr>
                <w:rFonts w:asciiTheme="majorHAnsi" w:hAnsiTheme="majorHAnsi" w:cs="Times New Roman"/>
              </w:rPr>
              <w:t xml:space="preserve">Model </w:t>
            </w:r>
            <w:r>
              <w:rPr>
                <w:rFonts w:asciiTheme="majorHAnsi" w:hAnsiTheme="majorHAnsi" w:cs="Times New Roman"/>
              </w:rPr>
              <w:t>(</w:t>
            </w:r>
            <w:r w:rsidRPr="00BE6529">
              <w:rPr>
                <w:rFonts w:asciiTheme="majorHAnsi" w:hAnsiTheme="majorHAnsi" w:cs="Times New Roman"/>
              </w:rPr>
              <w:t>1B</w:t>
            </w:r>
            <w:r>
              <w:rPr>
                <w:rFonts w:asciiTheme="majorHAnsi" w:hAnsiTheme="majorHAnsi" w:cs="Times New Roman"/>
              </w:rPr>
              <w:t>)</w:t>
            </w:r>
          </w:p>
        </w:tc>
        <w:tc>
          <w:tcPr>
            <w:tcW w:w="1417" w:type="dxa"/>
            <w:tcBorders>
              <w:top w:val="single" w:sz="6" w:space="0" w:color="auto"/>
              <w:left w:val="nil"/>
              <w:bottom w:val="nil"/>
              <w:right w:val="nil"/>
            </w:tcBorders>
          </w:tcPr>
          <w:p w14:paraId="777E5B00" w14:textId="77777777" w:rsidR="008A5C7B" w:rsidRPr="00BE6529" w:rsidRDefault="008A5C7B" w:rsidP="000A49F9">
            <w:pPr>
              <w:widowControl w:val="0"/>
              <w:autoSpaceDE w:val="0"/>
              <w:autoSpaceDN w:val="0"/>
              <w:adjustRightInd w:val="0"/>
              <w:spacing w:before="79" w:after="79" w:line="240" w:lineRule="auto"/>
              <w:jc w:val="center"/>
              <w:rPr>
                <w:rFonts w:asciiTheme="majorHAnsi" w:hAnsiTheme="majorHAnsi" w:cs="Times New Roman"/>
              </w:rPr>
            </w:pPr>
            <w:r w:rsidRPr="00BE6529">
              <w:rPr>
                <w:rFonts w:asciiTheme="majorHAnsi" w:hAnsiTheme="majorHAnsi" w:cs="Times New Roman"/>
              </w:rPr>
              <w:t xml:space="preserve">Model </w:t>
            </w:r>
            <w:r>
              <w:rPr>
                <w:rFonts w:asciiTheme="majorHAnsi" w:hAnsiTheme="majorHAnsi" w:cs="Times New Roman"/>
              </w:rPr>
              <w:t>(</w:t>
            </w:r>
            <w:r w:rsidRPr="00BE6529">
              <w:rPr>
                <w:rFonts w:asciiTheme="majorHAnsi" w:hAnsiTheme="majorHAnsi" w:cs="Times New Roman"/>
              </w:rPr>
              <w:t>1C</w:t>
            </w:r>
            <w:r>
              <w:rPr>
                <w:rFonts w:asciiTheme="majorHAnsi" w:hAnsiTheme="majorHAnsi" w:cs="Times New Roman"/>
              </w:rPr>
              <w:t>)</w:t>
            </w:r>
          </w:p>
        </w:tc>
        <w:tc>
          <w:tcPr>
            <w:tcW w:w="1577" w:type="dxa"/>
            <w:tcBorders>
              <w:top w:val="single" w:sz="6" w:space="0" w:color="auto"/>
              <w:left w:val="nil"/>
              <w:bottom w:val="nil"/>
              <w:right w:val="nil"/>
            </w:tcBorders>
          </w:tcPr>
          <w:p w14:paraId="4575FC8C" w14:textId="77777777" w:rsidR="008A5C7B" w:rsidRPr="00BE6529" w:rsidRDefault="008A5C7B" w:rsidP="000A49F9">
            <w:pPr>
              <w:widowControl w:val="0"/>
              <w:autoSpaceDE w:val="0"/>
              <w:autoSpaceDN w:val="0"/>
              <w:adjustRightInd w:val="0"/>
              <w:spacing w:before="79" w:after="79" w:line="240" w:lineRule="auto"/>
              <w:jc w:val="center"/>
              <w:rPr>
                <w:rFonts w:asciiTheme="majorHAnsi" w:hAnsiTheme="majorHAnsi" w:cs="Times New Roman"/>
              </w:rPr>
            </w:pPr>
            <w:r w:rsidRPr="00BE6529">
              <w:rPr>
                <w:rFonts w:asciiTheme="majorHAnsi" w:hAnsiTheme="majorHAnsi" w:cs="Times New Roman"/>
              </w:rPr>
              <w:t xml:space="preserve">Model </w:t>
            </w:r>
            <w:r>
              <w:rPr>
                <w:rFonts w:asciiTheme="majorHAnsi" w:hAnsiTheme="majorHAnsi" w:cs="Times New Roman"/>
              </w:rPr>
              <w:t>(</w:t>
            </w:r>
            <w:r w:rsidRPr="00BE6529">
              <w:rPr>
                <w:rFonts w:asciiTheme="majorHAnsi" w:hAnsiTheme="majorHAnsi" w:cs="Times New Roman"/>
              </w:rPr>
              <w:t>1D</w:t>
            </w:r>
            <w:r>
              <w:rPr>
                <w:rFonts w:asciiTheme="majorHAnsi" w:hAnsiTheme="majorHAnsi" w:cs="Times New Roman"/>
              </w:rPr>
              <w:t>)</w:t>
            </w:r>
          </w:p>
        </w:tc>
      </w:tr>
      <w:tr w:rsidR="008A5C7B" w:rsidRPr="00BE6529" w14:paraId="671146D1" w14:textId="77777777" w:rsidTr="000A49F9">
        <w:trPr>
          <w:jc w:val="center"/>
        </w:trPr>
        <w:tc>
          <w:tcPr>
            <w:tcW w:w="3807" w:type="dxa"/>
            <w:tcBorders>
              <w:top w:val="single" w:sz="6" w:space="0" w:color="auto"/>
              <w:left w:val="nil"/>
              <w:bottom w:val="nil"/>
              <w:right w:val="nil"/>
            </w:tcBorders>
          </w:tcPr>
          <w:p w14:paraId="220EE1EE"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r>
              <w:rPr>
                <w:rFonts w:asciiTheme="majorHAnsi" w:hAnsiTheme="majorHAnsi" w:cs="Times New Roman"/>
              </w:rPr>
              <w:t xml:space="preserve">Aggregate </w:t>
            </w:r>
            <w:proofErr w:type="spellStart"/>
            <w:r>
              <w:rPr>
                <w:rFonts w:asciiTheme="majorHAnsi" w:hAnsiTheme="majorHAnsi" w:cs="Times New Roman"/>
              </w:rPr>
              <w:t>n</w:t>
            </w:r>
            <w:r w:rsidRPr="00BE6529">
              <w:rPr>
                <w:rFonts w:asciiTheme="majorHAnsi" w:hAnsiTheme="majorHAnsi" w:cs="Times New Roman"/>
              </w:rPr>
              <w:t>utrition</w:t>
            </w:r>
            <w:proofErr w:type="spellEnd"/>
            <w:r w:rsidRPr="00BE6529">
              <w:rPr>
                <w:rFonts w:asciiTheme="majorHAnsi" w:hAnsiTheme="majorHAnsi" w:cs="Times New Roman"/>
              </w:rPr>
              <w:t xml:space="preserve"> </w:t>
            </w:r>
            <w:proofErr w:type="spellStart"/>
            <w:r w:rsidRPr="00BE6529">
              <w:rPr>
                <w:rFonts w:asciiTheme="majorHAnsi" w:hAnsiTheme="majorHAnsi" w:cs="Times New Roman"/>
              </w:rPr>
              <w:t>knowledge</w:t>
            </w:r>
            <w:proofErr w:type="spellEnd"/>
            <w:r w:rsidRPr="00BE6529">
              <w:rPr>
                <w:rFonts w:asciiTheme="majorHAnsi" w:hAnsiTheme="majorHAnsi" w:cs="Times New Roman"/>
              </w:rPr>
              <w:t xml:space="preserve"> score</w:t>
            </w:r>
          </w:p>
        </w:tc>
        <w:tc>
          <w:tcPr>
            <w:tcW w:w="1596" w:type="dxa"/>
            <w:tcBorders>
              <w:top w:val="single" w:sz="6" w:space="0" w:color="auto"/>
              <w:left w:val="nil"/>
              <w:bottom w:val="nil"/>
              <w:right w:val="nil"/>
            </w:tcBorders>
          </w:tcPr>
          <w:p w14:paraId="2FFE2521"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1.25***</w:t>
            </w:r>
          </w:p>
        </w:tc>
        <w:tc>
          <w:tcPr>
            <w:tcW w:w="1596" w:type="dxa"/>
            <w:tcBorders>
              <w:top w:val="single" w:sz="6" w:space="0" w:color="auto"/>
              <w:left w:val="nil"/>
              <w:bottom w:val="nil"/>
              <w:right w:val="nil"/>
            </w:tcBorders>
          </w:tcPr>
          <w:p w14:paraId="43E32945"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1.01***</w:t>
            </w:r>
          </w:p>
        </w:tc>
        <w:tc>
          <w:tcPr>
            <w:tcW w:w="1417" w:type="dxa"/>
            <w:tcBorders>
              <w:top w:val="single" w:sz="6" w:space="0" w:color="auto"/>
              <w:left w:val="nil"/>
              <w:bottom w:val="nil"/>
              <w:right w:val="nil"/>
            </w:tcBorders>
          </w:tcPr>
          <w:p w14:paraId="7CB32470"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0.90**</w:t>
            </w:r>
          </w:p>
        </w:tc>
        <w:tc>
          <w:tcPr>
            <w:tcW w:w="1577" w:type="dxa"/>
            <w:tcBorders>
              <w:top w:val="single" w:sz="6" w:space="0" w:color="auto"/>
              <w:left w:val="nil"/>
              <w:bottom w:val="nil"/>
              <w:right w:val="nil"/>
            </w:tcBorders>
          </w:tcPr>
          <w:p w14:paraId="7F89DDDC"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0.85**</w:t>
            </w:r>
          </w:p>
        </w:tc>
      </w:tr>
      <w:tr w:rsidR="008A5C7B" w:rsidRPr="00BE6529" w14:paraId="57E21CE8" w14:textId="77777777" w:rsidTr="000A49F9">
        <w:trPr>
          <w:jc w:val="center"/>
        </w:trPr>
        <w:tc>
          <w:tcPr>
            <w:tcW w:w="3807" w:type="dxa"/>
            <w:tcBorders>
              <w:top w:val="nil"/>
              <w:left w:val="nil"/>
              <w:bottom w:val="nil"/>
              <w:right w:val="nil"/>
            </w:tcBorders>
          </w:tcPr>
          <w:p w14:paraId="1CD6B08C"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733F9E8F"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(0.35)</w:t>
            </w:r>
          </w:p>
        </w:tc>
        <w:tc>
          <w:tcPr>
            <w:tcW w:w="1596" w:type="dxa"/>
            <w:tcBorders>
              <w:top w:val="nil"/>
              <w:left w:val="nil"/>
              <w:bottom w:val="nil"/>
              <w:right w:val="nil"/>
            </w:tcBorders>
          </w:tcPr>
          <w:p w14:paraId="6AB2BA86"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(0.36)</w:t>
            </w:r>
          </w:p>
        </w:tc>
        <w:tc>
          <w:tcPr>
            <w:tcW w:w="1417" w:type="dxa"/>
            <w:tcBorders>
              <w:top w:val="nil"/>
              <w:left w:val="nil"/>
              <w:bottom w:val="nil"/>
              <w:right w:val="nil"/>
            </w:tcBorders>
          </w:tcPr>
          <w:p w14:paraId="65AA9A24"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(0.35)</w:t>
            </w:r>
          </w:p>
        </w:tc>
        <w:tc>
          <w:tcPr>
            <w:tcW w:w="1577" w:type="dxa"/>
            <w:tcBorders>
              <w:top w:val="nil"/>
              <w:left w:val="nil"/>
              <w:bottom w:val="nil"/>
              <w:right w:val="nil"/>
            </w:tcBorders>
          </w:tcPr>
          <w:p w14:paraId="5CE853C2"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(0.35)</w:t>
            </w:r>
          </w:p>
        </w:tc>
      </w:tr>
      <w:tr w:rsidR="008A5C7B" w:rsidRPr="00BE6529" w14:paraId="100DCEEE" w14:textId="77777777" w:rsidTr="000A49F9">
        <w:trPr>
          <w:jc w:val="center"/>
        </w:trPr>
        <w:tc>
          <w:tcPr>
            <w:tcW w:w="3807" w:type="dxa"/>
            <w:tcBorders>
              <w:top w:val="nil"/>
              <w:left w:val="nil"/>
              <w:bottom w:val="nil"/>
              <w:right w:val="nil"/>
            </w:tcBorders>
          </w:tcPr>
          <w:p w14:paraId="187BCB8C" w14:textId="77777777" w:rsidR="008A5C7B" w:rsidRPr="00F0530D" w:rsidRDefault="008A5C7B" w:rsidP="000A49F9">
            <w:pPr>
              <w:widowControl w:val="0"/>
              <w:autoSpaceDE w:val="0"/>
              <w:autoSpaceDN w:val="0"/>
              <w:adjustRightInd w:val="0"/>
              <w:spacing w:after="0" w:line="240" w:lineRule="auto"/>
              <w:rPr>
                <w:rFonts w:asciiTheme="majorHAnsi" w:hAnsiTheme="majorHAnsi" w:cs="Times New Roman"/>
                <w:lang w:val="en-US"/>
              </w:rPr>
            </w:pPr>
            <w:r w:rsidRPr="00F0530D">
              <w:rPr>
                <w:rFonts w:asciiTheme="majorHAnsi" w:hAnsiTheme="majorHAnsi" w:cs="Times New Roman"/>
                <w:lang w:val="en-US"/>
              </w:rPr>
              <w:t>Age of child in months</w:t>
            </w:r>
          </w:p>
        </w:tc>
        <w:tc>
          <w:tcPr>
            <w:tcW w:w="1596" w:type="dxa"/>
            <w:tcBorders>
              <w:top w:val="nil"/>
              <w:left w:val="nil"/>
              <w:bottom w:val="nil"/>
              <w:right w:val="nil"/>
            </w:tcBorders>
          </w:tcPr>
          <w:p w14:paraId="603C767A"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596" w:type="dxa"/>
            <w:tcBorders>
              <w:top w:val="nil"/>
              <w:left w:val="nil"/>
              <w:bottom w:val="nil"/>
              <w:right w:val="nil"/>
            </w:tcBorders>
          </w:tcPr>
          <w:p w14:paraId="0A99FE24"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417" w:type="dxa"/>
            <w:tcBorders>
              <w:top w:val="nil"/>
              <w:left w:val="nil"/>
              <w:bottom w:val="nil"/>
              <w:right w:val="nil"/>
            </w:tcBorders>
          </w:tcPr>
          <w:p w14:paraId="50B75A0F"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577" w:type="dxa"/>
            <w:tcBorders>
              <w:top w:val="nil"/>
              <w:left w:val="nil"/>
              <w:bottom w:val="nil"/>
              <w:right w:val="nil"/>
            </w:tcBorders>
          </w:tcPr>
          <w:p w14:paraId="2506C705"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r>
      <w:tr w:rsidR="008A5C7B" w:rsidRPr="00BE6529" w14:paraId="48098023" w14:textId="77777777" w:rsidTr="000A49F9">
        <w:trPr>
          <w:jc w:val="center"/>
        </w:trPr>
        <w:tc>
          <w:tcPr>
            <w:tcW w:w="3807" w:type="dxa"/>
            <w:tcBorders>
              <w:top w:val="nil"/>
              <w:left w:val="nil"/>
              <w:bottom w:val="nil"/>
              <w:right w:val="nil"/>
            </w:tcBorders>
          </w:tcPr>
          <w:p w14:paraId="7CC83834"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2821287D"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(0.00)</w:t>
            </w:r>
          </w:p>
        </w:tc>
        <w:tc>
          <w:tcPr>
            <w:tcW w:w="1596" w:type="dxa"/>
            <w:tcBorders>
              <w:top w:val="nil"/>
              <w:left w:val="nil"/>
              <w:bottom w:val="nil"/>
              <w:right w:val="nil"/>
            </w:tcBorders>
          </w:tcPr>
          <w:p w14:paraId="1B1B1828"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(0.00)</w:t>
            </w:r>
          </w:p>
        </w:tc>
        <w:tc>
          <w:tcPr>
            <w:tcW w:w="1417" w:type="dxa"/>
            <w:tcBorders>
              <w:top w:val="nil"/>
              <w:left w:val="nil"/>
              <w:bottom w:val="nil"/>
              <w:right w:val="nil"/>
            </w:tcBorders>
          </w:tcPr>
          <w:p w14:paraId="797A7AB6"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(0.00)</w:t>
            </w:r>
          </w:p>
        </w:tc>
        <w:tc>
          <w:tcPr>
            <w:tcW w:w="1577" w:type="dxa"/>
            <w:tcBorders>
              <w:top w:val="nil"/>
              <w:left w:val="nil"/>
              <w:bottom w:val="nil"/>
              <w:right w:val="nil"/>
            </w:tcBorders>
          </w:tcPr>
          <w:p w14:paraId="6AC2A38E"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(0.00)</w:t>
            </w:r>
          </w:p>
        </w:tc>
      </w:tr>
      <w:tr w:rsidR="008A5C7B" w:rsidRPr="00BE6529" w14:paraId="6A2C0CC0" w14:textId="77777777" w:rsidTr="000A49F9">
        <w:trPr>
          <w:jc w:val="center"/>
        </w:trPr>
        <w:tc>
          <w:tcPr>
            <w:tcW w:w="3807" w:type="dxa"/>
            <w:tcBorders>
              <w:top w:val="nil"/>
              <w:left w:val="nil"/>
              <w:bottom w:val="nil"/>
              <w:right w:val="nil"/>
            </w:tcBorders>
          </w:tcPr>
          <w:p w14:paraId="2F859ABA"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r>
              <w:rPr>
                <w:rFonts w:asciiTheme="majorHAnsi" w:hAnsiTheme="majorHAnsi" w:cs="Times New Roman"/>
              </w:rPr>
              <w:t xml:space="preserve">Sex </w:t>
            </w:r>
            <w:proofErr w:type="spellStart"/>
            <w:r>
              <w:rPr>
                <w:rFonts w:asciiTheme="majorHAnsi" w:hAnsiTheme="majorHAnsi" w:cs="Times New Roman"/>
              </w:rPr>
              <w:t>of</w:t>
            </w:r>
            <w:proofErr w:type="spellEnd"/>
            <w:r>
              <w:rPr>
                <w:rFonts w:asciiTheme="majorHAnsi" w:hAnsiTheme="majorHAnsi" w:cs="Times New Roman"/>
              </w:rPr>
              <w:t xml:space="preserve"> </w:t>
            </w:r>
            <w:proofErr w:type="spellStart"/>
            <w:r>
              <w:rPr>
                <w:rFonts w:asciiTheme="majorHAnsi" w:hAnsiTheme="majorHAnsi" w:cs="Times New Roman"/>
              </w:rPr>
              <w:t>child</w:t>
            </w:r>
            <w:proofErr w:type="spellEnd"/>
            <w:r>
              <w:rPr>
                <w:rFonts w:asciiTheme="majorHAnsi" w:hAnsiTheme="majorHAnsi" w:cs="Times New Roman"/>
              </w:rPr>
              <w:t>(1=</w:t>
            </w:r>
            <w:proofErr w:type="spellStart"/>
            <w:r>
              <w:rPr>
                <w:rFonts w:asciiTheme="majorHAnsi" w:hAnsiTheme="majorHAnsi" w:cs="Times New Roman"/>
              </w:rPr>
              <w:t>f</w:t>
            </w:r>
            <w:r w:rsidRPr="00BE6529">
              <w:rPr>
                <w:rFonts w:asciiTheme="majorHAnsi" w:hAnsiTheme="majorHAnsi" w:cs="Times New Roman"/>
              </w:rPr>
              <w:t>emale</w:t>
            </w:r>
            <w:proofErr w:type="spellEnd"/>
            <w:r w:rsidRPr="00BE6529">
              <w:rPr>
                <w:rFonts w:asciiTheme="majorHAnsi" w:hAnsiTheme="majorHAnsi" w:cs="Times New Roman"/>
              </w:rPr>
              <w:t>)</w:t>
            </w:r>
          </w:p>
        </w:tc>
        <w:tc>
          <w:tcPr>
            <w:tcW w:w="1596" w:type="dxa"/>
            <w:tcBorders>
              <w:top w:val="nil"/>
              <w:left w:val="nil"/>
              <w:bottom w:val="nil"/>
              <w:right w:val="nil"/>
            </w:tcBorders>
          </w:tcPr>
          <w:p w14:paraId="338DAD82"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0.15</w:t>
            </w:r>
          </w:p>
        </w:tc>
        <w:tc>
          <w:tcPr>
            <w:tcW w:w="1596" w:type="dxa"/>
            <w:tcBorders>
              <w:top w:val="nil"/>
              <w:left w:val="nil"/>
              <w:bottom w:val="nil"/>
              <w:right w:val="nil"/>
            </w:tcBorders>
          </w:tcPr>
          <w:p w14:paraId="5D462932"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0.16</w:t>
            </w:r>
          </w:p>
        </w:tc>
        <w:tc>
          <w:tcPr>
            <w:tcW w:w="1417" w:type="dxa"/>
            <w:tcBorders>
              <w:top w:val="nil"/>
              <w:left w:val="nil"/>
              <w:bottom w:val="nil"/>
              <w:right w:val="nil"/>
            </w:tcBorders>
          </w:tcPr>
          <w:p w14:paraId="67A73C40"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0.17</w:t>
            </w:r>
          </w:p>
        </w:tc>
        <w:tc>
          <w:tcPr>
            <w:tcW w:w="1577" w:type="dxa"/>
            <w:tcBorders>
              <w:top w:val="nil"/>
              <w:left w:val="nil"/>
              <w:bottom w:val="nil"/>
              <w:right w:val="nil"/>
            </w:tcBorders>
          </w:tcPr>
          <w:p w14:paraId="15BF6255"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0.17</w:t>
            </w:r>
          </w:p>
        </w:tc>
      </w:tr>
      <w:tr w:rsidR="008A5C7B" w:rsidRPr="00BE6529" w14:paraId="1A690014" w14:textId="77777777" w:rsidTr="000A49F9">
        <w:trPr>
          <w:jc w:val="center"/>
        </w:trPr>
        <w:tc>
          <w:tcPr>
            <w:tcW w:w="3807" w:type="dxa"/>
            <w:tcBorders>
              <w:top w:val="nil"/>
              <w:left w:val="nil"/>
              <w:bottom w:val="nil"/>
              <w:right w:val="nil"/>
            </w:tcBorders>
          </w:tcPr>
          <w:p w14:paraId="36F21298"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7FC019D2"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(0.11)</w:t>
            </w:r>
          </w:p>
        </w:tc>
        <w:tc>
          <w:tcPr>
            <w:tcW w:w="1596" w:type="dxa"/>
            <w:tcBorders>
              <w:top w:val="nil"/>
              <w:left w:val="nil"/>
              <w:bottom w:val="nil"/>
              <w:right w:val="nil"/>
            </w:tcBorders>
          </w:tcPr>
          <w:p w14:paraId="07AB8DDF"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(0.11)</w:t>
            </w:r>
          </w:p>
        </w:tc>
        <w:tc>
          <w:tcPr>
            <w:tcW w:w="1417" w:type="dxa"/>
            <w:tcBorders>
              <w:top w:val="nil"/>
              <w:left w:val="nil"/>
              <w:bottom w:val="nil"/>
              <w:right w:val="nil"/>
            </w:tcBorders>
          </w:tcPr>
          <w:p w14:paraId="5B6E4BCC"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(0.11)</w:t>
            </w:r>
          </w:p>
        </w:tc>
        <w:tc>
          <w:tcPr>
            <w:tcW w:w="1577" w:type="dxa"/>
            <w:tcBorders>
              <w:top w:val="nil"/>
              <w:left w:val="nil"/>
              <w:bottom w:val="nil"/>
              <w:right w:val="nil"/>
            </w:tcBorders>
          </w:tcPr>
          <w:p w14:paraId="315EBC42"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(0.11)</w:t>
            </w:r>
          </w:p>
        </w:tc>
      </w:tr>
      <w:tr w:rsidR="008A5C7B" w:rsidRPr="00BE6529" w14:paraId="3D1A3994" w14:textId="77777777" w:rsidTr="000A49F9">
        <w:trPr>
          <w:jc w:val="center"/>
        </w:trPr>
        <w:tc>
          <w:tcPr>
            <w:tcW w:w="3807" w:type="dxa"/>
            <w:tcBorders>
              <w:top w:val="nil"/>
              <w:left w:val="nil"/>
              <w:bottom w:val="nil"/>
              <w:right w:val="nil"/>
            </w:tcBorders>
          </w:tcPr>
          <w:p w14:paraId="4934B969"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lang w:val="en-US"/>
              </w:rPr>
            </w:pPr>
            <w:r w:rsidRPr="00BE6529">
              <w:rPr>
                <w:rFonts w:asciiTheme="majorHAnsi" w:hAnsiTheme="majorHAnsi" w:cs="Times New Roman"/>
                <w:lang w:val="en-US"/>
              </w:rPr>
              <w:t>Infection during past month(1/0)</w:t>
            </w:r>
          </w:p>
        </w:tc>
        <w:tc>
          <w:tcPr>
            <w:tcW w:w="1596" w:type="dxa"/>
            <w:tcBorders>
              <w:top w:val="nil"/>
              <w:left w:val="nil"/>
              <w:bottom w:val="nil"/>
              <w:right w:val="nil"/>
            </w:tcBorders>
          </w:tcPr>
          <w:p w14:paraId="06B9C930"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-0.39**</w:t>
            </w:r>
          </w:p>
        </w:tc>
        <w:tc>
          <w:tcPr>
            <w:tcW w:w="1596" w:type="dxa"/>
            <w:tcBorders>
              <w:top w:val="nil"/>
              <w:left w:val="nil"/>
              <w:bottom w:val="nil"/>
              <w:right w:val="nil"/>
            </w:tcBorders>
          </w:tcPr>
          <w:p w14:paraId="2067FA53"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-0.40**</w:t>
            </w:r>
          </w:p>
        </w:tc>
        <w:tc>
          <w:tcPr>
            <w:tcW w:w="1417" w:type="dxa"/>
            <w:tcBorders>
              <w:top w:val="nil"/>
              <w:left w:val="nil"/>
              <w:bottom w:val="nil"/>
              <w:right w:val="nil"/>
            </w:tcBorders>
          </w:tcPr>
          <w:p w14:paraId="4FFB0B5B"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-0.42**</w:t>
            </w:r>
          </w:p>
        </w:tc>
        <w:tc>
          <w:tcPr>
            <w:tcW w:w="1577" w:type="dxa"/>
            <w:tcBorders>
              <w:top w:val="nil"/>
              <w:left w:val="nil"/>
              <w:bottom w:val="nil"/>
              <w:right w:val="nil"/>
            </w:tcBorders>
          </w:tcPr>
          <w:p w14:paraId="6CEF8DA7"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-0.42**</w:t>
            </w:r>
          </w:p>
        </w:tc>
      </w:tr>
      <w:tr w:rsidR="008A5C7B" w:rsidRPr="00BE6529" w14:paraId="3FBAAAF5" w14:textId="77777777" w:rsidTr="000A49F9">
        <w:trPr>
          <w:jc w:val="center"/>
        </w:trPr>
        <w:tc>
          <w:tcPr>
            <w:tcW w:w="3807" w:type="dxa"/>
            <w:tcBorders>
              <w:top w:val="nil"/>
              <w:left w:val="nil"/>
              <w:bottom w:val="nil"/>
              <w:right w:val="nil"/>
            </w:tcBorders>
          </w:tcPr>
          <w:p w14:paraId="321FAA9F"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03E17706"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(0.20)</w:t>
            </w:r>
          </w:p>
        </w:tc>
        <w:tc>
          <w:tcPr>
            <w:tcW w:w="1596" w:type="dxa"/>
            <w:tcBorders>
              <w:top w:val="nil"/>
              <w:left w:val="nil"/>
              <w:bottom w:val="nil"/>
              <w:right w:val="nil"/>
            </w:tcBorders>
          </w:tcPr>
          <w:p w14:paraId="7B9FCBD0"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(0.19)</w:t>
            </w:r>
          </w:p>
        </w:tc>
        <w:tc>
          <w:tcPr>
            <w:tcW w:w="1417" w:type="dxa"/>
            <w:tcBorders>
              <w:top w:val="nil"/>
              <w:left w:val="nil"/>
              <w:bottom w:val="nil"/>
              <w:right w:val="nil"/>
            </w:tcBorders>
          </w:tcPr>
          <w:p w14:paraId="3C5AD1F7"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(0.18)</w:t>
            </w:r>
          </w:p>
        </w:tc>
        <w:tc>
          <w:tcPr>
            <w:tcW w:w="1577" w:type="dxa"/>
            <w:tcBorders>
              <w:top w:val="nil"/>
              <w:left w:val="nil"/>
              <w:bottom w:val="nil"/>
              <w:right w:val="nil"/>
            </w:tcBorders>
          </w:tcPr>
          <w:p w14:paraId="0335BDB0"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(0.18)</w:t>
            </w:r>
          </w:p>
        </w:tc>
      </w:tr>
      <w:tr w:rsidR="008A5C7B" w:rsidRPr="00BE6529" w14:paraId="69834117" w14:textId="77777777" w:rsidTr="000A49F9">
        <w:trPr>
          <w:jc w:val="center"/>
        </w:trPr>
        <w:tc>
          <w:tcPr>
            <w:tcW w:w="3807" w:type="dxa"/>
            <w:tcBorders>
              <w:top w:val="nil"/>
              <w:left w:val="nil"/>
              <w:bottom w:val="nil"/>
              <w:right w:val="nil"/>
            </w:tcBorders>
          </w:tcPr>
          <w:p w14:paraId="773D3E50"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lang w:val="en-US"/>
              </w:rPr>
            </w:pPr>
            <w:r>
              <w:rPr>
                <w:rFonts w:asciiTheme="majorHAnsi" w:hAnsiTheme="majorHAnsi" w:cs="Times New Roman"/>
                <w:lang w:val="en-US"/>
              </w:rPr>
              <w:t>Sex of household head(1=f</w:t>
            </w:r>
            <w:r w:rsidRPr="00BE6529">
              <w:rPr>
                <w:rFonts w:asciiTheme="majorHAnsi" w:hAnsiTheme="majorHAnsi" w:cs="Times New Roman"/>
                <w:lang w:val="en-US"/>
              </w:rPr>
              <w:t>emale)</w:t>
            </w:r>
          </w:p>
        </w:tc>
        <w:tc>
          <w:tcPr>
            <w:tcW w:w="1596" w:type="dxa"/>
            <w:tcBorders>
              <w:top w:val="nil"/>
              <w:left w:val="nil"/>
              <w:bottom w:val="nil"/>
              <w:right w:val="nil"/>
            </w:tcBorders>
          </w:tcPr>
          <w:p w14:paraId="038C7495"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-0.08</w:t>
            </w:r>
          </w:p>
        </w:tc>
        <w:tc>
          <w:tcPr>
            <w:tcW w:w="1596" w:type="dxa"/>
            <w:tcBorders>
              <w:top w:val="nil"/>
              <w:left w:val="nil"/>
              <w:bottom w:val="nil"/>
              <w:right w:val="nil"/>
            </w:tcBorders>
          </w:tcPr>
          <w:p w14:paraId="3E6132CC"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-0.04</w:t>
            </w:r>
          </w:p>
        </w:tc>
        <w:tc>
          <w:tcPr>
            <w:tcW w:w="1417" w:type="dxa"/>
            <w:tcBorders>
              <w:top w:val="nil"/>
              <w:left w:val="nil"/>
              <w:bottom w:val="nil"/>
              <w:right w:val="nil"/>
            </w:tcBorders>
          </w:tcPr>
          <w:p w14:paraId="31E69E91"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-0.04</w:t>
            </w:r>
          </w:p>
        </w:tc>
        <w:tc>
          <w:tcPr>
            <w:tcW w:w="1577" w:type="dxa"/>
            <w:tcBorders>
              <w:top w:val="nil"/>
              <w:left w:val="nil"/>
              <w:bottom w:val="nil"/>
              <w:right w:val="nil"/>
            </w:tcBorders>
          </w:tcPr>
          <w:p w14:paraId="775DEE13"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-0.03</w:t>
            </w:r>
          </w:p>
        </w:tc>
      </w:tr>
      <w:tr w:rsidR="008A5C7B" w:rsidRPr="00BE6529" w14:paraId="5ECA54FF" w14:textId="77777777" w:rsidTr="000A49F9">
        <w:trPr>
          <w:jc w:val="center"/>
        </w:trPr>
        <w:tc>
          <w:tcPr>
            <w:tcW w:w="3807" w:type="dxa"/>
            <w:tcBorders>
              <w:top w:val="nil"/>
              <w:left w:val="nil"/>
              <w:bottom w:val="nil"/>
              <w:right w:val="nil"/>
            </w:tcBorders>
          </w:tcPr>
          <w:p w14:paraId="6B6508A9"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1E0A3E85"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(0.12)</w:t>
            </w:r>
          </w:p>
        </w:tc>
        <w:tc>
          <w:tcPr>
            <w:tcW w:w="1596" w:type="dxa"/>
            <w:tcBorders>
              <w:top w:val="nil"/>
              <w:left w:val="nil"/>
              <w:bottom w:val="nil"/>
              <w:right w:val="nil"/>
            </w:tcBorders>
          </w:tcPr>
          <w:p w14:paraId="0A0D4937"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(0.12)</w:t>
            </w:r>
          </w:p>
        </w:tc>
        <w:tc>
          <w:tcPr>
            <w:tcW w:w="1417" w:type="dxa"/>
            <w:tcBorders>
              <w:top w:val="nil"/>
              <w:left w:val="nil"/>
              <w:bottom w:val="nil"/>
              <w:right w:val="nil"/>
            </w:tcBorders>
          </w:tcPr>
          <w:p w14:paraId="3ABE6EBD"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(0.12)</w:t>
            </w:r>
          </w:p>
        </w:tc>
        <w:tc>
          <w:tcPr>
            <w:tcW w:w="1577" w:type="dxa"/>
            <w:tcBorders>
              <w:top w:val="nil"/>
              <w:left w:val="nil"/>
              <w:bottom w:val="nil"/>
              <w:right w:val="nil"/>
            </w:tcBorders>
          </w:tcPr>
          <w:p w14:paraId="36AB257F"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(0.12)</w:t>
            </w:r>
          </w:p>
        </w:tc>
      </w:tr>
      <w:tr w:rsidR="008A5C7B" w:rsidRPr="00BE6529" w14:paraId="201286D5" w14:textId="77777777" w:rsidTr="000A49F9">
        <w:trPr>
          <w:jc w:val="center"/>
        </w:trPr>
        <w:tc>
          <w:tcPr>
            <w:tcW w:w="3807" w:type="dxa"/>
            <w:tcBorders>
              <w:top w:val="nil"/>
              <w:left w:val="nil"/>
              <w:bottom w:val="nil"/>
              <w:right w:val="nil"/>
            </w:tcBorders>
          </w:tcPr>
          <w:p w14:paraId="132BAF01"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lang w:val="en-US"/>
              </w:rPr>
            </w:pPr>
            <w:r w:rsidRPr="00BE6529">
              <w:rPr>
                <w:rFonts w:asciiTheme="majorHAnsi" w:hAnsiTheme="majorHAnsi" w:cs="Times New Roman"/>
                <w:lang w:val="en-US"/>
              </w:rPr>
              <w:t>Age of household head(years)</w:t>
            </w:r>
          </w:p>
        </w:tc>
        <w:tc>
          <w:tcPr>
            <w:tcW w:w="1596" w:type="dxa"/>
            <w:tcBorders>
              <w:top w:val="nil"/>
              <w:left w:val="nil"/>
              <w:bottom w:val="nil"/>
              <w:right w:val="nil"/>
            </w:tcBorders>
          </w:tcPr>
          <w:p w14:paraId="0DE57037"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0.00</w:t>
            </w:r>
          </w:p>
        </w:tc>
        <w:tc>
          <w:tcPr>
            <w:tcW w:w="1596" w:type="dxa"/>
            <w:tcBorders>
              <w:top w:val="nil"/>
              <w:left w:val="nil"/>
              <w:bottom w:val="nil"/>
              <w:right w:val="nil"/>
            </w:tcBorders>
          </w:tcPr>
          <w:p w14:paraId="360E9FF5"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417" w:type="dxa"/>
            <w:tcBorders>
              <w:top w:val="nil"/>
              <w:left w:val="nil"/>
              <w:bottom w:val="nil"/>
              <w:right w:val="nil"/>
            </w:tcBorders>
          </w:tcPr>
          <w:p w14:paraId="6A1B59C3"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577" w:type="dxa"/>
            <w:tcBorders>
              <w:top w:val="nil"/>
              <w:left w:val="nil"/>
              <w:bottom w:val="nil"/>
              <w:right w:val="nil"/>
            </w:tcBorders>
          </w:tcPr>
          <w:p w14:paraId="364F6CED"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r>
      <w:tr w:rsidR="008A5C7B" w:rsidRPr="00BE6529" w14:paraId="492CA5BB" w14:textId="77777777" w:rsidTr="000A49F9">
        <w:trPr>
          <w:jc w:val="center"/>
        </w:trPr>
        <w:tc>
          <w:tcPr>
            <w:tcW w:w="3807" w:type="dxa"/>
            <w:tcBorders>
              <w:top w:val="nil"/>
              <w:left w:val="nil"/>
              <w:bottom w:val="nil"/>
              <w:right w:val="nil"/>
            </w:tcBorders>
          </w:tcPr>
          <w:p w14:paraId="01CB5ED7"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72022031"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596" w:type="dxa"/>
            <w:tcBorders>
              <w:top w:val="nil"/>
              <w:left w:val="nil"/>
              <w:bottom w:val="nil"/>
              <w:right w:val="nil"/>
            </w:tcBorders>
          </w:tcPr>
          <w:p w14:paraId="5699D995"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417" w:type="dxa"/>
            <w:tcBorders>
              <w:top w:val="nil"/>
              <w:left w:val="nil"/>
              <w:bottom w:val="nil"/>
              <w:right w:val="nil"/>
            </w:tcBorders>
          </w:tcPr>
          <w:p w14:paraId="673D1B8B"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577" w:type="dxa"/>
            <w:tcBorders>
              <w:top w:val="nil"/>
              <w:left w:val="nil"/>
              <w:bottom w:val="nil"/>
              <w:right w:val="nil"/>
            </w:tcBorders>
          </w:tcPr>
          <w:p w14:paraId="2E568B59"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r>
      <w:tr w:rsidR="008A5C7B" w:rsidRPr="00BE6529" w14:paraId="1D2C2FF4" w14:textId="77777777" w:rsidTr="000A49F9">
        <w:trPr>
          <w:jc w:val="center"/>
        </w:trPr>
        <w:tc>
          <w:tcPr>
            <w:tcW w:w="3807" w:type="dxa"/>
            <w:tcBorders>
              <w:top w:val="nil"/>
              <w:left w:val="nil"/>
              <w:bottom w:val="nil"/>
              <w:right w:val="nil"/>
            </w:tcBorders>
          </w:tcPr>
          <w:p w14:paraId="50DECCF3"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 xml:space="preserve">Height </w:t>
            </w:r>
            <w:proofErr w:type="spellStart"/>
            <w:r w:rsidRPr="00BE6529">
              <w:rPr>
                <w:rFonts w:asciiTheme="majorHAnsi" w:hAnsiTheme="majorHAnsi" w:cs="Times New Roman"/>
              </w:rPr>
              <w:t>of</w:t>
            </w:r>
            <w:proofErr w:type="spellEnd"/>
            <w:r w:rsidRPr="00BE6529">
              <w:rPr>
                <w:rFonts w:asciiTheme="majorHAnsi" w:hAnsiTheme="majorHAnsi" w:cs="Times New Roman"/>
              </w:rPr>
              <w:t xml:space="preserve"> </w:t>
            </w:r>
            <w:proofErr w:type="spellStart"/>
            <w:r w:rsidRPr="00BE6529">
              <w:rPr>
                <w:rFonts w:asciiTheme="majorHAnsi" w:hAnsiTheme="majorHAnsi" w:cs="Times New Roman"/>
              </w:rPr>
              <w:t>mother</w:t>
            </w:r>
            <w:proofErr w:type="spellEnd"/>
            <w:r w:rsidRPr="00BE6529">
              <w:rPr>
                <w:rFonts w:asciiTheme="majorHAnsi" w:hAnsiTheme="majorHAnsi" w:cs="Times New Roman"/>
              </w:rPr>
              <w:t>(cm)</w:t>
            </w:r>
          </w:p>
        </w:tc>
        <w:tc>
          <w:tcPr>
            <w:tcW w:w="1596" w:type="dxa"/>
            <w:tcBorders>
              <w:top w:val="nil"/>
              <w:left w:val="nil"/>
              <w:bottom w:val="nil"/>
              <w:right w:val="nil"/>
            </w:tcBorders>
          </w:tcPr>
          <w:p w14:paraId="0E697433"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0.05***</w:t>
            </w:r>
          </w:p>
        </w:tc>
        <w:tc>
          <w:tcPr>
            <w:tcW w:w="1596" w:type="dxa"/>
            <w:tcBorders>
              <w:top w:val="nil"/>
              <w:left w:val="nil"/>
              <w:bottom w:val="nil"/>
              <w:right w:val="nil"/>
            </w:tcBorders>
          </w:tcPr>
          <w:p w14:paraId="7E9B8DE8"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0.05***</w:t>
            </w:r>
          </w:p>
        </w:tc>
        <w:tc>
          <w:tcPr>
            <w:tcW w:w="1417" w:type="dxa"/>
            <w:tcBorders>
              <w:top w:val="nil"/>
              <w:left w:val="nil"/>
              <w:bottom w:val="nil"/>
              <w:right w:val="nil"/>
            </w:tcBorders>
          </w:tcPr>
          <w:p w14:paraId="30A00521"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0.04***</w:t>
            </w:r>
          </w:p>
        </w:tc>
        <w:tc>
          <w:tcPr>
            <w:tcW w:w="1577" w:type="dxa"/>
            <w:tcBorders>
              <w:top w:val="nil"/>
              <w:left w:val="nil"/>
              <w:bottom w:val="nil"/>
              <w:right w:val="nil"/>
            </w:tcBorders>
          </w:tcPr>
          <w:p w14:paraId="05F1829B"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0.04***</w:t>
            </w:r>
          </w:p>
        </w:tc>
      </w:tr>
      <w:tr w:rsidR="008A5C7B" w:rsidRPr="00BE6529" w14:paraId="24B90BB6" w14:textId="77777777" w:rsidTr="000A49F9">
        <w:trPr>
          <w:jc w:val="center"/>
        </w:trPr>
        <w:tc>
          <w:tcPr>
            <w:tcW w:w="3807" w:type="dxa"/>
            <w:tcBorders>
              <w:top w:val="nil"/>
              <w:left w:val="nil"/>
              <w:bottom w:val="nil"/>
              <w:right w:val="nil"/>
            </w:tcBorders>
          </w:tcPr>
          <w:p w14:paraId="43386D98"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66D144C5"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596" w:type="dxa"/>
            <w:tcBorders>
              <w:top w:val="nil"/>
              <w:left w:val="nil"/>
              <w:bottom w:val="nil"/>
              <w:right w:val="nil"/>
            </w:tcBorders>
          </w:tcPr>
          <w:p w14:paraId="054830A2"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417" w:type="dxa"/>
            <w:tcBorders>
              <w:top w:val="nil"/>
              <w:left w:val="nil"/>
              <w:bottom w:val="nil"/>
              <w:right w:val="nil"/>
            </w:tcBorders>
          </w:tcPr>
          <w:p w14:paraId="3D7E5C04"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577" w:type="dxa"/>
            <w:tcBorders>
              <w:top w:val="nil"/>
              <w:left w:val="nil"/>
              <w:bottom w:val="nil"/>
              <w:right w:val="nil"/>
            </w:tcBorders>
          </w:tcPr>
          <w:p w14:paraId="339CE2E4"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r>
      <w:tr w:rsidR="008A5C7B" w:rsidRPr="00BE6529" w14:paraId="3A270FDE" w14:textId="77777777" w:rsidTr="000A49F9">
        <w:trPr>
          <w:jc w:val="center"/>
        </w:trPr>
        <w:tc>
          <w:tcPr>
            <w:tcW w:w="3807" w:type="dxa"/>
            <w:tcBorders>
              <w:top w:val="nil"/>
              <w:left w:val="nil"/>
              <w:bottom w:val="nil"/>
              <w:right w:val="nil"/>
            </w:tcBorders>
          </w:tcPr>
          <w:p w14:paraId="6A031883"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 xml:space="preserve">Year </w:t>
            </w:r>
            <w:proofErr w:type="spellStart"/>
            <w:r w:rsidRPr="00BE6529">
              <w:rPr>
                <w:rFonts w:asciiTheme="majorHAnsi" w:hAnsiTheme="majorHAnsi" w:cs="Times New Roman"/>
              </w:rPr>
              <w:t>dummy</w:t>
            </w:r>
            <w:proofErr w:type="spellEnd"/>
            <w:r w:rsidRPr="00BE6529">
              <w:rPr>
                <w:rFonts w:asciiTheme="majorHAnsi" w:hAnsiTheme="majorHAnsi" w:cs="Times New Roman"/>
              </w:rPr>
              <w:t>(1=2015)</w:t>
            </w:r>
          </w:p>
        </w:tc>
        <w:tc>
          <w:tcPr>
            <w:tcW w:w="1596" w:type="dxa"/>
            <w:tcBorders>
              <w:top w:val="nil"/>
              <w:left w:val="nil"/>
              <w:bottom w:val="nil"/>
              <w:right w:val="nil"/>
            </w:tcBorders>
          </w:tcPr>
          <w:p w14:paraId="13D039CD"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0.33***</w:t>
            </w:r>
          </w:p>
        </w:tc>
        <w:tc>
          <w:tcPr>
            <w:tcW w:w="1596" w:type="dxa"/>
            <w:tcBorders>
              <w:top w:val="nil"/>
              <w:left w:val="nil"/>
              <w:bottom w:val="nil"/>
              <w:right w:val="nil"/>
            </w:tcBorders>
          </w:tcPr>
          <w:p w14:paraId="364629A4"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0.35***</w:t>
            </w:r>
          </w:p>
        </w:tc>
        <w:tc>
          <w:tcPr>
            <w:tcW w:w="1417" w:type="dxa"/>
            <w:tcBorders>
              <w:top w:val="nil"/>
              <w:left w:val="nil"/>
              <w:bottom w:val="nil"/>
              <w:right w:val="nil"/>
            </w:tcBorders>
          </w:tcPr>
          <w:p w14:paraId="3CB84CF3"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0.35***</w:t>
            </w:r>
          </w:p>
        </w:tc>
        <w:tc>
          <w:tcPr>
            <w:tcW w:w="1577" w:type="dxa"/>
            <w:tcBorders>
              <w:top w:val="nil"/>
              <w:left w:val="nil"/>
              <w:bottom w:val="nil"/>
              <w:right w:val="nil"/>
            </w:tcBorders>
          </w:tcPr>
          <w:p w14:paraId="056CCDFD"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0.35***</w:t>
            </w:r>
          </w:p>
        </w:tc>
      </w:tr>
      <w:tr w:rsidR="008A5C7B" w:rsidRPr="00BE6529" w14:paraId="50A5F2E7" w14:textId="77777777" w:rsidTr="000A49F9">
        <w:trPr>
          <w:jc w:val="center"/>
        </w:trPr>
        <w:tc>
          <w:tcPr>
            <w:tcW w:w="3807" w:type="dxa"/>
            <w:tcBorders>
              <w:top w:val="nil"/>
              <w:left w:val="nil"/>
              <w:bottom w:val="nil"/>
              <w:right w:val="nil"/>
            </w:tcBorders>
          </w:tcPr>
          <w:p w14:paraId="079890E4"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02FB3B1F"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(0.11)</w:t>
            </w:r>
          </w:p>
        </w:tc>
        <w:tc>
          <w:tcPr>
            <w:tcW w:w="1596" w:type="dxa"/>
            <w:tcBorders>
              <w:top w:val="nil"/>
              <w:left w:val="nil"/>
              <w:bottom w:val="nil"/>
              <w:right w:val="nil"/>
            </w:tcBorders>
          </w:tcPr>
          <w:p w14:paraId="7B17C1E4"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(0.11)</w:t>
            </w:r>
          </w:p>
        </w:tc>
        <w:tc>
          <w:tcPr>
            <w:tcW w:w="1417" w:type="dxa"/>
            <w:tcBorders>
              <w:top w:val="nil"/>
              <w:left w:val="nil"/>
              <w:bottom w:val="nil"/>
              <w:right w:val="nil"/>
            </w:tcBorders>
          </w:tcPr>
          <w:p w14:paraId="5976396C"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(0.11)</w:t>
            </w:r>
          </w:p>
        </w:tc>
        <w:tc>
          <w:tcPr>
            <w:tcW w:w="1577" w:type="dxa"/>
            <w:tcBorders>
              <w:top w:val="nil"/>
              <w:left w:val="nil"/>
              <w:bottom w:val="nil"/>
              <w:right w:val="nil"/>
            </w:tcBorders>
          </w:tcPr>
          <w:p w14:paraId="2785BCBA"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(0.11)</w:t>
            </w:r>
          </w:p>
        </w:tc>
      </w:tr>
      <w:tr w:rsidR="008A5C7B" w:rsidRPr="00BE6529" w14:paraId="2AF6795A" w14:textId="77777777" w:rsidTr="000A49F9">
        <w:trPr>
          <w:jc w:val="center"/>
        </w:trPr>
        <w:tc>
          <w:tcPr>
            <w:tcW w:w="3807" w:type="dxa"/>
            <w:tcBorders>
              <w:top w:val="nil"/>
              <w:left w:val="nil"/>
              <w:bottom w:val="nil"/>
              <w:right w:val="nil"/>
            </w:tcBorders>
          </w:tcPr>
          <w:p w14:paraId="09645EC3"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 xml:space="preserve">Education </w:t>
            </w:r>
            <w:proofErr w:type="spellStart"/>
            <w:r w:rsidRPr="00BE6529">
              <w:rPr>
                <w:rFonts w:asciiTheme="majorHAnsi" w:hAnsiTheme="majorHAnsi" w:cs="Times New Roman"/>
              </w:rPr>
              <w:t>of</w:t>
            </w:r>
            <w:proofErr w:type="spellEnd"/>
            <w:r w:rsidRPr="00BE6529">
              <w:rPr>
                <w:rFonts w:asciiTheme="majorHAnsi" w:hAnsiTheme="majorHAnsi" w:cs="Times New Roman"/>
              </w:rPr>
              <w:t xml:space="preserve"> </w:t>
            </w:r>
            <w:proofErr w:type="spellStart"/>
            <w:r w:rsidRPr="00BE6529">
              <w:rPr>
                <w:rFonts w:asciiTheme="majorHAnsi" w:hAnsiTheme="majorHAnsi" w:cs="Times New Roman"/>
              </w:rPr>
              <w:t>mother</w:t>
            </w:r>
            <w:proofErr w:type="spellEnd"/>
            <w:r w:rsidRPr="00BE6529">
              <w:rPr>
                <w:rFonts w:asciiTheme="majorHAnsi" w:hAnsiTheme="majorHAnsi" w:cs="Times New Roman"/>
              </w:rPr>
              <w:t xml:space="preserve"> (</w:t>
            </w:r>
            <w:proofErr w:type="spellStart"/>
            <w:r>
              <w:rPr>
                <w:rFonts w:asciiTheme="majorHAnsi" w:hAnsiTheme="majorHAnsi" w:cs="Times New Roman"/>
              </w:rPr>
              <w:t>years</w:t>
            </w:r>
            <w:proofErr w:type="spellEnd"/>
            <w:r w:rsidRPr="00BE6529">
              <w:rPr>
                <w:rFonts w:asciiTheme="majorHAnsi" w:hAnsiTheme="majorHAnsi" w:cs="Times New Roman"/>
              </w:rPr>
              <w:t>)</w:t>
            </w:r>
          </w:p>
        </w:tc>
        <w:tc>
          <w:tcPr>
            <w:tcW w:w="1596" w:type="dxa"/>
            <w:tcBorders>
              <w:top w:val="nil"/>
              <w:left w:val="nil"/>
              <w:bottom w:val="nil"/>
              <w:right w:val="nil"/>
            </w:tcBorders>
          </w:tcPr>
          <w:p w14:paraId="6A942652"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508EFC91"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0.03**</w:t>
            </w:r>
          </w:p>
        </w:tc>
        <w:tc>
          <w:tcPr>
            <w:tcW w:w="1417" w:type="dxa"/>
            <w:tcBorders>
              <w:top w:val="nil"/>
              <w:left w:val="nil"/>
              <w:bottom w:val="nil"/>
              <w:right w:val="nil"/>
            </w:tcBorders>
          </w:tcPr>
          <w:p w14:paraId="187C2C48"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p>
        </w:tc>
        <w:tc>
          <w:tcPr>
            <w:tcW w:w="1577" w:type="dxa"/>
            <w:tcBorders>
              <w:top w:val="nil"/>
              <w:left w:val="nil"/>
              <w:bottom w:val="nil"/>
              <w:right w:val="nil"/>
            </w:tcBorders>
          </w:tcPr>
          <w:p w14:paraId="6EBB8551"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r>
      <w:tr w:rsidR="008A5C7B" w:rsidRPr="00BE6529" w14:paraId="4A6785C6" w14:textId="77777777" w:rsidTr="000A49F9">
        <w:trPr>
          <w:jc w:val="center"/>
        </w:trPr>
        <w:tc>
          <w:tcPr>
            <w:tcW w:w="3807" w:type="dxa"/>
            <w:tcBorders>
              <w:top w:val="nil"/>
              <w:left w:val="nil"/>
              <w:bottom w:val="nil"/>
              <w:right w:val="nil"/>
            </w:tcBorders>
          </w:tcPr>
          <w:p w14:paraId="4C9A2E03"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51E40B65"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34960785"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(0.01)</w:t>
            </w:r>
          </w:p>
        </w:tc>
        <w:tc>
          <w:tcPr>
            <w:tcW w:w="1417" w:type="dxa"/>
            <w:tcBorders>
              <w:top w:val="nil"/>
              <w:left w:val="nil"/>
              <w:bottom w:val="nil"/>
              <w:right w:val="nil"/>
            </w:tcBorders>
          </w:tcPr>
          <w:p w14:paraId="7AAB4D62"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p>
        </w:tc>
        <w:tc>
          <w:tcPr>
            <w:tcW w:w="1577" w:type="dxa"/>
            <w:tcBorders>
              <w:top w:val="nil"/>
              <w:left w:val="nil"/>
              <w:bottom w:val="nil"/>
              <w:right w:val="nil"/>
            </w:tcBorders>
          </w:tcPr>
          <w:p w14:paraId="18C4A12A"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(0.02)</w:t>
            </w:r>
          </w:p>
        </w:tc>
      </w:tr>
      <w:tr w:rsidR="008A5C7B" w:rsidRPr="00BE6529" w14:paraId="7214BBA5" w14:textId="77777777" w:rsidTr="000A49F9">
        <w:trPr>
          <w:jc w:val="center"/>
        </w:trPr>
        <w:tc>
          <w:tcPr>
            <w:tcW w:w="3807" w:type="dxa"/>
            <w:tcBorders>
              <w:top w:val="nil"/>
              <w:left w:val="nil"/>
              <w:bottom w:val="nil"/>
              <w:right w:val="nil"/>
            </w:tcBorders>
          </w:tcPr>
          <w:p w14:paraId="0083DBA5"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lang w:val="en-US"/>
              </w:rPr>
            </w:pPr>
            <w:r w:rsidRPr="00BE6529">
              <w:rPr>
                <w:rFonts w:asciiTheme="majorHAnsi" w:hAnsiTheme="majorHAnsi" w:cs="Times New Roman"/>
                <w:lang w:val="en-US"/>
              </w:rPr>
              <w:t>Consumption expenditure</w:t>
            </w:r>
            <w:r>
              <w:rPr>
                <w:rFonts w:asciiTheme="majorHAnsi" w:hAnsiTheme="majorHAnsi" w:cs="Times New Roman"/>
                <w:lang w:val="en-US"/>
              </w:rPr>
              <w:t>s</w:t>
            </w:r>
            <w:r w:rsidRPr="00BE6529">
              <w:rPr>
                <w:rFonts w:asciiTheme="majorHAnsi" w:hAnsiTheme="majorHAnsi" w:cs="Times New Roman"/>
                <w:lang w:val="en-US"/>
              </w:rPr>
              <w:t xml:space="preserve"> (log)</w:t>
            </w:r>
          </w:p>
        </w:tc>
        <w:tc>
          <w:tcPr>
            <w:tcW w:w="1596" w:type="dxa"/>
            <w:tcBorders>
              <w:top w:val="nil"/>
              <w:left w:val="nil"/>
              <w:bottom w:val="nil"/>
              <w:right w:val="nil"/>
            </w:tcBorders>
          </w:tcPr>
          <w:p w14:paraId="5D8DECD5"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lang w:val="en-US"/>
              </w:rPr>
            </w:pPr>
          </w:p>
        </w:tc>
        <w:tc>
          <w:tcPr>
            <w:tcW w:w="1596" w:type="dxa"/>
            <w:tcBorders>
              <w:top w:val="nil"/>
              <w:left w:val="nil"/>
              <w:bottom w:val="nil"/>
              <w:right w:val="nil"/>
            </w:tcBorders>
          </w:tcPr>
          <w:p w14:paraId="28C38172"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lang w:val="en-US"/>
              </w:rPr>
            </w:pPr>
          </w:p>
        </w:tc>
        <w:tc>
          <w:tcPr>
            <w:tcW w:w="1417" w:type="dxa"/>
            <w:tcBorders>
              <w:top w:val="nil"/>
              <w:left w:val="nil"/>
              <w:bottom w:val="nil"/>
              <w:right w:val="nil"/>
            </w:tcBorders>
          </w:tcPr>
          <w:p w14:paraId="6F49BE17"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0.46***</w:t>
            </w:r>
          </w:p>
        </w:tc>
        <w:tc>
          <w:tcPr>
            <w:tcW w:w="1577" w:type="dxa"/>
            <w:tcBorders>
              <w:top w:val="nil"/>
              <w:left w:val="nil"/>
              <w:bottom w:val="nil"/>
              <w:right w:val="nil"/>
            </w:tcBorders>
          </w:tcPr>
          <w:p w14:paraId="7B0E63B9"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0.43***</w:t>
            </w:r>
          </w:p>
        </w:tc>
      </w:tr>
      <w:tr w:rsidR="008A5C7B" w:rsidRPr="00BE6529" w14:paraId="5EEA43F1" w14:textId="77777777" w:rsidTr="000A49F9">
        <w:trPr>
          <w:jc w:val="center"/>
        </w:trPr>
        <w:tc>
          <w:tcPr>
            <w:tcW w:w="3807" w:type="dxa"/>
            <w:tcBorders>
              <w:top w:val="nil"/>
              <w:left w:val="nil"/>
              <w:bottom w:val="nil"/>
              <w:right w:val="nil"/>
            </w:tcBorders>
          </w:tcPr>
          <w:p w14:paraId="206FAA7F"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76EC7FDB"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p>
        </w:tc>
        <w:tc>
          <w:tcPr>
            <w:tcW w:w="1596" w:type="dxa"/>
            <w:tcBorders>
              <w:top w:val="nil"/>
              <w:left w:val="nil"/>
              <w:bottom w:val="nil"/>
              <w:right w:val="nil"/>
            </w:tcBorders>
          </w:tcPr>
          <w:p w14:paraId="69F1FDD3"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p>
        </w:tc>
        <w:tc>
          <w:tcPr>
            <w:tcW w:w="1417" w:type="dxa"/>
            <w:tcBorders>
              <w:top w:val="nil"/>
              <w:left w:val="nil"/>
              <w:bottom w:val="nil"/>
              <w:right w:val="nil"/>
            </w:tcBorders>
          </w:tcPr>
          <w:p w14:paraId="03A37EDE"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(0.11)</w:t>
            </w:r>
          </w:p>
        </w:tc>
        <w:tc>
          <w:tcPr>
            <w:tcW w:w="1577" w:type="dxa"/>
            <w:tcBorders>
              <w:top w:val="nil"/>
              <w:left w:val="nil"/>
              <w:bottom w:val="nil"/>
              <w:right w:val="nil"/>
            </w:tcBorders>
          </w:tcPr>
          <w:p w14:paraId="3246BDC0"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(0.12)</w:t>
            </w:r>
          </w:p>
        </w:tc>
      </w:tr>
      <w:tr w:rsidR="008A5C7B" w:rsidRPr="00BE6529" w14:paraId="071B456B" w14:textId="77777777" w:rsidTr="000A49F9">
        <w:trPr>
          <w:jc w:val="center"/>
        </w:trPr>
        <w:tc>
          <w:tcPr>
            <w:tcW w:w="3807" w:type="dxa"/>
            <w:tcBorders>
              <w:top w:val="nil"/>
              <w:left w:val="nil"/>
              <w:bottom w:val="nil"/>
              <w:right w:val="nil"/>
            </w:tcBorders>
          </w:tcPr>
          <w:p w14:paraId="5C3D628B"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lang w:val="en-US"/>
              </w:rPr>
            </w:pPr>
            <w:r w:rsidRPr="00BE6529">
              <w:rPr>
                <w:rFonts w:asciiTheme="majorHAnsi" w:hAnsiTheme="majorHAnsi" w:cs="Times New Roman"/>
                <w:lang w:val="en-US"/>
              </w:rPr>
              <w:t xml:space="preserve">Town dummies </w:t>
            </w:r>
          </w:p>
        </w:tc>
        <w:tc>
          <w:tcPr>
            <w:tcW w:w="1596" w:type="dxa"/>
            <w:tcBorders>
              <w:top w:val="nil"/>
              <w:left w:val="nil"/>
              <w:bottom w:val="nil"/>
              <w:right w:val="nil"/>
            </w:tcBorders>
          </w:tcPr>
          <w:p w14:paraId="39FA6136"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Yes</w:t>
            </w:r>
          </w:p>
        </w:tc>
        <w:tc>
          <w:tcPr>
            <w:tcW w:w="1596" w:type="dxa"/>
            <w:tcBorders>
              <w:top w:val="nil"/>
              <w:left w:val="nil"/>
              <w:bottom w:val="nil"/>
              <w:right w:val="nil"/>
            </w:tcBorders>
          </w:tcPr>
          <w:p w14:paraId="557031FA"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Yes</w:t>
            </w:r>
          </w:p>
        </w:tc>
        <w:tc>
          <w:tcPr>
            <w:tcW w:w="1417" w:type="dxa"/>
            <w:tcBorders>
              <w:top w:val="nil"/>
              <w:left w:val="nil"/>
              <w:bottom w:val="nil"/>
              <w:right w:val="nil"/>
            </w:tcBorders>
          </w:tcPr>
          <w:p w14:paraId="4C3A2A19"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Yes</w:t>
            </w:r>
          </w:p>
        </w:tc>
        <w:tc>
          <w:tcPr>
            <w:tcW w:w="1577" w:type="dxa"/>
            <w:tcBorders>
              <w:top w:val="nil"/>
              <w:left w:val="nil"/>
              <w:bottom w:val="nil"/>
              <w:right w:val="nil"/>
            </w:tcBorders>
          </w:tcPr>
          <w:p w14:paraId="6E6DD899"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Yes</w:t>
            </w:r>
          </w:p>
        </w:tc>
      </w:tr>
      <w:tr w:rsidR="008A5C7B" w:rsidRPr="00BE6529" w14:paraId="3148B2F3" w14:textId="77777777" w:rsidTr="000A49F9">
        <w:trPr>
          <w:jc w:val="center"/>
        </w:trPr>
        <w:tc>
          <w:tcPr>
            <w:tcW w:w="3807" w:type="dxa"/>
            <w:tcBorders>
              <w:top w:val="nil"/>
              <w:left w:val="nil"/>
              <w:bottom w:val="nil"/>
              <w:right w:val="nil"/>
            </w:tcBorders>
          </w:tcPr>
          <w:p w14:paraId="3C42D9A3"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Constant</w:t>
            </w:r>
          </w:p>
        </w:tc>
        <w:tc>
          <w:tcPr>
            <w:tcW w:w="1596" w:type="dxa"/>
            <w:tcBorders>
              <w:top w:val="nil"/>
              <w:left w:val="nil"/>
              <w:bottom w:val="nil"/>
              <w:right w:val="nil"/>
            </w:tcBorders>
          </w:tcPr>
          <w:p w14:paraId="6BA40BCB"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-8.47***</w:t>
            </w:r>
          </w:p>
        </w:tc>
        <w:tc>
          <w:tcPr>
            <w:tcW w:w="1596" w:type="dxa"/>
            <w:tcBorders>
              <w:top w:val="nil"/>
              <w:left w:val="nil"/>
              <w:bottom w:val="nil"/>
              <w:right w:val="nil"/>
            </w:tcBorders>
          </w:tcPr>
          <w:p w14:paraId="0F6552D3"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-8.61***</w:t>
            </w:r>
          </w:p>
        </w:tc>
        <w:tc>
          <w:tcPr>
            <w:tcW w:w="1417" w:type="dxa"/>
            <w:tcBorders>
              <w:top w:val="nil"/>
              <w:left w:val="nil"/>
              <w:bottom w:val="nil"/>
              <w:right w:val="nil"/>
            </w:tcBorders>
          </w:tcPr>
          <w:p w14:paraId="3D2727AB"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-12.11***</w:t>
            </w:r>
          </w:p>
        </w:tc>
        <w:tc>
          <w:tcPr>
            <w:tcW w:w="1577" w:type="dxa"/>
            <w:tcBorders>
              <w:top w:val="nil"/>
              <w:left w:val="nil"/>
              <w:bottom w:val="nil"/>
              <w:right w:val="nil"/>
            </w:tcBorders>
          </w:tcPr>
          <w:p w14:paraId="22299BBF"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-11.88***</w:t>
            </w:r>
          </w:p>
        </w:tc>
      </w:tr>
      <w:tr w:rsidR="008A5C7B" w:rsidRPr="00BE6529" w14:paraId="51BA8A0B" w14:textId="77777777" w:rsidTr="000A49F9">
        <w:trPr>
          <w:jc w:val="center"/>
        </w:trPr>
        <w:tc>
          <w:tcPr>
            <w:tcW w:w="3807" w:type="dxa"/>
            <w:tcBorders>
              <w:top w:val="nil"/>
              <w:left w:val="nil"/>
              <w:bottom w:val="single" w:sz="4" w:space="0" w:color="auto"/>
              <w:right w:val="nil"/>
            </w:tcBorders>
          </w:tcPr>
          <w:p w14:paraId="4D05CF78"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
        </w:tc>
        <w:tc>
          <w:tcPr>
            <w:tcW w:w="1596" w:type="dxa"/>
            <w:tcBorders>
              <w:top w:val="nil"/>
              <w:left w:val="nil"/>
              <w:bottom w:val="single" w:sz="4" w:space="0" w:color="auto"/>
              <w:right w:val="nil"/>
            </w:tcBorders>
          </w:tcPr>
          <w:p w14:paraId="72F51B76"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(1.72)</w:t>
            </w:r>
          </w:p>
        </w:tc>
        <w:tc>
          <w:tcPr>
            <w:tcW w:w="1596" w:type="dxa"/>
            <w:tcBorders>
              <w:top w:val="nil"/>
              <w:left w:val="nil"/>
              <w:bottom w:val="single" w:sz="4" w:space="0" w:color="auto"/>
              <w:right w:val="nil"/>
            </w:tcBorders>
          </w:tcPr>
          <w:p w14:paraId="402B7B26"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(1.72)</w:t>
            </w:r>
          </w:p>
        </w:tc>
        <w:tc>
          <w:tcPr>
            <w:tcW w:w="1417" w:type="dxa"/>
            <w:tcBorders>
              <w:top w:val="nil"/>
              <w:left w:val="nil"/>
              <w:bottom w:val="single" w:sz="4" w:space="0" w:color="auto"/>
              <w:right w:val="nil"/>
            </w:tcBorders>
          </w:tcPr>
          <w:p w14:paraId="5F202F41"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(1.79)</w:t>
            </w:r>
          </w:p>
        </w:tc>
        <w:tc>
          <w:tcPr>
            <w:tcW w:w="1577" w:type="dxa"/>
            <w:tcBorders>
              <w:top w:val="nil"/>
              <w:left w:val="nil"/>
              <w:bottom w:val="single" w:sz="4" w:space="0" w:color="auto"/>
              <w:right w:val="nil"/>
            </w:tcBorders>
          </w:tcPr>
          <w:p w14:paraId="70C1B145"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(1.89)</w:t>
            </w:r>
          </w:p>
        </w:tc>
      </w:tr>
      <w:tr w:rsidR="008A5C7B" w:rsidRPr="00BE6529" w14:paraId="10AC19B9" w14:textId="77777777" w:rsidTr="000A49F9">
        <w:trPr>
          <w:jc w:val="center"/>
        </w:trPr>
        <w:tc>
          <w:tcPr>
            <w:tcW w:w="3807" w:type="dxa"/>
            <w:tcBorders>
              <w:top w:val="single" w:sz="4" w:space="0" w:color="auto"/>
              <w:left w:val="nil"/>
              <w:bottom w:val="nil"/>
              <w:right w:val="nil"/>
            </w:tcBorders>
          </w:tcPr>
          <w:p w14:paraId="7C4EAA13"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proofErr w:type="spellStart"/>
            <w:r w:rsidRPr="00BE6529">
              <w:rPr>
                <w:rFonts w:asciiTheme="majorHAnsi" w:hAnsiTheme="majorHAnsi" w:cs="Times New Roman"/>
              </w:rPr>
              <w:t>Number</w:t>
            </w:r>
            <w:proofErr w:type="spellEnd"/>
            <w:r w:rsidRPr="00BE6529">
              <w:rPr>
                <w:rFonts w:asciiTheme="majorHAnsi" w:hAnsiTheme="majorHAnsi" w:cs="Times New Roman"/>
              </w:rPr>
              <w:t xml:space="preserve"> </w:t>
            </w:r>
            <w:proofErr w:type="spellStart"/>
            <w:r w:rsidRPr="00BE6529">
              <w:rPr>
                <w:rFonts w:asciiTheme="majorHAnsi" w:hAnsiTheme="majorHAnsi" w:cs="Times New Roman"/>
              </w:rPr>
              <w:t>of</w:t>
            </w:r>
            <w:proofErr w:type="spellEnd"/>
            <w:r w:rsidRPr="00BE6529">
              <w:rPr>
                <w:rFonts w:asciiTheme="majorHAnsi" w:hAnsiTheme="majorHAnsi" w:cs="Times New Roman"/>
              </w:rPr>
              <w:t xml:space="preserve"> </w:t>
            </w:r>
            <w:proofErr w:type="spellStart"/>
            <w:r w:rsidRPr="00BE6529">
              <w:rPr>
                <w:rFonts w:asciiTheme="majorHAnsi" w:hAnsiTheme="majorHAnsi" w:cs="Times New Roman"/>
              </w:rPr>
              <w:t>obs</w:t>
            </w:r>
            <w:proofErr w:type="spellEnd"/>
            <w:r w:rsidRPr="00BE6529">
              <w:rPr>
                <w:rFonts w:asciiTheme="majorHAnsi" w:hAnsiTheme="majorHAnsi" w:cs="Times New Roman"/>
              </w:rPr>
              <w:t>.</w:t>
            </w:r>
          </w:p>
        </w:tc>
        <w:tc>
          <w:tcPr>
            <w:tcW w:w="1596" w:type="dxa"/>
            <w:tcBorders>
              <w:top w:val="single" w:sz="4" w:space="0" w:color="auto"/>
              <w:left w:val="nil"/>
              <w:bottom w:val="nil"/>
              <w:right w:val="nil"/>
            </w:tcBorders>
          </w:tcPr>
          <w:p w14:paraId="70DF922F"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426</w:t>
            </w:r>
          </w:p>
        </w:tc>
        <w:tc>
          <w:tcPr>
            <w:tcW w:w="1596" w:type="dxa"/>
            <w:tcBorders>
              <w:top w:val="single" w:sz="4" w:space="0" w:color="auto"/>
              <w:left w:val="nil"/>
              <w:bottom w:val="nil"/>
              <w:right w:val="nil"/>
            </w:tcBorders>
          </w:tcPr>
          <w:p w14:paraId="4BF81BDF"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426</w:t>
            </w:r>
          </w:p>
        </w:tc>
        <w:tc>
          <w:tcPr>
            <w:tcW w:w="1417" w:type="dxa"/>
            <w:tcBorders>
              <w:top w:val="single" w:sz="4" w:space="0" w:color="auto"/>
              <w:left w:val="nil"/>
              <w:bottom w:val="nil"/>
              <w:right w:val="nil"/>
            </w:tcBorders>
          </w:tcPr>
          <w:p w14:paraId="08520B2A"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426</w:t>
            </w:r>
          </w:p>
        </w:tc>
        <w:tc>
          <w:tcPr>
            <w:tcW w:w="1577" w:type="dxa"/>
            <w:tcBorders>
              <w:top w:val="single" w:sz="4" w:space="0" w:color="auto"/>
              <w:left w:val="nil"/>
              <w:bottom w:val="nil"/>
              <w:right w:val="nil"/>
            </w:tcBorders>
          </w:tcPr>
          <w:p w14:paraId="4E82F2DE"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426</w:t>
            </w:r>
          </w:p>
        </w:tc>
      </w:tr>
      <w:tr w:rsidR="008A5C7B" w:rsidRPr="00BE6529" w14:paraId="2D1B0FFB" w14:textId="77777777" w:rsidTr="000A49F9">
        <w:trPr>
          <w:jc w:val="center"/>
        </w:trPr>
        <w:tc>
          <w:tcPr>
            <w:tcW w:w="3807" w:type="dxa"/>
            <w:tcBorders>
              <w:top w:val="nil"/>
              <w:left w:val="nil"/>
              <w:bottom w:val="single" w:sz="6" w:space="0" w:color="auto"/>
              <w:right w:val="nil"/>
            </w:tcBorders>
          </w:tcPr>
          <w:p w14:paraId="35639757" w14:textId="77777777" w:rsidR="008A5C7B" w:rsidRPr="00BE6529" w:rsidRDefault="008A5C7B" w:rsidP="000A49F9">
            <w:pPr>
              <w:widowControl w:val="0"/>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R-</w:t>
            </w:r>
            <w:proofErr w:type="spellStart"/>
            <w:r w:rsidRPr="00BE6529">
              <w:rPr>
                <w:rFonts w:asciiTheme="majorHAnsi" w:hAnsiTheme="majorHAnsi" w:cs="Times New Roman"/>
              </w:rPr>
              <w:t>squared</w:t>
            </w:r>
            <w:proofErr w:type="spellEnd"/>
          </w:p>
        </w:tc>
        <w:tc>
          <w:tcPr>
            <w:tcW w:w="1596" w:type="dxa"/>
            <w:tcBorders>
              <w:top w:val="nil"/>
              <w:left w:val="nil"/>
              <w:bottom w:val="single" w:sz="6" w:space="0" w:color="auto"/>
              <w:right w:val="nil"/>
            </w:tcBorders>
          </w:tcPr>
          <w:p w14:paraId="48B1A2DF"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0.18</w:t>
            </w:r>
          </w:p>
        </w:tc>
        <w:tc>
          <w:tcPr>
            <w:tcW w:w="1596" w:type="dxa"/>
            <w:tcBorders>
              <w:top w:val="nil"/>
              <w:left w:val="nil"/>
              <w:bottom w:val="single" w:sz="6" w:space="0" w:color="auto"/>
              <w:right w:val="nil"/>
            </w:tcBorders>
          </w:tcPr>
          <w:p w14:paraId="61C21CAD" w14:textId="77777777" w:rsidR="008A5C7B" w:rsidRPr="00BE6529" w:rsidRDefault="008A5C7B" w:rsidP="000A49F9">
            <w:pPr>
              <w:widowControl w:val="0"/>
              <w:tabs>
                <w:tab w:val="decimal" w:pos="948"/>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0.20</w:t>
            </w:r>
          </w:p>
        </w:tc>
        <w:tc>
          <w:tcPr>
            <w:tcW w:w="1417" w:type="dxa"/>
            <w:tcBorders>
              <w:top w:val="nil"/>
              <w:left w:val="nil"/>
              <w:bottom w:val="single" w:sz="6" w:space="0" w:color="auto"/>
              <w:right w:val="nil"/>
            </w:tcBorders>
          </w:tcPr>
          <w:p w14:paraId="6ED3069D"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0.23</w:t>
            </w:r>
          </w:p>
        </w:tc>
        <w:tc>
          <w:tcPr>
            <w:tcW w:w="1577" w:type="dxa"/>
            <w:tcBorders>
              <w:top w:val="nil"/>
              <w:left w:val="nil"/>
              <w:bottom w:val="single" w:sz="6" w:space="0" w:color="auto"/>
              <w:right w:val="nil"/>
            </w:tcBorders>
          </w:tcPr>
          <w:p w14:paraId="30B1B936" w14:textId="77777777" w:rsidR="008A5C7B" w:rsidRPr="00BE6529" w:rsidRDefault="008A5C7B" w:rsidP="000A49F9">
            <w:pPr>
              <w:widowControl w:val="0"/>
              <w:tabs>
                <w:tab w:val="decimal" w:pos="1016"/>
              </w:tabs>
              <w:autoSpaceDE w:val="0"/>
              <w:autoSpaceDN w:val="0"/>
              <w:adjustRightInd w:val="0"/>
              <w:spacing w:after="0" w:line="240" w:lineRule="auto"/>
              <w:rPr>
                <w:rFonts w:asciiTheme="majorHAnsi" w:hAnsiTheme="majorHAnsi" w:cs="Times New Roman"/>
              </w:rPr>
            </w:pPr>
            <w:r w:rsidRPr="00BE6529">
              <w:rPr>
                <w:rFonts w:asciiTheme="majorHAnsi" w:hAnsiTheme="majorHAnsi" w:cs="Times New Roman"/>
              </w:rPr>
              <w:t>0.23</w:t>
            </w:r>
          </w:p>
        </w:tc>
      </w:tr>
    </w:tbl>
    <w:p w14:paraId="0240CEFA" w14:textId="77777777" w:rsidR="008A5C7B" w:rsidRPr="00BE6529" w:rsidRDefault="008A5C7B" w:rsidP="008A5C7B">
      <w:pPr>
        <w:spacing w:after="0" w:line="240" w:lineRule="auto"/>
        <w:rPr>
          <w:rFonts w:asciiTheme="majorHAnsi" w:hAnsiTheme="majorHAnsi"/>
          <w:sz w:val="20"/>
          <w:szCs w:val="20"/>
          <w:lang w:val="en-US"/>
        </w:rPr>
      </w:pPr>
      <w:r w:rsidRPr="00BE6529">
        <w:rPr>
          <w:rFonts w:asciiTheme="majorHAnsi" w:hAnsiTheme="majorHAnsi"/>
          <w:sz w:val="20"/>
          <w:szCs w:val="20"/>
          <w:lang w:val="en-US"/>
        </w:rPr>
        <w:t>Coefficient estimates are shown with standard errors in parentheses. The dependent variable in all models is height-for-age Z-scores (HAZ) of children and adolescents (aged 5-18).</w:t>
      </w:r>
    </w:p>
    <w:p w14:paraId="0B51088B" w14:textId="77777777" w:rsidR="008A5C7B" w:rsidRPr="00BE6529" w:rsidRDefault="008A5C7B" w:rsidP="008A5C7B">
      <w:pPr>
        <w:widowControl w:val="0"/>
        <w:autoSpaceDE w:val="0"/>
        <w:autoSpaceDN w:val="0"/>
        <w:adjustRightInd w:val="0"/>
        <w:spacing w:before="79" w:after="79" w:line="240" w:lineRule="auto"/>
        <w:rPr>
          <w:rFonts w:asciiTheme="majorHAnsi" w:hAnsiTheme="majorHAnsi" w:cs="Times New Roman"/>
          <w:sz w:val="24"/>
          <w:szCs w:val="24"/>
          <w:lang w:val="en-US"/>
        </w:rPr>
      </w:pPr>
      <w:r w:rsidRPr="00BE6529">
        <w:rPr>
          <w:rFonts w:asciiTheme="majorHAnsi" w:hAnsiTheme="majorHAnsi" w:cs="Times New Roman"/>
          <w:sz w:val="24"/>
          <w:szCs w:val="24"/>
          <w:lang w:val="en-US"/>
        </w:rPr>
        <w:t xml:space="preserve">* </w:t>
      </w:r>
      <w:r w:rsidRPr="00BE6529">
        <w:rPr>
          <w:rFonts w:asciiTheme="majorHAnsi" w:hAnsiTheme="majorHAnsi" w:cs="Times New Roman"/>
          <w:i/>
          <w:iCs/>
          <w:sz w:val="24"/>
          <w:szCs w:val="24"/>
          <w:lang w:val="en-US"/>
        </w:rPr>
        <w:t>p</w:t>
      </w:r>
      <w:r w:rsidRPr="00BE6529">
        <w:rPr>
          <w:rFonts w:asciiTheme="majorHAnsi" w:hAnsiTheme="majorHAnsi" w:cs="Times New Roman"/>
          <w:sz w:val="24"/>
          <w:szCs w:val="24"/>
          <w:lang w:val="en-US"/>
        </w:rPr>
        <w:t xml:space="preserve">&lt;0.1; ** </w:t>
      </w:r>
      <w:r w:rsidRPr="00BE6529">
        <w:rPr>
          <w:rFonts w:asciiTheme="majorHAnsi" w:hAnsiTheme="majorHAnsi" w:cs="Times New Roman"/>
          <w:i/>
          <w:iCs/>
          <w:sz w:val="24"/>
          <w:szCs w:val="24"/>
          <w:lang w:val="en-US"/>
        </w:rPr>
        <w:t>p</w:t>
      </w:r>
      <w:r w:rsidRPr="00BE6529">
        <w:rPr>
          <w:rFonts w:asciiTheme="majorHAnsi" w:hAnsiTheme="majorHAnsi" w:cs="Times New Roman"/>
          <w:sz w:val="24"/>
          <w:szCs w:val="24"/>
          <w:lang w:val="en-US"/>
        </w:rPr>
        <w:t xml:space="preserve">&lt;0.05; *** </w:t>
      </w:r>
      <w:r w:rsidRPr="00BE6529">
        <w:rPr>
          <w:rFonts w:asciiTheme="majorHAnsi" w:hAnsiTheme="majorHAnsi" w:cs="Times New Roman"/>
          <w:i/>
          <w:iCs/>
          <w:sz w:val="24"/>
          <w:szCs w:val="24"/>
          <w:lang w:val="en-US"/>
        </w:rPr>
        <w:t>p</w:t>
      </w:r>
      <w:r w:rsidRPr="00BE6529">
        <w:rPr>
          <w:rFonts w:asciiTheme="majorHAnsi" w:hAnsiTheme="majorHAnsi" w:cs="Times New Roman"/>
          <w:sz w:val="24"/>
          <w:szCs w:val="24"/>
          <w:lang w:val="en-US"/>
        </w:rPr>
        <w:t>&lt;0.01</w:t>
      </w:r>
    </w:p>
    <w:p w14:paraId="3EC1670F" w14:textId="77777777" w:rsidR="008A5C7B" w:rsidRDefault="008A5C7B" w:rsidP="008A5C7B">
      <w:pPr>
        <w:spacing w:line="480" w:lineRule="auto"/>
        <w:ind w:firstLine="709"/>
        <w:jc w:val="both"/>
        <w:rPr>
          <w:rFonts w:asciiTheme="majorHAnsi" w:hAnsiTheme="majorHAnsi"/>
          <w:sz w:val="20"/>
          <w:szCs w:val="20"/>
          <w:lang w:val="en-US"/>
        </w:rPr>
      </w:pPr>
    </w:p>
    <w:p w14:paraId="1C9B7B84" w14:textId="77777777" w:rsidR="008A5C7B" w:rsidRPr="005C5238" w:rsidRDefault="008A5C7B" w:rsidP="008A5C7B">
      <w:pPr>
        <w:spacing w:line="480" w:lineRule="auto"/>
        <w:ind w:firstLine="708"/>
        <w:jc w:val="both"/>
        <w:rPr>
          <w:rFonts w:asciiTheme="majorHAnsi" w:hAnsiTheme="majorHAnsi"/>
          <w:sz w:val="24"/>
          <w:szCs w:val="24"/>
          <w:lang w:val="en-US"/>
        </w:rPr>
      </w:pPr>
      <w:r>
        <w:rPr>
          <w:rFonts w:asciiTheme="majorHAnsi" w:hAnsiTheme="majorHAnsi"/>
          <w:sz w:val="24"/>
          <w:szCs w:val="24"/>
          <w:lang w:val="en-US"/>
        </w:rPr>
        <w:t xml:space="preserve">In Model (1D) of Table 4 we control for both maternal education and consumption expenditures. </w:t>
      </w:r>
      <w:r w:rsidRPr="005C5238">
        <w:rPr>
          <w:rFonts w:asciiTheme="majorHAnsi" w:hAnsiTheme="majorHAnsi"/>
          <w:sz w:val="24"/>
          <w:szCs w:val="24"/>
          <w:lang w:val="en-US"/>
        </w:rPr>
        <w:t>Once consumption expenditure</w:t>
      </w:r>
      <w:r>
        <w:rPr>
          <w:rFonts w:asciiTheme="majorHAnsi" w:hAnsiTheme="majorHAnsi"/>
          <w:sz w:val="24"/>
          <w:szCs w:val="24"/>
          <w:lang w:val="en-US"/>
        </w:rPr>
        <w:t>s are</w:t>
      </w:r>
      <w:r w:rsidRPr="005C5238">
        <w:rPr>
          <w:rFonts w:asciiTheme="majorHAnsi" w:hAnsiTheme="majorHAnsi"/>
          <w:sz w:val="24"/>
          <w:szCs w:val="24"/>
          <w:lang w:val="en-US"/>
        </w:rPr>
        <w:t xml:space="preserve"> controlled for, mother’s education</w:t>
      </w:r>
      <w:r>
        <w:rPr>
          <w:rFonts w:asciiTheme="majorHAnsi" w:hAnsiTheme="majorHAnsi"/>
          <w:sz w:val="24"/>
          <w:szCs w:val="24"/>
          <w:lang w:val="en-US"/>
        </w:rPr>
        <w:t xml:space="preserve"> no longer affects HAZ of children and adolescents</w:t>
      </w:r>
      <w:r w:rsidRPr="005C5238">
        <w:rPr>
          <w:rFonts w:asciiTheme="majorHAnsi" w:hAnsiTheme="majorHAnsi"/>
          <w:sz w:val="24"/>
          <w:szCs w:val="24"/>
          <w:lang w:val="en-US"/>
        </w:rPr>
        <w:t>.</w:t>
      </w:r>
      <w:r>
        <w:rPr>
          <w:rFonts w:asciiTheme="majorHAnsi" w:hAnsiTheme="majorHAnsi"/>
          <w:sz w:val="24"/>
          <w:szCs w:val="24"/>
          <w:lang w:val="en-US"/>
        </w:rPr>
        <w:t xml:space="preserve"> This is due to the close correlation between </w:t>
      </w:r>
      <w:r>
        <w:rPr>
          <w:rFonts w:asciiTheme="majorHAnsi" w:hAnsiTheme="majorHAnsi"/>
          <w:sz w:val="24"/>
          <w:szCs w:val="24"/>
          <w:lang w:val="en-US"/>
        </w:rPr>
        <w:lastRenderedPageBreak/>
        <w:t>maternal education and household consumption expenditures. As maternal education is an important determinant of household income, and income determines consumption expenditures, this close correlation between the variables should not surprise. The coefficient of the maternal nutrition knowledge score remains significant also in this model specification.</w:t>
      </w:r>
    </w:p>
    <w:p w14:paraId="13DE2FAD" w14:textId="77777777" w:rsidR="008A5C7B" w:rsidRPr="00E950A8" w:rsidRDefault="008A5C7B" w:rsidP="008A5C7B">
      <w:pPr>
        <w:spacing w:line="480" w:lineRule="auto"/>
        <w:ind w:firstLine="709"/>
        <w:jc w:val="both"/>
        <w:rPr>
          <w:rFonts w:asciiTheme="majorHAnsi" w:hAnsiTheme="majorHAnsi"/>
          <w:sz w:val="24"/>
          <w:szCs w:val="24"/>
          <w:lang w:val="en-US"/>
        </w:rPr>
      </w:pPr>
      <w:r w:rsidRPr="00E950A8">
        <w:rPr>
          <w:rFonts w:asciiTheme="majorHAnsi" w:hAnsiTheme="majorHAnsi"/>
          <w:sz w:val="24"/>
          <w:szCs w:val="24"/>
          <w:lang w:val="en-US"/>
        </w:rPr>
        <w:t>The coefficient estimates of the other control variables in Table 4 also reveal some interesting patterns. The age of the child is negatively associated with HAZ (</w:t>
      </w:r>
      <w:r w:rsidRPr="000C3350">
        <w:rPr>
          <w:rFonts w:asciiTheme="majorHAnsi" w:hAnsiTheme="majorHAnsi"/>
          <w:i/>
          <w:sz w:val="24"/>
          <w:szCs w:val="24"/>
          <w:lang w:val="en-US"/>
        </w:rPr>
        <w:t>p</w:t>
      </w:r>
      <w:r w:rsidRPr="00064DA0">
        <w:rPr>
          <w:rFonts w:asciiTheme="majorHAnsi" w:hAnsiTheme="majorHAnsi"/>
          <w:sz w:val="24"/>
          <w:szCs w:val="24"/>
          <w:lang w:val="en-US"/>
        </w:rPr>
        <w:t xml:space="preserve">&lt;0.01), which underlines the importance </w:t>
      </w:r>
      <w:r>
        <w:rPr>
          <w:rFonts w:asciiTheme="majorHAnsi" w:hAnsiTheme="majorHAnsi"/>
          <w:sz w:val="24"/>
          <w:szCs w:val="24"/>
          <w:lang w:val="en-US"/>
        </w:rPr>
        <w:t>of</w:t>
      </w:r>
      <w:r w:rsidRPr="00064DA0">
        <w:rPr>
          <w:rFonts w:asciiTheme="majorHAnsi" w:hAnsiTheme="majorHAnsi"/>
          <w:sz w:val="24"/>
          <w:szCs w:val="24"/>
          <w:lang w:val="en-US"/>
        </w:rPr>
        <w:t xml:space="preserve"> includ</w:t>
      </w:r>
      <w:r>
        <w:rPr>
          <w:rFonts w:asciiTheme="majorHAnsi" w:hAnsiTheme="majorHAnsi"/>
          <w:sz w:val="24"/>
          <w:szCs w:val="24"/>
          <w:lang w:val="en-US"/>
        </w:rPr>
        <w:t>ing</w:t>
      </w:r>
      <w:r w:rsidRPr="00064DA0">
        <w:rPr>
          <w:rFonts w:asciiTheme="majorHAnsi" w:hAnsiTheme="majorHAnsi"/>
          <w:sz w:val="24"/>
          <w:szCs w:val="24"/>
          <w:lang w:val="en-US"/>
        </w:rPr>
        <w:t xml:space="preserve"> older c</w:t>
      </w:r>
      <w:r w:rsidRPr="00E950A8">
        <w:rPr>
          <w:rFonts w:asciiTheme="majorHAnsi" w:hAnsiTheme="majorHAnsi"/>
          <w:sz w:val="24"/>
          <w:szCs w:val="24"/>
          <w:lang w:val="en-US"/>
        </w:rPr>
        <w:t>hildren and adolescents in the analysis. Children who suffered from an infectious disease during the month prior to the survey have significantly lower HAZ (</w:t>
      </w:r>
      <w:r w:rsidRPr="000C3350">
        <w:rPr>
          <w:rFonts w:asciiTheme="majorHAnsi" w:hAnsiTheme="majorHAnsi"/>
          <w:i/>
          <w:sz w:val="24"/>
          <w:szCs w:val="24"/>
          <w:lang w:val="en-US"/>
        </w:rPr>
        <w:t>p</w:t>
      </w:r>
      <w:r w:rsidRPr="00064DA0">
        <w:rPr>
          <w:rFonts w:asciiTheme="majorHAnsi" w:hAnsiTheme="majorHAnsi"/>
          <w:sz w:val="24"/>
          <w:szCs w:val="24"/>
          <w:lang w:val="en-US"/>
        </w:rPr>
        <w:t>&lt;0</w:t>
      </w:r>
      <w:r w:rsidRPr="00E950A8">
        <w:rPr>
          <w:rFonts w:asciiTheme="majorHAnsi" w:hAnsiTheme="majorHAnsi"/>
          <w:sz w:val="24"/>
          <w:szCs w:val="24"/>
          <w:lang w:val="en-US"/>
        </w:rPr>
        <w:t>.05). In children, infectious diseases often have immediate implications for body weight, which is not reflected in HAZ. However, the infectious disease dummy is probably also a proxy of health and sanitation conditions in the household more generally, so that the negative association with HAZ is not surprising. The positive and significant association between the mother’s height and the child’s HAZ (</w:t>
      </w:r>
      <w:r w:rsidRPr="000C3350">
        <w:rPr>
          <w:rFonts w:asciiTheme="majorHAnsi" w:hAnsiTheme="majorHAnsi"/>
          <w:i/>
          <w:sz w:val="24"/>
          <w:szCs w:val="24"/>
          <w:lang w:val="en-US"/>
        </w:rPr>
        <w:t>p</w:t>
      </w:r>
      <w:r w:rsidRPr="00064DA0">
        <w:rPr>
          <w:rFonts w:asciiTheme="majorHAnsi" w:hAnsiTheme="majorHAnsi"/>
          <w:sz w:val="24"/>
          <w:szCs w:val="24"/>
          <w:lang w:val="en-US"/>
        </w:rPr>
        <w:t>&lt;0.01)</w:t>
      </w:r>
      <w:r w:rsidRPr="00E950A8">
        <w:rPr>
          <w:rFonts w:asciiTheme="majorHAnsi" w:hAnsiTheme="majorHAnsi"/>
          <w:sz w:val="24"/>
          <w:szCs w:val="24"/>
          <w:lang w:val="en-US"/>
        </w:rPr>
        <w:t xml:space="preserve"> is also as expected. Finally, the year dummy indicates that the nutritional status of children and adolescents generally improved between 2012 and 2015.</w:t>
      </w:r>
    </w:p>
    <w:p w14:paraId="4DD7C694" w14:textId="77777777" w:rsidR="008A5C7B" w:rsidRPr="00E950A8"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Table 5 shows estimation results of the HAZ models</w:t>
      </w:r>
      <w:r w:rsidRPr="00E950A8">
        <w:rPr>
          <w:rFonts w:asciiTheme="majorHAnsi" w:eastAsiaTheme="minorEastAsia" w:hAnsiTheme="majorHAnsi" w:cs="Times New Roman"/>
          <w:sz w:val="24"/>
          <w:szCs w:val="24"/>
          <w:lang w:val="en-US"/>
        </w:rPr>
        <w:t xml:space="preserve"> with the disaggregated nutrition knowledge scores (for the three knowledge categories) as explanatory variables.</w:t>
      </w:r>
      <w:r w:rsidRPr="00E950A8">
        <w:rPr>
          <w:rFonts w:asciiTheme="majorHAnsi" w:hAnsiTheme="majorHAnsi"/>
          <w:sz w:val="24"/>
          <w:szCs w:val="24"/>
          <w:lang w:val="en-US"/>
        </w:rPr>
        <w:t xml:space="preserve"> Model (2) reveals that maternal knowledge about food ingredients is associated with a higher HAZ of children and adolescents, even though the association is relatively weak (</w:t>
      </w:r>
      <w:r w:rsidRPr="000C3350">
        <w:rPr>
          <w:rFonts w:asciiTheme="majorHAnsi" w:hAnsiTheme="majorHAnsi"/>
          <w:i/>
          <w:sz w:val="24"/>
          <w:szCs w:val="24"/>
          <w:lang w:val="en-US"/>
        </w:rPr>
        <w:t>p</w:t>
      </w:r>
      <w:r w:rsidRPr="00064DA0">
        <w:rPr>
          <w:rFonts w:asciiTheme="majorHAnsi" w:hAnsiTheme="majorHAnsi"/>
          <w:sz w:val="24"/>
          <w:szCs w:val="24"/>
          <w:lang w:val="en-US"/>
        </w:rPr>
        <w:t>&lt;0.10)</w:t>
      </w:r>
      <w:r w:rsidRPr="00E950A8">
        <w:rPr>
          <w:rFonts w:asciiTheme="majorHAnsi" w:hAnsiTheme="majorHAnsi"/>
          <w:sz w:val="24"/>
          <w:szCs w:val="24"/>
          <w:lang w:val="en-US"/>
        </w:rPr>
        <w:t>. Model (3) suggests that maternal knowledge about dietary recommendations has no significant association with HAZ of children and adolescents.</w:t>
      </w:r>
    </w:p>
    <w:p w14:paraId="69EA0796" w14:textId="77777777" w:rsidR="008A5C7B" w:rsidRPr="00E950A8" w:rsidRDefault="008A5C7B" w:rsidP="008A5C7B">
      <w:pPr>
        <w:spacing w:line="480" w:lineRule="auto"/>
        <w:ind w:firstLine="709"/>
        <w:jc w:val="both"/>
        <w:rPr>
          <w:rFonts w:asciiTheme="majorHAnsi" w:hAnsiTheme="majorHAnsi"/>
          <w:sz w:val="24"/>
          <w:szCs w:val="24"/>
          <w:lang w:val="en-US"/>
        </w:rPr>
      </w:pPr>
      <w:r w:rsidRPr="00E950A8">
        <w:rPr>
          <w:rFonts w:asciiTheme="majorHAnsi" w:hAnsiTheme="majorHAnsi"/>
          <w:sz w:val="24"/>
          <w:szCs w:val="24"/>
          <w:lang w:val="en-US"/>
        </w:rPr>
        <w:t xml:space="preserve">The largest and strongest positive association with HAZ is found for maternal knowledge about the health consequences of not following dietary recommendations. </w:t>
      </w:r>
      <w:r w:rsidRPr="00E950A8">
        <w:rPr>
          <w:rFonts w:asciiTheme="majorHAnsi" w:hAnsiTheme="majorHAnsi"/>
          <w:sz w:val="24"/>
          <w:szCs w:val="24"/>
          <w:lang w:val="en-US"/>
        </w:rPr>
        <w:lastRenderedPageBreak/>
        <w:t>Given that the observed standard deviation for the knowledge score on health consequences is 0.27 (Table 2), the coefficient estimate of 0.54 in model (4A) implies that an increase in knowledge of this type by one standard deviation is associated with a 0.15 increase in</w:t>
      </w:r>
      <w:r>
        <w:rPr>
          <w:rFonts w:asciiTheme="majorHAnsi" w:hAnsiTheme="majorHAnsi"/>
          <w:sz w:val="24"/>
          <w:szCs w:val="24"/>
          <w:lang w:val="en-US"/>
        </w:rPr>
        <w:t xml:space="preserve"> child</w:t>
      </w:r>
      <w:r w:rsidRPr="00E950A8">
        <w:rPr>
          <w:rFonts w:asciiTheme="majorHAnsi" w:hAnsiTheme="majorHAnsi"/>
          <w:sz w:val="24"/>
          <w:szCs w:val="24"/>
          <w:lang w:val="en-US"/>
        </w:rPr>
        <w:t xml:space="preserve"> HAZ. This association remains weakly significant (</w:t>
      </w:r>
      <w:r w:rsidRPr="000C3350">
        <w:rPr>
          <w:rFonts w:asciiTheme="majorHAnsi" w:hAnsiTheme="majorHAnsi"/>
          <w:i/>
          <w:sz w:val="24"/>
          <w:szCs w:val="24"/>
          <w:lang w:val="en-US"/>
        </w:rPr>
        <w:t>p</w:t>
      </w:r>
      <w:r w:rsidRPr="00064DA0">
        <w:rPr>
          <w:rFonts w:asciiTheme="majorHAnsi" w:hAnsiTheme="majorHAnsi"/>
          <w:sz w:val="24"/>
          <w:szCs w:val="24"/>
          <w:lang w:val="en-US"/>
        </w:rPr>
        <w:t xml:space="preserve">&lt;0.1) also after controlling for </w:t>
      </w:r>
      <w:r>
        <w:rPr>
          <w:rFonts w:asciiTheme="majorHAnsi" w:hAnsiTheme="majorHAnsi"/>
          <w:sz w:val="24"/>
          <w:szCs w:val="24"/>
          <w:lang w:val="en-US"/>
        </w:rPr>
        <w:t xml:space="preserve">maternal education and </w:t>
      </w:r>
      <w:r w:rsidRPr="00064DA0">
        <w:rPr>
          <w:rFonts w:asciiTheme="majorHAnsi" w:hAnsiTheme="majorHAnsi"/>
          <w:sz w:val="24"/>
          <w:szCs w:val="24"/>
          <w:lang w:val="en-US"/>
        </w:rPr>
        <w:t xml:space="preserve">household </w:t>
      </w:r>
      <w:r>
        <w:rPr>
          <w:rFonts w:asciiTheme="majorHAnsi" w:hAnsiTheme="majorHAnsi"/>
          <w:sz w:val="24"/>
          <w:szCs w:val="24"/>
          <w:lang w:val="en-US"/>
        </w:rPr>
        <w:t>consumption expenditures.</w:t>
      </w:r>
    </w:p>
    <w:p w14:paraId="5231EDF1" w14:textId="77777777" w:rsidR="008A5C7B" w:rsidRPr="00E950A8" w:rsidRDefault="008A5C7B" w:rsidP="008A5C7B">
      <w:pPr>
        <w:spacing w:line="480" w:lineRule="auto"/>
        <w:ind w:firstLine="709"/>
        <w:jc w:val="both"/>
        <w:rPr>
          <w:rFonts w:asciiTheme="majorHAnsi" w:hAnsiTheme="majorHAnsi"/>
          <w:sz w:val="24"/>
          <w:szCs w:val="24"/>
          <w:lang w:val="en-US"/>
        </w:rPr>
      </w:pPr>
      <w:r w:rsidRPr="00E950A8">
        <w:rPr>
          <w:rFonts w:asciiTheme="majorHAnsi" w:hAnsiTheme="majorHAnsi"/>
          <w:sz w:val="24"/>
          <w:szCs w:val="24"/>
          <w:lang w:val="en-US"/>
        </w:rPr>
        <w:t>An important implication of comparing coefficients for the different types of knowledge in Table 5 is that knowledge about the negative health consequences of not following dietary recommendations seems to play a more important role than knowledge about the dietary recommendations as such.</w:t>
      </w:r>
    </w:p>
    <w:p w14:paraId="60821855" w14:textId="77777777" w:rsidR="008A5C7B" w:rsidRDefault="008A5C7B" w:rsidP="008A5C7B">
      <w:pPr>
        <w:rPr>
          <w:rFonts w:asciiTheme="majorHAnsi" w:hAnsiTheme="majorHAnsi"/>
          <w:sz w:val="24"/>
          <w:szCs w:val="24"/>
          <w:lang w:val="en-US"/>
        </w:rPr>
      </w:pPr>
      <w:r>
        <w:rPr>
          <w:rFonts w:asciiTheme="majorHAnsi" w:hAnsiTheme="majorHAnsi"/>
          <w:sz w:val="24"/>
          <w:szCs w:val="24"/>
          <w:lang w:val="en-US"/>
        </w:rPr>
        <w:br w:type="page"/>
      </w:r>
    </w:p>
    <w:p w14:paraId="79EC504A" w14:textId="77777777" w:rsidR="008A5C7B" w:rsidRDefault="008A5C7B" w:rsidP="008A5C7B">
      <w:pPr>
        <w:rPr>
          <w:rFonts w:asciiTheme="majorHAnsi" w:hAnsiTheme="majorHAnsi"/>
          <w:sz w:val="24"/>
          <w:szCs w:val="24"/>
          <w:lang w:val="en-US"/>
        </w:rPr>
        <w:sectPr w:rsidR="008A5C7B" w:rsidSect="000A49F9">
          <w:pgSz w:w="11906" w:h="16838"/>
          <w:pgMar w:top="1417" w:right="1133" w:bottom="1134" w:left="1417" w:header="708" w:footer="708" w:gutter="0"/>
          <w:cols w:space="708"/>
          <w:docGrid w:linePitch="360"/>
        </w:sectPr>
      </w:pPr>
    </w:p>
    <w:p w14:paraId="79D117CC" w14:textId="77777777" w:rsidR="008A5C7B" w:rsidRPr="00065D33" w:rsidRDefault="008A5C7B" w:rsidP="008A5C7B">
      <w:pPr>
        <w:spacing w:after="120" w:line="240" w:lineRule="auto"/>
        <w:rPr>
          <w:rFonts w:asciiTheme="majorHAnsi" w:hAnsiTheme="majorHAnsi"/>
          <w:sz w:val="24"/>
          <w:szCs w:val="24"/>
          <w:lang w:val="en-US"/>
        </w:rPr>
      </w:pPr>
      <w:proofErr w:type="gramStart"/>
      <w:r w:rsidRPr="00065D33">
        <w:rPr>
          <w:rFonts w:asciiTheme="majorHAnsi" w:hAnsiTheme="majorHAnsi"/>
          <w:sz w:val="24"/>
          <w:szCs w:val="24"/>
          <w:lang w:val="en-US"/>
        </w:rPr>
        <w:lastRenderedPageBreak/>
        <w:t>Table 5.</w:t>
      </w:r>
      <w:proofErr w:type="gramEnd"/>
      <w:r w:rsidRPr="00065D33">
        <w:rPr>
          <w:rFonts w:asciiTheme="majorHAnsi" w:hAnsiTheme="majorHAnsi"/>
          <w:sz w:val="24"/>
          <w:szCs w:val="24"/>
          <w:lang w:val="en-US"/>
        </w:rPr>
        <w:t xml:space="preserve"> Association between different types of maternal nutrition knowledge and child HAZ</w:t>
      </w:r>
    </w:p>
    <w:tbl>
      <w:tblPr>
        <w:tblW w:w="14319" w:type="dxa"/>
        <w:tblLayout w:type="fixed"/>
        <w:tblCellMar>
          <w:left w:w="144" w:type="dxa"/>
          <w:right w:w="144" w:type="dxa"/>
        </w:tblCellMar>
        <w:tblLook w:val="0000" w:firstRow="0" w:lastRow="0" w:firstColumn="0" w:lastColumn="0" w:noHBand="0" w:noVBand="0"/>
      </w:tblPr>
      <w:tblGrid>
        <w:gridCol w:w="4964"/>
        <w:gridCol w:w="1418"/>
        <w:gridCol w:w="1417"/>
        <w:gridCol w:w="331"/>
        <w:gridCol w:w="1512"/>
        <w:gridCol w:w="1418"/>
        <w:gridCol w:w="410"/>
        <w:gridCol w:w="1432"/>
        <w:gridCol w:w="1417"/>
      </w:tblGrid>
      <w:tr w:rsidR="008A5C7B" w:rsidRPr="00065D33" w14:paraId="672562F5" w14:textId="77777777" w:rsidTr="000A49F9">
        <w:tc>
          <w:tcPr>
            <w:tcW w:w="4964" w:type="dxa"/>
            <w:tcBorders>
              <w:top w:val="single" w:sz="6" w:space="0" w:color="auto"/>
              <w:left w:val="nil"/>
              <w:right w:val="nil"/>
            </w:tcBorders>
          </w:tcPr>
          <w:p w14:paraId="658AE31F" w14:textId="77777777" w:rsidR="008A5C7B" w:rsidRPr="00065D33" w:rsidRDefault="008A5C7B" w:rsidP="000A49F9">
            <w:pPr>
              <w:widowControl w:val="0"/>
              <w:autoSpaceDE w:val="0"/>
              <w:autoSpaceDN w:val="0"/>
              <w:adjustRightInd w:val="0"/>
              <w:spacing w:before="79" w:after="79" w:line="240" w:lineRule="auto"/>
              <w:rPr>
                <w:rFonts w:asciiTheme="majorHAnsi" w:hAnsiTheme="majorHAnsi" w:cs="Times New Roman"/>
                <w:lang w:val="en-US"/>
              </w:rPr>
            </w:pPr>
          </w:p>
        </w:tc>
        <w:tc>
          <w:tcPr>
            <w:tcW w:w="2835" w:type="dxa"/>
            <w:gridSpan w:val="2"/>
            <w:tcBorders>
              <w:top w:val="single" w:sz="6" w:space="0" w:color="auto"/>
              <w:left w:val="nil"/>
              <w:bottom w:val="nil"/>
              <w:right w:val="nil"/>
            </w:tcBorders>
          </w:tcPr>
          <w:p w14:paraId="1C37F966"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065D33">
              <w:rPr>
                <w:rFonts w:asciiTheme="majorHAnsi" w:hAnsiTheme="majorHAnsi" w:cs="Times New Roman"/>
                <w:lang w:val="en-US"/>
              </w:rPr>
              <w:t>Model (2)</w:t>
            </w:r>
          </w:p>
        </w:tc>
        <w:tc>
          <w:tcPr>
            <w:tcW w:w="331" w:type="dxa"/>
            <w:tcBorders>
              <w:top w:val="single" w:sz="6" w:space="0" w:color="auto"/>
              <w:left w:val="nil"/>
              <w:right w:val="nil"/>
            </w:tcBorders>
          </w:tcPr>
          <w:p w14:paraId="2A678F6E"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p>
        </w:tc>
        <w:tc>
          <w:tcPr>
            <w:tcW w:w="2930" w:type="dxa"/>
            <w:gridSpan w:val="2"/>
            <w:tcBorders>
              <w:top w:val="single" w:sz="6" w:space="0" w:color="auto"/>
              <w:left w:val="nil"/>
              <w:bottom w:val="nil"/>
              <w:right w:val="nil"/>
            </w:tcBorders>
          </w:tcPr>
          <w:p w14:paraId="61F62C7A"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065D33">
              <w:rPr>
                <w:rFonts w:asciiTheme="majorHAnsi" w:hAnsiTheme="majorHAnsi" w:cs="Times New Roman"/>
                <w:lang w:val="en-US"/>
              </w:rPr>
              <w:t>Model (3)</w:t>
            </w:r>
          </w:p>
        </w:tc>
        <w:tc>
          <w:tcPr>
            <w:tcW w:w="410" w:type="dxa"/>
            <w:tcBorders>
              <w:top w:val="single" w:sz="6" w:space="0" w:color="auto"/>
              <w:left w:val="nil"/>
              <w:right w:val="nil"/>
            </w:tcBorders>
          </w:tcPr>
          <w:p w14:paraId="3C152308"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p>
        </w:tc>
        <w:tc>
          <w:tcPr>
            <w:tcW w:w="2849" w:type="dxa"/>
            <w:gridSpan w:val="2"/>
            <w:tcBorders>
              <w:top w:val="single" w:sz="6" w:space="0" w:color="auto"/>
              <w:left w:val="nil"/>
              <w:bottom w:val="nil"/>
              <w:right w:val="nil"/>
            </w:tcBorders>
          </w:tcPr>
          <w:p w14:paraId="11EDB42A"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065D33">
              <w:rPr>
                <w:rFonts w:asciiTheme="majorHAnsi" w:hAnsiTheme="majorHAnsi" w:cs="Times New Roman"/>
                <w:lang w:val="en-US"/>
              </w:rPr>
              <w:t>Model (4)</w:t>
            </w:r>
          </w:p>
        </w:tc>
      </w:tr>
      <w:tr w:rsidR="008A5C7B" w:rsidRPr="00065D33" w14:paraId="4023C738" w14:textId="77777777" w:rsidTr="000A49F9">
        <w:tc>
          <w:tcPr>
            <w:tcW w:w="4964" w:type="dxa"/>
            <w:tcBorders>
              <w:left w:val="nil"/>
              <w:bottom w:val="single" w:sz="6" w:space="0" w:color="auto"/>
              <w:right w:val="nil"/>
            </w:tcBorders>
          </w:tcPr>
          <w:p w14:paraId="20523795" w14:textId="77777777" w:rsidR="008A5C7B" w:rsidRPr="00065D33" w:rsidRDefault="008A5C7B" w:rsidP="000A49F9">
            <w:pPr>
              <w:widowControl w:val="0"/>
              <w:autoSpaceDE w:val="0"/>
              <w:autoSpaceDN w:val="0"/>
              <w:adjustRightInd w:val="0"/>
              <w:spacing w:before="79" w:after="79" w:line="240" w:lineRule="auto"/>
              <w:rPr>
                <w:rFonts w:asciiTheme="majorHAnsi" w:hAnsiTheme="majorHAnsi" w:cs="Times New Roman"/>
                <w:lang w:val="en-US"/>
              </w:rPr>
            </w:pPr>
          </w:p>
        </w:tc>
        <w:tc>
          <w:tcPr>
            <w:tcW w:w="1418" w:type="dxa"/>
            <w:tcBorders>
              <w:top w:val="single" w:sz="6" w:space="0" w:color="auto"/>
              <w:left w:val="nil"/>
              <w:bottom w:val="single" w:sz="6" w:space="0" w:color="auto"/>
              <w:right w:val="nil"/>
            </w:tcBorders>
          </w:tcPr>
          <w:p w14:paraId="0D2B1C29"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065D33">
              <w:rPr>
                <w:rFonts w:asciiTheme="majorHAnsi" w:hAnsiTheme="majorHAnsi" w:cs="Times New Roman"/>
                <w:lang w:val="en-US"/>
              </w:rPr>
              <w:t>(2A)</w:t>
            </w:r>
          </w:p>
        </w:tc>
        <w:tc>
          <w:tcPr>
            <w:tcW w:w="1417" w:type="dxa"/>
            <w:tcBorders>
              <w:top w:val="single" w:sz="6" w:space="0" w:color="auto"/>
              <w:left w:val="nil"/>
              <w:bottom w:val="single" w:sz="6" w:space="0" w:color="auto"/>
              <w:right w:val="nil"/>
            </w:tcBorders>
          </w:tcPr>
          <w:p w14:paraId="49E3F9E1"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065D33">
              <w:rPr>
                <w:rFonts w:asciiTheme="majorHAnsi" w:hAnsiTheme="majorHAnsi" w:cs="Times New Roman"/>
                <w:lang w:val="en-US"/>
              </w:rPr>
              <w:t>(2B)</w:t>
            </w:r>
          </w:p>
        </w:tc>
        <w:tc>
          <w:tcPr>
            <w:tcW w:w="331" w:type="dxa"/>
            <w:tcBorders>
              <w:left w:val="nil"/>
              <w:bottom w:val="single" w:sz="6" w:space="0" w:color="auto"/>
              <w:right w:val="nil"/>
            </w:tcBorders>
          </w:tcPr>
          <w:p w14:paraId="49F6144A"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p>
        </w:tc>
        <w:tc>
          <w:tcPr>
            <w:tcW w:w="1512" w:type="dxa"/>
            <w:tcBorders>
              <w:top w:val="single" w:sz="6" w:space="0" w:color="auto"/>
              <w:left w:val="nil"/>
              <w:bottom w:val="single" w:sz="6" w:space="0" w:color="auto"/>
              <w:right w:val="nil"/>
            </w:tcBorders>
          </w:tcPr>
          <w:p w14:paraId="007535C6"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065D33">
              <w:rPr>
                <w:rFonts w:asciiTheme="majorHAnsi" w:hAnsiTheme="majorHAnsi" w:cs="Times New Roman"/>
                <w:lang w:val="en-US"/>
              </w:rPr>
              <w:t>(3A)</w:t>
            </w:r>
          </w:p>
        </w:tc>
        <w:tc>
          <w:tcPr>
            <w:tcW w:w="1418" w:type="dxa"/>
            <w:tcBorders>
              <w:top w:val="single" w:sz="6" w:space="0" w:color="auto"/>
              <w:left w:val="nil"/>
              <w:bottom w:val="single" w:sz="6" w:space="0" w:color="auto"/>
              <w:right w:val="nil"/>
            </w:tcBorders>
          </w:tcPr>
          <w:p w14:paraId="2B9CAD12"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065D33">
              <w:rPr>
                <w:rFonts w:asciiTheme="majorHAnsi" w:hAnsiTheme="majorHAnsi" w:cs="Times New Roman"/>
                <w:lang w:val="en-US"/>
              </w:rPr>
              <w:t>(3B)</w:t>
            </w:r>
          </w:p>
        </w:tc>
        <w:tc>
          <w:tcPr>
            <w:tcW w:w="410" w:type="dxa"/>
            <w:tcBorders>
              <w:left w:val="nil"/>
              <w:bottom w:val="single" w:sz="6" w:space="0" w:color="auto"/>
              <w:right w:val="nil"/>
            </w:tcBorders>
          </w:tcPr>
          <w:p w14:paraId="34A85199"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p>
        </w:tc>
        <w:tc>
          <w:tcPr>
            <w:tcW w:w="1432" w:type="dxa"/>
            <w:tcBorders>
              <w:top w:val="single" w:sz="6" w:space="0" w:color="auto"/>
              <w:left w:val="nil"/>
              <w:bottom w:val="single" w:sz="6" w:space="0" w:color="auto"/>
              <w:right w:val="nil"/>
            </w:tcBorders>
          </w:tcPr>
          <w:p w14:paraId="384F398E"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065D33">
              <w:rPr>
                <w:rFonts w:asciiTheme="majorHAnsi" w:hAnsiTheme="majorHAnsi" w:cs="Times New Roman"/>
                <w:lang w:val="en-US"/>
              </w:rPr>
              <w:t>(4A)</w:t>
            </w:r>
          </w:p>
        </w:tc>
        <w:tc>
          <w:tcPr>
            <w:tcW w:w="1417" w:type="dxa"/>
            <w:tcBorders>
              <w:top w:val="single" w:sz="6" w:space="0" w:color="auto"/>
              <w:left w:val="nil"/>
              <w:bottom w:val="single" w:sz="6" w:space="0" w:color="auto"/>
              <w:right w:val="nil"/>
            </w:tcBorders>
          </w:tcPr>
          <w:p w14:paraId="525FCC0C" w14:textId="77777777" w:rsidR="008A5C7B" w:rsidRPr="00065D33" w:rsidRDefault="008A5C7B" w:rsidP="000A49F9">
            <w:pPr>
              <w:widowControl w:val="0"/>
              <w:autoSpaceDE w:val="0"/>
              <w:autoSpaceDN w:val="0"/>
              <w:adjustRightInd w:val="0"/>
              <w:spacing w:before="79" w:after="79" w:line="240" w:lineRule="auto"/>
              <w:jc w:val="center"/>
              <w:rPr>
                <w:rFonts w:asciiTheme="majorHAnsi" w:hAnsiTheme="majorHAnsi" w:cs="Times New Roman"/>
                <w:lang w:val="en-US"/>
              </w:rPr>
            </w:pPr>
            <w:r w:rsidRPr="00065D33">
              <w:rPr>
                <w:rFonts w:asciiTheme="majorHAnsi" w:hAnsiTheme="majorHAnsi" w:cs="Times New Roman"/>
                <w:lang w:val="en-US"/>
              </w:rPr>
              <w:t>(4B)</w:t>
            </w:r>
          </w:p>
        </w:tc>
      </w:tr>
      <w:tr w:rsidR="008A5C7B" w:rsidRPr="00065D33" w14:paraId="225CA62B" w14:textId="77777777" w:rsidTr="000A49F9">
        <w:tc>
          <w:tcPr>
            <w:tcW w:w="4964" w:type="dxa"/>
            <w:tcBorders>
              <w:top w:val="single" w:sz="6" w:space="0" w:color="auto"/>
              <w:left w:val="nil"/>
              <w:right w:val="nil"/>
            </w:tcBorders>
          </w:tcPr>
          <w:p w14:paraId="379E8789"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Knowledge about food ingredients</w:t>
            </w:r>
          </w:p>
        </w:tc>
        <w:tc>
          <w:tcPr>
            <w:tcW w:w="1418" w:type="dxa"/>
            <w:tcBorders>
              <w:top w:val="single" w:sz="6" w:space="0" w:color="auto"/>
              <w:left w:val="nil"/>
              <w:right w:val="nil"/>
            </w:tcBorders>
          </w:tcPr>
          <w:p w14:paraId="57C2649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0.41*</w:t>
            </w:r>
          </w:p>
        </w:tc>
        <w:tc>
          <w:tcPr>
            <w:tcW w:w="1417" w:type="dxa"/>
            <w:tcBorders>
              <w:top w:val="single" w:sz="6" w:space="0" w:color="auto"/>
              <w:left w:val="nil"/>
              <w:right w:val="nil"/>
            </w:tcBorders>
          </w:tcPr>
          <w:p w14:paraId="5799DC2E"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w:t>
            </w:r>
            <w:r>
              <w:rPr>
                <w:rFonts w:asciiTheme="majorHAnsi" w:hAnsiTheme="majorHAnsi" w:cs="Times New Roman"/>
                <w:lang w:val="en-US"/>
              </w:rPr>
              <w:t>2</w:t>
            </w:r>
          </w:p>
        </w:tc>
        <w:tc>
          <w:tcPr>
            <w:tcW w:w="331" w:type="dxa"/>
            <w:tcBorders>
              <w:top w:val="single" w:sz="6" w:space="0" w:color="auto"/>
              <w:left w:val="nil"/>
              <w:right w:val="nil"/>
            </w:tcBorders>
          </w:tcPr>
          <w:p w14:paraId="44A0BD0F"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single" w:sz="6" w:space="0" w:color="auto"/>
              <w:left w:val="nil"/>
              <w:right w:val="nil"/>
            </w:tcBorders>
          </w:tcPr>
          <w:p w14:paraId="6581B4F3"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8" w:type="dxa"/>
            <w:tcBorders>
              <w:top w:val="single" w:sz="6" w:space="0" w:color="auto"/>
              <w:left w:val="nil"/>
              <w:right w:val="nil"/>
            </w:tcBorders>
          </w:tcPr>
          <w:p w14:paraId="3C07B993"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410" w:type="dxa"/>
            <w:tcBorders>
              <w:top w:val="single" w:sz="6" w:space="0" w:color="auto"/>
              <w:left w:val="nil"/>
              <w:right w:val="nil"/>
            </w:tcBorders>
          </w:tcPr>
          <w:p w14:paraId="0F671A71"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single" w:sz="6" w:space="0" w:color="auto"/>
              <w:left w:val="nil"/>
              <w:right w:val="nil"/>
            </w:tcBorders>
          </w:tcPr>
          <w:p w14:paraId="016E12F5"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17" w:type="dxa"/>
            <w:tcBorders>
              <w:top w:val="single" w:sz="6" w:space="0" w:color="auto"/>
              <w:left w:val="nil"/>
              <w:right w:val="nil"/>
            </w:tcBorders>
          </w:tcPr>
          <w:p w14:paraId="76D9F36D"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r>
      <w:tr w:rsidR="008A5C7B" w:rsidRPr="00065D33" w14:paraId="3879A8E6" w14:textId="77777777" w:rsidTr="000A49F9">
        <w:tc>
          <w:tcPr>
            <w:tcW w:w="4964" w:type="dxa"/>
            <w:tcBorders>
              <w:left w:val="nil"/>
              <w:right w:val="nil"/>
            </w:tcBorders>
          </w:tcPr>
          <w:p w14:paraId="575F9184"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left w:val="nil"/>
              <w:right w:val="nil"/>
            </w:tcBorders>
          </w:tcPr>
          <w:p w14:paraId="085E634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(0.22)</w:t>
            </w:r>
          </w:p>
        </w:tc>
        <w:tc>
          <w:tcPr>
            <w:tcW w:w="1417" w:type="dxa"/>
            <w:tcBorders>
              <w:left w:val="nil"/>
              <w:right w:val="nil"/>
            </w:tcBorders>
          </w:tcPr>
          <w:p w14:paraId="2812501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(0.22)</w:t>
            </w:r>
          </w:p>
        </w:tc>
        <w:tc>
          <w:tcPr>
            <w:tcW w:w="331" w:type="dxa"/>
            <w:tcBorders>
              <w:left w:val="nil"/>
              <w:right w:val="nil"/>
            </w:tcBorders>
          </w:tcPr>
          <w:p w14:paraId="61983569"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left w:val="nil"/>
              <w:right w:val="nil"/>
            </w:tcBorders>
          </w:tcPr>
          <w:p w14:paraId="2745E4E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8" w:type="dxa"/>
            <w:tcBorders>
              <w:left w:val="nil"/>
              <w:right w:val="nil"/>
            </w:tcBorders>
          </w:tcPr>
          <w:p w14:paraId="3F6BFB2A"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410" w:type="dxa"/>
            <w:tcBorders>
              <w:left w:val="nil"/>
              <w:right w:val="nil"/>
            </w:tcBorders>
          </w:tcPr>
          <w:p w14:paraId="2C8F5466"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left w:val="nil"/>
              <w:right w:val="nil"/>
            </w:tcBorders>
          </w:tcPr>
          <w:p w14:paraId="11A5943D"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17" w:type="dxa"/>
            <w:tcBorders>
              <w:left w:val="nil"/>
              <w:right w:val="nil"/>
            </w:tcBorders>
          </w:tcPr>
          <w:p w14:paraId="1834B111"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r>
      <w:tr w:rsidR="008A5C7B" w:rsidRPr="00065D33" w14:paraId="0C676B05" w14:textId="77777777" w:rsidTr="000A49F9">
        <w:tc>
          <w:tcPr>
            <w:tcW w:w="4964" w:type="dxa"/>
            <w:tcBorders>
              <w:left w:val="nil"/>
              <w:bottom w:val="nil"/>
              <w:right w:val="nil"/>
            </w:tcBorders>
          </w:tcPr>
          <w:p w14:paraId="2E516396"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Knowledge about dietary recommendations</w:t>
            </w:r>
          </w:p>
        </w:tc>
        <w:tc>
          <w:tcPr>
            <w:tcW w:w="1418" w:type="dxa"/>
            <w:tcBorders>
              <w:left w:val="nil"/>
              <w:bottom w:val="nil"/>
              <w:right w:val="nil"/>
            </w:tcBorders>
          </w:tcPr>
          <w:p w14:paraId="036637C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left w:val="nil"/>
              <w:bottom w:val="nil"/>
              <w:right w:val="nil"/>
            </w:tcBorders>
          </w:tcPr>
          <w:p w14:paraId="03768F4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331" w:type="dxa"/>
            <w:tcBorders>
              <w:left w:val="nil"/>
              <w:bottom w:val="nil"/>
              <w:right w:val="nil"/>
            </w:tcBorders>
          </w:tcPr>
          <w:p w14:paraId="76647E25"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left w:val="nil"/>
              <w:bottom w:val="nil"/>
              <w:right w:val="nil"/>
            </w:tcBorders>
          </w:tcPr>
          <w:p w14:paraId="08485758"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0.42</w:t>
            </w:r>
          </w:p>
        </w:tc>
        <w:tc>
          <w:tcPr>
            <w:tcW w:w="1418" w:type="dxa"/>
            <w:tcBorders>
              <w:left w:val="nil"/>
              <w:bottom w:val="nil"/>
              <w:right w:val="nil"/>
            </w:tcBorders>
          </w:tcPr>
          <w:p w14:paraId="5A4B6ED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w:t>
            </w:r>
            <w:r>
              <w:rPr>
                <w:rFonts w:asciiTheme="majorHAnsi" w:hAnsiTheme="majorHAnsi" w:cs="Times New Roman"/>
                <w:lang w:val="en-US"/>
              </w:rPr>
              <w:t>7</w:t>
            </w:r>
          </w:p>
        </w:tc>
        <w:tc>
          <w:tcPr>
            <w:tcW w:w="410" w:type="dxa"/>
            <w:tcBorders>
              <w:left w:val="nil"/>
              <w:bottom w:val="nil"/>
              <w:right w:val="nil"/>
            </w:tcBorders>
          </w:tcPr>
          <w:p w14:paraId="1AE8C7FD"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left w:val="nil"/>
              <w:bottom w:val="nil"/>
              <w:right w:val="nil"/>
            </w:tcBorders>
          </w:tcPr>
          <w:p w14:paraId="6F4CF51F"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17" w:type="dxa"/>
            <w:tcBorders>
              <w:left w:val="nil"/>
              <w:bottom w:val="nil"/>
              <w:right w:val="nil"/>
            </w:tcBorders>
          </w:tcPr>
          <w:p w14:paraId="766499A6"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r>
      <w:tr w:rsidR="008A5C7B" w:rsidRPr="00065D33" w14:paraId="0E9402C7" w14:textId="77777777" w:rsidTr="000A49F9">
        <w:tc>
          <w:tcPr>
            <w:tcW w:w="4964" w:type="dxa"/>
            <w:tcBorders>
              <w:left w:val="nil"/>
              <w:bottom w:val="nil"/>
              <w:right w:val="nil"/>
            </w:tcBorders>
          </w:tcPr>
          <w:p w14:paraId="76816013"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left w:val="nil"/>
              <w:bottom w:val="nil"/>
              <w:right w:val="nil"/>
            </w:tcBorders>
          </w:tcPr>
          <w:p w14:paraId="5C4FC11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left w:val="nil"/>
              <w:bottom w:val="nil"/>
              <w:right w:val="nil"/>
            </w:tcBorders>
          </w:tcPr>
          <w:p w14:paraId="7AB0A4A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331" w:type="dxa"/>
            <w:tcBorders>
              <w:left w:val="nil"/>
              <w:bottom w:val="nil"/>
              <w:right w:val="nil"/>
            </w:tcBorders>
          </w:tcPr>
          <w:p w14:paraId="65A9145F"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left w:val="nil"/>
              <w:bottom w:val="nil"/>
              <w:right w:val="nil"/>
            </w:tcBorders>
          </w:tcPr>
          <w:p w14:paraId="227F76D3"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(0.35)</w:t>
            </w:r>
          </w:p>
        </w:tc>
        <w:tc>
          <w:tcPr>
            <w:tcW w:w="1418" w:type="dxa"/>
            <w:tcBorders>
              <w:left w:val="nil"/>
              <w:bottom w:val="nil"/>
              <w:right w:val="nil"/>
            </w:tcBorders>
          </w:tcPr>
          <w:p w14:paraId="0EFE4F3A"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(0.34)</w:t>
            </w:r>
          </w:p>
        </w:tc>
        <w:tc>
          <w:tcPr>
            <w:tcW w:w="410" w:type="dxa"/>
            <w:tcBorders>
              <w:left w:val="nil"/>
              <w:bottom w:val="nil"/>
              <w:right w:val="nil"/>
            </w:tcBorders>
          </w:tcPr>
          <w:p w14:paraId="4D321DFD"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left w:val="nil"/>
              <w:bottom w:val="nil"/>
              <w:right w:val="nil"/>
            </w:tcBorders>
          </w:tcPr>
          <w:p w14:paraId="16B55C69"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17" w:type="dxa"/>
            <w:tcBorders>
              <w:left w:val="nil"/>
              <w:bottom w:val="nil"/>
              <w:right w:val="nil"/>
            </w:tcBorders>
          </w:tcPr>
          <w:p w14:paraId="46A6F865"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r>
      <w:tr w:rsidR="008A5C7B" w:rsidRPr="00065D33" w14:paraId="00282852" w14:textId="77777777" w:rsidTr="000A49F9">
        <w:tc>
          <w:tcPr>
            <w:tcW w:w="4964" w:type="dxa"/>
            <w:tcBorders>
              <w:left w:val="nil"/>
              <w:bottom w:val="nil"/>
              <w:right w:val="nil"/>
            </w:tcBorders>
          </w:tcPr>
          <w:p w14:paraId="5F3B35BA"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Knowledge about health consequences</w:t>
            </w:r>
          </w:p>
        </w:tc>
        <w:tc>
          <w:tcPr>
            <w:tcW w:w="1418" w:type="dxa"/>
            <w:tcBorders>
              <w:left w:val="nil"/>
              <w:bottom w:val="nil"/>
              <w:right w:val="nil"/>
            </w:tcBorders>
          </w:tcPr>
          <w:p w14:paraId="7D890B9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left w:val="nil"/>
              <w:bottom w:val="nil"/>
              <w:right w:val="nil"/>
            </w:tcBorders>
          </w:tcPr>
          <w:p w14:paraId="0D8DA23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331" w:type="dxa"/>
            <w:tcBorders>
              <w:left w:val="nil"/>
              <w:bottom w:val="nil"/>
              <w:right w:val="nil"/>
            </w:tcBorders>
          </w:tcPr>
          <w:p w14:paraId="0D94675B"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left w:val="nil"/>
              <w:bottom w:val="nil"/>
              <w:right w:val="nil"/>
            </w:tcBorders>
          </w:tcPr>
          <w:p w14:paraId="114DC5F5"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8" w:type="dxa"/>
            <w:tcBorders>
              <w:left w:val="nil"/>
              <w:bottom w:val="nil"/>
              <w:right w:val="nil"/>
            </w:tcBorders>
          </w:tcPr>
          <w:p w14:paraId="6FB00ECF"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410" w:type="dxa"/>
            <w:tcBorders>
              <w:left w:val="nil"/>
              <w:bottom w:val="nil"/>
              <w:right w:val="nil"/>
            </w:tcBorders>
          </w:tcPr>
          <w:p w14:paraId="50350DFD"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left w:val="nil"/>
              <w:bottom w:val="nil"/>
              <w:right w:val="nil"/>
            </w:tcBorders>
          </w:tcPr>
          <w:p w14:paraId="1E66873E"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0.54***</w:t>
            </w:r>
          </w:p>
        </w:tc>
        <w:tc>
          <w:tcPr>
            <w:tcW w:w="1417" w:type="dxa"/>
            <w:tcBorders>
              <w:left w:val="nil"/>
              <w:bottom w:val="nil"/>
              <w:right w:val="nil"/>
            </w:tcBorders>
          </w:tcPr>
          <w:p w14:paraId="5E5F115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w:t>
            </w:r>
            <w:r>
              <w:rPr>
                <w:rFonts w:asciiTheme="majorHAnsi" w:hAnsiTheme="majorHAnsi" w:cs="Times New Roman"/>
                <w:lang w:val="en-US"/>
              </w:rPr>
              <w:t>5</w:t>
            </w:r>
            <w:r w:rsidRPr="00065D33">
              <w:rPr>
                <w:rFonts w:asciiTheme="majorHAnsi" w:hAnsiTheme="majorHAnsi" w:cs="Times New Roman"/>
                <w:lang w:val="en-US"/>
              </w:rPr>
              <w:t>*</w:t>
            </w:r>
          </w:p>
        </w:tc>
      </w:tr>
      <w:tr w:rsidR="008A5C7B" w:rsidRPr="00065D33" w14:paraId="1225D3CE" w14:textId="77777777" w:rsidTr="000A49F9">
        <w:tc>
          <w:tcPr>
            <w:tcW w:w="4964" w:type="dxa"/>
            <w:tcBorders>
              <w:left w:val="nil"/>
              <w:bottom w:val="nil"/>
              <w:right w:val="nil"/>
            </w:tcBorders>
          </w:tcPr>
          <w:p w14:paraId="1F9F87BD"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left w:val="nil"/>
              <w:bottom w:val="nil"/>
              <w:right w:val="nil"/>
            </w:tcBorders>
          </w:tcPr>
          <w:p w14:paraId="46272F1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left w:val="nil"/>
              <w:bottom w:val="nil"/>
              <w:right w:val="nil"/>
            </w:tcBorders>
          </w:tcPr>
          <w:p w14:paraId="6847180A"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331" w:type="dxa"/>
            <w:tcBorders>
              <w:left w:val="nil"/>
              <w:bottom w:val="nil"/>
              <w:right w:val="nil"/>
            </w:tcBorders>
          </w:tcPr>
          <w:p w14:paraId="0A7233CB"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left w:val="nil"/>
              <w:bottom w:val="nil"/>
              <w:right w:val="nil"/>
            </w:tcBorders>
          </w:tcPr>
          <w:p w14:paraId="5A39A565"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8" w:type="dxa"/>
            <w:tcBorders>
              <w:left w:val="nil"/>
              <w:bottom w:val="nil"/>
              <w:right w:val="nil"/>
            </w:tcBorders>
          </w:tcPr>
          <w:p w14:paraId="708B0BCC"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410" w:type="dxa"/>
            <w:tcBorders>
              <w:left w:val="nil"/>
              <w:bottom w:val="nil"/>
              <w:right w:val="nil"/>
            </w:tcBorders>
          </w:tcPr>
          <w:p w14:paraId="215097D5"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left w:val="nil"/>
              <w:bottom w:val="nil"/>
              <w:right w:val="nil"/>
            </w:tcBorders>
          </w:tcPr>
          <w:p w14:paraId="2BDD907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(0.20)</w:t>
            </w:r>
          </w:p>
        </w:tc>
        <w:tc>
          <w:tcPr>
            <w:tcW w:w="1417" w:type="dxa"/>
            <w:tcBorders>
              <w:left w:val="nil"/>
              <w:bottom w:val="nil"/>
              <w:right w:val="nil"/>
            </w:tcBorders>
          </w:tcPr>
          <w:p w14:paraId="6DFCB12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(0.20)</w:t>
            </w:r>
          </w:p>
        </w:tc>
      </w:tr>
      <w:tr w:rsidR="008A5C7B" w:rsidRPr="00065D33" w14:paraId="4F2ED5F1" w14:textId="77777777" w:rsidTr="000A49F9">
        <w:tc>
          <w:tcPr>
            <w:tcW w:w="4964" w:type="dxa"/>
            <w:tcBorders>
              <w:left w:val="nil"/>
              <w:bottom w:val="nil"/>
              <w:right w:val="nil"/>
            </w:tcBorders>
          </w:tcPr>
          <w:p w14:paraId="503B5230"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Age of child in months</w:t>
            </w:r>
          </w:p>
        </w:tc>
        <w:tc>
          <w:tcPr>
            <w:tcW w:w="1418" w:type="dxa"/>
            <w:tcBorders>
              <w:left w:val="nil"/>
              <w:bottom w:val="nil"/>
              <w:right w:val="nil"/>
            </w:tcBorders>
          </w:tcPr>
          <w:p w14:paraId="0ECCD8C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1417" w:type="dxa"/>
            <w:tcBorders>
              <w:left w:val="nil"/>
              <w:bottom w:val="nil"/>
              <w:right w:val="nil"/>
            </w:tcBorders>
          </w:tcPr>
          <w:p w14:paraId="63A5F06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331" w:type="dxa"/>
            <w:tcBorders>
              <w:left w:val="nil"/>
              <w:bottom w:val="nil"/>
              <w:right w:val="nil"/>
            </w:tcBorders>
          </w:tcPr>
          <w:p w14:paraId="7003DD7A"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left w:val="nil"/>
              <w:bottom w:val="nil"/>
              <w:right w:val="nil"/>
            </w:tcBorders>
          </w:tcPr>
          <w:p w14:paraId="5F54978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1418" w:type="dxa"/>
            <w:tcBorders>
              <w:left w:val="nil"/>
              <w:bottom w:val="nil"/>
              <w:right w:val="nil"/>
            </w:tcBorders>
          </w:tcPr>
          <w:p w14:paraId="4B45891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410" w:type="dxa"/>
            <w:tcBorders>
              <w:left w:val="nil"/>
              <w:bottom w:val="nil"/>
              <w:right w:val="nil"/>
            </w:tcBorders>
          </w:tcPr>
          <w:p w14:paraId="45A8B435"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left w:val="nil"/>
              <w:bottom w:val="nil"/>
              <w:right w:val="nil"/>
            </w:tcBorders>
          </w:tcPr>
          <w:p w14:paraId="74163D5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1417" w:type="dxa"/>
            <w:tcBorders>
              <w:left w:val="nil"/>
              <w:bottom w:val="nil"/>
              <w:right w:val="nil"/>
            </w:tcBorders>
          </w:tcPr>
          <w:p w14:paraId="143BA4D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r>
      <w:tr w:rsidR="008A5C7B" w:rsidRPr="00065D33" w14:paraId="519D0252" w14:textId="77777777" w:rsidTr="000A49F9">
        <w:tc>
          <w:tcPr>
            <w:tcW w:w="4964" w:type="dxa"/>
            <w:tcBorders>
              <w:top w:val="nil"/>
              <w:left w:val="nil"/>
              <w:bottom w:val="nil"/>
              <w:right w:val="nil"/>
            </w:tcBorders>
          </w:tcPr>
          <w:p w14:paraId="52D26D98"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top w:val="nil"/>
              <w:left w:val="nil"/>
              <w:bottom w:val="nil"/>
              <w:right w:val="nil"/>
            </w:tcBorders>
          </w:tcPr>
          <w:p w14:paraId="6DC34166"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(0.00)</w:t>
            </w:r>
          </w:p>
        </w:tc>
        <w:tc>
          <w:tcPr>
            <w:tcW w:w="1417" w:type="dxa"/>
            <w:tcBorders>
              <w:top w:val="nil"/>
              <w:left w:val="nil"/>
              <w:bottom w:val="nil"/>
              <w:right w:val="nil"/>
            </w:tcBorders>
          </w:tcPr>
          <w:p w14:paraId="76B0D67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(0.00)</w:t>
            </w:r>
          </w:p>
        </w:tc>
        <w:tc>
          <w:tcPr>
            <w:tcW w:w="331" w:type="dxa"/>
            <w:tcBorders>
              <w:top w:val="nil"/>
              <w:left w:val="nil"/>
              <w:bottom w:val="nil"/>
              <w:right w:val="nil"/>
            </w:tcBorders>
          </w:tcPr>
          <w:p w14:paraId="791FBEEF"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51ECC9D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(0.00)</w:t>
            </w:r>
          </w:p>
        </w:tc>
        <w:tc>
          <w:tcPr>
            <w:tcW w:w="1418" w:type="dxa"/>
            <w:tcBorders>
              <w:top w:val="nil"/>
              <w:left w:val="nil"/>
              <w:bottom w:val="nil"/>
              <w:right w:val="nil"/>
            </w:tcBorders>
          </w:tcPr>
          <w:p w14:paraId="0408100E"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(0.00)</w:t>
            </w:r>
          </w:p>
        </w:tc>
        <w:tc>
          <w:tcPr>
            <w:tcW w:w="410" w:type="dxa"/>
            <w:tcBorders>
              <w:top w:val="nil"/>
              <w:left w:val="nil"/>
              <w:bottom w:val="nil"/>
              <w:right w:val="nil"/>
            </w:tcBorders>
          </w:tcPr>
          <w:p w14:paraId="445C9F7C"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305F2CF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(0.00)</w:t>
            </w:r>
          </w:p>
        </w:tc>
        <w:tc>
          <w:tcPr>
            <w:tcW w:w="1417" w:type="dxa"/>
            <w:tcBorders>
              <w:top w:val="nil"/>
              <w:left w:val="nil"/>
              <w:bottom w:val="nil"/>
              <w:right w:val="nil"/>
            </w:tcBorders>
          </w:tcPr>
          <w:p w14:paraId="4E4BEBA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(0.00)</w:t>
            </w:r>
          </w:p>
        </w:tc>
      </w:tr>
      <w:tr w:rsidR="008A5C7B" w:rsidRPr="00065D33" w14:paraId="3317F808" w14:textId="77777777" w:rsidTr="000A49F9">
        <w:tc>
          <w:tcPr>
            <w:tcW w:w="4964" w:type="dxa"/>
            <w:tcBorders>
              <w:top w:val="nil"/>
              <w:left w:val="nil"/>
              <w:bottom w:val="nil"/>
              <w:right w:val="nil"/>
            </w:tcBorders>
          </w:tcPr>
          <w:p w14:paraId="0F6EDFA8"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Sex of child (1=female)</w:t>
            </w:r>
          </w:p>
        </w:tc>
        <w:tc>
          <w:tcPr>
            <w:tcW w:w="1418" w:type="dxa"/>
            <w:tcBorders>
              <w:top w:val="nil"/>
              <w:left w:val="nil"/>
              <w:bottom w:val="nil"/>
              <w:right w:val="nil"/>
            </w:tcBorders>
          </w:tcPr>
          <w:p w14:paraId="2B86D7AB"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0.17</w:t>
            </w:r>
          </w:p>
        </w:tc>
        <w:tc>
          <w:tcPr>
            <w:tcW w:w="1417" w:type="dxa"/>
            <w:tcBorders>
              <w:top w:val="nil"/>
              <w:left w:val="nil"/>
              <w:bottom w:val="nil"/>
              <w:right w:val="nil"/>
            </w:tcBorders>
          </w:tcPr>
          <w:p w14:paraId="6F0C985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0.19*</w:t>
            </w:r>
          </w:p>
        </w:tc>
        <w:tc>
          <w:tcPr>
            <w:tcW w:w="331" w:type="dxa"/>
            <w:tcBorders>
              <w:top w:val="nil"/>
              <w:left w:val="nil"/>
              <w:bottom w:val="nil"/>
              <w:right w:val="nil"/>
            </w:tcBorders>
          </w:tcPr>
          <w:p w14:paraId="513CCD38"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2499BD2E"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0.15</w:t>
            </w:r>
          </w:p>
        </w:tc>
        <w:tc>
          <w:tcPr>
            <w:tcW w:w="1418" w:type="dxa"/>
            <w:tcBorders>
              <w:top w:val="nil"/>
              <w:left w:val="nil"/>
              <w:bottom w:val="nil"/>
              <w:right w:val="nil"/>
            </w:tcBorders>
          </w:tcPr>
          <w:p w14:paraId="38FB4D6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0.18*</w:t>
            </w:r>
          </w:p>
        </w:tc>
        <w:tc>
          <w:tcPr>
            <w:tcW w:w="410" w:type="dxa"/>
            <w:tcBorders>
              <w:top w:val="nil"/>
              <w:left w:val="nil"/>
              <w:bottom w:val="nil"/>
              <w:right w:val="nil"/>
            </w:tcBorders>
          </w:tcPr>
          <w:p w14:paraId="1BD52B08"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5BE097B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0.15</w:t>
            </w:r>
          </w:p>
        </w:tc>
        <w:tc>
          <w:tcPr>
            <w:tcW w:w="1417" w:type="dxa"/>
            <w:tcBorders>
              <w:top w:val="nil"/>
              <w:left w:val="nil"/>
              <w:bottom w:val="nil"/>
              <w:right w:val="nil"/>
            </w:tcBorders>
          </w:tcPr>
          <w:p w14:paraId="522A1296"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0.18*</w:t>
            </w:r>
          </w:p>
        </w:tc>
      </w:tr>
      <w:tr w:rsidR="008A5C7B" w:rsidRPr="00065D33" w14:paraId="44BC6BE2" w14:textId="77777777" w:rsidTr="000A49F9">
        <w:tc>
          <w:tcPr>
            <w:tcW w:w="4964" w:type="dxa"/>
            <w:tcBorders>
              <w:top w:val="nil"/>
              <w:left w:val="nil"/>
              <w:bottom w:val="nil"/>
              <w:right w:val="nil"/>
            </w:tcBorders>
          </w:tcPr>
          <w:p w14:paraId="39932831"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top w:val="nil"/>
              <w:left w:val="nil"/>
              <w:bottom w:val="nil"/>
              <w:right w:val="nil"/>
            </w:tcBorders>
          </w:tcPr>
          <w:p w14:paraId="5D79BF1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1417" w:type="dxa"/>
            <w:tcBorders>
              <w:top w:val="nil"/>
              <w:left w:val="nil"/>
              <w:bottom w:val="nil"/>
              <w:right w:val="nil"/>
            </w:tcBorders>
          </w:tcPr>
          <w:p w14:paraId="22A570D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331" w:type="dxa"/>
            <w:tcBorders>
              <w:top w:val="nil"/>
              <w:left w:val="nil"/>
              <w:bottom w:val="nil"/>
              <w:right w:val="nil"/>
            </w:tcBorders>
          </w:tcPr>
          <w:p w14:paraId="3FE594A8"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6584DA9A"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1418" w:type="dxa"/>
            <w:tcBorders>
              <w:top w:val="nil"/>
              <w:left w:val="nil"/>
              <w:bottom w:val="nil"/>
              <w:right w:val="nil"/>
            </w:tcBorders>
          </w:tcPr>
          <w:p w14:paraId="34C3438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410" w:type="dxa"/>
            <w:tcBorders>
              <w:top w:val="nil"/>
              <w:left w:val="nil"/>
              <w:bottom w:val="nil"/>
              <w:right w:val="nil"/>
            </w:tcBorders>
          </w:tcPr>
          <w:p w14:paraId="42025601"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6EAA3489"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1417" w:type="dxa"/>
            <w:tcBorders>
              <w:top w:val="nil"/>
              <w:left w:val="nil"/>
              <w:bottom w:val="nil"/>
              <w:right w:val="nil"/>
            </w:tcBorders>
          </w:tcPr>
          <w:p w14:paraId="12AE534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r>
      <w:tr w:rsidR="008A5C7B" w:rsidRPr="00065D33" w14:paraId="78AF3F84" w14:textId="77777777" w:rsidTr="000A49F9">
        <w:tc>
          <w:tcPr>
            <w:tcW w:w="4964" w:type="dxa"/>
            <w:tcBorders>
              <w:top w:val="nil"/>
              <w:left w:val="nil"/>
              <w:bottom w:val="nil"/>
              <w:right w:val="nil"/>
            </w:tcBorders>
          </w:tcPr>
          <w:p w14:paraId="0B838855"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Infection during past month (1/0)</w:t>
            </w:r>
          </w:p>
        </w:tc>
        <w:tc>
          <w:tcPr>
            <w:tcW w:w="1418" w:type="dxa"/>
            <w:tcBorders>
              <w:top w:val="nil"/>
              <w:left w:val="nil"/>
              <w:bottom w:val="nil"/>
              <w:right w:val="nil"/>
            </w:tcBorders>
          </w:tcPr>
          <w:p w14:paraId="5011E67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-0.34*</w:t>
            </w:r>
          </w:p>
        </w:tc>
        <w:tc>
          <w:tcPr>
            <w:tcW w:w="1417" w:type="dxa"/>
            <w:tcBorders>
              <w:top w:val="nil"/>
              <w:left w:val="nil"/>
              <w:bottom w:val="nil"/>
              <w:right w:val="nil"/>
            </w:tcBorders>
          </w:tcPr>
          <w:p w14:paraId="59C2546A"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w:t>
            </w:r>
            <w:r>
              <w:rPr>
                <w:rFonts w:asciiTheme="majorHAnsi" w:hAnsiTheme="majorHAnsi" w:cs="Times New Roman"/>
                <w:lang w:val="en-US"/>
              </w:rPr>
              <w:t>9</w:t>
            </w:r>
            <w:r w:rsidRPr="00065D33">
              <w:rPr>
                <w:rFonts w:asciiTheme="majorHAnsi" w:hAnsiTheme="majorHAnsi" w:cs="Times New Roman"/>
                <w:lang w:val="en-US"/>
              </w:rPr>
              <w:t>**</w:t>
            </w:r>
          </w:p>
        </w:tc>
        <w:tc>
          <w:tcPr>
            <w:tcW w:w="331" w:type="dxa"/>
            <w:tcBorders>
              <w:top w:val="nil"/>
              <w:left w:val="nil"/>
              <w:bottom w:val="nil"/>
              <w:right w:val="nil"/>
            </w:tcBorders>
          </w:tcPr>
          <w:p w14:paraId="0F2D5EC5"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5A99737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-0.34*</w:t>
            </w:r>
          </w:p>
        </w:tc>
        <w:tc>
          <w:tcPr>
            <w:tcW w:w="1418" w:type="dxa"/>
            <w:tcBorders>
              <w:top w:val="nil"/>
              <w:left w:val="nil"/>
              <w:bottom w:val="nil"/>
              <w:right w:val="nil"/>
            </w:tcBorders>
          </w:tcPr>
          <w:p w14:paraId="4BF0B75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w:t>
            </w:r>
            <w:r>
              <w:rPr>
                <w:rFonts w:asciiTheme="majorHAnsi" w:hAnsiTheme="majorHAnsi" w:cs="Times New Roman"/>
                <w:lang w:val="en-US"/>
              </w:rPr>
              <w:t>9</w:t>
            </w:r>
            <w:r w:rsidRPr="00065D33">
              <w:rPr>
                <w:rFonts w:asciiTheme="majorHAnsi" w:hAnsiTheme="majorHAnsi" w:cs="Times New Roman"/>
                <w:lang w:val="en-US"/>
              </w:rPr>
              <w:t>**</w:t>
            </w:r>
          </w:p>
        </w:tc>
        <w:tc>
          <w:tcPr>
            <w:tcW w:w="410" w:type="dxa"/>
            <w:tcBorders>
              <w:top w:val="nil"/>
              <w:left w:val="nil"/>
              <w:bottom w:val="nil"/>
              <w:right w:val="nil"/>
            </w:tcBorders>
          </w:tcPr>
          <w:p w14:paraId="6CB737A9"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4BDF362B"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-0.38*</w:t>
            </w:r>
          </w:p>
        </w:tc>
        <w:tc>
          <w:tcPr>
            <w:tcW w:w="1417" w:type="dxa"/>
            <w:tcBorders>
              <w:top w:val="nil"/>
              <w:left w:val="nil"/>
              <w:bottom w:val="nil"/>
              <w:right w:val="nil"/>
            </w:tcBorders>
          </w:tcPr>
          <w:p w14:paraId="4D2DFF7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-0.41**</w:t>
            </w:r>
          </w:p>
        </w:tc>
      </w:tr>
      <w:tr w:rsidR="008A5C7B" w:rsidRPr="00065D33" w14:paraId="0DDF0982" w14:textId="77777777" w:rsidTr="000A49F9">
        <w:tc>
          <w:tcPr>
            <w:tcW w:w="4964" w:type="dxa"/>
            <w:tcBorders>
              <w:top w:val="nil"/>
              <w:left w:val="nil"/>
              <w:bottom w:val="nil"/>
              <w:right w:val="nil"/>
            </w:tcBorders>
          </w:tcPr>
          <w:p w14:paraId="76249460"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top w:val="nil"/>
              <w:left w:val="nil"/>
              <w:bottom w:val="nil"/>
              <w:right w:val="nil"/>
            </w:tcBorders>
          </w:tcPr>
          <w:p w14:paraId="745D169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(0.20)</w:t>
            </w:r>
          </w:p>
        </w:tc>
        <w:tc>
          <w:tcPr>
            <w:tcW w:w="1417" w:type="dxa"/>
            <w:tcBorders>
              <w:top w:val="nil"/>
              <w:left w:val="nil"/>
              <w:bottom w:val="nil"/>
              <w:right w:val="nil"/>
            </w:tcBorders>
          </w:tcPr>
          <w:p w14:paraId="3238987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(0.18)</w:t>
            </w:r>
          </w:p>
        </w:tc>
        <w:tc>
          <w:tcPr>
            <w:tcW w:w="331" w:type="dxa"/>
            <w:tcBorders>
              <w:top w:val="nil"/>
              <w:left w:val="nil"/>
              <w:bottom w:val="nil"/>
              <w:right w:val="nil"/>
            </w:tcBorders>
          </w:tcPr>
          <w:p w14:paraId="403DDF94"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20B6FC25"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(0.19)</w:t>
            </w:r>
          </w:p>
        </w:tc>
        <w:tc>
          <w:tcPr>
            <w:tcW w:w="1418" w:type="dxa"/>
            <w:tcBorders>
              <w:top w:val="nil"/>
              <w:left w:val="nil"/>
              <w:bottom w:val="nil"/>
              <w:right w:val="nil"/>
            </w:tcBorders>
          </w:tcPr>
          <w:p w14:paraId="26F3E6F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(0.18)</w:t>
            </w:r>
          </w:p>
        </w:tc>
        <w:tc>
          <w:tcPr>
            <w:tcW w:w="410" w:type="dxa"/>
            <w:tcBorders>
              <w:top w:val="nil"/>
              <w:left w:val="nil"/>
              <w:bottom w:val="nil"/>
              <w:right w:val="nil"/>
            </w:tcBorders>
          </w:tcPr>
          <w:p w14:paraId="75EF7AAC"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7F42117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(0.20)</w:t>
            </w:r>
          </w:p>
        </w:tc>
        <w:tc>
          <w:tcPr>
            <w:tcW w:w="1417" w:type="dxa"/>
            <w:tcBorders>
              <w:top w:val="nil"/>
              <w:left w:val="nil"/>
              <w:bottom w:val="nil"/>
              <w:right w:val="nil"/>
            </w:tcBorders>
          </w:tcPr>
          <w:p w14:paraId="24A5F61A"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(0.19)</w:t>
            </w:r>
          </w:p>
        </w:tc>
      </w:tr>
      <w:tr w:rsidR="008A5C7B" w:rsidRPr="00065D33" w14:paraId="264E1566" w14:textId="77777777" w:rsidTr="000A49F9">
        <w:tc>
          <w:tcPr>
            <w:tcW w:w="4964" w:type="dxa"/>
            <w:tcBorders>
              <w:top w:val="nil"/>
              <w:left w:val="nil"/>
              <w:bottom w:val="nil"/>
              <w:right w:val="nil"/>
            </w:tcBorders>
          </w:tcPr>
          <w:p w14:paraId="407C6D55"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Sex of household head (1=female)</w:t>
            </w:r>
          </w:p>
        </w:tc>
        <w:tc>
          <w:tcPr>
            <w:tcW w:w="1418" w:type="dxa"/>
            <w:tcBorders>
              <w:top w:val="nil"/>
              <w:left w:val="nil"/>
              <w:bottom w:val="nil"/>
              <w:right w:val="nil"/>
            </w:tcBorders>
          </w:tcPr>
          <w:p w14:paraId="007B3D0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1417" w:type="dxa"/>
            <w:tcBorders>
              <w:top w:val="nil"/>
              <w:left w:val="nil"/>
              <w:bottom w:val="nil"/>
              <w:right w:val="nil"/>
            </w:tcBorders>
          </w:tcPr>
          <w:p w14:paraId="12E2208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w:t>
            </w:r>
            <w:r>
              <w:rPr>
                <w:rFonts w:asciiTheme="majorHAnsi" w:hAnsiTheme="majorHAnsi" w:cs="Times New Roman"/>
                <w:lang w:val="en-US"/>
              </w:rPr>
              <w:t>4</w:t>
            </w:r>
          </w:p>
        </w:tc>
        <w:tc>
          <w:tcPr>
            <w:tcW w:w="331" w:type="dxa"/>
            <w:tcBorders>
              <w:top w:val="nil"/>
              <w:left w:val="nil"/>
              <w:bottom w:val="nil"/>
              <w:right w:val="nil"/>
            </w:tcBorders>
          </w:tcPr>
          <w:p w14:paraId="08057CE3"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5594B9C9"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-0.13</w:t>
            </w:r>
          </w:p>
        </w:tc>
        <w:tc>
          <w:tcPr>
            <w:tcW w:w="1418" w:type="dxa"/>
            <w:tcBorders>
              <w:top w:val="nil"/>
              <w:left w:val="nil"/>
              <w:bottom w:val="nil"/>
              <w:right w:val="nil"/>
            </w:tcBorders>
          </w:tcPr>
          <w:p w14:paraId="45A847B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w:t>
            </w:r>
            <w:r>
              <w:rPr>
                <w:rFonts w:asciiTheme="majorHAnsi" w:hAnsiTheme="majorHAnsi" w:cs="Times New Roman"/>
                <w:lang w:val="en-US"/>
              </w:rPr>
              <w:t>5</w:t>
            </w:r>
          </w:p>
        </w:tc>
        <w:tc>
          <w:tcPr>
            <w:tcW w:w="410" w:type="dxa"/>
            <w:tcBorders>
              <w:top w:val="nil"/>
              <w:left w:val="nil"/>
              <w:bottom w:val="nil"/>
              <w:right w:val="nil"/>
            </w:tcBorders>
          </w:tcPr>
          <w:p w14:paraId="63D545F2"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07E953C5"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-0.09</w:t>
            </w:r>
          </w:p>
        </w:tc>
        <w:tc>
          <w:tcPr>
            <w:tcW w:w="1417" w:type="dxa"/>
            <w:tcBorders>
              <w:top w:val="nil"/>
              <w:left w:val="nil"/>
              <w:bottom w:val="nil"/>
              <w:right w:val="nil"/>
            </w:tcBorders>
          </w:tcPr>
          <w:p w14:paraId="1D3F73E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w:t>
            </w:r>
            <w:r>
              <w:rPr>
                <w:rFonts w:asciiTheme="majorHAnsi" w:hAnsiTheme="majorHAnsi" w:cs="Times New Roman"/>
                <w:lang w:val="en-US"/>
              </w:rPr>
              <w:t>3</w:t>
            </w:r>
          </w:p>
        </w:tc>
      </w:tr>
      <w:tr w:rsidR="008A5C7B" w:rsidRPr="00065D33" w14:paraId="1C0B3689" w14:textId="77777777" w:rsidTr="000A49F9">
        <w:tc>
          <w:tcPr>
            <w:tcW w:w="4964" w:type="dxa"/>
            <w:tcBorders>
              <w:top w:val="nil"/>
              <w:left w:val="nil"/>
              <w:bottom w:val="nil"/>
              <w:right w:val="nil"/>
            </w:tcBorders>
          </w:tcPr>
          <w:p w14:paraId="1C97B18A"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top w:val="nil"/>
              <w:left w:val="nil"/>
              <w:bottom w:val="nil"/>
              <w:right w:val="nil"/>
            </w:tcBorders>
          </w:tcPr>
          <w:p w14:paraId="0282B98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(0.12)</w:t>
            </w:r>
          </w:p>
        </w:tc>
        <w:tc>
          <w:tcPr>
            <w:tcW w:w="1417" w:type="dxa"/>
            <w:tcBorders>
              <w:top w:val="nil"/>
              <w:left w:val="nil"/>
              <w:bottom w:val="nil"/>
              <w:right w:val="nil"/>
            </w:tcBorders>
          </w:tcPr>
          <w:p w14:paraId="6C151576"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(0.12)</w:t>
            </w:r>
          </w:p>
        </w:tc>
        <w:tc>
          <w:tcPr>
            <w:tcW w:w="331" w:type="dxa"/>
            <w:tcBorders>
              <w:top w:val="nil"/>
              <w:left w:val="nil"/>
              <w:bottom w:val="nil"/>
              <w:right w:val="nil"/>
            </w:tcBorders>
          </w:tcPr>
          <w:p w14:paraId="7FE53565"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173E594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(0.12)</w:t>
            </w:r>
          </w:p>
        </w:tc>
        <w:tc>
          <w:tcPr>
            <w:tcW w:w="1418" w:type="dxa"/>
            <w:tcBorders>
              <w:top w:val="nil"/>
              <w:left w:val="nil"/>
              <w:bottom w:val="nil"/>
              <w:right w:val="nil"/>
            </w:tcBorders>
          </w:tcPr>
          <w:p w14:paraId="4DF2EC4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(0.12)</w:t>
            </w:r>
          </w:p>
        </w:tc>
        <w:tc>
          <w:tcPr>
            <w:tcW w:w="410" w:type="dxa"/>
            <w:tcBorders>
              <w:top w:val="nil"/>
              <w:left w:val="nil"/>
              <w:bottom w:val="nil"/>
              <w:right w:val="nil"/>
            </w:tcBorders>
          </w:tcPr>
          <w:p w14:paraId="7B603011"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3421042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(0.12)</w:t>
            </w:r>
          </w:p>
        </w:tc>
        <w:tc>
          <w:tcPr>
            <w:tcW w:w="1417" w:type="dxa"/>
            <w:tcBorders>
              <w:top w:val="nil"/>
              <w:left w:val="nil"/>
              <w:bottom w:val="nil"/>
              <w:right w:val="nil"/>
            </w:tcBorders>
          </w:tcPr>
          <w:p w14:paraId="71A9D988"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(0.12)</w:t>
            </w:r>
          </w:p>
        </w:tc>
      </w:tr>
      <w:tr w:rsidR="008A5C7B" w:rsidRPr="00065D33" w14:paraId="2E32ED22" w14:textId="77777777" w:rsidTr="000A49F9">
        <w:tc>
          <w:tcPr>
            <w:tcW w:w="4964" w:type="dxa"/>
            <w:tcBorders>
              <w:top w:val="nil"/>
              <w:left w:val="nil"/>
              <w:bottom w:val="nil"/>
              <w:right w:val="nil"/>
            </w:tcBorders>
          </w:tcPr>
          <w:p w14:paraId="7537F078"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Age of household head (years)</w:t>
            </w:r>
          </w:p>
        </w:tc>
        <w:tc>
          <w:tcPr>
            <w:tcW w:w="1418" w:type="dxa"/>
            <w:tcBorders>
              <w:top w:val="nil"/>
              <w:left w:val="nil"/>
              <w:bottom w:val="nil"/>
              <w:right w:val="nil"/>
            </w:tcBorders>
          </w:tcPr>
          <w:p w14:paraId="7E112F7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0.00</w:t>
            </w:r>
          </w:p>
        </w:tc>
        <w:tc>
          <w:tcPr>
            <w:tcW w:w="1417" w:type="dxa"/>
            <w:tcBorders>
              <w:top w:val="nil"/>
              <w:left w:val="nil"/>
              <w:bottom w:val="nil"/>
              <w:right w:val="nil"/>
            </w:tcBorders>
          </w:tcPr>
          <w:p w14:paraId="7456DC7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331" w:type="dxa"/>
            <w:tcBorders>
              <w:top w:val="nil"/>
              <w:left w:val="nil"/>
              <w:bottom w:val="nil"/>
              <w:right w:val="nil"/>
            </w:tcBorders>
          </w:tcPr>
          <w:p w14:paraId="4353D0C3"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017CB078"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0.00</w:t>
            </w:r>
          </w:p>
        </w:tc>
        <w:tc>
          <w:tcPr>
            <w:tcW w:w="1418" w:type="dxa"/>
            <w:tcBorders>
              <w:top w:val="nil"/>
              <w:left w:val="nil"/>
              <w:bottom w:val="nil"/>
              <w:right w:val="nil"/>
            </w:tcBorders>
          </w:tcPr>
          <w:p w14:paraId="278AA71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410" w:type="dxa"/>
            <w:tcBorders>
              <w:top w:val="nil"/>
              <w:left w:val="nil"/>
              <w:bottom w:val="nil"/>
              <w:right w:val="nil"/>
            </w:tcBorders>
          </w:tcPr>
          <w:p w14:paraId="0D38D961"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58F809C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0.00</w:t>
            </w:r>
          </w:p>
        </w:tc>
        <w:tc>
          <w:tcPr>
            <w:tcW w:w="1417" w:type="dxa"/>
            <w:tcBorders>
              <w:top w:val="nil"/>
              <w:left w:val="nil"/>
              <w:bottom w:val="nil"/>
              <w:right w:val="nil"/>
            </w:tcBorders>
          </w:tcPr>
          <w:p w14:paraId="3E9D28C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r>
      <w:tr w:rsidR="008A5C7B" w:rsidRPr="00065D33" w14:paraId="4B205EF2" w14:textId="77777777" w:rsidTr="000A49F9">
        <w:tc>
          <w:tcPr>
            <w:tcW w:w="4964" w:type="dxa"/>
            <w:tcBorders>
              <w:top w:val="nil"/>
              <w:left w:val="nil"/>
              <w:bottom w:val="nil"/>
              <w:right w:val="nil"/>
            </w:tcBorders>
          </w:tcPr>
          <w:p w14:paraId="72BFEEB7"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top w:val="nil"/>
              <w:left w:val="nil"/>
              <w:bottom w:val="nil"/>
              <w:right w:val="nil"/>
            </w:tcBorders>
          </w:tcPr>
          <w:p w14:paraId="4835D99E"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1417" w:type="dxa"/>
            <w:tcBorders>
              <w:top w:val="nil"/>
              <w:left w:val="nil"/>
              <w:bottom w:val="nil"/>
              <w:right w:val="nil"/>
            </w:tcBorders>
          </w:tcPr>
          <w:p w14:paraId="54EA54E5"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331" w:type="dxa"/>
            <w:tcBorders>
              <w:top w:val="nil"/>
              <w:left w:val="nil"/>
              <w:bottom w:val="nil"/>
              <w:right w:val="nil"/>
            </w:tcBorders>
          </w:tcPr>
          <w:p w14:paraId="3CC7AE82"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537E787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1418" w:type="dxa"/>
            <w:tcBorders>
              <w:top w:val="nil"/>
              <w:left w:val="nil"/>
              <w:bottom w:val="nil"/>
              <w:right w:val="nil"/>
            </w:tcBorders>
          </w:tcPr>
          <w:p w14:paraId="35E0FCE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410" w:type="dxa"/>
            <w:tcBorders>
              <w:top w:val="nil"/>
              <w:left w:val="nil"/>
              <w:bottom w:val="nil"/>
              <w:right w:val="nil"/>
            </w:tcBorders>
          </w:tcPr>
          <w:p w14:paraId="1353B557"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0D6088A6"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1417" w:type="dxa"/>
            <w:tcBorders>
              <w:top w:val="nil"/>
              <w:left w:val="nil"/>
              <w:bottom w:val="nil"/>
              <w:right w:val="nil"/>
            </w:tcBorders>
          </w:tcPr>
          <w:p w14:paraId="4B670B1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r>
      <w:tr w:rsidR="008A5C7B" w:rsidRPr="00065D33" w14:paraId="5BF05BFA" w14:textId="77777777" w:rsidTr="000A49F9">
        <w:tc>
          <w:tcPr>
            <w:tcW w:w="4964" w:type="dxa"/>
            <w:tcBorders>
              <w:top w:val="nil"/>
              <w:left w:val="nil"/>
              <w:bottom w:val="nil"/>
              <w:right w:val="nil"/>
            </w:tcBorders>
          </w:tcPr>
          <w:p w14:paraId="33E7469A"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Height of mother (cm)</w:t>
            </w:r>
          </w:p>
        </w:tc>
        <w:tc>
          <w:tcPr>
            <w:tcW w:w="1418" w:type="dxa"/>
            <w:tcBorders>
              <w:top w:val="nil"/>
              <w:left w:val="nil"/>
              <w:bottom w:val="nil"/>
              <w:right w:val="nil"/>
            </w:tcBorders>
          </w:tcPr>
          <w:p w14:paraId="4A8C4FD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0.05***</w:t>
            </w:r>
          </w:p>
        </w:tc>
        <w:tc>
          <w:tcPr>
            <w:tcW w:w="1417" w:type="dxa"/>
            <w:tcBorders>
              <w:top w:val="nil"/>
              <w:left w:val="nil"/>
              <w:bottom w:val="nil"/>
              <w:right w:val="nil"/>
            </w:tcBorders>
          </w:tcPr>
          <w:p w14:paraId="03E0F44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0.04***</w:t>
            </w:r>
          </w:p>
        </w:tc>
        <w:tc>
          <w:tcPr>
            <w:tcW w:w="331" w:type="dxa"/>
            <w:tcBorders>
              <w:top w:val="nil"/>
              <w:left w:val="nil"/>
              <w:bottom w:val="nil"/>
              <w:right w:val="nil"/>
            </w:tcBorders>
          </w:tcPr>
          <w:p w14:paraId="68073E13"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78E53E48"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0.05***</w:t>
            </w:r>
          </w:p>
        </w:tc>
        <w:tc>
          <w:tcPr>
            <w:tcW w:w="1418" w:type="dxa"/>
            <w:tcBorders>
              <w:top w:val="nil"/>
              <w:left w:val="nil"/>
              <w:bottom w:val="nil"/>
              <w:right w:val="nil"/>
            </w:tcBorders>
          </w:tcPr>
          <w:p w14:paraId="0D93592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0.04***</w:t>
            </w:r>
          </w:p>
        </w:tc>
        <w:tc>
          <w:tcPr>
            <w:tcW w:w="410" w:type="dxa"/>
            <w:tcBorders>
              <w:top w:val="nil"/>
              <w:left w:val="nil"/>
              <w:bottom w:val="nil"/>
              <w:right w:val="nil"/>
            </w:tcBorders>
          </w:tcPr>
          <w:p w14:paraId="68CEFBF6"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67A4F65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0.05***</w:t>
            </w:r>
          </w:p>
        </w:tc>
        <w:tc>
          <w:tcPr>
            <w:tcW w:w="1417" w:type="dxa"/>
            <w:tcBorders>
              <w:top w:val="nil"/>
              <w:left w:val="nil"/>
              <w:bottom w:val="nil"/>
              <w:right w:val="nil"/>
            </w:tcBorders>
          </w:tcPr>
          <w:p w14:paraId="3E8A551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0.04***</w:t>
            </w:r>
          </w:p>
        </w:tc>
      </w:tr>
      <w:tr w:rsidR="008A5C7B" w:rsidRPr="00065D33" w14:paraId="5CDBF69E" w14:textId="77777777" w:rsidTr="000A49F9">
        <w:tc>
          <w:tcPr>
            <w:tcW w:w="4964" w:type="dxa"/>
            <w:tcBorders>
              <w:top w:val="nil"/>
              <w:left w:val="nil"/>
              <w:bottom w:val="nil"/>
              <w:right w:val="nil"/>
            </w:tcBorders>
          </w:tcPr>
          <w:p w14:paraId="2F057E3B"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top w:val="nil"/>
              <w:left w:val="nil"/>
              <w:bottom w:val="nil"/>
              <w:right w:val="nil"/>
            </w:tcBorders>
          </w:tcPr>
          <w:p w14:paraId="00C8734E"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1417" w:type="dxa"/>
            <w:tcBorders>
              <w:top w:val="nil"/>
              <w:left w:val="nil"/>
              <w:bottom w:val="nil"/>
              <w:right w:val="nil"/>
            </w:tcBorders>
          </w:tcPr>
          <w:p w14:paraId="24FC30F5"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331" w:type="dxa"/>
            <w:tcBorders>
              <w:top w:val="nil"/>
              <w:left w:val="nil"/>
              <w:bottom w:val="nil"/>
              <w:right w:val="nil"/>
            </w:tcBorders>
          </w:tcPr>
          <w:p w14:paraId="79EEF4A1"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5F2BB0B8"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1418" w:type="dxa"/>
            <w:tcBorders>
              <w:top w:val="nil"/>
              <w:left w:val="nil"/>
              <w:bottom w:val="nil"/>
              <w:right w:val="nil"/>
            </w:tcBorders>
          </w:tcPr>
          <w:p w14:paraId="2A277E6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410" w:type="dxa"/>
            <w:tcBorders>
              <w:top w:val="nil"/>
              <w:left w:val="nil"/>
              <w:bottom w:val="nil"/>
              <w:right w:val="nil"/>
            </w:tcBorders>
          </w:tcPr>
          <w:p w14:paraId="4828FD0D"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6780A813"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c>
          <w:tcPr>
            <w:tcW w:w="1417" w:type="dxa"/>
            <w:tcBorders>
              <w:top w:val="nil"/>
              <w:left w:val="nil"/>
              <w:bottom w:val="nil"/>
              <w:right w:val="nil"/>
            </w:tcBorders>
          </w:tcPr>
          <w:p w14:paraId="4DBCBE43"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(0.01)</w:t>
            </w:r>
          </w:p>
        </w:tc>
      </w:tr>
      <w:tr w:rsidR="008A5C7B" w:rsidRPr="00065D33" w14:paraId="55CB65B8" w14:textId="77777777" w:rsidTr="000A49F9">
        <w:tc>
          <w:tcPr>
            <w:tcW w:w="4964" w:type="dxa"/>
            <w:tcBorders>
              <w:top w:val="nil"/>
              <w:left w:val="nil"/>
              <w:bottom w:val="nil"/>
              <w:right w:val="nil"/>
            </w:tcBorders>
          </w:tcPr>
          <w:p w14:paraId="7D90E2E9"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Year dummy (1=2015)</w:t>
            </w:r>
          </w:p>
        </w:tc>
        <w:tc>
          <w:tcPr>
            <w:tcW w:w="1418" w:type="dxa"/>
            <w:tcBorders>
              <w:top w:val="nil"/>
              <w:left w:val="nil"/>
              <w:bottom w:val="nil"/>
              <w:right w:val="nil"/>
            </w:tcBorders>
          </w:tcPr>
          <w:p w14:paraId="3A5E0AD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0.37***</w:t>
            </w:r>
          </w:p>
        </w:tc>
        <w:tc>
          <w:tcPr>
            <w:tcW w:w="1417" w:type="dxa"/>
            <w:tcBorders>
              <w:top w:val="nil"/>
              <w:left w:val="nil"/>
              <w:bottom w:val="nil"/>
              <w:right w:val="nil"/>
            </w:tcBorders>
          </w:tcPr>
          <w:p w14:paraId="44D2C03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w:t>
            </w:r>
            <w:r>
              <w:rPr>
                <w:rFonts w:asciiTheme="majorHAnsi" w:hAnsiTheme="majorHAnsi" w:cs="Times New Roman"/>
                <w:lang w:val="en-US"/>
              </w:rPr>
              <w:t>8</w:t>
            </w:r>
            <w:r w:rsidRPr="00065D33">
              <w:rPr>
                <w:rFonts w:asciiTheme="majorHAnsi" w:hAnsiTheme="majorHAnsi" w:cs="Times New Roman"/>
                <w:lang w:val="en-US"/>
              </w:rPr>
              <w:t>***</w:t>
            </w:r>
          </w:p>
        </w:tc>
        <w:tc>
          <w:tcPr>
            <w:tcW w:w="331" w:type="dxa"/>
            <w:tcBorders>
              <w:top w:val="nil"/>
              <w:left w:val="nil"/>
              <w:bottom w:val="nil"/>
              <w:right w:val="nil"/>
            </w:tcBorders>
          </w:tcPr>
          <w:p w14:paraId="64258760"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0EC755F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0.38***</w:t>
            </w:r>
          </w:p>
        </w:tc>
        <w:tc>
          <w:tcPr>
            <w:tcW w:w="1418" w:type="dxa"/>
            <w:tcBorders>
              <w:top w:val="nil"/>
              <w:left w:val="nil"/>
              <w:bottom w:val="nil"/>
              <w:right w:val="nil"/>
            </w:tcBorders>
          </w:tcPr>
          <w:p w14:paraId="10393095"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w:t>
            </w:r>
            <w:r>
              <w:rPr>
                <w:rFonts w:asciiTheme="majorHAnsi" w:hAnsiTheme="majorHAnsi" w:cs="Times New Roman"/>
                <w:lang w:val="en-US"/>
              </w:rPr>
              <w:t>8</w:t>
            </w:r>
            <w:r w:rsidRPr="00065D33">
              <w:rPr>
                <w:rFonts w:asciiTheme="majorHAnsi" w:hAnsiTheme="majorHAnsi" w:cs="Times New Roman"/>
                <w:lang w:val="en-US"/>
              </w:rPr>
              <w:t>***</w:t>
            </w:r>
          </w:p>
        </w:tc>
        <w:tc>
          <w:tcPr>
            <w:tcW w:w="410" w:type="dxa"/>
            <w:tcBorders>
              <w:top w:val="nil"/>
              <w:left w:val="nil"/>
              <w:bottom w:val="nil"/>
              <w:right w:val="nil"/>
            </w:tcBorders>
          </w:tcPr>
          <w:p w14:paraId="7D098DC8"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729120B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0.27**</w:t>
            </w:r>
          </w:p>
        </w:tc>
        <w:tc>
          <w:tcPr>
            <w:tcW w:w="1417" w:type="dxa"/>
            <w:tcBorders>
              <w:top w:val="nil"/>
              <w:left w:val="nil"/>
              <w:bottom w:val="nil"/>
              <w:right w:val="nil"/>
            </w:tcBorders>
          </w:tcPr>
          <w:p w14:paraId="44A05436"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0.3</w:t>
            </w:r>
            <w:r>
              <w:rPr>
                <w:rFonts w:asciiTheme="majorHAnsi" w:hAnsiTheme="majorHAnsi" w:cs="Times New Roman"/>
                <w:lang w:val="en-US"/>
              </w:rPr>
              <w:t>1</w:t>
            </w:r>
            <w:r w:rsidRPr="00065D33">
              <w:rPr>
                <w:rFonts w:asciiTheme="majorHAnsi" w:hAnsiTheme="majorHAnsi" w:cs="Times New Roman"/>
                <w:lang w:val="en-US"/>
              </w:rPr>
              <w:t>***</w:t>
            </w:r>
          </w:p>
        </w:tc>
      </w:tr>
      <w:tr w:rsidR="008A5C7B" w:rsidRPr="00065D33" w14:paraId="379E07D4" w14:textId="77777777" w:rsidTr="000A49F9">
        <w:tc>
          <w:tcPr>
            <w:tcW w:w="4964" w:type="dxa"/>
            <w:tcBorders>
              <w:top w:val="nil"/>
              <w:left w:val="nil"/>
              <w:bottom w:val="nil"/>
              <w:right w:val="nil"/>
            </w:tcBorders>
          </w:tcPr>
          <w:p w14:paraId="770A3655"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top w:val="nil"/>
              <w:left w:val="nil"/>
              <w:bottom w:val="nil"/>
              <w:right w:val="nil"/>
            </w:tcBorders>
          </w:tcPr>
          <w:p w14:paraId="5DD349B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1417" w:type="dxa"/>
            <w:tcBorders>
              <w:top w:val="nil"/>
              <w:left w:val="nil"/>
              <w:bottom w:val="nil"/>
              <w:right w:val="nil"/>
            </w:tcBorders>
          </w:tcPr>
          <w:p w14:paraId="0DBF246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331" w:type="dxa"/>
            <w:tcBorders>
              <w:top w:val="nil"/>
              <w:left w:val="nil"/>
              <w:bottom w:val="nil"/>
              <w:right w:val="nil"/>
            </w:tcBorders>
          </w:tcPr>
          <w:p w14:paraId="78E37A99"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49E325D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1418" w:type="dxa"/>
            <w:tcBorders>
              <w:top w:val="nil"/>
              <w:left w:val="nil"/>
              <w:bottom w:val="nil"/>
              <w:right w:val="nil"/>
            </w:tcBorders>
          </w:tcPr>
          <w:p w14:paraId="2A30408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410" w:type="dxa"/>
            <w:tcBorders>
              <w:top w:val="nil"/>
              <w:left w:val="nil"/>
              <w:bottom w:val="nil"/>
              <w:right w:val="nil"/>
            </w:tcBorders>
          </w:tcPr>
          <w:p w14:paraId="1827C865"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493F864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c>
          <w:tcPr>
            <w:tcW w:w="1417" w:type="dxa"/>
            <w:tcBorders>
              <w:top w:val="nil"/>
              <w:left w:val="nil"/>
              <w:bottom w:val="nil"/>
              <w:right w:val="nil"/>
            </w:tcBorders>
          </w:tcPr>
          <w:p w14:paraId="250E7B5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(0.11)</w:t>
            </w:r>
          </w:p>
        </w:tc>
      </w:tr>
      <w:tr w:rsidR="008A5C7B" w:rsidRPr="00065D33" w14:paraId="5A4E5C3B" w14:textId="77777777" w:rsidTr="000A49F9">
        <w:tc>
          <w:tcPr>
            <w:tcW w:w="4964" w:type="dxa"/>
            <w:tcBorders>
              <w:top w:val="nil"/>
              <w:left w:val="nil"/>
              <w:bottom w:val="nil"/>
              <w:right w:val="nil"/>
            </w:tcBorders>
          </w:tcPr>
          <w:p w14:paraId="449F2057"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F0530D">
              <w:rPr>
                <w:rFonts w:asciiTheme="majorHAnsi" w:hAnsiTheme="majorHAnsi" w:cs="Times New Roman"/>
                <w:lang w:val="en-US"/>
              </w:rPr>
              <w:t>Education of mother (schooling years)</w:t>
            </w:r>
          </w:p>
        </w:tc>
        <w:tc>
          <w:tcPr>
            <w:tcW w:w="1418" w:type="dxa"/>
            <w:tcBorders>
              <w:top w:val="nil"/>
              <w:left w:val="nil"/>
              <w:bottom w:val="nil"/>
              <w:right w:val="nil"/>
            </w:tcBorders>
          </w:tcPr>
          <w:p w14:paraId="27A878A8"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top w:val="nil"/>
              <w:left w:val="nil"/>
              <w:bottom w:val="nil"/>
              <w:right w:val="nil"/>
            </w:tcBorders>
          </w:tcPr>
          <w:p w14:paraId="052990B6"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B20814">
              <w:rPr>
                <w:rFonts w:asciiTheme="majorHAnsi" w:hAnsiTheme="majorHAnsi" w:cs="Times New Roman"/>
              </w:rPr>
              <w:t>0.01</w:t>
            </w:r>
          </w:p>
        </w:tc>
        <w:tc>
          <w:tcPr>
            <w:tcW w:w="331" w:type="dxa"/>
            <w:tcBorders>
              <w:top w:val="nil"/>
              <w:left w:val="nil"/>
              <w:bottom w:val="nil"/>
              <w:right w:val="nil"/>
            </w:tcBorders>
          </w:tcPr>
          <w:p w14:paraId="26A15B21"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1731BFA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8" w:type="dxa"/>
            <w:tcBorders>
              <w:top w:val="nil"/>
              <w:left w:val="nil"/>
              <w:bottom w:val="nil"/>
              <w:right w:val="nil"/>
            </w:tcBorders>
          </w:tcPr>
          <w:p w14:paraId="6A9157A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Pr>
                <w:rFonts w:ascii="Times New Roman" w:hAnsi="Times New Roman" w:cs="Times New Roman"/>
                <w:sz w:val="24"/>
                <w:szCs w:val="24"/>
              </w:rPr>
              <w:t>0.02</w:t>
            </w:r>
          </w:p>
        </w:tc>
        <w:tc>
          <w:tcPr>
            <w:tcW w:w="410" w:type="dxa"/>
            <w:tcBorders>
              <w:top w:val="nil"/>
              <w:left w:val="nil"/>
              <w:bottom w:val="nil"/>
              <w:right w:val="nil"/>
            </w:tcBorders>
          </w:tcPr>
          <w:p w14:paraId="64DBBB04"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5CA26823"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top w:val="nil"/>
              <w:left w:val="nil"/>
              <w:bottom w:val="nil"/>
              <w:right w:val="nil"/>
            </w:tcBorders>
          </w:tcPr>
          <w:p w14:paraId="5D81DED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Pr>
                <w:rFonts w:ascii="Times New Roman" w:hAnsi="Times New Roman" w:cs="Times New Roman"/>
                <w:sz w:val="24"/>
                <w:szCs w:val="24"/>
              </w:rPr>
              <w:t>0.01</w:t>
            </w:r>
          </w:p>
        </w:tc>
      </w:tr>
      <w:tr w:rsidR="008A5C7B" w:rsidRPr="00065D33" w14:paraId="67B5E393" w14:textId="77777777" w:rsidTr="000A49F9">
        <w:tc>
          <w:tcPr>
            <w:tcW w:w="4964" w:type="dxa"/>
            <w:tcBorders>
              <w:top w:val="nil"/>
              <w:left w:val="nil"/>
              <w:bottom w:val="nil"/>
              <w:right w:val="nil"/>
            </w:tcBorders>
          </w:tcPr>
          <w:p w14:paraId="0B352EE2"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top w:val="nil"/>
              <w:left w:val="nil"/>
              <w:bottom w:val="nil"/>
              <w:right w:val="nil"/>
            </w:tcBorders>
          </w:tcPr>
          <w:p w14:paraId="125459B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top w:val="nil"/>
              <w:left w:val="nil"/>
              <w:bottom w:val="nil"/>
              <w:right w:val="nil"/>
            </w:tcBorders>
          </w:tcPr>
          <w:p w14:paraId="49026B2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B20814">
              <w:rPr>
                <w:rFonts w:asciiTheme="majorHAnsi" w:hAnsiTheme="majorHAnsi" w:cs="Times New Roman"/>
              </w:rPr>
              <w:t>(0.02)</w:t>
            </w:r>
          </w:p>
        </w:tc>
        <w:tc>
          <w:tcPr>
            <w:tcW w:w="331" w:type="dxa"/>
            <w:tcBorders>
              <w:top w:val="nil"/>
              <w:left w:val="nil"/>
              <w:bottom w:val="nil"/>
              <w:right w:val="nil"/>
            </w:tcBorders>
          </w:tcPr>
          <w:p w14:paraId="7CD51D9D"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16DE129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8" w:type="dxa"/>
            <w:tcBorders>
              <w:top w:val="nil"/>
              <w:left w:val="nil"/>
              <w:bottom w:val="nil"/>
              <w:right w:val="nil"/>
            </w:tcBorders>
          </w:tcPr>
          <w:p w14:paraId="607AE1D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Pr>
                <w:rFonts w:ascii="Times New Roman" w:hAnsi="Times New Roman" w:cs="Times New Roman"/>
                <w:sz w:val="20"/>
                <w:szCs w:val="20"/>
              </w:rPr>
              <w:t>(0.02)</w:t>
            </w:r>
          </w:p>
        </w:tc>
        <w:tc>
          <w:tcPr>
            <w:tcW w:w="410" w:type="dxa"/>
            <w:tcBorders>
              <w:top w:val="nil"/>
              <w:left w:val="nil"/>
              <w:bottom w:val="nil"/>
              <w:right w:val="nil"/>
            </w:tcBorders>
          </w:tcPr>
          <w:p w14:paraId="65362861"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69B7EB13"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top w:val="nil"/>
              <w:left w:val="nil"/>
              <w:bottom w:val="nil"/>
              <w:right w:val="nil"/>
            </w:tcBorders>
          </w:tcPr>
          <w:p w14:paraId="4FC22FF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Pr>
                <w:rFonts w:ascii="Times New Roman" w:hAnsi="Times New Roman" w:cs="Times New Roman"/>
                <w:sz w:val="20"/>
                <w:szCs w:val="20"/>
              </w:rPr>
              <w:t>(0.02)</w:t>
            </w:r>
          </w:p>
        </w:tc>
      </w:tr>
      <w:tr w:rsidR="008A5C7B" w:rsidRPr="00065D33" w14:paraId="07A460AD" w14:textId="77777777" w:rsidTr="000A49F9">
        <w:tc>
          <w:tcPr>
            <w:tcW w:w="4964" w:type="dxa"/>
            <w:tcBorders>
              <w:top w:val="nil"/>
              <w:left w:val="nil"/>
              <w:bottom w:val="nil"/>
              <w:right w:val="nil"/>
            </w:tcBorders>
          </w:tcPr>
          <w:p w14:paraId="47E872FE"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Consumption expenditure</w:t>
            </w:r>
            <w:r>
              <w:rPr>
                <w:rFonts w:asciiTheme="majorHAnsi" w:hAnsiTheme="majorHAnsi" w:cs="Times New Roman"/>
                <w:lang w:val="en-US"/>
              </w:rPr>
              <w:t>s</w:t>
            </w:r>
            <w:r w:rsidRPr="00065D33">
              <w:rPr>
                <w:rFonts w:asciiTheme="majorHAnsi" w:hAnsiTheme="majorHAnsi" w:cs="Times New Roman"/>
                <w:lang w:val="en-US"/>
              </w:rPr>
              <w:t xml:space="preserve"> (log)</w:t>
            </w:r>
          </w:p>
        </w:tc>
        <w:tc>
          <w:tcPr>
            <w:tcW w:w="1418" w:type="dxa"/>
            <w:tcBorders>
              <w:top w:val="nil"/>
              <w:left w:val="nil"/>
              <w:bottom w:val="nil"/>
              <w:right w:val="nil"/>
            </w:tcBorders>
          </w:tcPr>
          <w:p w14:paraId="3B90460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top w:val="nil"/>
              <w:left w:val="nil"/>
              <w:bottom w:val="nil"/>
              <w:right w:val="nil"/>
            </w:tcBorders>
          </w:tcPr>
          <w:p w14:paraId="28DB4686"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0.4</w:t>
            </w:r>
            <w:r>
              <w:rPr>
                <w:rFonts w:asciiTheme="majorHAnsi" w:hAnsiTheme="majorHAnsi" w:cs="Times New Roman"/>
                <w:lang w:val="en-US"/>
              </w:rPr>
              <w:t>5</w:t>
            </w:r>
            <w:r w:rsidRPr="00065D33">
              <w:rPr>
                <w:rFonts w:asciiTheme="majorHAnsi" w:hAnsiTheme="majorHAnsi" w:cs="Times New Roman"/>
                <w:lang w:val="en-US"/>
              </w:rPr>
              <w:t>***</w:t>
            </w:r>
          </w:p>
        </w:tc>
        <w:tc>
          <w:tcPr>
            <w:tcW w:w="331" w:type="dxa"/>
            <w:tcBorders>
              <w:top w:val="nil"/>
              <w:left w:val="nil"/>
              <w:bottom w:val="nil"/>
              <w:right w:val="nil"/>
            </w:tcBorders>
          </w:tcPr>
          <w:p w14:paraId="7F2D3D32"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0591A20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8" w:type="dxa"/>
            <w:tcBorders>
              <w:top w:val="nil"/>
              <w:left w:val="nil"/>
              <w:bottom w:val="nil"/>
              <w:right w:val="nil"/>
            </w:tcBorders>
          </w:tcPr>
          <w:p w14:paraId="3F027C0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0.4</w:t>
            </w:r>
            <w:r>
              <w:rPr>
                <w:rFonts w:asciiTheme="majorHAnsi" w:hAnsiTheme="majorHAnsi" w:cs="Times New Roman"/>
                <w:lang w:val="en-US"/>
              </w:rPr>
              <w:t>4</w:t>
            </w:r>
            <w:r w:rsidRPr="00065D33">
              <w:rPr>
                <w:rFonts w:asciiTheme="majorHAnsi" w:hAnsiTheme="majorHAnsi" w:cs="Times New Roman"/>
                <w:lang w:val="en-US"/>
              </w:rPr>
              <w:t>***</w:t>
            </w:r>
          </w:p>
        </w:tc>
        <w:tc>
          <w:tcPr>
            <w:tcW w:w="410" w:type="dxa"/>
            <w:tcBorders>
              <w:top w:val="nil"/>
              <w:left w:val="nil"/>
              <w:bottom w:val="nil"/>
              <w:right w:val="nil"/>
            </w:tcBorders>
          </w:tcPr>
          <w:p w14:paraId="5D5BFD71"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2D16B20B"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top w:val="nil"/>
              <w:left w:val="nil"/>
              <w:bottom w:val="nil"/>
              <w:right w:val="nil"/>
            </w:tcBorders>
          </w:tcPr>
          <w:p w14:paraId="5AB9093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0.4</w:t>
            </w:r>
            <w:r>
              <w:rPr>
                <w:rFonts w:asciiTheme="majorHAnsi" w:hAnsiTheme="majorHAnsi" w:cs="Times New Roman"/>
                <w:lang w:val="en-US"/>
              </w:rPr>
              <w:t>3</w:t>
            </w:r>
            <w:r w:rsidRPr="00065D33">
              <w:rPr>
                <w:rFonts w:asciiTheme="majorHAnsi" w:hAnsiTheme="majorHAnsi" w:cs="Times New Roman"/>
                <w:lang w:val="en-US"/>
              </w:rPr>
              <w:t>***</w:t>
            </w:r>
          </w:p>
        </w:tc>
      </w:tr>
      <w:tr w:rsidR="008A5C7B" w:rsidRPr="00065D33" w14:paraId="56097445" w14:textId="77777777" w:rsidTr="000A49F9">
        <w:tc>
          <w:tcPr>
            <w:tcW w:w="4964" w:type="dxa"/>
            <w:tcBorders>
              <w:top w:val="nil"/>
              <w:left w:val="nil"/>
              <w:bottom w:val="nil"/>
              <w:right w:val="nil"/>
            </w:tcBorders>
          </w:tcPr>
          <w:p w14:paraId="481D7575" w14:textId="77777777" w:rsidR="008A5C7B" w:rsidRPr="00065D33" w:rsidRDefault="008A5C7B" w:rsidP="000A49F9">
            <w:pPr>
              <w:widowControl w:val="0"/>
              <w:autoSpaceDE w:val="0"/>
              <w:autoSpaceDN w:val="0"/>
              <w:adjustRightInd w:val="0"/>
              <w:spacing w:after="0" w:line="240" w:lineRule="auto"/>
              <w:rPr>
                <w:rFonts w:asciiTheme="majorHAnsi" w:hAnsiTheme="majorHAnsi"/>
                <w:vertAlign w:val="superscript"/>
                <w:lang w:val="en-US"/>
              </w:rPr>
            </w:pPr>
          </w:p>
        </w:tc>
        <w:tc>
          <w:tcPr>
            <w:tcW w:w="1418" w:type="dxa"/>
            <w:tcBorders>
              <w:top w:val="nil"/>
              <w:left w:val="nil"/>
              <w:bottom w:val="nil"/>
              <w:right w:val="nil"/>
            </w:tcBorders>
          </w:tcPr>
          <w:p w14:paraId="2D2FF49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top w:val="nil"/>
              <w:left w:val="nil"/>
              <w:bottom w:val="nil"/>
              <w:right w:val="nil"/>
            </w:tcBorders>
          </w:tcPr>
          <w:p w14:paraId="23C69AE6"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w:t>
            </w:r>
            <w:r>
              <w:rPr>
                <w:rFonts w:asciiTheme="majorHAnsi" w:hAnsiTheme="majorHAnsi" w:cs="Times New Roman"/>
                <w:lang w:val="en-US"/>
              </w:rPr>
              <w:t>2</w:t>
            </w:r>
            <w:r w:rsidRPr="00065D33">
              <w:rPr>
                <w:rFonts w:asciiTheme="majorHAnsi" w:hAnsiTheme="majorHAnsi" w:cs="Times New Roman"/>
                <w:lang w:val="en-US"/>
              </w:rPr>
              <w:t>)</w:t>
            </w:r>
          </w:p>
        </w:tc>
        <w:tc>
          <w:tcPr>
            <w:tcW w:w="331" w:type="dxa"/>
            <w:tcBorders>
              <w:top w:val="nil"/>
              <w:left w:val="nil"/>
              <w:bottom w:val="nil"/>
              <w:right w:val="nil"/>
            </w:tcBorders>
          </w:tcPr>
          <w:p w14:paraId="153127D3"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19D17AF5"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18" w:type="dxa"/>
            <w:tcBorders>
              <w:top w:val="nil"/>
              <w:left w:val="nil"/>
              <w:bottom w:val="nil"/>
              <w:right w:val="nil"/>
            </w:tcBorders>
          </w:tcPr>
          <w:p w14:paraId="1466D06A"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w:t>
            </w:r>
            <w:r>
              <w:rPr>
                <w:rFonts w:asciiTheme="majorHAnsi" w:hAnsiTheme="majorHAnsi" w:cs="Times New Roman"/>
                <w:lang w:val="en-US"/>
              </w:rPr>
              <w:t>2</w:t>
            </w:r>
            <w:r w:rsidRPr="00065D33">
              <w:rPr>
                <w:rFonts w:asciiTheme="majorHAnsi" w:hAnsiTheme="majorHAnsi" w:cs="Times New Roman"/>
                <w:lang w:val="en-US"/>
              </w:rPr>
              <w:t>)</w:t>
            </w:r>
          </w:p>
        </w:tc>
        <w:tc>
          <w:tcPr>
            <w:tcW w:w="410" w:type="dxa"/>
            <w:tcBorders>
              <w:top w:val="nil"/>
              <w:left w:val="nil"/>
              <w:bottom w:val="nil"/>
              <w:right w:val="nil"/>
            </w:tcBorders>
          </w:tcPr>
          <w:p w14:paraId="475629F4"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4F945F5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p>
        </w:tc>
        <w:tc>
          <w:tcPr>
            <w:tcW w:w="1417" w:type="dxa"/>
            <w:tcBorders>
              <w:top w:val="nil"/>
              <w:left w:val="nil"/>
              <w:bottom w:val="nil"/>
              <w:right w:val="nil"/>
            </w:tcBorders>
          </w:tcPr>
          <w:p w14:paraId="0A1B57F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w:t>
            </w:r>
            <w:r>
              <w:rPr>
                <w:rFonts w:asciiTheme="majorHAnsi" w:hAnsiTheme="majorHAnsi" w:cs="Times New Roman"/>
                <w:lang w:val="en-US"/>
              </w:rPr>
              <w:t>2</w:t>
            </w:r>
            <w:r w:rsidRPr="00065D33">
              <w:rPr>
                <w:rFonts w:asciiTheme="majorHAnsi" w:hAnsiTheme="majorHAnsi" w:cs="Times New Roman"/>
                <w:lang w:val="en-US"/>
              </w:rPr>
              <w:t>)</w:t>
            </w:r>
          </w:p>
        </w:tc>
      </w:tr>
      <w:tr w:rsidR="008A5C7B" w:rsidRPr="00065D33" w14:paraId="15437D63" w14:textId="77777777" w:rsidTr="000A49F9">
        <w:tc>
          <w:tcPr>
            <w:tcW w:w="4964" w:type="dxa"/>
            <w:tcBorders>
              <w:top w:val="nil"/>
              <w:left w:val="nil"/>
              <w:bottom w:val="nil"/>
              <w:right w:val="nil"/>
            </w:tcBorders>
          </w:tcPr>
          <w:p w14:paraId="43BE4BFD"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Town dummies</w:t>
            </w:r>
          </w:p>
        </w:tc>
        <w:tc>
          <w:tcPr>
            <w:tcW w:w="1418" w:type="dxa"/>
            <w:tcBorders>
              <w:top w:val="nil"/>
              <w:left w:val="nil"/>
              <w:bottom w:val="nil"/>
              <w:right w:val="nil"/>
            </w:tcBorders>
          </w:tcPr>
          <w:p w14:paraId="7676095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Yes</w:t>
            </w:r>
          </w:p>
        </w:tc>
        <w:tc>
          <w:tcPr>
            <w:tcW w:w="1417" w:type="dxa"/>
            <w:tcBorders>
              <w:top w:val="nil"/>
              <w:left w:val="nil"/>
              <w:bottom w:val="nil"/>
              <w:right w:val="nil"/>
            </w:tcBorders>
          </w:tcPr>
          <w:p w14:paraId="2951460B"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Yes</w:t>
            </w:r>
          </w:p>
        </w:tc>
        <w:tc>
          <w:tcPr>
            <w:tcW w:w="331" w:type="dxa"/>
            <w:tcBorders>
              <w:top w:val="nil"/>
              <w:left w:val="nil"/>
              <w:bottom w:val="nil"/>
              <w:right w:val="nil"/>
            </w:tcBorders>
          </w:tcPr>
          <w:p w14:paraId="2DF8DC01"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3F1CDB3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Yes</w:t>
            </w:r>
          </w:p>
        </w:tc>
        <w:tc>
          <w:tcPr>
            <w:tcW w:w="1418" w:type="dxa"/>
            <w:tcBorders>
              <w:top w:val="nil"/>
              <w:left w:val="nil"/>
              <w:bottom w:val="nil"/>
              <w:right w:val="nil"/>
            </w:tcBorders>
          </w:tcPr>
          <w:p w14:paraId="5111D5EB"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Yes</w:t>
            </w:r>
          </w:p>
        </w:tc>
        <w:tc>
          <w:tcPr>
            <w:tcW w:w="410" w:type="dxa"/>
            <w:tcBorders>
              <w:top w:val="nil"/>
              <w:left w:val="nil"/>
              <w:bottom w:val="nil"/>
              <w:right w:val="nil"/>
            </w:tcBorders>
          </w:tcPr>
          <w:p w14:paraId="34488086"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5C775A96"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Yes</w:t>
            </w:r>
          </w:p>
        </w:tc>
        <w:tc>
          <w:tcPr>
            <w:tcW w:w="1417" w:type="dxa"/>
            <w:tcBorders>
              <w:top w:val="nil"/>
              <w:left w:val="nil"/>
              <w:bottom w:val="nil"/>
              <w:right w:val="nil"/>
            </w:tcBorders>
          </w:tcPr>
          <w:p w14:paraId="69DB1863"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Yes</w:t>
            </w:r>
          </w:p>
        </w:tc>
      </w:tr>
      <w:tr w:rsidR="008A5C7B" w:rsidRPr="00065D33" w14:paraId="0EE58A1A" w14:textId="77777777" w:rsidTr="000A49F9">
        <w:tc>
          <w:tcPr>
            <w:tcW w:w="4964" w:type="dxa"/>
            <w:tcBorders>
              <w:top w:val="nil"/>
              <w:left w:val="nil"/>
              <w:bottom w:val="nil"/>
              <w:right w:val="nil"/>
            </w:tcBorders>
          </w:tcPr>
          <w:p w14:paraId="592DF643"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Constant</w:t>
            </w:r>
          </w:p>
        </w:tc>
        <w:tc>
          <w:tcPr>
            <w:tcW w:w="1418" w:type="dxa"/>
            <w:tcBorders>
              <w:top w:val="nil"/>
              <w:left w:val="nil"/>
              <w:bottom w:val="nil"/>
              <w:right w:val="nil"/>
            </w:tcBorders>
          </w:tcPr>
          <w:p w14:paraId="534D442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-7.91***</w:t>
            </w:r>
          </w:p>
        </w:tc>
        <w:tc>
          <w:tcPr>
            <w:tcW w:w="1417" w:type="dxa"/>
            <w:tcBorders>
              <w:top w:val="nil"/>
              <w:left w:val="nil"/>
              <w:bottom w:val="nil"/>
              <w:right w:val="nil"/>
            </w:tcBorders>
          </w:tcPr>
          <w:p w14:paraId="563B6D05"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w:t>
            </w:r>
            <w:r>
              <w:rPr>
                <w:rFonts w:asciiTheme="majorHAnsi" w:hAnsiTheme="majorHAnsi" w:cs="Times New Roman"/>
                <w:lang w:val="en-US"/>
              </w:rPr>
              <w:t>11</w:t>
            </w:r>
            <w:r w:rsidRPr="00065D33">
              <w:rPr>
                <w:rFonts w:asciiTheme="majorHAnsi" w:hAnsiTheme="majorHAnsi" w:cs="Times New Roman"/>
                <w:lang w:val="en-US"/>
              </w:rPr>
              <w:t>.</w:t>
            </w:r>
            <w:r>
              <w:rPr>
                <w:rFonts w:asciiTheme="majorHAnsi" w:hAnsiTheme="majorHAnsi" w:cs="Times New Roman"/>
                <w:lang w:val="en-US"/>
              </w:rPr>
              <w:t>73</w:t>
            </w:r>
            <w:r w:rsidRPr="00065D33">
              <w:rPr>
                <w:rFonts w:asciiTheme="majorHAnsi" w:hAnsiTheme="majorHAnsi" w:cs="Times New Roman"/>
                <w:lang w:val="en-US"/>
              </w:rPr>
              <w:t>***</w:t>
            </w:r>
          </w:p>
        </w:tc>
        <w:tc>
          <w:tcPr>
            <w:tcW w:w="331" w:type="dxa"/>
            <w:tcBorders>
              <w:top w:val="nil"/>
              <w:left w:val="nil"/>
              <w:bottom w:val="nil"/>
              <w:right w:val="nil"/>
            </w:tcBorders>
          </w:tcPr>
          <w:p w14:paraId="40D23A26"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nil"/>
              <w:right w:val="nil"/>
            </w:tcBorders>
          </w:tcPr>
          <w:p w14:paraId="5C0D9BC5"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-7.97***</w:t>
            </w:r>
          </w:p>
        </w:tc>
        <w:tc>
          <w:tcPr>
            <w:tcW w:w="1418" w:type="dxa"/>
            <w:tcBorders>
              <w:top w:val="nil"/>
              <w:left w:val="nil"/>
              <w:bottom w:val="nil"/>
              <w:right w:val="nil"/>
            </w:tcBorders>
          </w:tcPr>
          <w:p w14:paraId="111DB7D9"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-11.</w:t>
            </w:r>
            <w:r>
              <w:rPr>
                <w:rFonts w:asciiTheme="majorHAnsi" w:hAnsiTheme="majorHAnsi" w:cs="Times New Roman"/>
                <w:lang w:val="en-US"/>
              </w:rPr>
              <w:t>65</w:t>
            </w:r>
            <w:r w:rsidRPr="00065D33">
              <w:rPr>
                <w:rFonts w:asciiTheme="majorHAnsi" w:hAnsiTheme="majorHAnsi" w:cs="Times New Roman"/>
                <w:lang w:val="en-US"/>
              </w:rPr>
              <w:t>***</w:t>
            </w:r>
          </w:p>
        </w:tc>
        <w:tc>
          <w:tcPr>
            <w:tcW w:w="410" w:type="dxa"/>
            <w:tcBorders>
              <w:top w:val="nil"/>
              <w:left w:val="nil"/>
              <w:bottom w:val="nil"/>
              <w:right w:val="nil"/>
            </w:tcBorders>
          </w:tcPr>
          <w:p w14:paraId="3C22CD29"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nil"/>
              <w:right w:val="nil"/>
            </w:tcBorders>
          </w:tcPr>
          <w:p w14:paraId="1E2562C2"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-8.21***</w:t>
            </w:r>
          </w:p>
        </w:tc>
        <w:tc>
          <w:tcPr>
            <w:tcW w:w="1417" w:type="dxa"/>
            <w:tcBorders>
              <w:top w:val="nil"/>
              <w:left w:val="nil"/>
              <w:bottom w:val="nil"/>
              <w:right w:val="nil"/>
            </w:tcBorders>
          </w:tcPr>
          <w:p w14:paraId="1B4A5D2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-1</w:t>
            </w:r>
            <w:r>
              <w:rPr>
                <w:rFonts w:asciiTheme="majorHAnsi" w:hAnsiTheme="majorHAnsi" w:cs="Times New Roman"/>
                <w:lang w:val="en-US"/>
              </w:rPr>
              <w:t>1</w:t>
            </w:r>
            <w:r w:rsidRPr="00065D33">
              <w:rPr>
                <w:rFonts w:asciiTheme="majorHAnsi" w:hAnsiTheme="majorHAnsi" w:cs="Times New Roman"/>
                <w:lang w:val="en-US"/>
              </w:rPr>
              <w:t>.</w:t>
            </w:r>
            <w:r>
              <w:rPr>
                <w:rFonts w:asciiTheme="majorHAnsi" w:hAnsiTheme="majorHAnsi" w:cs="Times New Roman"/>
                <w:lang w:val="en-US"/>
              </w:rPr>
              <w:t>76</w:t>
            </w:r>
            <w:r w:rsidRPr="00065D33">
              <w:rPr>
                <w:rFonts w:asciiTheme="majorHAnsi" w:hAnsiTheme="majorHAnsi" w:cs="Times New Roman"/>
                <w:lang w:val="en-US"/>
              </w:rPr>
              <w:t>***</w:t>
            </w:r>
          </w:p>
        </w:tc>
      </w:tr>
      <w:tr w:rsidR="008A5C7B" w:rsidRPr="00065D33" w14:paraId="53FC8CE0" w14:textId="77777777" w:rsidTr="000A49F9">
        <w:tc>
          <w:tcPr>
            <w:tcW w:w="4964" w:type="dxa"/>
            <w:tcBorders>
              <w:top w:val="nil"/>
              <w:left w:val="nil"/>
              <w:bottom w:val="single" w:sz="4" w:space="0" w:color="auto"/>
              <w:right w:val="nil"/>
            </w:tcBorders>
          </w:tcPr>
          <w:p w14:paraId="16EFB980"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p>
        </w:tc>
        <w:tc>
          <w:tcPr>
            <w:tcW w:w="1418" w:type="dxa"/>
            <w:tcBorders>
              <w:top w:val="nil"/>
              <w:left w:val="nil"/>
              <w:bottom w:val="single" w:sz="4" w:space="0" w:color="auto"/>
              <w:right w:val="nil"/>
            </w:tcBorders>
          </w:tcPr>
          <w:p w14:paraId="05AC23DE"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(1.72)</w:t>
            </w:r>
          </w:p>
        </w:tc>
        <w:tc>
          <w:tcPr>
            <w:tcW w:w="1417" w:type="dxa"/>
            <w:tcBorders>
              <w:top w:val="nil"/>
              <w:left w:val="nil"/>
              <w:bottom w:val="single" w:sz="4" w:space="0" w:color="auto"/>
              <w:right w:val="nil"/>
            </w:tcBorders>
          </w:tcPr>
          <w:p w14:paraId="37E8B04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(1.</w:t>
            </w:r>
            <w:r>
              <w:rPr>
                <w:rFonts w:asciiTheme="majorHAnsi" w:hAnsiTheme="majorHAnsi" w:cs="Times New Roman"/>
                <w:lang w:val="en-US"/>
              </w:rPr>
              <w:t>8</w:t>
            </w:r>
            <w:r w:rsidRPr="00065D33">
              <w:rPr>
                <w:rFonts w:asciiTheme="majorHAnsi" w:hAnsiTheme="majorHAnsi" w:cs="Times New Roman"/>
                <w:lang w:val="en-US"/>
              </w:rPr>
              <w:t>9)</w:t>
            </w:r>
          </w:p>
        </w:tc>
        <w:tc>
          <w:tcPr>
            <w:tcW w:w="331" w:type="dxa"/>
            <w:tcBorders>
              <w:top w:val="nil"/>
              <w:left w:val="nil"/>
              <w:bottom w:val="single" w:sz="4" w:space="0" w:color="auto"/>
              <w:right w:val="nil"/>
            </w:tcBorders>
          </w:tcPr>
          <w:p w14:paraId="74BE4E5B"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single" w:sz="4" w:space="0" w:color="auto"/>
              <w:right w:val="nil"/>
            </w:tcBorders>
          </w:tcPr>
          <w:p w14:paraId="43D0E15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(1.73)</w:t>
            </w:r>
          </w:p>
        </w:tc>
        <w:tc>
          <w:tcPr>
            <w:tcW w:w="1418" w:type="dxa"/>
            <w:tcBorders>
              <w:top w:val="nil"/>
              <w:left w:val="nil"/>
              <w:bottom w:val="single" w:sz="4" w:space="0" w:color="auto"/>
              <w:right w:val="nil"/>
            </w:tcBorders>
          </w:tcPr>
          <w:p w14:paraId="3F625A4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(1.</w:t>
            </w:r>
            <w:r>
              <w:rPr>
                <w:rFonts w:asciiTheme="majorHAnsi" w:hAnsiTheme="majorHAnsi" w:cs="Times New Roman"/>
                <w:lang w:val="en-US"/>
              </w:rPr>
              <w:t>9</w:t>
            </w:r>
            <w:r w:rsidRPr="00065D33">
              <w:rPr>
                <w:rFonts w:asciiTheme="majorHAnsi" w:hAnsiTheme="majorHAnsi" w:cs="Times New Roman"/>
                <w:lang w:val="en-US"/>
              </w:rPr>
              <w:t>0)</w:t>
            </w:r>
          </w:p>
        </w:tc>
        <w:tc>
          <w:tcPr>
            <w:tcW w:w="410" w:type="dxa"/>
            <w:tcBorders>
              <w:top w:val="nil"/>
              <w:left w:val="nil"/>
              <w:bottom w:val="single" w:sz="4" w:space="0" w:color="auto"/>
              <w:right w:val="nil"/>
            </w:tcBorders>
          </w:tcPr>
          <w:p w14:paraId="3B2DC65C"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single" w:sz="4" w:space="0" w:color="auto"/>
              <w:right w:val="nil"/>
            </w:tcBorders>
          </w:tcPr>
          <w:p w14:paraId="661F8139"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(1.73)</w:t>
            </w:r>
          </w:p>
        </w:tc>
        <w:tc>
          <w:tcPr>
            <w:tcW w:w="1417" w:type="dxa"/>
            <w:tcBorders>
              <w:top w:val="nil"/>
              <w:left w:val="nil"/>
              <w:bottom w:val="single" w:sz="4" w:space="0" w:color="auto"/>
              <w:right w:val="nil"/>
            </w:tcBorders>
          </w:tcPr>
          <w:p w14:paraId="61AD64B0"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(1.</w:t>
            </w:r>
            <w:r>
              <w:rPr>
                <w:rFonts w:asciiTheme="majorHAnsi" w:hAnsiTheme="majorHAnsi" w:cs="Times New Roman"/>
                <w:lang w:val="en-US"/>
              </w:rPr>
              <w:t>8</w:t>
            </w:r>
            <w:r w:rsidRPr="00065D33">
              <w:rPr>
                <w:rFonts w:asciiTheme="majorHAnsi" w:hAnsiTheme="majorHAnsi" w:cs="Times New Roman"/>
                <w:lang w:val="en-US"/>
              </w:rPr>
              <w:t>9)</w:t>
            </w:r>
          </w:p>
        </w:tc>
      </w:tr>
      <w:tr w:rsidR="008A5C7B" w:rsidRPr="00065D33" w14:paraId="22900A42" w14:textId="77777777" w:rsidTr="000A49F9">
        <w:tc>
          <w:tcPr>
            <w:tcW w:w="4964" w:type="dxa"/>
            <w:tcBorders>
              <w:top w:val="single" w:sz="4" w:space="0" w:color="auto"/>
              <w:left w:val="nil"/>
              <w:bottom w:val="nil"/>
              <w:right w:val="nil"/>
            </w:tcBorders>
          </w:tcPr>
          <w:p w14:paraId="1AB55E85"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Number of observations</w:t>
            </w:r>
          </w:p>
        </w:tc>
        <w:tc>
          <w:tcPr>
            <w:tcW w:w="1418" w:type="dxa"/>
            <w:tcBorders>
              <w:top w:val="single" w:sz="4" w:space="0" w:color="auto"/>
              <w:left w:val="nil"/>
              <w:bottom w:val="nil"/>
              <w:right w:val="nil"/>
            </w:tcBorders>
          </w:tcPr>
          <w:p w14:paraId="3AF7D26F"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426</w:t>
            </w:r>
          </w:p>
        </w:tc>
        <w:tc>
          <w:tcPr>
            <w:tcW w:w="1417" w:type="dxa"/>
            <w:tcBorders>
              <w:top w:val="single" w:sz="4" w:space="0" w:color="auto"/>
              <w:left w:val="nil"/>
              <w:bottom w:val="nil"/>
              <w:right w:val="nil"/>
            </w:tcBorders>
          </w:tcPr>
          <w:p w14:paraId="5050B60E"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426</w:t>
            </w:r>
          </w:p>
        </w:tc>
        <w:tc>
          <w:tcPr>
            <w:tcW w:w="331" w:type="dxa"/>
            <w:tcBorders>
              <w:top w:val="single" w:sz="4" w:space="0" w:color="auto"/>
              <w:left w:val="nil"/>
              <w:bottom w:val="nil"/>
              <w:right w:val="nil"/>
            </w:tcBorders>
          </w:tcPr>
          <w:p w14:paraId="436506BC"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single" w:sz="4" w:space="0" w:color="auto"/>
              <w:left w:val="nil"/>
              <w:bottom w:val="nil"/>
              <w:right w:val="nil"/>
            </w:tcBorders>
          </w:tcPr>
          <w:p w14:paraId="15C0375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426</w:t>
            </w:r>
          </w:p>
        </w:tc>
        <w:tc>
          <w:tcPr>
            <w:tcW w:w="1418" w:type="dxa"/>
            <w:tcBorders>
              <w:top w:val="single" w:sz="4" w:space="0" w:color="auto"/>
              <w:left w:val="nil"/>
              <w:bottom w:val="nil"/>
              <w:right w:val="nil"/>
            </w:tcBorders>
          </w:tcPr>
          <w:p w14:paraId="0A188ED4"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426</w:t>
            </w:r>
          </w:p>
        </w:tc>
        <w:tc>
          <w:tcPr>
            <w:tcW w:w="410" w:type="dxa"/>
            <w:tcBorders>
              <w:top w:val="single" w:sz="4" w:space="0" w:color="auto"/>
              <w:left w:val="nil"/>
              <w:bottom w:val="nil"/>
              <w:right w:val="nil"/>
            </w:tcBorders>
          </w:tcPr>
          <w:p w14:paraId="6B2C1CA7"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single" w:sz="4" w:space="0" w:color="auto"/>
              <w:left w:val="nil"/>
              <w:bottom w:val="nil"/>
              <w:right w:val="nil"/>
            </w:tcBorders>
          </w:tcPr>
          <w:p w14:paraId="16541101"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426</w:t>
            </w:r>
          </w:p>
        </w:tc>
        <w:tc>
          <w:tcPr>
            <w:tcW w:w="1417" w:type="dxa"/>
            <w:tcBorders>
              <w:top w:val="single" w:sz="4" w:space="0" w:color="auto"/>
              <w:left w:val="nil"/>
              <w:bottom w:val="nil"/>
              <w:right w:val="nil"/>
            </w:tcBorders>
          </w:tcPr>
          <w:p w14:paraId="321D2137"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426</w:t>
            </w:r>
          </w:p>
        </w:tc>
      </w:tr>
      <w:tr w:rsidR="008A5C7B" w:rsidRPr="00065D33" w14:paraId="1F2D8EFF" w14:textId="77777777" w:rsidTr="000A49F9">
        <w:tc>
          <w:tcPr>
            <w:tcW w:w="4964" w:type="dxa"/>
            <w:tcBorders>
              <w:top w:val="nil"/>
              <w:left w:val="nil"/>
              <w:bottom w:val="single" w:sz="6" w:space="0" w:color="auto"/>
              <w:right w:val="nil"/>
            </w:tcBorders>
          </w:tcPr>
          <w:p w14:paraId="0AE64033" w14:textId="77777777" w:rsidR="008A5C7B" w:rsidRPr="00065D33" w:rsidRDefault="008A5C7B" w:rsidP="000A49F9">
            <w:pPr>
              <w:widowControl w:val="0"/>
              <w:autoSpaceDE w:val="0"/>
              <w:autoSpaceDN w:val="0"/>
              <w:adjustRightInd w:val="0"/>
              <w:spacing w:after="0" w:line="240" w:lineRule="auto"/>
              <w:rPr>
                <w:rFonts w:asciiTheme="majorHAnsi" w:hAnsiTheme="majorHAnsi" w:cs="Times New Roman"/>
                <w:lang w:val="en-US"/>
              </w:rPr>
            </w:pPr>
            <w:r w:rsidRPr="00065D33">
              <w:rPr>
                <w:rFonts w:asciiTheme="majorHAnsi" w:hAnsiTheme="majorHAnsi" w:cs="Times New Roman"/>
                <w:lang w:val="en-US"/>
              </w:rPr>
              <w:t>R-squared</w:t>
            </w:r>
          </w:p>
        </w:tc>
        <w:tc>
          <w:tcPr>
            <w:tcW w:w="1418" w:type="dxa"/>
            <w:tcBorders>
              <w:top w:val="nil"/>
              <w:left w:val="nil"/>
              <w:bottom w:val="single" w:sz="6" w:space="0" w:color="auto"/>
              <w:right w:val="nil"/>
            </w:tcBorders>
          </w:tcPr>
          <w:p w14:paraId="3E399D2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0.17</w:t>
            </w:r>
          </w:p>
        </w:tc>
        <w:tc>
          <w:tcPr>
            <w:tcW w:w="1417" w:type="dxa"/>
            <w:tcBorders>
              <w:top w:val="nil"/>
              <w:left w:val="nil"/>
              <w:bottom w:val="single" w:sz="6" w:space="0" w:color="auto"/>
              <w:right w:val="nil"/>
            </w:tcBorders>
          </w:tcPr>
          <w:p w14:paraId="434F871D"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0.22</w:t>
            </w:r>
          </w:p>
        </w:tc>
        <w:tc>
          <w:tcPr>
            <w:tcW w:w="331" w:type="dxa"/>
            <w:tcBorders>
              <w:top w:val="nil"/>
              <w:left w:val="nil"/>
              <w:bottom w:val="single" w:sz="6" w:space="0" w:color="auto"/>
              <w:right w:val="nil"/>
            </w:tcBorders>
          </w:tcPr>
          <w:p w14:paraId="5CFF2D1D" w14:textId="77777777" w:rsidR="008A5C7B" w:rsidRPr="00065D33" w:rsidRDefault="008A5C7B" w:rsidP="000A49F9">
            <w:pPr>
              <w:widowControl w:val="0"/>
              <w:tabs>
                <w:tab w:val="decimal" w:pos="1085"/>
              </w:tabs>
              <w:autoSpaceDE w:val="0"/>
              <w:autoSpaceDN w:val="0"/>
              <w:adjustRightInd w:val="0"/>
              <w:spacing w:after="0" w:line="240" w:lineRule="auto"/>
              <w:jc w:val="center"/>
              <w:rPr>
                <w:rFonts w:asciiTheme="majorHAnsi" w:hAnsiTheme="majorHAnsi" w:cs="Times New Roman"/>
                <w:lang w:val="en-US"/>
              </w:rPr>
            </w:pPr>
          </w:p>
        </w:tc>
        <w:tc>
          <w:tcPr>
            <w:tcW w:w="1512" w:type="dxa"/>
            <w:tcBorders>
              <w:top w:val="nil"/>
              <w:left w:val="nil"/>
              <w:bottom w:val="single" w:sz="6" w:space="0" w:color="auto"/>
              <w:right w:val="nil"/>
            </w:tcBorders>
          </w:tcPr>
          <w:p w14:paraId="4472999C"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0.17</w:t>
            </w:r>
          </w:p>
        </w:tc>
        <w:tc>
          <w:tcPr>
            <w:tcW w:w="1418" w:type="dxa"/>
            <w:tcBorders>
              <w:top w:val="nil"/>
              <w:left w:val="nil"/>
              <w:bottom w:val="single" w:sz="6" w:space="0" w:color="auto"/>
              <w:right w:val="nil"/>
            </w:tcBorders>
          </w:tcPr>
          <w:p w14:paraId="7B7BDAF9"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0.22</w:t>
            </w:r>
          </w:p>
        </w:tc>
        <w:tc>
          <w:tcPr>
            <w:tcW w:w="410" w:type="dxa"/>
            <w:tcBorders>
              <w:top w:val="nil"/>
              <w:left w:val="nil"/>
              <w:bottom w:val="single" w:sz="6" w:space="0" w:color="auto"/>
              <w:right w:val="nil"/>
            </w:tcBorders>
          </w:tcPr>
          <w:p w14:paraId="598C7279" w14:textId="77777777" w:rsidR="008A5C7B" w:rsidRPr="00065D33" w:rsidRDefault="008A5C7B" w:rsidP="000A49F9">
            <w:pPr>
              <w:widowControl w:val="0"/>
              <w:tabs>
                <w:tab w:val="decimal" w:pos="1153"/>
              </w:tabs>
              <w:autoSpaceDE w:val="0"/>
              <w:autoSpaceDN w:val="0"/>
              <w:adjustRightInd w:val="0"/>
              <w:spacing w:after="0" w:line="240" w:lineRule="auto"/>
              <w:jc w:val="center"/>
              <w:rPr>
                <w:rFonts w:asciiTheme="majorHAnsi" w:hAnsiTheme="majorHAnsi" w:cs="Times New Roman"/>
                <w:lang w:val="en-US"/>
              </w:rPr>
            </w:pPr>
          </w:p>
        </w:tc>
        <w:tc>
          <w:tcPr>
            <w:tcW w:w="1432" w:type="dxa"/>
            <w:tcBorders>
              <w:top w:val="nil"/>
              <w:left w:val="nil"/>
              <w:bottom w:val="single" w:sz="6" w:space="0" w:color="auto"/>
              <w:right w:val="nil"/>
            </w:tcBorders>
          </w:tcPr>
          <w:p w14:paraId="7C107B13"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0.18</w:t>
            </w:r>
          </w:p>
        </w:tc>
        <w:tc>
          <w:tcPr>
            <w:tcW w:w="1417" w:type="dxa"/>
            <w:tcBorders>
              <w:top w:val="nil"/>
              <w:left w:val="nil"/>
              <w:bottom w:val="single" w:sz="6" w:space="0" w:color="auto"/>
              <w:right w:val="nil"/>
            </w:tcBorders>
          </w:tcPr>
          <w:p w14:paraId="1F4E700E" w14:textId="77777777" w:rsidR="008A5C7B" w:rsidRPr="00065D33" w:rsidRDefault="008A5C7B" w:rsidP="000A49F9">
            <w:pPr>
              <w:widowControl w:val="0"/>
              <w:autoSpaceDE w:val="0"/>
              <w:autoSpaceDN w:val="0"/>
              <w:adjustRightInd w:val="0"/>
              <w:spacing w:after="0" w:line="240" w:lineRule="auto"/>
              <w:jc w:val="center"/>
              <w:rPr>
                <w:rFonts w:asciiTheme="majorHAnsi" w:hAnsiTheme="majorHAnsi" w:cs="Times New Roman"/>
                <w:lang w:val="en-US"/>
              </w:rPr>
            </w:pPr>
            <w:r w:rsidRPr="00065D33">
              <w:rPr>
                <w:rFonts w:asciiTheme="majorHAnsi" w:hAnsiTheme="majorHAnsi" w:cs="Times New Roman"/>
                <w:lang w:val="en-US"/>
              </w:rPr>
              <w:t>0.22</w:t>
            </w:r>
          </w:p>
        </w:tc>
      </w:tr>
    </w:tbl>
    <w:p w14:paraId="31D3922C" w14:textId="77777777" w:rsidR="008A5C7B" w:rsidRPr="00F0530D" w:rsidRDefault="008A5C7B" w:rsidP="008A5C7B">
      <w:pPr>
        <w:spacing w:after="0" w:line="240" w:lineRule="auto"/>
        <w:rPr>
          <w:rFonts w:asciiTheme="majorHAnsi" w:hAnsiTheme="majorHAnsi" w:cs="Times New Roman"/>
          <w:sz w:val="18"/>
          <w:szCs w:val="18"/>
          <w:lang w:val="en-US"/>
        </w:rPr>
      </w:pPr>
      <w:r w:rsidRPr="00F0530D">
        <w:rPr>
          <w:rFonts w:asciiTheme="majorHAnsi" w:hAnsiTheme="majorHAnsi"/>
          <w:sz w:val="18"/>
          <w:szCs w:val="18"/>
          <w:lang w:val="en-US"/>
        </w:rPr>
        <w:t>Coefficient estimates are shown with standard errors in parentheses. The dependent variable in all models is height-for-age Z-scores (HAZ) of children and adolescents (aged 5-18).</w:t>
      </w:r>
    </w:p>
    <w:p w14:paraId="1C9B6B0B" w14:textId="77777777" w:rsidR="008A5C7B" w:rsidRDefault="008A5C7B" w:rsidP="008A5C7B">
      <w:pPr>
        <w:rPr>
          <w:rFonts w:asciiTheme="majorHAnsi" w:hAnsiTheme="majorHAnsi"/>
          <w:sz w:val="24"/>
          <w:szCs w:val="24"/>
          <w:lang w:val="en-US"/>
        </w:rPr>
        <w:sectPr w:rsidR="008A5C7B" w:rsidSect="000A49F9">
          <w:pgSz w:w="16838" w:h="11906" w:orient="landscape"/>
          <w:pgMar w:top="1418" w:right="1418" w:bottom="1134" w:left="1134" w:header="709" w:footer="709" w:gutter="0"/>
          <w:cols w:space="708"/>
          <w:docGrid w:linePitch="360"/>
        </w:sectPr>
      </w:pPr>
      <w:r w:rsidRPr="00F0530D">
        <w:rPr>
          <w:rFonts w:asciiTheme="majorHAnsi" w:hAnsiTheme="majorHAnsi" w:cs="Times New Roman"/>
          <w:sz w:val="18"/>
          <w:szCs w:val="18"/>
          <w:lang w:val="en-US"/>
        </w:rPr>
        <w:t xml:space="preserve">* </w:t>
      </w:r>
      <w:r w:rsidRPr="00F0530D">
        <w:rPr>
          <w:rFonts w:asciiTheme="majorHAnsi" w:hAnsiTheme="majorHAnsi" w:cs="Times New Roman"/>
          <w:i/>
          <w:iCs/>
          <w:sz w:val="18"/>
          <w:szCs w:val="18"/>
          <w:lang w:val="en-US"/>
        </w:rPr>
        <w:t>p</w:t>
      </w:r>
      <w:r w:rsidRPr="00F0530D">
        <w:rPr>
          <w:rFonts w:asciiTheme="majorHAnsi" w:hAnsiTheme="majorHAnsi" w:cs="Times New Roman"/>
          <w:sz w:val="18"/>
          <w:szCs w:val="18"/>
          <w:lang w:val="en-US"/>
        </w:rPr>
        <w:t xml:space="preserve">&lt;0.1; ** </w:t>
      </w:r>
      <w:r w:rsidRPr="00F0530D">
        <w:rPr>
          <w:rFonts w:asciiTheme="majorHAnsi" w:hAnsiTheme="majorHAnsi" w:cs="Times New Roman"/>
          <w:i/>
          <w:iCs/>
          <w:sz w:val="18"/>
          <w:szCs w:val="18"/>
          <w:lang w:val="en-US"/>
        </w:rPr>
        <w:t>p</w:t>
      </w:r>
      <w:r w:rsidRPr="00F0530D">
        <w:rPr>
          <w:rFonts w:asciiTheme="majorHAnsi" w:hAnsiTheme="majorHAnsi" w:cs="Times New Roman"/>
          <w:sz w:val="18"/>
          <w:szCs w:val="18"/>
          <w:lang w:val="en-US"/>
        </w:rPr>
        <w:t xml:space="preserve">&lt;0.05; *** </w:t>
      </w:r>
      <w:r w:rsidRPr="00F0530D">
        <w:rPr>
          <w:rFonts w:asciiTheme="majorHAnsi" w:hAnsiTheme="majorHAnsi" w:cs="Times New Roman"/>
          <w:i/>
          <w:iCs/>
          <w:sz w:val="18"/>
          <w:szCs w:val="18"/>
          <w:lang w:val="en-US"/>
        </w:rPr>
        <w:t>p</w:t>
      </w:r>
      <w:r w:rsidRPr="00F0530D">
        <w:rPr>
          <w:rFonts w:asciiTheme="majorHAnsi" w:hAnsiTheme="majorHAnsi" w:cs="Times New Roman"/>
          <w:sz w:val="18"/>
          <w:szCs w:val="18"/>
          <w:lang w:val="en-US"/>
        </w:rPr>
        <w:t>&lt;0.01</w:t>
      </w:r>
      <w:r w:rsidRPr="00065D33">
        <w:rPr>
          <w:rFonts w:asciiTheme="majorHAnsi" w:hAnsiTheme="majorHAnsi"/>
          <w:sz w:val="24"/>
          <w:szCs w:val="24"/>
          <w:lang w:val="en-US"/>
        </w:rPr>
        <w:br w:type="page"/>
      </w:r>
    </w:p>
    <w:p w14:paraId="11663C4C" w14:textId="77777777" w:rsidR="008A5C7B" w:rsidRPr="00F0530D" w:rsidRDefault="008A5C7B" w:rsidP="007C3E2A">
      <w:pPr>
        <w:pStyle w:val="berschrift2"/>
        <w:rPr>
          <w:lang w:val="en-US"/>
        </w:rPr>
      </w:pPr>
      <w:r w:rsidRPr="00F0530D">
        <w:rPr>
          <w:lang w:val="en-US"/>
        </w:rPr>
        <w:lastRenderedPageBreak/>
        <w:t xml:space="preserve">Robustness </w:t>
      </w:r>
      <w:r>
        <w:rPr>
          <w:lang w:val="en-US"/>
        </w:rPr>
        <w:t>C</w:t>
      </w:r>
      <w:r w:rsidRPr="00F0530D">
        <w:rPr>
          <w:lang w:val="en-US"/>
        </w:rPr>
        <w:t>hecks</w:t>
      </w:r>
    </w:p>
    <w:p w14:paraId="1A23E509" w14:textId="77777777" w:rsidR="008A5C7B" w:rsidRDefault="008A5C7B" w:rsidP="008A5C7B">
      <w:pPr>
        <w:pStyle w:val="Kommentartext"/>
        <w:spacing w:line="480" w:lineRule="auto"/>
        <w:jc w:val="both"/>
        <w:rPr>
          <w:rFonts w:asciiTheme="majorHAnsi" w:hAnsiTheme="majorHAnsi"/>
          <w:sz w:val="24"/>
          <w:szCs w:val="24"/>
          <w:lang w:val="en-US"/>
        </w:rPr>
      </w:pPr>
      <w:r>
        <w:rPr>
          <w:rFonts w:asciiTheme="majorHAnsi" w:hAnsiTheme="majorHAnsi"/>
          <w:sz w:val="24"/>
          <w:szCs w:val="24"/>
          <w:lang w:val="en-US"/>
        </w:rPr>
        <w:t xml:space="preserve">In the descriptive analysis and for some of the non-parametric estimations, </w:t>
      </w:r>
      <w:r w:rsidRPr="00E950A8">
        <w:rPr>
          <w:rFonts w:asciiTheme="majorHAnsi" w:hAnsiTheme="majorHAnsi"/>
          <w:sz w:val="24"/>
          <w:szCs w:val="24"/>
          <w:lang w:val="en-US"/>
        </w:rPr>
        <w:t>we subdivide</w:t>
      </w:r>
      <w:r>
        <w:rPr>
          <w:rFonts w:asciiTheme="majorHAnsi" w:hAnsiTheme="majorHAnsi"/>
          <w:sz w:val="24"/>
          <w:szCs w:val="24"/>
          <w:lang w:val="en-US"/>
        </w:rPr>
        <w:t>d</w:t>
      </w:r>
      <w:r w:rsidRPr="00E950A8">
        <w:rPr>
          <w:rFonts w:asciiTheme="majorHAnsi" w:hAnsiTheme="majorHAnsi"/>
          <w:sz w:val="24"/>
          <w:szCs w:val="24"/>
          <w:lang w:val="en-US"/>
        </w:rPr>
        <w:t xml:space="preserve"> the sample into households with high and low maternal nutrition knowledge</w:t>
      </w:r>
      <w:r>
        <w:rPr>
          <w:rFonts w:asciiTheme="majorHAnsi" w:hAnsiTheme="majorHAnsi"/>
          <w:sz w:val="24"/>
          <w:szCs w:val="24"/>
          <w:lang w:val="en-US"/>
        </w:rPr>
        <w:t>,</w:t>
      </w:r>
      <w:r w:rsidRPr="00E950A8">
        <w:rPr>
          <w:rFonts w:asciiTheme="majorHAnsi" w:hAnsiTheme="majorHAnsi"/>
          <w:sz w:val="24"/>
          <w:szCs w:val="24"/>
          <w:lang w:val="en-US"/>
        </w:rPr>
        <w:t xml:space="preserve"> using the </w:t>
      </w:r>
      <w:proofErr w:type="gramStart"/>
      <w:r w:rsidRPr="00E950A8">
        <w:rPr>
          <w:rFonts w:asciiTheme="majorHAnsi" w:hAnsiTheme="majorHAnsi"/>
          <w:sz w:val="24"/>
          <w:szCs w:val="24"/>
          <w:lang w:val="en-US"/>
        </w:rPr>
        <w:t>average</w:t>
      </w:r>
      <w:proofErr w:type="gramEnd"/>
      <w:r w:rsidRPr="00E950A8">
        <w:rPr>
          <w:rFonts w:asciiTheme="majorHAnsi" w:hAnsiTheme="majorHAnsi"/>
          <w:sz w:val="24"/>
          <w:szCs w:val="24"/>
          <w:lang w:val="en-US"/>
        </w:rPr>
        <w:t xml:space="preserve"> aggregate nutrition score as the cutoff point.</w:t>
      </w:r>
      <w:r>
        <w:rPr>
          <w:rFonts w:asciiTheme="majorHAnsi" w:hAnsiTheme="majorHAnsi"/>
          <w:sz w:val="24"/>
          <w:szCs w:val="24"/>
          <w:lang w:val="en-US"/>
        </w:rPr>
        <w:t xml:space="preserve"> This cutoff was chosen for convenience. To check whether the results change when using a different cutoff, we classified those that correctly responded to more (less) than 50% of the nutrition questions as having high (low) nutrition knowledge. The results do not change much (see Table S2 and Figure S1, supplementary material), underlining the robustness of the findings to changes in the cutoff point.</w:t>
      </w:r>
    </w:p>
    <w:p w14:paraId="6E16514D" w14:textId="77777777" w:rsidR="008A5C7B" w:rsidRPr="00E950A8" w:rsidRDefault="008A5C7B" w:rsidP="008A5C7B">
      <w:pPr>
        <w:pStyle w:val="Kommentartext"/>
        <w:spacing w:line="480" w:lineRule="auto"/>
        <w:ind w:firstLine="708"/>
        <w:jc w:val="both"/>
        <w:rPr>
          <w:rFonts w:asciiTheme="majorHAnsi" w:hAnsiTheme="majorHAnsi"/>
          <w:sz w:val="24"/>
          <w:szCs w:val="24"/>
          <w:lang w:val="en-US"/>
        </w:rPr>
      </w:pPr>
      <w:r>
        <w:rPr>
          <w:rFonts w:asciiTheme="majorHAnsi" w:hAnsiTheme="majorHAnsi"/>
          <w:sz w:val="24"/>
          <w:szCs w:val="24"/>
          <w:lang w:val="en-US"/>
        </w:rPr>
        <w:t xml:space="preserve">Another aspect that is worth some further analysis is the fact that our sample is characterized by a high attrition rate. Many children that were included in the first survey round could not be included again in the second round and were replaced by other children in the same locations. In order to check whether there is any systematic difference between the children that were included in both survey rounds and those that were only included in one of the rounds, we </w:t>
      </w:r>
      <w:proofErr w:type="gramStart"/>
      <w:r>
        <w:rPr>
          <w:rFonts w:asciiTheme="majorHAnsi" w:hAnsiTheme="majorHAnsi"/>
          <w:sz w:val="24"/>
          <w:szCs w:val="24"/>
          <w:lang w:val="en-US"/>
        </w:rPr>
        <w:t>regressed</w:t>
      </w:r>
      <w:proofErr w:type="gramEnd"/>
      <w:r>
        <w:rPr>
          <w:rFonts w:asciiTheme="majorHAnsi" w:hAnsiTheme="majorHAnsi"/>
          <w:sz w:val="24"/>
          <w:szCs w:val="24"/>
          <w:lang w:val="en-US"/>
        </w:rPr>
        <w:t xml:space="preserve"> an attrition dummy on the set of socioeconomic explanatory variables, using a probit specification (see Table S3, supplementary material). Most of the socioeconomic variables are statically insignificant in this probit model, except for height and education of the mother. We do not find systematic differences for the child’s own characteristics. The probit model was also used to calculate an inverse mills ratio that we included as an additional explanatory variable in model (1) to explain HAZ. This is a common approach to test and control for possible attrition bias. The inverse mills ratio in this HAZ model is statistically insignificant (see Table S3), so we conclude that our results are not affected by attrition bias.</w:t>
      </w:r>
    </w:p>
    <w:p w14:paraId="6939D84D" w14:textId="77777777" w:rsidR="008A5C7B" w:rsidRPr="00A254F5" w:rsidRDefault="008A5C7B" w:rsidP="007C3E2A">
      <w:pPr>
        <w:pStyle w:val="berschrift2"/>
        <w:rPr>
          <w:lang w:val="en-US"/>
        </w:rPr>
      </w:pPr>
      <w:r w:rsidRPr="00A254F5">
        <w:rPr>
          <w:lang w:val="en-US"/>
        </w:rPr>
        <w:lastRenderedPageBreak/>
        <w:t>Limitation</w:t>
      </w:r>
    </w:p>
    <w:p w14:paraId="6B2C0060" w14:textId="77777777" w:rsidR="008A5C7B" w:rsidRDefault="008A5C7B" w:rsidP="008A5C7B">
      <w:pPr>
        <w:pStyle w:val="Kommentartext"/>
        <w:spacing w:line="480" w:lineRule="auto"/>
        <w:jc w:val="both"/>
        <w:rPr>
          <w:rFonts w:asciiTheme="majorHAnsi" w:hAnsiTheme="majorHAnsi"/>
          <w:sz w:val="24"/>
          <w:szCs w:val="24"/>
          <w:lang w:val="en-US"/>
        </w:rPr>
      </w:pPr>
      <w:r>
        <w:rPr>
          <w:rFonts w:asciiTheme="majorHAnsi" w:hAnsiTheme="majorHAnsi"/>
          <w:sz w:val="24"/>
          <w:szCs w:val="24"/>
          <w:lang w:val="en-US"/>
        </w:rPr>
        <w:t xml:space="preserve">Two limitations of the study should be mentioned here. First, while </w:t>
      </w:r>
      <w:r w:rsidRPr="00FB3CEF">
        <w:rPr>
          <w:rFonts w:asciiTheme="majorHAnsi" w:hAnsiTheme="majorHAnsi"/>
          <w:sz w:val="24"/>
          <w:szCs w:val="24"/>
          <w:lang w:val="en-US"/>
        </w:rPr>
        <w:t>international growth standard</w:t>
      </w:r>
      <w:r>
        <w:rPr>
          <w:rFonts w:asciiTheme="majorHAnsi" w:hAnsiTheme="majorHAnsi"/>
          <w:sz w:val="24"/>
          <w:szCs w:val="24"/>
          <w:lang w:val="en-US"/>
        </w:rPr>
        <w:t xml:space="preserve">s exist </w:t>
      </w:r>
      <w:r w:rsidRPr="00FB3CEF">
        <w:rPr>
          <w:rFonts w:asciiTheme="majorHAnsi" w:hAnsiTheme="majorHAnsi"/>
          <w:sz w:val="24"/>
          <w:szCs w:val="24"/>
          <w:lang w:val="en-US"/>
        </w:rPr>
        <w:t xml:space="preserve">for </w:t>
      </w:r>
      <w:r>
        <w:rPr>
          <w:rFonts w:asciiTheme="majorHAnsi" w:hAnsiTheme="majorHAnsi"/>
          <w:sz w:val="24"/>
          <w:szCs w:val="24"/>
          <w:lang w:val="en-US"/>
        </w:rPr>
        <w:t xml:space="preserve">infants and </w:t>
      </w:r>
      <w:r w:rsidRPr="00FB3CEF">
        <w:rPr>
          <w:rFonts w:asciiTheme="majorHAnsi" w:hAnsiTheme="majorHAnsi"/>
          <w:sz w:val="24"/>
          <w:szCs w:val="24"/>
          <w:lang w:val="en-US"/>
        </w:rPr>
        <w:t>preschool</w:t>
      </w:r>
      <w:r>
        <w:rPr>
          <w:rFonts w:asciiTheme="majorHAnsi" w:hAnsiTheme="majorHAnsi"/>
          <w:sz w:val="24"/>
          <w:szCs w:val="24"/>
          <w:lang w:val="en-US"/>
        </w:rPr>
        <w:t xml:space="preserve"> </w:t>
      </w:r>
      <w:r w:rsidRPr="00FB3CEF">
        <w:rPr>
          <w:rFonts w:asciiTheme="majorHAnsi" w:hAnsiTheme="majorHAnsi"/>
          <w:sz w:val="24"/>
          <w:szCs w:val="24"/>
          <w:lang w:val="en-US"/>
        </w:rPr>
        <w:t>children</w:t>
      </w:r>
      <w:r>
        <w:rPr>
          <w:rFonts w:asciiTheme="majorHAnsi" w:hAnsiTheme="majorHAnsi"/>
          <w:sz w:val="24"/>
          <w:szCs w:val="24"/>
          <w:lang w:val="en-US"/>
        </w:rPr>
        <w:t xml:space="preserve"> (WHO, 2006),</w:t>
      </w:r>
      <w:r w:rsidRPr="00FB3CEF">
        <w:rPr>
          <w:rFonts w:asciiTheme="majorHAnsi" w:hAnsiTheme="majorHAnsi"/>
          <w:sz w:val="24"/>
          <w:szCs w:val="24"/>
          <w:lang w:val="en-US"/>
        </w:rPr>
        <w:t xml:space="preserve"> </w:t>
      </w:r>
      <w:r>
        <w:rPr>
          <w:rFonts w:asciiTheme="majorHAnsi" w:hAnsiTheme="majorHAnsi"/>
          <w:sz w:val="24"/>
          <w:szCs w:val="24"/>
          <w:lang w:val="en-US"/>
        </w:rPr>
        <w:t xml:space="preserve">for children above 5 years of age the available growth references still have certain shortcomings (de </w:t>
      </w:r>
      <w:proofErr w:type="spellStart"/>
      <w:r>
        <w:rPr>
          <w:rFonts w:asciiTheme="majorHAnsi" w:hAnsiTheme="majorHAnsi"/>
          <w:sz w:val="24"/>
          <w:szCs w:val="24"/>
          <w:lang w:val="en-US"/>
        </w:rPr>
        <w:t>Onis</w:t>
      </w:r>
      <w:proofErr w:type="spellEnd"/>
      <w:r>
        <w:rPr>
          <w:rFonts w:asciiTheme="majorHAnsi" w:hAnsiTheme="majorHAnsi"/>
          <w:sz w:val="24"/>
          <w:szCs w:val="24"/>
          <w:lang w:val="en-US"/>
        </w:rPr>
        <w:t xml:space="preserve"> et al. 2007). Although the references for school-age children and adolescents were </w:t>
      </w:r>
      <w:r w:rsidRPr="00176CAA">
        <w:rPr>
          <w:rFonts w:asciiTheme="majorHAnsi" w:hAnsiTheme="majorHAnsi"/>
          <w:sz w:val="24"/>
          <w:szCs w:val="24"/>
          <w:lang w:val="en-US"/>
        </w:rPr>
        <w:t>reconstruct</w:t>
      </w:r>
      <w:r>
        <w:rPr>
          <w:rFonts w:asciiTheme="majorHAnsi" w:hAnsiTheme="majorHAnsi"/>
          <w:sz w:val="24"/>
          <w:szCs w:val="24"/>
          <w:lang w:val="en-US"/>
        </w:rPr>
        <w:t>ed recently</w:t>
      </w:r>
      <w:r>
        <w:rPr>
          <w:rStyle w:val="Funotenzeichen"/>
          <w:rFonts w:asciiTheme="majorHAnsi" w:hAnsiTheme="majorHAnsi"/>
          <w:sz w:val="24"/>
          <w:szCs w:val="24"/>
          <w:lang w:val="en-US"/>
        </w:rPr>
        <w:footnoteReference w:id="5"/>
      </w:r>
      <w:r>
        <w:rPr>
          <w:rFonts w:asciiTheme="majorHAnsi" w:hAnsiTheme="majorHAnsi"/>
          <w:sz w:val="24"/>
          <w:szCs w:val="24"/>
          <w:lang w:val="en-US"/>
        </w:rPr>
        <w:t>, an international growth standard</w:t>
      </w:r>
      <w:r w:rsidRPr="00E313ED">
        <w:rPr>
          <w:rFonts w:asciiTheme="majorHAnsi" w:hAnsiTheme="majorHAnsi"/>
          <w:sz w:val="24"/>
          <w:szCs w:val="24"/>
          <w:lang w:val="en-US"/>
        </w:rPr>
        <w:t xml:space="preserve"> </w:t>
      </w:r>
      <w:r>
        <w:rPr>
          <w:rFonts w:asciiTheme="majorHAnsi" w:hAnsiTheme="majorHAnsi"/>
          <w:sz w:val="24"/>
          <w:szCs w:val="24"/>
          <w:lang w:val="en-US"/>
        </w:rPr>
        <w:t xml:space="preserve">for this age group, designed with </w:t>
      </w:r>
      <w:r w:rsidRPr="00477D1E">
        <w:rPr>
          <w:rFonts w:asciiTheme="majorHAnsi" w:hAnsiTheme="majorHAnsi"/>
          <w:sz w:val="24"/>
          <w:szCs w:val="24"/>
          <w:lang w:val="en-US"/>
        </w:rPr>
        <w:t>multi-eth</w:t>
      </w:r>
      <w:r>
        <w:rPr>
          <w:rFonts w:asciiTheme="majorHAnsi" w:hAnsiTheme="majorHAnsi"/>
          <w:sz w:val="24"/>
          <w:szCs w:val="24"/>
          <w:lang w:val="en-US"/>
        </w:rPr>
        <w:t xml:space="preserve">nic sampling strategies, does not exist. This means that levels of optimal growth for children between 5-19 years cannot be derived very accurately </w:t>
      </w:r>
      <w:r>
        <w:rPr>
          <w:rFonts w:asciiTheme="majorHAnsi" w:hAnsiTheme="majorHAnsi"/>
          <w:sz w:val="24"/>
          <w:szCs w:val="24"/>
          <w:lang w:val="en-US"/>
        </w:rPr>
        <w:fldChar w:fldCharType="begin"/>
      </w:r>
      <w:r>
        <w:rPr>
          <w:rFonts w:asciiTheme="majorHAnsi" w:hAnsiTheme="majorHAnsi"/>
          <w:sz w:val="24"/>
          <w:szCs w:val="24"/>
          <w:lang w:val="en-US"/>
        </w:rPr>
        <w:instrText xml:space="preserve"> ADDIN ZOTERO_ITEM CSL_CITATION {"citationID":"gLlglVHY","properties":{"formattedCitation":"(Butte, Garza, &amp; Onis, 2007; Wells, 2014)","plainCitation":"(Butte, Garza, &amp; Onis, 2007; Wells, 2014)"},"citationItems":[{"id":1114,"uris":["http://zotero.org/groups/698231/items/4JHBFBZK"],"uri":["http://zotero.org/groups/698231/items/4JHBFBZK"],"itemData":{"id":1114,"type":"article-journal","title":"Evaluation of the feasibility of international growth standards for school-aged children and adolescents","container-title":"The Journal of Nutrition","page":"153-157","volume":"137","issue":"1","source":"jn.nutrition.org","abstract":"The development of an international growth standard for the screening, surveillance, and monitoring of school-aged children and adolescents has been motivated by 2 contemporaneous events, the global surge in childhood obesity and the release of a new international growth standard for infants and preschool children by the WHO. If a prescriptive approach analogous to that taken by WHO for younger children is to be adopted for school-aged children and adolescents, several issues need to be addressed regarding the universality of growth potential across populations and the definition of optimal growth in children and adolescents. A working group of experts in growth and development and representatives from international organizations concluded that subpopulations exhibit similar patterns of growth when exposed to similar external conditioners of growth. However, based on available data, we cannot rule out that observed differences in linear growth across ethnic groups reflect true differences in genetic potential rather than environmental influences. Therefore, the sampling frame for the development of an international growth standard for children and adolescents must include multiethnic sampling strategies designed to capture the variation in human growth patterns. A single international growth standard for school-aged children and adolescents could be developed with careful consideration of the population and individual selection criteria, study design, sample size, measurements, and statistical modeling of primary growth and secondary ancillary data. The working group agreed that existing growth references for school-aged children and adolescents have shortcomings, particularly for assessing obesity, and that appropriate growth standards for these age groups should be developed for clinical and public health applications.","ISSN":"0022-3166, 1541-6100","note":"PMID: 17182818","journalAbbreviation":"J. Nutr.","language":"en","author":[{"family":"Butte","given":"Nancy F."},{"family":"Garza","given":"Cutberto"},{"family":"Onis","given":"Mercedes","dropping-particle":"de"}],"issued":{"date-parts":[["2007",1,1]]}}},{"id":1118,"uris":["http://zotero.org/groups/698231/items/KNJ7RFX4"],"uri":["http://zotero.org/groups/698231/items/KNJ7RFX4"],"itemData":{"id":1118,"type":"article-journal","title":"Toward body composition reference data for infants, children, and adolescents","container-title":"Advances in Nutrition: An International Review Journal","page":"320S-329S","volume":"5","issue":"3","source":"advances.nutrition.org","abstract":"Growth charts for weight and height have provided the basis for assessment of children’s nutritional status for over half a century, with charts for body mass index (BMI) introduced in the 1990s. However, BMI does not provide information on the proportions of fat and lean mass; and within the past decade, growth charts for children’s body composition have been produced by using techniques such as skinfold thicknesses, body circumferences, bioelectrical impedance analysis (BIA), and dual-energy X-ray absorptiometry (DXA). For public health research, BIA and skinfold thicknesses show negligible average bias but have wider limits of agreement than specialized techniques. For patients, DXA is the best individual method, but multicomponent models remain ideal because they address perturbations in lean mass composition. Data can be expressed in age- and sex-specific SD scores, in some cases adjusting for height. Most such reference data derive from high-income countries, but techniques such as air-displacement plethysmography allow infant body composition growth charts to be developed in low- and middle-income settings, where the data may improve understanding of the effects of low birth weight, wasting, and stunting on body composition. Recent studies suggest that between-population variability in body composition may derive in part from genetic factors, suggesting a universal human body composition reference may not be viable. Body composition growth charts may be extended into adult life to evaluate changes in fat and lean mass through the entire life course. These reference data will improve the understanding of the association between growth, body composition, health, and disease.","DOI":"10.3945/an.113.005371","ISSN":", 2156-5376","note":"PMID: 24829484","journalAbbreviation":"Adv Nutr","language":"en","author":[{"family":"Wells","given":"Jonathan C. K."}],"issued":{"date-parts":[["2014",1,5]]}}}],"schema":"https://github.com/citation-style-language/schema/raw/master/csl-citation.json"} </w:instrText>
      </w:r>
      <w:r>
        <w:rPr>
          <w:rFonts w:asciiTheme="majorHAnsi" w:hAnsiTheme="majorHAnsi"/>
          <w:sz w:val="24"/>
          <w:szCs w:val="24"/>
          <w:lang w:val="en-US"/>
        </w:rPr>
        <w:fldChar w:fldCharType="separate"/>
      </w:r>
      <w:r w:rsidRPr="00F07F87">
        <w:rPr>
          <w:rFonts w:ascii="Cambria" w:hAnsi="Cambria"/>
          <w:sz w:val="24"/>
          <w:lang w:val="en-US"/>
        </w:rPr>
        <w:t>(Butte</w:t>
      </w:r>
      <w:r>
        <w:rPr>
          <w:rFonts w:ascii="Cambria" w:hAnsi="Cambria"/>
          <w:sz w:val="24"/>
          <w:lang w:val="en-US"/>
        </w:rPr>
        <w:t xml:space="preserve"> et al.</w:t>
      </w:r>
      <w:r w:rsidRPr="00F07F87">
        <w:rPr>
          <w:rFonts w:ascii="Cambria" w:hAnsi="Cambria"/>
          <w:sz w:val="24"/>
          <w:lang w:val="en-US"/>
        </w:rPr>
        <w:t>, 2007; Wells, 2014)</w:t>
      </w:r>
      <w:r>
        <w:rPr>
          <w:rFonts w:asciiTheme="majorHAnsi" w:hAnsiTheme="majorHAnsi"/>
          <w:sz w:val="24"/>
          <w:szCs w:val="24"/>
          <w:lang w:val="en-US"/>
        </w:rPr>
        <w:fldChar w:fldCharType="end"/>
      </w:r>
      <w:r>
        <w:rPr>
          <w:rFonts w:asciiTheme="majorHAnsi" w:hAnsiTheme="majorHAnsi"/>
          <w:sz w:val="24"/>
          <w:szCs w:val="24"/>
          <w:lang w:val="en-US"/>
        </w:rPr>
        <w:t>. We do not expect that this inaccuracy would affect the general relationship between maternal nutrition knowledge and child growth.</w:t>
      </w:r>
    </w:p>
    <w:p w14:paraId="12174D20" w14:textId="77777777" w:rsidR="008A5C7B" w:rsidRDefault="008A5C7B" w:rsidP="008A5C7B">
      <w:pPr>
        <w:pStyle w:val="Kommentartext"/>
        <w:spacing w:line="480" w:lineRule="auto"/>
        <w:ind w:firstLine="708"/>
        <w:jc w:val="both"/>
        <w:rPr>
          <w:rFonts w:asciiTheme="majorHAnsi" w:hAnsiTheme="majorHAnsi"/>
          <w:sz w:val="24"/>
          <w:szCs w:val="24"/>
          <w:lang w:val="en-US"/>
        </w:rPr>
      </w:pPr>
      <w:r>
        <w:rPr>
          <w:rFonts w:asciiTheme="majorHAnsi" w:hAnsiTheme="majorHAnsi"/>
          <w:sz w:val="24"/>
          <w:szCs w:val="24"/>
          <w:lang w:val="en-US"/>
        </w:rPr>
        <w:t>Second, the</w:t>
      </w:r>
      <w:r w:rsidRPr="00E950A8">
        <w:rPr>
          <w:rFonts w:asciiTheme="majorHAnsi" w:hAnsiTheme="majorHAnsi"/>
          <w:sz w:val="24"/>
          <w:szCs w:val="24"/>
          <w:lang w:val="en-US"/>
        </w:rPr>
        <w:t xml:space="preserve"> number of survey questions for each of the nutrition knowledge categories </w:t>
      </w:r>
      <w:r>
        <w:rPr>
          <w:rFonts w:asciiTheme="majorHAnsi" w:hAnsiTheme="majorHAnsi"/>
          <w:sz w:val="24"/>
          <w:szCs w:val="24"/>
          <w:lang w:val="en-US"/>
        </w:rPr>
        <w:t xml:space="preserve">in our study </w:t>
      </w:r>
      <w:r w:rsidRPr="00E950A8">
        <w:rPr>
          <w:rFonts w:asciiTheme="majorHAnsi" w:hAnsiTheme="majorHAnsi"/>
          <w:sz w:val="24"/>
          <w:szCs w:val="24"/>
          <w:lang w:val="en-US"/>
        </w:rPr>
        <w:t xml:space="preserve">was not equally distributed. In the calculation of the aggregate </w:t>
      </w:r>
      <w:r>
        <w:rPr>
          <w:rFonts w:asciiTheme="majorHAnsi" w:hAnsiTheme="majorHAnsi"/>
          <w:sz w:val="24"/>
          <w:szCs w:val="24"/>
          <w:lang w:val="en-US"/>
        </w:rPr>
        <w:t xml:space="preserve">knowledge </w:t>
      </w:r>
      <w:r w:rsidRPr="00E950A8">
        <w:rPr>
          <w:rFonts w:asciiTheme="majorHAnsi" w:hAnsiTheme="majorHAnsi"/>
          <w:sz w:val="24"/>
          <w:szCs w:val="24"/>
          <w:lang w:val="en-US"/>
        </w:rPr>
        <w:t>score, we took this into account by first calculating a score for each category separately before constructing the composite knowledge indicator. This ensures that none of the categories is under- or over-represented in the aggregate score. Nevertheless, more questions in some of the categories could have further added to our understanding of the role of different types of nutrition knowledge. In future research</w:t>
      </w:r>
      <w:r>
        <w:rPr>
          <w:rFonts w:asciiTheme="majorHAnsi" w:hAnsiTheme="majorHAnsi"/>
          <w:sz w:val="24"/>
          <w:szCs w:val="24"/>
          <w:lang w:val="en-US"/>
        </w:rPr>
        <w:t>,</w:t>
      </w:r>
      <w:r w:rsidRPr="00E950A8">
        <w:rPr>
          <w:rFonts w:asciiTheme="majorHAnsi" w:hAnsiTheme="majorHAnsi"/>
          <w:sz w:val="24"/>
          <w:szCs w:val="24"/>
          <w:lang w:val="en-US"/>
        </w:rPr>
        <w:t xml:space="preserve"> it would be particularly interesting to increase the number and the variety of questions related to dietary recommendations and to the health consequences of not following such recommendations.</w:t>
      </w:r>
    </w:p>
    <w:p w14:paraId="22F68DD5" w14:textId="77777777" w:rsidR="008A5C7B" w:rsidRDefault="008A5C7B" w:rsidP="008A5C7B">
      <w:pPr>
        <w:pStyle w:val="Kommentartext"/>
        <w:spacing w:line="480" w:lineRule="auto"/>
        <w:ind w:firstLine="708"/>
        <w:jc w:val="both"/>
        <w:rPr>
          <w:rFonts w:asciiTheme="majorHAnsi" w:hAnsiTheme="majorHAnsi"/>
          <w:sz w:val="24"/>
          <w:szCs w:val="24"/>
          <w:lang w:val="en-US"/>
        </w:rPr>
      </w:pPr>
    </w:p>
    <w:p w14:paraId="67ABE99C" w14:textId="77777777" w:rsidR="008A5C7B" w:rsidRPr="00A254F5" w:rsidRDefault="008A5C7B" w:rsidP="007C3E2A">
      <w:pPr>
        <w:pStyle w:val="berschrift1"/>
        <w:rPr>
          <w:lang w:val="en-US"/>
        </w:rPr>
      </w:pPr>
      <w:bookmarkStart w:id="0" w:name="_GoBack"/>
      <w:r w:rsidRPr="00A254F5">
        <w:rPr>
          <w:lang w:val="en-US"/>
        </w:rPr>
        <w:lastRenderedPageBreak/>
        <w:t xml:space="preserve">Discussion </w:t>
      </w:r>
    </w:p>
    <w:bookmarkEnd w:id="0"/>
    <w:p w14:paraId="492DFF94" w14:textId="77777777" w:rsidR="008A5C7B" w:rsidRPr="00E950A8" w:rsidRDefault="008A5C7B" w:rsidP="008A5C7B">
      <w:pPr>
        <w:spacing w:line="480" w:lineRule="auto"/>
        <w:jc w:val="both"/>
        <w:rPr>
          <w:rFonts w:asciiTheme="majorHAnsi" w:hAnsiTheme="majorHAnsi"/>
          <w:sz w:val="24"/>
          <w:szCs w:val="24"/>
          <w:lang w:val="en-US"/>
        </w:rPr>
      </w:pPr>
      <w:r w:rsidRPr="00E950A8">
        <w:rPr>
          <w:rFonts w:asciiTheme="majorHAnsi" w:hAnsiTheme="majorHAnsi"/>
          <w:sz w:val="24"/>
          <w:szCs w:val="24"/>
          <w:lang w:val="en-US"/>
        </w:rPr>
        <w:t>It has long been established that raising awareness of balanced nutrition and nutrition-related health issues is one important avenue of reducing child undernutrition in developing countries. However, the extent to which different types of nutrition knowledge affect child nutritional outcomes is not yet sufficiently understood. We have contributed to this research direction by using survey data from Central Kenya. Results show that maternal nutrition knowledge is positively and significantly associated with HAZ of children and adolescents. Th</w:t>
      </w:r>
      <w:r>
        <w:rPr>
          <w:rFonts w:asciiTheme="majorHAnsi" w:hAnsiTheme="majorHAnsi"/>
          <w:sz w:val="24"/>
          <w:szCs w:val="24"/>
          <w:lang w:val="en-US"/>
        </w:rPr>
        <w:t>is</w:t>
      </w:r>
      <w:r w:rsidRPr="00E950A8">
        <w:rPr>
          <w:rFonts w:asciiTheme="majorHAnsi" w:hAnsiTheme="majorHAnsi"/>
          <w:sz w:val="24"/>
          <w:szCs w:val="24"/>
          <w:lang w:val="en-US"/>
        </w:rPr>
        <w:t xml:space="preserve"> positive </w:t>
      </w:r>
      <w:r>
        <w:rPr>
          <w:rFonts w:asciiTheme="majorHAnsi" w:hAnsiTheme="majorHAnsi"/>
          <w:sz w:val="24"/>
          <w:szCs w:val="24"/>
          <w:lang w:val="en-US"/>
        </w:rPr>
        <w:t>association</w:t>
      </w:r>
      <w:r w:rsidRPr="00E950A8">
        <w:rPr>
          <w:rFonts w:asciiTheme="majorHAnsi" w:hAnsiTheme="majorHAnsi"/>
          <w:sz w:val="24"/>
          <w:szCs w:val="24"/>
          <w:lang w:val="en-US"/>
        </w:rPr>
        <w:t xml:space="preserve"> </w:t>
      </w:r>
      <w:r>
        <w:rPr>
          <w:rFonts w:asciiTheme="majorHAnsi" w:hAnsiTheme="majorHAnsi"/>
          <w:sz w:val="24"/>
          <w:szCs w:val="24"/>
          <w:lang w:val="en-US"/>
        </w:rPr>
        <w:t>is</w:t>
      </w:r>
      <w:r w:rsidRPr="00E950A8">
        <w:rPr>
          <w:rFonts w:asciiTheme="majorHAnsi" w:hAnsiTheme="majorHAnsi"/>
          <w:sz w:val="24"/>
          <w:szCs w:val="24"/>
          <w:lang w:val="en-US"/>
        </w:rPr>
        <w:t xml:space="preserve"> consistent with previous findings </w:t>
      </w:r>
      <w:r>
        <w:rPr>
          <w:rFonts w:asciiTheme="majorHAnsi" w:hAnsiTheme="majorHAnsi"/>
          <w:sz w:val="24"/>
          <w:szCs w:val="24"/>
          <w:lang w:val="en-US"/>
        </w:rPr>
        <w:t xml:space="preserve">using data from younger children </w:t>
      </w:r>
      <w:r w:rsidRPr="00E950A8">
        <w:rPr>
          <w:rFonts w:asciiTheme="majorHAnsi" w:hAnsiTheme="majorHAnsi"/>
          <w:sz w:val="24"/>
          <w:szCs w:val="24"/>
          <w:lang w:val="en-US"/>
        </w:rPr>
        <w:fldChar w:fldCharType="begin"/>
      </w:r>
      <w:r w:rsidRPr="00E950A8">
        <w:rPr>
          <w:rFonts w:asciiTheme="majorHAnsi" w:hAnsiTheme="majorHAnsi"/>
          <w:sz w:val="24"/>
          <w:szCs w:val="24"/>
          <w:lang w:val="en-US"/>
        </w:rPr>
        <w:instrText xml:space="preserve"> ADDIN ZOTERO_ITEM CSL_CITATION {"citationID":"6hOpFzwP","properties":{"formattedCitation":"(e.g. Christiaensen &amp; Alderman, 2004; Variyam et al., 1999; Webb &amp; Block, 2004)","plainCitation":"(e.g. Christiaensen &amp; Alderman, 2004; Variyam et al., 1999; Webb &amp; Block, 2004)"},"citationItems":[{"id":840,"uris":["http://zotero.org/groups/698231/items/76HGZEWN"],"uri":["http://zotero.org/groups/698231/items/76HGZEWN"],"itemData":{"id":840,"type":"article-journal","title":"Child malnutrition in Ethiopia: can maternal knowledge augment the role of income?","container-title":"Economic Development and Cultural Change","page":"287-312","volume":"52","issue":"2","source":"JSTOR","DOI":"10.1086/380822","ISSN":"0013-0079","shortTitle":"Child Malnutrition in Ethiopia","journalAbbreviation":"Economic Development and Cultural Change","author":[{"family":"Christiaensen","given":"Luc"},{"family":"Alderman","given":"Harold"}],"issued":{"date-parts":[["2004"]]}},"prefix":"e.g. "},{"id":876,"uris":["http://zotero.org/groups/698231/items/UT26DT2Q"],"uri":["http://zotero.org/groups/698231/items/UT26DT2Q"],"itemData":{"id":876,"type":"article-journal","title":"Mother's nutrition knowledge and children's dietary intakes","container-title":"American Journal of Agricultural Economics","page":"373-384","volume":"81","issue":"2","source":"ajae.oxfordjournals.org","abstract":"This article uses U.S. food consumption data to examine the effect of maternal nutrition knowledge on the dietary intakes of children between two and seventeen years of age. Results show that maternal knowledge influences children's diets and that such influence decreases as children grow older. Nutrition knowledge acts as a pathway through which maternal education influences children's diets. This finding supports the hypothesis that education affects health-related choices by raising the allocative efficiency of health input use. The results suggest that nutrition education may be more effective if targeted both toward mothers with young children and directly toward school-age children.","DOI":"10.2307/1244588","ISSN":"0002-9092, 1467-8276","journalAbbreviation":"Am. J. Agr. Econ.","language":"en","author":[{"family":"Variyam","given":"Jayachandran N."},{"family":"Blaylock","given":"James"},{"family":"Lin","given":"Biing-Hwan"},{"family":"Ralston","given":"Katherine"},{"family":"Smallwood","given":"David"}],"issued":{"date-parts":[["1999",1,5]]}}},{"id":980,"uris":["http://zotero.org/groups/698231/items/5CGSDHK3"],"uri":["http://zotero.org/groups/698231/items/5CGSDHK3"],"itemData":{"id":980,"type":"article-journal","title":"Nutrition information and formal schooling as inputs to child nutrition","container-title":"Economic Development and Cultural Change","page":"801-820","volume":"52","issue":"4","source":"journals.uchicago.edu (Atypon)","DOI":"10.1086/420901","ISSN":"0013-0079","journalAbbreviation":"Economic Development and Cultural Change","author":[{"family":"Webb","given":"Patrick"},{"family":"Block","given":"Steven"}],"issued":{"date-parts":[["2004",7,1]]}}}],"schema":"https://github.com/citation-style-language/schema/raw/master/csl-citation.json"} </w:instrText>
      </w:r>
      <w:r w:rsidRPr="00E950A8">
        <w:rPr>
          <w:rFonts w:asciiTheme="majorHAnsi" w:hAnsiTheme="majorHAnsi"/>
          <w:sz w:val="24"/>
          <w:szCs w:val="24"/>
          <w:lang w:val="en-US"/>
        </w:rPr>
        <w:fldChar w:fldCharType="separate"/>
      </w:r>
      <w:r w:rsidRPr="00E950A8">
        <w:rPr>
          <w:rFonts w:ascii="Cambria" w:hAnsi="Cambria"/>
          <w:sz w:val="24"/>
          <w:lang w:val="en-US"/>
        </w:rPr>
        <w:t>(e.g. Christiaensen &amp; Alderman, 2004; Webb &amp; Block, 2004; Variyam et al., 1999)</w:t>
      </w:r>
      <w:r w:rsidRPr="00E950A8">
        <w:rPr>
          <w:rFonts w:asciiTheme="majorHAnsi" w:hAnsiTheme="majorHAnsi"/>
          <w:sz w:val="24"/>
          <w:szCs w:val="24"/>
          <w:lang w:val="en-US"/>
        </w:rPr>
        <w:fldChar w:fldCharType="end"/>
      </w:r>
      <w:r w:rsidRPr="00E950A8">
        <w:rPr>
          <w:rFonts w:asciiTheme="majorHAnsi" w:hAnsiTheme="majorHAnsi"/>
          <w:sz w:val="24"/>
          <w:szCs w:val="24"/>
          <w:lang w:val="en-US"/>
        </w:rPr>
        <w:t>.</w:t>
      </w:r>
    </w:p>
    <w:p w14:paraId="04B2BEEA" w14:textId="77777777" w:rsidR="008A5C7B" w:rsidRPr="00E950A8"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In addition, we have analyzed the role of different types of nutrition knowledge, which has rarely been done in previous studies. Indeed, our results differ by knowledge type. Maternal knowledge about food ingredients only has a weak positive association with HAZ of children and adolescents. For maternal knowledge about specific dietary recommendations, no significant association was detected. The strongest positive association with HAZ was found for maternal knowledge about the health consequences of not following recommended dietary practices.</w:t>
      </w:r>
    </w:p>
    <w:p w14:paraId="5852CAEF" w14:textId="77777777" w:rsidR="008A5C7B" w:rsidRPr="00E950A8" w:rsidRDefault="008A5C7B" w:rsidP="008A5C7B">
      <w:pPr>
        <w:spacing w:line="480" w:lineRule="auto"/>
        <w:ind w:firstLine="708"/>
        <w:jc w:val="both"/>
        <w:rPr>
          <w:rFonts w:asciiTheme="majorHAnsi" w:hAnsiTheme="majorHAnsi"/>
          <w:sz w:val="24"/>
          <w:szCs w:val="24"/>
          <w:lang w:val="en-US"/>
        </w:rPr>
      </w:pPr>
      <w:r w:rsidRPr="00E950A8">
        <w:rPr>
          <w:rFonts w:asciiTheme="majorHAnsi" w:hAnsiTheme="majorHAnsi"/>
          <w:sz w:val="24"/>
          <w:szCs w:val="24"/>
          <w:lang w:val="en-US"/>
        </w:rPr>
        <w:t xml:space="preserve">These findings imply that building broader awareness of the health risks of unsuitable dietary practices among mothers and caretakers </w:t>
      </w:r>
      <w:r>
        <w:rPr>
          <w:rFonts w:asciiTheme="majorHAnsi" w:hAnsiTheme="majorHAnsi"/>
          <w:sz w:val="24"/>
          <w:szCs w:val="24"/>
          <w:lang w:val="en-US"/>
        </w:rPr>
        <w:t>is</w:t>
      </w:r>
      <w:r w:rsidRPr="00E950A8">
        <w:rPr>
          <w:rFonts w:asciiTheme="majorHAnsi" w:hAnsiTheme="majorHAnsi"/>
          <w:sz w:val="24"/>
          <w:szCs w:val="24"/>
          <w:lang w:val="en-US"/>
        </w:rPr>
        <w:t xml:space="preserve"> important for improving nutrition and health of children and adolescents. Put differently, knowledge about adverse health consequences seems to be more effective in </w:t>
      </w:r>
      <w:r>
        <w:rPr>
          <w:rFonts w:asciiTheme="majorHAnsi" w:hAnsiTheme="majorHAnsi"/>
          <w:sz w:val="24"/>
          <w:szCs w:val="24"/>
          <w:lang w:val="en-US"/>
        </w:rPr>
        <w:t>shaping</w:t>
      </w:r>
      <w:r w:rsidRPr="00E950A8">
        <w:rPr>
          <w:rFonts w:asciiTheme="majorHAnsi" w:hAnsiTheme="majorHAnsi"/>
          <w:sz w:val="24"/>
          <w:szCs w:val="24"/>
          <w:lang w:val="en-US"/>
        </w:rPr>
        <w:t xml:space="preserve"> dietary behavioral responses than knowledge about food ingredients and dietary recommendations per se. Of course, nutrition education programs will always have to take into account the concrete nutritional needs and challenges in a particular setting. But our conclusion that effective nutrition </w:t>
      </w:r>
      <w:r w:rsidRPr="00E950A8">
        <w:rPr>
          <w:rFonts w:asciiTheme="majorHAnsi" w:hAnsiTheme="majorHAnsi"/>
          <w:sz w:val="24"/>
          <w:szCs w:val="24"/>
          <w:lang w:val="en-US"/>
        </w:rPr>
        <w:lastRenderedPageBreak/>
        <w:t>education and training programs should always link dietary recommendation</w:t>
      </w:r>
      <w:r>
        <w:rPr>
          <w:rFonts w:asciiTheme="majorHAnsi" w:hAnsiTheme="majorHAnsi"/>
          <w:sz w:val="24"/>
          <w:szCs w:val="24"/>
          <w:lang w:val="en-US"/>
        </w:rPr>
        <w:t>s</w:t>
      </w:r>
      <w:r w:rsidRPr="00E950A8">
        <w:rPr>
          <w:rFonts w:asciiTheme="majorHAnsi" w:hAnsiTheme="majorHAnsi"/>
          <w:sz w:val="24"/>
          <w:szCs w:val="24"/>
          <w:lang w:val="en-US"/>
        </w:rPr>
        <w:t xml:space="preserve"> to concrete health consequences probably holds beyond the concrete setting.</w:t>
      </w:r>
    </w:p>
    <w:p w14:paraId="5A4DE4A1" w14:textId="77777777" w:rsidR="00F3367C" w:rsidRPr="00E950A8" w:rsidRDefault="00F3367C" w:rsidP="00D87CB8">
      <w:pPr>
        <w:rPr>
          <w:rFonts w:asciiTheme="majorHAnsi" w:hAnsiTheme="majorHAnsi"/>
          <w:sz w:val="24"/>
          <w:szCs w:val="24"/>
          <w:lang w:val="en-US"/>
        </w:rPr>
      </w:pPr>
      <w:r w:rsidRPr="00E950A8">
        <w:rPr>
          <w:rFonts w:asciiTheme="majorHAnsi" w:hAnsiTheme="majorHAnsi"/>
          <w:sz w:val="24"/>
          <w:szCs w:val="24"/>
          <w:lang w:val="en-US"/>
        </w:rPr>
        <w:br w:type="page"/>
      </w:r>
    </w:p>
    <w:p w14:paraId="5D4B38A6" w14:textId="77777777" w:rsidR="000D1F10" w:rsidRDefault="000D1F10" w:rsidP="000F21CE">
      <w:pPr>
        <w:jc w:val="both"/>
        <w:rPr>
          <w:rFonts w:asciiTheme="majorHAnsi" w:hAnsiTheme="majorHAnsi"/>
          <w:b/>
          <w:sz w:val="24"/>
          <w:szCs w:val="24"/>
          <w:lang w:val="en-US"/>
        </w:rPr>
      </w:pPr>
    </w:p>
    <w:p w14:paraId="5FD4B32F" w14:textId="0E5B8994" w:rsidR="000F21CE" w:rsidRPr="00E950A8" w:rsidRDefault="000F21CE" w:rsidP="000F21CE">
      <w:pPr>
        <w:jc w:val="both"/>
        <w:rPr>
          <w:rFonts w:asciiTheme="majorHAnsi" w:hAnsiTheme="majorHAnsi"/>
          <w:b/>
          <w:sz w:val="24"/>
          <w:szCs w:val="24"/>
          <w:lang w:val="en-US"/>
        </w:rPr>
      </w:pPr>
      <w:r w:rsidRPr="00E950A8">
        <w:rPr>
          <w:rFonts w:asciiTheme="majorHAnsi" w:hAnsiTheme="majorHAnsi"/>
          <w:b/>
          <w:sz w:val="24"/>
          <w:szCs w:val="24"/>
          <w:lang w:val="en-US"/>
        </w:rPr>
        <w:t>Acknowledgment</w:t>
      </w:r>
      <w:r w:rsidR="000D1605">
        <w:rPr>
          <w:rFonts w:asciiTheme="majorHAnsi" w:hAnsiTheme="majorHAnsi"/>
          <w:b/>
          <w:sz w:val="24"/>
          <w:szCs w:val="24"/>
          <w:lang w:val="en-US"/>
        </w:rPr>
        <w:t>s</w:t>
      </w:r>
    </w:p>
    <w:p w14:paraId="7DEB07DC" w14:textId="77777777" w:rsidR="000F21CE" w:rsidRPr="00E950A8" w:rsidRDefault="000F21CE" w:rsidP="000F21CE">
      <w:pPr>
        <w:jc w:val="both"/>
        <w:rPr>
          <w:rFonts w:asciiTheme="majorHAnsi" w:hAnsiTheme="majorHAnsi"/>
          <w:sz w:val="24"/>
          <w:szCs w:val="24"/>
          <w:lang w:val="en-US"/>
        </w:rPr>
      </w:pPr>
      <w:r w:rsidRPr="00E950A8">
        <w:rPr>
          <w:rFonts w:asciiTheme="majorHAnsi" w:hAnsiTheme="majorHAnsi"/>
          <w:sz w:val="24"/>
          <w:szCs w:val="24"/>
          <w:lang w:val="en-US"/>
        </w:rPr>
        <w:t>We thank the team of enumerators in Kenya for their cooperation during the fieldwork. We also thank the survey respondents for devoting their time to answer our questions.</w:t>
      </w:r>
    </w:p>
    <w:p w14:paraId="6AEA4543" w14:textId="77777777" w:rsidR="000F21CE" w:rsidRDefault="000F21CE" w:rsidP="000F21CE">
      <w:pPr>
        <w:rPr>
          <w:rFonts w:asciiTheme="majorHAnsi" w:hAnsiTheme="majorHAnsi"/>
          <w:b/>
          <w:sz w:val="24"/>
          <w:szCs w:val="24"/>
          <w:lang w:val="en-US"/>
        </w:rPr>
      </w:pPr>
    </w:p>
    <w:p w14:paraId="3853FCCA" w14:textId="00C2E878" w:rsidR="009F1C57" w:rsidRDefault="009F1C57" w:rsidP="009F1C57">
      <w:pPr>
        <w:jc w:val="both"/>
        <w:rPr>
          <w:rFonts w:asciiTheme="majorHAnsi" w:hAnsiTheme="majorHAnsi"/>
          <w:sz w:val="24"/>
          <w:szCs w:val="24"/>
          <w:lang w:val="en-US"/>
        </w:rPr>
      </w:pPr>
      <w:r w:rsidRPr="006F1358">
        <w:rPr>
          <w:rFonts w:asciiTheme="majorHAnsi" w:hAnsiTheme="majorHAnsi"/>
          <w:b/>
          <w:sz w:val="24"/>
          <w:szCs w:val="24"/>
          <w:lang w:val="en-US"/>
        </w:rPr>
        <w:t>Funding</w:t>
      </w:r>
      <w:r>
        <w:rPr>
          <w:rFonts w:asciiTheme="majorHAnsi" w:hAnsiTheme="majorHAnsi"/>
          <w:sz w:val="24"/>
          <w:szCs w:val="24"/>
          <w:lang w:val="en-US"/>
        </w:rPr>
        <w:t xml:space="preserve">: This work was supported by </w:t>
      </w:r>
      <w:r w:rsidRPr="00E950A8">
        <w:rPr>
          <w:rFonts w:asciiTheme="majorHAnsi" w:hAnsiTheme="majorHAnsi"/>
          <w:sz w:val="24"/>
          <w:szCs w:val="24"/>
          <w:lang w:val="en-US"/>
        </w:rPr>
        <w:t>the German Research Foundation (Deutsche Forschungsgemeinschaft, DFG) as part of the GlobalFood Program (grant number RTG 1666).</w:t>
      </w:r>
      <w:r w:rsidR="0018713E">
        <w:rPr>
          <w:rFonts w:asciiTheme="majorHAnsi" w:hAnsiTheme="majorHAnsi"/>
          <w:sz w:val="24"/>
          <w:szCs w:val="24"/>
          <w:lang w:val="en-US"/>
        </w:rPr>
        <w:t xml:space="preserve"> The funding source had no role in the content of the manuscript.</w:t>
      </w:r>
    </w:p>
    <w:p w14:paraId="09159ABE" w14:textId="77777777" w:rsidR="009F1C57" w:rsidRPr="00E950A8" w:rsidRDefault="009F1C57" w:rsidP="009F1C57">
      <w:pPr>
        <w:jc w:val="both"/>
        <w:rPr>
          <w:rFonts w:asciiTheme="majorHAnsi" w:hAnsiTheme="majorHAnsi"/>
          <w:sz w:val="24"/>
          <w:szCs w:val="24"/>
          <w:lang w:val="en-US"/>
        </w:rPr>
      </w:pPr>
    </w:p>
    <w:p w14:paraId="1CDE17D5" w14:textId="77777777" w:rsidR="009F1C57" w:rsidRPr="00AD7F81" w:rsidRDefault="009F1C57" w:rsidP="009F1C57">
      <w:pPr>
        <w:rPr>
          <w:rFonts w:asciiTheme="majorHAnsi" w:hAnsiTheme="majorHAnsi"/>
          <w:b/>
          <w:sz w:val="24"/>
          <w:szCs w:val="24"/>
          <w:lang w:val="en-US"/>
        </w:rPr>
      </w:pPr>
      <w:r w:rsidRPr="00AD7F81">
        <w:rPr>
          <w:rFonts w:asciiTheme="majorHAnsi" w:hAnsiTheme="majorHAnsi"/>
          <w:b/>
          <w:sz w:val="24"/>
          <w:szCs w:val="24"/>
          <w:lang w:val="en-US"/>
        </w:rPr>
        <w:t xml:space="preserve">Conflict of interest </w:t>
      </w:r>
    </w:p>
    <w:p w14:paraId="0F4511AF" w14:textId="77777777" w:rsidR="009F1C57" w:rsidRDefault="009F1C57" w:rsidP="009F1C57">
      <w:pPr>
        <w:rPr>
          <w:rFonts w:asciiTheme="majorHAnsi" w:hAnsiTheme="majorHAnsi"/>
          <w:sz w:val="24"/>
          <w:szCs w:val="24"/>
          <w:lang w:val="en-US"/>
        </w:rPr>
      </w:pPr>
      <w:r>
        <w:rPr>
          <w:rFonts w:asciiTheme="majorHAnsi" w:hAnsiTheme="majorHAnsi"/>
          <w:sz w:val="24"/>
          <w:szCs w:val="24"/>
          <w:lang w:val="en-US"/>
        </w:rPr>
        <w:t>The authors declare that they have no conflict of interest.</w:t>
      </w:r>
    </w:p>
    <w:p w14:paraId="423FF4D3" w14:textId="77777777" w:rsidR="000F21CE" w:rsidRPr="00D33EA5" w:rsidRDefault="000F21CE" w:rsidP="000F21CE">
      <w:pPr>
        <w:rPr>
          <w:rFonts w:asciiTheme="majorHAnsi" w:hAnsiTheme="majorHAnsi"/>
          <w:sz w:val="24"/>
          <w:szCs w:val="24"/>
          <w:lang w:val="en-US"/>
        </w:rPr>
      </w:pPr>
    </w:p>
    <w:p w14:paraId="2349B49D" w14:textId="77777777" w:rsidR="000F21CE" w:rsidRDefault="000F21CE">
      <w:pPr>
        <w:rPr>
          <w:rFonts w:asciiTheme="majorHAnsi" w:hAnsiTheme="majorHAnsi"/>
          <w:b/>
          <w:sz w:val="24"/>
          <w:szCs w:val="24"/>
          <w:lang w:val="en-US"/>
        </w:rPr>
      </w:pPr>
      <w:r>
        <w:rPr>
          <w:rFonts w:asciiTheme="majorHAnsi" w:hAnsiTheme="majorHAnsi"/>
          <w:b/>
          <w:sz w:val="24"/>
          <w:szCs w:val="24"/>
          <w:lang w:val="en-US"/>
        </w:rPr>
        <w:br w:type="page"/>
      </w:r>
    </w:p>
    <w:p w14:paraId="6B824FEF" w14:textId="0565891C" w:rsidR="00024357" w:rsidRPr="00E950A8" w:rsidRDefault="00024357" w:rsidP="00246CD0">
      <w:pPr>
        <w:rPr>
          <w:rFonts w:asciiTheme="majorHAnsi" w:hAnsiTheme="majorHAnsi"/>
          <w:b/>
          <w:sz w:val="24"/>
          <w:szCs w:val="24"/>
          <w:lang w:val="en-US"/>
        </w:rPr>
      </w:pPr>
      <w:r w:rsidRPr="00E950A8">
        <w:rPr>
          <w:rFonts w:asciiTheme="majorHAnsi" w:hAnsiTheme="majorHAnsi"/>
          <w:b/>
          <w:sz w:val="24"/>
          <w:szCs w:val="24"/>
          <w:lang w:val="en-US"/>
        </w:rPr>
        <w:lastRenderedPageBreak/>
        <w:t>References</w:t>
      </w:r>
    </w:p>
    <w:p w14:paraId="01418587" w14:textId="77777777" w:rsidR="00F3367C" w:rsidRPr="00F0530D" w:rsidRDefault="00051CB9"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fldChar w:fldCharType="begin"/>
      </w:r>
      <w:r w:rsidR="00F3367C" w:rsidRPr="00F0530D">
        <w:rPr>
          <w:rFonts w:asciiTheme="majorHAnsi" w:hAnsiTheme="majorHAnsi" w:cs="Times New Roman"/>
          <w:sz w:val="24"/>
          <w:szCs w:val="24"/>
          <w:lang w:val="en-US"/>
        </w:rPr>
        <w:instrText xml:space="preserve"> ADDIN ZOTERO_BIBL {"custom":[]} CSL_BIBLIOGRAPHY </w:instrText>
      </w:r>
      <w:r w:rsidRPr="00F0530D">
        <w:rPr>
          <w:rFonts w:asciiTheme="majorHAnsi" w:hAnsiTheme="majorHAnsi" w:cs="Times New Roman"/>
          <w:sz w:val="24"/>
          <w:szCs w:val="24"/>
          <w:lang w:val="en-US"/>
        </w:rPr>
        <w:fldChar w:fldCharType="separate"/>
      </w:r>
      <w:r w:rsidR="00F3367C" w:rsidRPr="00F0530D">
        <w:rPr>
          <w:rFonts w:asciiTheme="majorHAnsi" w:hAnsiTheme="majorHAnsi" w:cs="Times New Roman"/>
          <w:sz w:val="24"/>
          <w:szCs w:val="24"/>
          <w:lang w:val="en-US"/>
        </w:rPr>
        <w:t xml:space="preserve">Adair, L. S. (1999). Filipino children exhibit catch-up growth from age 2 to 12 years. </w:t>
      </w:r>
      <w:r w:rsidR="00F3367C" w:rsidRPr="00F0530D">
        <w:rPr>
          <w:rFonts w:asciiTheme="majorHAnsi" w:hAnsiTheme="majorHAnsi" w:cs="Times New Roman"/>
          <w:i/>
          <w:iCs/>
          <w:sz w:val="24"/>
          <w:szCs w:val="24"/>
          <w:lang w:val="en-US"/>
        </w:rPr>
        <w:t>The Journal of Nutrition</w:t>
      </w:r>
      <w:r w:rsidR="00F3367C" w:rsidRPr="00F0530D">
        <w:rPr>
          <w:rFonts w:asciiTheme="majorHAnsi" w:hAnsiTheme="majorHAnsi" w:cs="Times New Roman"/>
          <w:sz w:val="24"/>
          <w:szCs w:val="24"/>
          <w:lang w:val="en-US"/>
        </w:rPr>
        <w:t xml:space="preserve">, </w:t>
      </w:r>
      <w:r w:rsidR="00F3367C" w:rsidRPr="00F0530D">
        <w:rPr>
          <w:rFonts w:asciiTheme="majorHAnsi" w:hAnsiTheme="majorHAnsi" w:cs="Times New Roman"/>
          <w:i/>
          <w:iCs/>
          <w:sz w:val="24"/>
          <w:szCs w:val="24"/>
          <w:lang w:val="en-US"/>
        </w:rPr>
        <w:t>129</w:t>
      </w:r>
      <w:r w:rsidR="00F3367C" w:rsidRPr="00F0530D">
        <w:rPr>
          <w:rFonts w:asciiTheme="majorHAnsi" w:hAnsiTheme="majorHAnsi" w:cs="Times New Roman"/>
          <w:sz w:val="24"/>
          <w:szCs w:val="24"/>
          <w:lang w:val="en-US"/>
        </w:rPr>
        <w:t>, 1140–1148.</w:t>
      </w:r>
    </w:p>
    <w:p w14:paraId="2BDCB93A" w14:textId="77777777" w:rsidR="00FB580C" w:rsidRPr="00F0530D" w:rsidRDefault="00FB580C" w:rsidP="00FB580C">
      <w:pPr>
        <w:rPr>
          <w:rFonts w:asciiTheme="majorHAnsi" w:hAnsiTheme="majorHAnsi" w:cs="Times New Roman"/>
          <w:sz w:val="24"/>
          <w:szCs w:val="24"/>
          <w:lang w:val="en-US"/>
        </w:rPr>
      </w:pPr>
    </w:p>
    <w:p w14:paraId="49AC4FB4"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Appoh, L. Y., &amp; Krekling, S. (2005). Maternal nutritional knowledge and child nutritional status in the Volta Region of Ghana. </w:t>
      </w:r>
      <w:r w:rsidRPr="00F0530D">
        <w:rPr>
          <w:rFonts w:asciiTheme="majorHAnsi" w:hAnsiTheme="majorHAnsi" w:cs="Times New Roman"/>
          <w:i/>
          <w:iCs/>
          <w:sz w:val="24"/>
          <w:szCs w:val="24"/>
          <w:lang w:val="en-US"/>
        </w:rPr>
        <w:t>Maternal &amp; Child Nutrition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1</w:t>
      </w:r>
      <w:r w:rsidRPr="00F0530D">
        <w:rPr>
          <w:rFonts w:asciiTheme="majorHAnsi" w:hAnsiTheme="majorHAnsi" w:cs="Times New Roman"/>
          <w:sz w:val="24"/>
          <w:szCs w:val="24"/>
          <w:lang w:val="en-US"/>
        </w:rPr>
        <w:t>, 100–110.</w:t>
      </w:r>
    </w:p>
    <w:p w14:paraId="6D4C1DC9" w14:textId="77777777" w:rsidR="00FB580C" w:rsidRPr="00F0530D" w:rsidRDefault="00FB580C" w:rsidP="00FB580C">
      <w:pPr>
        <w:rPr>
          <w:rFonts w:asciiTheme="majorHAnsi" w:hAnsiTheme="majorHAnsi" w:cs="Times New Roman"/>
          <w:sz w:val="24"/>
          <w:szCs w:val="24"/>
          <w:lang w:val="en-US"/>
        </w:rPr>
      </w:pPr>
    </w:p>
    <w:p w14:paraId="727A870D"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Black, R. E., Victora, C. G., Walker, S. P., Bhutta, Z. A., Christian, P., de Onis, M., … Uauy, R. (2013). Maternal and child undernutrition and overweight in low-income and middle-income countries. </w:t>
      </w:r>
      <w:r w:rsidRPr="00F0530D">
        <w:rPr>
          <w:rFonts w:asciiTheme="majorHAnsi" w:hAnsiTheme="majorHAnsi" w:cs="Times New Roman"/>
          <w:i/>
          <w:iCs/>
          <w:sz w:val="24"/>
          <w:szCs w:val="24"/>
          <w:lang w:val="en-US"/>
        </w:rPr>
        <w:t>The Lancet</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382</w:t>
      </w:r>
      <w:r w:rsidRPr="00F0530D">
        <w:rPr>
          <w:rFonts w:asciiTheme="majorHAnsi" w:hAnsiTheme="majorHAnsi" w:cs="Times New Roman"/>
          <w:sz w:val="24"/>
          <w:szCs w:val="24"/>
          <w:lang w:val="en-US"/>
        </w:rPr>
        <w:t>, 427–451.</w:t>
      </w:r>
    </w:p>
    <w:p w14:paraId="1C1F8C93" w14:textId="77777777" w:rsidR="00FB580C" w:rsidRPr="00F0530D" w:rsidRDefault="00FB580C" w:rsidP="00FB580C">
      <w:pPr>
        <w:rPr>
          <w:rFonts w:asciiTheme="majorHAnsi" w:hAnsiTheme="majorHAnsi" w:cs="Times New Roman"/>
          <w:sz w:val="24"/>
          <w:szCs w:val="24"/>
          <w:lang w:val="en-US"/>
        </w:rPr>
      </w:pPr>
    </w:p>
    <w:p w14:paraId="619C0125" w14:textId="77777777" w:rsidR="00F3367C" w:rsidRPr="00F0530D" w:rsidRDefault="00F3367C" w:rsidP="00B05389">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Burchi, F. (2010). Child nutrition in Mozambique in 2003: the role of mother’s schooling and nutrition knowledge. </w:t>
      </w:r>
      <w:r w:rsidRPr="00F0530D">
        <w:rPr>
          <w:rFonts w:asciiTheme="majorHAnsi" w:hAnsiTheme="majorHAnsi" w:cs="Times New Roman"/>
          <w:i/>
          <w:iCs/>
          <w:sz w:val="24"/>
          <w:szCs w:val="24"/>
          <w:lang w:val="en-US"/>
        </w:rPr>
        <w:t>Economics &amp; Human Biology</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8</w:t>
      </w:r>
      <w:r w:rsidRPr="00F0530D">
        <w:rPr>
          <w:rFonts w:asciiTheme="majorHAnsi" w:hAnsiTheme="majorHAnsi" w:cs="Times New Roman"/>
          <w:sz w:val="24"/>
          <w:szCs w:val="24"/>
          <w:lang w:val="en-US"/>
        </w:rPr>
        <w:t>, 331–345.</w:t>
      </w:r>
    </w:p>
    <w:p w14:paraId="0160B41B" w14:textId="77777777" w:rsidR="00FB580C" w:rsidRPr="00F0530D" w:rsidRDefault="00FB580C" w:rsidP="00FB580C">
      <w:pPr>
        <w:rPr>
          <w:rFonts w:asciiTheme="majorHAnsi" w:hAnsiTheme="majorHAnsi" w:cs="Times New Roman"/>
          <w:sz w:val="24"/>
          <w:szCs w:val="24"/>
          <w:lang w:val="en-US"/>
        </w:rPr>
      </w:pPr>
    </w:p>
    <w:p w14:paraId="41109D40" w14:textId="1693058A" w:rsidR="00DC54C0" w:rsidRDefault="00DC54C0" w:rsidP="00F0530D">
      <w:pPr>
        <w:pStyle w:val="Literaturverzeichnis"/>
        <w:spacing w:line="240" w:lineRule="auto"/>
        <w:rPr>
          <w:rFonts w:asciiTheme="majorHAnsi" w:hAnsiTheme="majorHAnsi" w:cs="Times New Roman"/>
          <w:sz w:val="24"/>
          <w:szCs w:val="24"/>
          <w:lang w:val="en-US"/>
        </w:rPr>
      </w:pPr>
      <w:r>
        <w:rPr>
          <w:rFonts w:asciiTheme="majorHAnsi" w:hAnsiTheme="majorHAnsi" w:cs="Times New Roman"/>
          <w:sz w:val="24"/>
          <w:szCs w:val="24"/>
          <w:lang w:val="en-US"/>
        </w:rPr>
        <w:t>Burchi, F., Scarlato, M., &amp; d'Agostino, G</w:t>
      </w:r>
      <w:r w:rsidR="000A49F9">
        <w:rPr>
          <w:rFonts w:asciiTheme="majorHAnsi" w:hAnsiTheme="majorHAnsi" w:cs="Times New Roman"/>
          <w:sz w:val="24"/>
          <w:szCs w:val="24"/>
          <w:lang w:val="en-US"/>
        </w:rPr>
        <w:t xml:space="preserve">. (2016), </w:t>
      </w:r>
      <w:r w:rsidRPr="00DC54C0">
        <w:rPr>
          <w:rFonts w:asciiTheme="majorHAnsi" w:hAnsiTheme="majorHAnsi" w:cs="Times New Roman"/>
          <w:sz w:val="24"/>
          <w:szCs w:val="24"/>
          <w:lang w:val="en-US"/>
        </w:rPr>
        <w:t>Addressing Food Insecurity in sub-Saharan Africa: The role of Cash Transfers</w:t>
      </w:r>
      <w:r w:rsidR="000A49F9">
        <w:rPr>
          <w:rFonts w:asciiTheme="majorHAnsi" w:hAnsiTheme="majorHAnsi" w:cs="Times New Roman"/>
          <w:sz w:val="24"/>
          <w:szCs w:val="24"/>
          <w:lang w:val="en-US"/>
        </w:rPr>
        <w:t>.</w:t>
      </w:r>
      <w:r>
        <w:rPr>
          <w:rFonts w:asciiTheme="majorHAnsi" w:hAnsiTheme="majorHAnsi" w:cs="Times New Roman"/>
          <w:sz w:val="24"/>
          <w:szCs w:val="24"/>
          <w:lang w:val="en-US"/>
        </w:rPr>
        <w:t xml:space="preserve"> DIE Discussion Paper 17/2016. </w:t>
      </w:r>
      <w:r w:rsidRPr="00F0530D">
        <w:rPr>
          <w:rFonts w:asciiTheme="majorHAnsi" w:hAnsiTheme="majorHAnsi" w:cs="Times New Roman"/>
          <w:sz w:val="24"/>
          <w:szCs w:val="24"/>
          <w:lang w:val="en-US"/>
        </w:rPr>
        <w:t>Retrieved from</w:t>
      </w:r>
      <w:r w:rsidRPr="00DC54C0">
        <w:rPr>
          <w:rFonts w:asciiTheme="majorHAnsi" w:hAnsiTheme="majorHAnsi" w:cs="Times New Roman"/>
          <w:sz w:val="24"/>
          <w:szCs w:val="24"/>
          <w:lang w:val="en-US"/>
        </w:rPr>
        <w:t xml:space="preserve"> </w:t>
      </w:r>
      <w:hyperlink r:id="rId16" w:history="1">
        <w:r w:rsidRPr="00DC54C0">
          <w:rPr>
            <w:rStyle w:val="Hyperlink"/>
            <w:rFonts w:asciiTheme="majorHAnsi" w:hAnsiTheme="majorHAnsi" w:cs="Times New Roman"/>
            <w:sz w:val="24"/>
            <w:szCs w:val="24"/>
            <w:lang w:val="en-US"/>
          </w:rPr>
          <w:t>https://www.die-gdi.de/uploads/media/DP_17.2016.pdf</w:t>
        </w:r>
      </w:hyperlink>
    </w:p>
    <w:p w14:paraId="2ED28177" w14:textId="77777777" w:rsidR="00DC54C0" w:rsidRPr="00DC54C0" w:rsidRDefault="00DC54C0" w:rsidP="00DC54C0">
      <w:pPr>
        <w:rPr>
          <w:lang w:val="en-US"/>
        </w:rPr>
      </w:pPr>
    </w:p>
    <w:p w14:paraId="6717BF41" w14:textId="77777777" w:rsidR="00874E17" w:rsidRPr="00F0530D" w:rsidRDefault="00874E17" w:rsidP="00F0530D">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Butte, N. F., Garza, C., &amp; Onis, M. de. (2007). Evaluation of the feasibility of international growth standards for school-aged children and adolescents. </w:t>
      </w:r>
      <w:r w:rsidRPr="00F0530D">
        <w:rPr>
          <w:rFonts w:asciiTheme="majorHAnsi" w:hAnsiTheme="majorHAnsi" w:cs="Times New Roman"/>
          <w:i/>
          <w:iCs/>
          <w:sz w:val="24"/>
          <w:szCs w:val="24"/>
          <w:lang w:val="en-US"/>
        </w:rPr>
        <w:t>The Journal of Nutrition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137</w:t>
      </w:r>
      <w:r w:rsidRPr="00F0530D">
        <w:rPr>
          <w:rFonts w:asciiTheme="majorHAnsi" w:hAnsiTheme="majorHAnsi" w:cs="Times New Roman"/>
          <w:sz w:val="24"/>
          <w:szCs w:val="24"/>
          <w:lang w:val="en-US"/>
        </w:rPr>
        <w:t>, 153–157.</w:t>
      </w:r>
    </w:p>
    <w:p w14:paraId="23AEB28D" w14:textId="77777777" w:rsidR="00874E17" w:rsidRPr="00F0530D" w:rsidRDefault="00874E17" w:rsidP="00FB580C">
      <w:pPr>
        <w:rPr>
          <w:rFonts w:asciiTheme="majorHAnsi" w:hAnsiTheme="majorHAnsi" w:cs="Times New Roman"/>
          <w:sz w:val="24"/>
          <w:szCs w:val="24"/>
          <w:lang w:val="en-US"/>
        </w:rPr>
      </w:pPr>
    </w:p>
    <w:p w14:paraId="33FAF08C" w14:textId="38E5920E" w:rsidR="004759FE" w:rsidRPr="00F0530D" w:rsidRDefault="004759FE" w:rsidP="00B05389">
      <w:pPr>
        <w:spacing w:after="0" w:line="240" w:lineRule="auto"/>
        <w:ind w:left="709" w:hanging="709"/>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Campbell, K. J., Abbott, G., Spence, A. C., Crawford, D. A., McNaughton, S. A., &amp; Ball, Kylie. </w:t>
      </w:r>
      <w:r w:rsidR="00B05389" w:rsidRPr="00F0530D">
        <w:rPr>
          <w:rFonts w:asciiTheme="majorHAnsi" w:hAnsiTheme="majorHAnsi" w:cs="Times New Roman"/>
          <w:sz w:val="24"/>
          <w:szCs w:val="24"/>
          <w:lang w:val="en-US"/>
        </w:rPr>
        <w:t xml:space="preserve">(2013). </w:t>
      </w:r>
      <w:r w:rsidRPr="00F0530D">
        <w:rPr>
          <w:rFonts w:asciiTheme="majorHAnsi" w:hAnsiTheme="majorHAnsi" w:cs="Times New Roman"/>
          <w:sz w:val="24"/>
          <w:szCs w:val="24"/>
          <w:lang w:val="en-US"/>
        </w:rPr>
        <w:t xml:space="preserve">Home food availability mediates associations between mothers' nutrition knowledge and </w:t>
      </w:r>
      <w:r w:rsidR="00B05389" w:rsidRPr="00F0530D">
        <w:rPr>
          <w:rFonts w:asciiTheme="majorHAnsi" w:hAnsiTheme="majorHAnsi" w:cs="Times New Roman"/>
          <w:sz w:val="24"/>
          <w:szCs w:val="24"/>
          <w:lang w:val="en-US"/>
        </w:rPr>
        <w:t xml:space="preserve">child </w:t>
      </w:r>
      <w:r w:rsidRPr="00F0530D">
        <w:rPr>
          <w:rFonts w:asciiTheme="majorHAnsi" w:hAnsiTheme="majorHAnsi" w:cs="Times New Roman"/>
          <w:sz w:val="24"/>
          <w:szCs w:val="24"/>
          <w:lang w:val="en-US"/>
        </w:rPr>
        <w:t xml:space="preserve">diet. </w:t>
      </w:r>
      <w:r w:rsidRPr="00F0530D">
        <w:rPr>
          <w:rFonts w:asciiTheme="majorHAnsi" w:hAnsiTheme="majorHAnsi" w:cs="Times New Roman"/>
          <w:i/>
          <w:sz w:val="24"/>
          <w:szCs w:val="24"/>
          <w:lang w:val="en-US"/>
        </w:rPr>
        <w:t>Appetite</w:t>
      </w:r>
      <w:r w:rsidR="00B05389" w:rsidRPr="00F0530D">
        <w:rPr>
          <w:rFonts w:asciiTheme="majorHAnsi" w:hAnsiTheme="majorHAnsi" w:cs="Times New Roman"/>
          <w:sz w:val="24"/>
          <w:szCs w:val="24"/>
          <w:lang w:val="en-US"/>
        </w:rPr>
        <w:t>, 71, 1-6.</w:t>
      </w:r>
    </w:p>
    <w:p w14:paraId="52A4F8C9" w14:textId="77777777" w:rsidR="00B05389" w:rsidRPr="00F0530D" w:rsidRDefault="00B05389" w:rsidP="00B05389">
      <w:pPr>
        <w:ind w:left="709" w:hanging="709"/>
        <w:rPr>
          <w:rFonts w:asciiTheme="majorHAnsi" w:hAnsiTheme="majorHAnsi" w:cs="Times New Roman"/>
          <w:sz w:val="24"/>
          <w:szCs w:val="24"/>
          <w:lang w:val="en-US"/>
        </w:rPr>
      </w:pPr>
    </w:p>
    <w:p w14:paraId="38E4D936"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Centers for Disease Control and Prevention (Ed.). (2007). </w:t>
      </w:r>
      <w:r w:rsidRPr="00F0530D">
        <w:rPr>
          <w:rFonts w:asciiTheme="majorHAnsi" w:hAnsiTheme="majorHAnsi" w:cs="Times New Roman"/>
          <w:i/>
          <w:iCs/>
          <w:sz w:val="24"/>
          <w:szCs w:val="24"/>
          <w:lang w:val="en-US"/>
        </w:rPr>
        <w:t>National Health and Nutrition Examination Survey (NHANES). Anthropometry Procedures Manual</w:t>
      </w:r>
      <w:r w:rsidRPr="00F0530D">
        <w:rPr>
          <w:rFonts w:asciiTheme="majorHAnsi" w:hAnsiTheme="majorHAnsi" w:cs="Times New Roman"/>
          <w:sz w:val="24"/>
          <w:szCs w:val="24"/>
          <w:lang w:val="en-US"/>
        </w:rPr>
        <w:t>. Atlanta, GA: CDC.</w:t>
      </w:r>
    </w:p>
    <w:p w14:paraId="75EA14F8" w14:textId="77777777" w:rsidR="00FB580C" w:rsidRPr="00F0530D" w:rsidRDefault="00FB580C" w:rsidP="00FB580C">
      <w:pPr>
        <w:rPr>
          <w:rFonts w:asciiTheme="majorHAnsi" w:hAnsiTheme="majorHAnsi" w:cs="Times New Roman"/>
          <w:sz w:val="24"/>
          <w:szCs w:val="24"/>
          <w:lang w:val="en-US"/>
        </w:rPr>
      </w:pPr>
    </w:p>
    <w:p w14:paraId="3E6DAE41"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Christiaensen, L., &amp; Alderman, H. (2004). Child malnutrition in Ethiopia: can maternal knowledge augment the role of income? </w:t>
      </w:r>
      <w:r w:rsidRPr="00F0530D">
        <w:rPr>
          <w:rFonts w:asciiTheme="majorHAnsi" w:hAnsiTheme="majorHAnsi" w:cs="Times New Roman"/>
          <w:i/>
          <w:iCs/>
          <w:sz w:val="24"/>
          <w:szCs w:val="24"/>
          <w:lang w:val="en-US"/>
        </w:rPr>
        <w:t>Economic Development and Cultural Change</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52</w:t>
      </w:r>
      <w:r w:rsidRPr="00F0530D">
        <w:rPr>
          <w:rFonts w:asciiTheme="majorHAnsi" w:hAnsiTheme="majorHAnsi" w:cs="Times New Roman"/>
          <w:sz w:val="24"/>
          <w:szCs w:val="24"/>
          <w:lang w:val="en-US"/>
        </w:rPr>
        <w:t>, 287–312.</w:t>
      </w:r>
    </w:p>
    <w:p w14:paraId="303371E5" w14:textId="77777777" w:rsidR="00FB580C" w:rsidRPr="00F0530D" w:rsidRDefault="00FB580C" w:rsidP="00FB580C">
      <w:pPr>
        <w:rPr>
          <w:rFonts w:asciiTheme="majorHAnsi" w:hAnsiTheme="majorHAnsi" w:cs="Times New Roman"/>
          <w:sz w:val="24"/>
          <w:szCs w:val="24"/>
          <w:lang w:val="en-US"/>
        </w:rPr>
      </w:pPr>
    </w:p>
    <w:p w14:paraId="10C2D1F4"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Cleveland, W. S. (1979). Robust locally weighted regression and smoothing scatterplots. </w:t>
      </w:r>
      <w:r w:rsidRPr="00F0530D">
        <w:rPr>
          <w:rFonts w:asciiTheme="majorHAnsi" w:hAnsiTheme="majorHAnsi" w:cs="Times New Roman"/>
          <w:i/>
          <w:iCs/>
          <w:sz w:val="24"/>
          <w:szCs w:val="24"/>
          <w:lang w:val="en-US"/>
        </w:rPr>
        <w:t>Journal of the American Statistical Association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74</w:t>
      </w:r>
      <w:r w:rsidRPr="00F0530D">
        <w:rPr>
          <w:rFonts w:asciiTheme="majorHAnsi" w:hAnsiTheme="majorHAnsi" w:cs="Times New Roman"/>
          <w:sz w:val="24"/>
          <w:szCs w:val="24"/>
          <w:lang w:val="en-US"/>
        </w:rPr>
        <w:t>, 829–836.</w:t>
      </w:r>
    </w:p>
    <w:p w14:paraId="40A5308A" w14:textId="77777777" w:rsidR="00FB580C" w:rsidRPr="00F0530D" w:rsidRDefault="00FB580C" w:rsidP="00FB580C">
      <w:pPr>
        <w:rPr>
          <w:rFonts w:asciiTheme="majorHAnsi" w:hAnsiTheme="majorHAnsi" w:cs="Times New Roman"/>
          <w:sz w:val="24"/>
          <w:szCs w:val="24"/>
          <w:lang w:val="en-US"/>
        </w:rPr>
      </w:pPr>
    </w:p>
    <w:p w14:paraId="1CFD250E"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Contento, I. R. (2008). Nutrition education: linking research, theory, and practice. </w:t>
      </w:r>
      <w:r w:rsidRPr="00F0530D">
        <w:rPr>
          <w:rFonts w:asciiTheme="majorHAnsi" w:hAnsiTheme="majorHAnsi" w:cs="Times New Roman"/>
          <w:i/>
          <w:iCs/>
          <w:sz w:val="24"/>
          <w:szCs w:val="24"/>
          <w:lang w:val="en-US"/>
        </w:rPr>
        <w:t>Asia Pacific Journal of Clinical Nutrition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17 Suppl 1</w:t>
      </w:r>
      <w:r w:rsidRPr="00F0530D">
        <w:rPr>
          <w:rFonts w:asciiTheme="majorHAnsi" w:hAnsiTheme="majorHAnsi" w:cs="Times New Roman"/>
          <w:sz w:val="24"/>
          <w:szCs w:val="24"/>
          <w:lang w:val="en-US"/>
        </w:rPr>
        <w:t>, 176–179.</w:t>
      </w:r>
    </w:p>
    <w:p w14:paraId="1C43E983" w14:textId="77777777" w:rsidR="00FB580C" w:rsidRPr="00F0530D" w:rsidRDefault="00FB580C" w:rsidP="00FB580C">
      <w:pPr>
        <w:rPr>
          <w:rFonts w:asciiTheme="majorHAnsi" w:hAnsiTheme="majorHAnsi" w:cs="Times New Roman"/>
          <w:sz w:val="24"/>
          <w:szCs w:val="24"/>
          <w:lang w:val="en-US"/>
        </w:rPr>
      </w:pPr>
    </w:p>
    <w:p w14:paraId="36835265"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lastRenderedPageBreak/>
        <w:t xml:space="preserve">Darnton-Hill, I., Nishida, C., &amp; James, W. (2004). A life course approach to diet, nutrition and the prevention of chronic diseases. </w:t>
      </w:r>
      <w:r w:rsidRPr="00F0530D">
        <w:rPr>
          <w:rFonts w:asciiTheme="majorHAnsi" w:hAnsiTheme="majorHAnsi" w:cs="Times New Roman"/>
          <w:i/>
          <w:iCs/>
          <w:sz w:val="24"/>
          <w:szCs w:val="24"/>
          <w:lang w:val="en-US"/>
        </w:rPr>
        <w:t>Public Health Nutrition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7</w:t>
      </w:r>
      <w:r w:rsidRPr="00F0530D">
        <w:rPr>
          <w:rFonts w:asciiTheme="majorHAnsi" w:hAnsiTheme="majorHAnsi" w:cs="Times New Roman"/>
          <w:sz w:val="24"/>
          <w:szCs w:val="24"/>
          <w:lang w:val="en-US"/>
        </w:rPr>
        <w:t>, 101–121.</w:t>
      </w:r>
    </w:p>
    <w:p w14:paraId="123A9B2F" w14:textId="77777777" w:rsidR="0018713E" w:rsidRDefault="0018713E" w:rsidP="00FB580C">
      <w:pPr>
        <w:rPr>
          <w:rFonts w:asciiTheme="majorHAnsi" w:hAnsiTheme="majorHAnsi" w:cs="Times New Roman"/>
          <w:sz w:val="24"/>
          <w:szCs w:val="24"/>
          <w:lang w:val="en-US"/>
        </w:rPr>
      </w:pPr>
    </w:p>
    <w:p w14:paraId="49BB8E18" w14:textId="333FB9D3" w:rsidR="00540E7B" w:rsidRPr="00DC54C0" w:rsidRDefault="00DC54C0" w:rsidP="00DC54C0">
      <w:pPr>
        <w:ind w:left="709" w:hanging="709"/>
        <w:rPr>
          <w:rFonts w:asciiTheme="majorHAnsi" w:hAnsiTheme="majorHAnsi" w:cs="Times New Roman"/>
          <w:sz w:val="24"/>
          <w:szCs w:val="24"/>
          <w:lang w:val="en-US"/>
        </w:rPr>
      </w:pPr>
      <w:r>
        <w:rPr>
          <w:rFonts w:asciiTheme="majorHAnsi" w:hAnsiTheme="majorHAnsi" w:cs="Times New Roman"/>
          <w:sz w:val="24"/>
          <w:szCs w:val="24"/>
          <w:lang w:val="en-US"/>
        </w:rPr>
        <w:t>d</w:t>
      </w:r>
      <w:r w:rsidRPr="00DC54C0">
        <w:rPr>
          <w:rFonts w:asciiTheme="majorHAnsi" w:hAnsiTheme="majorHAnsi" w:cs="Times New Roman"/>
          <w:sz w:val="24"/>
          <w:szCs w:val="24"/>
          <w:lang w:val="en-US"/>
        </w:rPr>
        <w:t>e Groot, R., Palermo, T., Handa, S., Ragno, L. P. &amp; Peterman, A. (2017)</w:t>
      </w:r>
      <w:r>
        <w:rPr>
          <w:rFonts w:asciiTheme="majorHAnsi" w:hAnsiTheme="majorHAnsi" w:cs="Times New Roman"/>
          <w:sz w:val="24"/>
          <w:szCs w:val="24"/>
          <w:lang w:val="en-US"/>
        </w:rPr>
        <w:t xml:space="preserve">. </w:t>
      </w:r>
      <w:r w:rsidRPr="00DC54C0">
        <w:rPr>
          <w:rFonts w:asciiTheme="majorHAnsi" w:hAnsiTheme="majorHAnsi" w:cs="Times New Roman"/>
          <w:sz w:val="24"/>
          <w:szCs w:val="24"/>
          <w:lang w:val="en-US"/>
        </w:rPr>
        <w:t>Cash Transfers and Child Nutrition: Pathwa</w:t>
      </w:r>
      <w:r>
        <w:rPr>
          <w:rFonts w:asciiTheme="majorHAnsi" w:hAnsiTheme="majorHAnsi" w:cs="Times New Roman"/>
          <w:sz w:val="24"/>
          <w:szCs w:val="24"/>
          <w:lang w:val="en-US"/>
        </w:rPr>
        <w:t>ys and Impacts.</w:t>
      </w:r>
      <w:r w:rsidRPr="00DC54C0">
        <w:rPr>
          <w:rFonts w:asciiTheme="majorHAnsi" w:hAnsiTheme="majorHAnsi" w:cs="Times New Roman"/>
          <w:sz w:val="24"/>
          <w:szCs w:val="24"/>
          <w:lang w:val="en-US"/>
        </w:rPr>
        <w:t xml:space="preserve"> </w:t>
      </w:r>
      <w:r w:rsidRPr="00DC54C0">
        <w:rPr>
          <w:rFonts w:asciiTheme="majorHAnsi" w:hAnsiTheme="majorHAnsi" w:cs="Times New Roman"/>
          <w:i/>
          <w:sz w:val="24"/>
          <w:szCs w:val="24"/>
          <w:lang w:val="en-US"/>
        </w:rPr>
        <w:t>Development Policy Review</w:t>
      </w:r>
      <w:r>
        <w:rPr>
          <w:rFonts w:asciiTheme="majorHAnsi" w:hAnsiTheme="majorHAnsi" w:cs="Times New Roman"/>
          <w:sz w:val="24"/>
          <w:szCs w:val="24"/>
          <w:lang w:val="en-US"/>
        </w:rPr>
        <w:t xml:space="preserve">. 00, 1-23. </w:t>
      </w:r>
      <w:hyperlink r:id="rId17" w:tgtFrame="_blank" w:tooltip="Link to external resource: https://doi.org/10.1111/dpr.12255" w:history="1">
        <w:r w:rsidRPr="007C3E2A">
          <w:rPr>
            <w:rStyle w:val="Hyperlink"/>
            <w:rFonts w:asciiTheme="majorHAnsi" w:hAnsiTheme="majorHAnsi" w:cs="Times New Roman"/>
            <w:sz w:val="24"/>
            <w:szCs w:val="24"/>
            <w:lang w:val="en-US"/>
          </w:rPr>
          <w:t>https://doi.org/10.1111/dpr.12255</w:t>
        </w:r>
      </w:hyperlink>
    </w:p>
    <w:p w14:paraId="4FF9F69F" w14:textId="77777777" w:rsidR="00874E17" w:rsidRPr="00F0530D" w:rsidRDefault="00874E17" w:rsidP="00F0530D">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de Onis, M., Onyango, A., Borghi, E., Siyam, A., Nishida, C., &amp; Siekmann, J. (2007). </w:t>
      </w:r>
      <w:r w:rsidRPr="00F0530D">
        <w:rPr>
          <w:rFonts w:asciiTheme="majorHAnsi" w:hAnsiTheme="majorHAnsi" w:cs="Times New Roman"/>
          <w:i/>
          <w:iCs/>
          <w:sz w:val="24"/>
          <w:szCs w:val="24"/>
          <w:lang w:val="en-US"/>
        </w:rPr>
        <w:t>Development of a WHO growth reference for school-aged children and adolescents</w:t>
      </w:r>
      <w:r w:rsidRPr="00F0530D">
        <w:rPr>
          <w:rFonts w:asciiTheme="majorHAnsi" w:hAnsiTheme="majorHAnsi" w:cs="Times New Roman"/>
          <w:sz w:val="24"/>
          <w:szCs w:val="24"/>
          <w:lang w:val="en-US"/>
        </w:rPr>
        <w:t xml:space="preserve"> (pp. 660–667). Bulletin of the World Health Organization. Retrieved from http://www.who.int/bulletin/volumes/85/9/07-043497/en/</w:t>
      </w:r>
    </w:p>
    <w:p w14:paraId="2C78824E" w14:textId="77777777" w:rsidR="00874E17" w:rsidRPr="00F0530D" w:rsidRDefault="00874E17" w:rsidP="00F0530D">
      <w:pPr>
        <w:rPr>
          <w:rFonts w:asciiTheme="majorHAnsi" w:hAnsiTheme="majorHAnsi" w:cs="Times New Roman"/>
          <w:sz w:val="24"/>
          <w:szCs w:val="24"/>
          <w:lang w:val="en-US"/>
        </w:rPr>
      </w:pPr>
    </w:p>
    <w:p w14:paraId="0F149E3D" w14:textId="77777777" w:rsidR="00874E17" w:rsidRPr="00F0530D" w:rsidRDefault="00874E17" w:rsidP="00874E17">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de Onis, M., Onyango, A., Van den Broeck, J., Chumlea, W. C., &amp; Martorell, R. (2004). Measurement and standardization protocols for anthropometry used in the construction of a new international growth reference. </w:t>
      </w:r>
      <w:r w:rsidRPr="00F0530D">
        <w:rPr>
          <w:rFonts w:asciiTheme="majorHAnsi" w:hAnsiTheme="majorHAnsi" w:cs="Times New Roman"/>
          <w:i/>
          <w:iCs/>
          <w:sz w:val="24"/>
          <w:szCs w:val="24"/>
          <w:lang w:val="en-US"/>
        </w:rPr>
        <w:t>Food and Nutrition Bulletin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25</w:t>
      </w:r>
      <w:r w:rsidRPr="00F0530D">
        <w:rPr>
          <w:rFonts w:asciiTheme="majorHAnsi" w:hAnsiTheme="majorHAnsi" w:cs="Times New Roman"/>
          <w:sz w:val="24"/>
          <w:szCs w:val="24"/>
          <w:lang w:val="en-US"/>
        </w:rPr>
        <w:t>, S27–S36.</w:t>
      </w:r>
    </w:p>
    <w:p w14:paraId="25074A00" w14:textId="77777777" w:rsidR="00874E17" w:rsidRPr="00F0530D" w:rsidRDefault="00874E17" w:rsidP="00874E17">
      <w:pPr>
        <w:pStyle w:val="Literaturverzeichnis"/>
        <w:rPr>
          <w:rFonts w:asciiTheme="majorHAnsi" w:hAnsiTheme="majorHAnsi" w:cs="Times New Roman"/>
          <w:sz w:val="24"/>
          <w:szCs w:val="24"/>
          <w:lang w:val="en-US"/>
        </w:rPr>
      </w:pPr>
    </w:p>
    <w:p w14:paraId="66FCAB08" w14:textId="1A3550C5"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Debela, B. L., Shively, G., &amp; Holden, S. T. (2015). Does Ethiopia’s productive safety net program improve child nutrition? </w:t>
      </w:r>
      <w:r w:rsidRPr="00F0530D">
        <w:rPr>
          <w:rFonts w:asciiTheme="majorHAnsi" w:hAnsiTheme="majorHAnsi" w:cs="Times New Roman"/>
          <w:i/>
          <w:iCs/>
          <w:sz w:val="24"/>
          <w:szCs w:val="24"/>
          <w:lang w:val="en-US"/>
        </w:rPr>
        <w:t>Food Security</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7</w:t>
      </w:r>
      <w:r w:rsidRPr="00F0530D">
        <w:rPr>
          <w:rFonts w:asciiTheme="majorHAnsi" w:hAnsiTheme="majorHAnsi" w:cs="Times New Roman"/>
          <w:sz w:val="24"/>
          <w:szCs w:val="24"/>
          <w:lang w:val="en-US"/>
        </w:rPr>
        <w:t>, 1273–1289.</w:t>
      </w:r>
    </w:p>
    <w:p w14:paraId="71F63F7A" w14:textId="77777777" w:rsidR="00FB580C" w:rsidRPr="00F0530D" w:rsidRDefault="00FB580C" w:rsidP="00FB580C">
      <w:pPr>
        <w:rPr>
          <w:rFonts w:asciiTheme="majorHAnsi" w:hAnsiTheme="majorHAnsi" w:cs="Times New Roman"/>
          <w:sz w:val="24"/>
          <w:szCs w:val="24"/>
          <w:lang w:val="en-US"/>
        </w:rPr>
      </w:pPr>
    </w:p>
    <w:p w14:paraId="016507C9"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Glanz, K., Patterson, R. E., Kristal, A. R., DiClemente, C. C., Heimendinger, J., Linnan, L., &amp; McLerran, D. F. (1994). Stages of change in adopting healthy diets: fat, fiber, and correlates of nutrient intake. </w:t>
      </w:r>
      <w:r w:rsidRPr="00F0530D">
        <w:rPr>
          <w:rFonts w:asciiTheme="majorHAnsi" w:hAnsiTheme="majorHAnsi" w:cs="Times New Roman"/>
          <w:i/>
          <w:iCs/>
          <w:sz w:val="24"/>
          <w:szCs w:val="24"/>
          <w:lang w:val="en-US"/>
        </w:rPr>
        <w:t>Health Education Quarterly</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21</w:t>
      </w:r>
      <w:r w:rsidRPr="00F0530D">
        <w:rPr>
          <w:rFonts w:asciiTheme="majorHAnsi" w:hAnsiTheme="majorHAnsi" w:cs="Times New Roman"/>
          <w:sz w:val="24"/>
          <w:szCs w:val="24"/>
          <w:lang w:val="en-US"/>
        </w:rPr>
        <w:t>, 499–519.</w:t>
      </w:r>
    </w:p>
    <w:p w14:paraId="38D6B1E0" w14:textId="77777777" w:rsidR="00874E17" w:rsidRPr="00F0530D" w:rsidRDefault="00874E17" w:rsidP="00874E17">
      <w:pPr>
        <w:pStyle w:val="Literaturverzeichnis"/>
        <w:rPr>
          <w:rFonts w:asciiTheme="majorHAnsi" w:hAnsiTheme="majorHAnsi" w:cs="Times New Roman"/>
          <w:sz w:val="24"/>
          <w:szCs w:val="24"/>
          <w:lang w:val="en-US"/>
        </w:rPr>
      </w:pPr>
    </w:p>
    <w:p w14:paraId="479BA35B" w14:textId="77777777" w:rsidR="00874E17" w:rsidRPr="00F0530D" w:rsidRDefault="00874E17" w:rsidP="00F0530D">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Hamill, P. V., Drizd, T. A., Johnson, C. L., Reed, R. B., &amp; Roche, A. F. (1977). NCHS growth curves for children birth-18 years. United States. </w:t>
      </w:r>
      <w:r w:rsidRPr="00F0530D">
        <w:rPr>
          <w:rFonts w:asciiTheme="majorHAnsi" w:hAnsiTheme="majorHAnsi" w:cs="Times New Roman"/>
          <w:i/>
          <w:iCs/>
          <w:sz w:val="24"/>
          <w:szCs w:val="24"/>
          <w:lang w:val="en-US"/>
        </w:rPr>
        <w:t>Vital and Health Statistics. Series 11, Data from the National Health Survey</w:t>
      </w:r>
      <w:r w:rsidRPr="00F0530D">
        <w:rPr>
          <w:rFonts w:asciiTheme="majorHAnsi" w:hAnsiTheme="majorHAnsi" w:cs="Times New Roman"/>
          <w:sz w:val="24"/>
          <w:szCs w:val="24"/>
          <w:lang w:val="en-US"/>
        </w:rPr>
        <w:t>, i–iv, 1-74.</w:t>
      </w:r>
    </w:p>
    <w:p w14:paraId="22F19441" w14:textId="77777777" w:rsidR="0060281F" w:rsidRPr="00F0530D" w:rsidRDefault="0060281F" w:rsidP="0060281F">
      <w:pPr>
        <w:rPr>
          <w:rFonts w:asciiTheme="majorHAnsi" w:hAnsiTheme="majorHAnsi" w:cs="Times New Roman"/>
          <w:sz w:val="24"/>
          <w:szCs w:val="24"/>
          <w:lang w:val="en-US"/>
        </w:rPr>
      </w:pPr>
    </w:p>
    <w:p w14:paraId="1BE861D8"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Hawkes, C., Smith, T. G., Jewell, J., Wardle, J., Hammond, R. A., Friel, S., … Kain, J. (2015). Smart food policies for obesity prevention. </w:t>
      </w:r>
      <w:r w:rsidRPr="00F0530D">
        <w:rPr>
          <w:rFonts w:asciiTheme="majorHAnsi" w:hAnsiTheme="majorHAnsi" w:cs="Times New Roman"/>
          <w:i/>
          <w:iCs/>
          <w:sz w:val="24"/>
          <w:szCs w:val="24"/>
          <w:lang w:val="en-US"/>
        </w:rPr>
        <w:t>The Lancet</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385</w:t>
      </w:r>
      <w:r w:rsidRPr="00F0530D">
        <w:rPr>
          <w:rFonts w:asciiTheme="majorHAnsi" w:hAnsiTheme="majorHAnsi" w:cs="Times New Roman"/>
          <w:sz w:val="24"/>
          <w:szCs w:val="24"/>
          <w:lang w:val="en-US"/>
        </w:rPr>
        <w:t>, 2410–2421.</w:t>
      </w:r>
    </w:p>
    <w:p w14:paraId="60F491D7" w14:textId="77777777" w:rsidR="00FB580C" w:rsidRPr="00F0530D" w:rsidRDefault="00FB580C" w:rsidP="00FB580C">
      <w:pPr>
        <w:rPr>
          <w:rFonts w:asciiTheme="majorHAnsi" w:hAnsiTheme="majorHAnsi" w:cs="Times New Roman"/>
          <w:sz w:val="24"/>
          <w:szCs w:val="24"/>
          <w:lang w:val="en-US"/>
        </w:rPr>
      </w:pPr>
    </w:p>
    <w:p w14:paraId="3CFE5B4F"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rPr>
        <w:t xml:space="preserve">Hirvonen, K., Hoddinott, J. F., Minten, B., &amp; Stifel, D. (2016). </w:t>
      </w:r>
      <w:r w:rsidRPr="00F0530D">
        <w:rPr>
          <w:rFonts w:asciiTheme="majorHAnsi" w:hAnsiTheme="majorHAnsi" w:cs="Times New Roman"/>
          <w:i/>
          <w:iCs/>
          <w:sz w:val="24"/>
          <w:szCs w:val="24"/>
          <w:lang w:val="en-US"/>
        </w:rPr>
        <w:t>Children’s diets, nutrition knowledge, and access to markets</w:t>
      </w:r>
      <w:r w:rsidRPr="00F0530D">
        <w:rPr>
          <w:rFonts w:asciiTheme="majorHAnsi" w:hAnsiTheme="majorHAnsi" w:cs="Times New Roman"/>
          <w:sz w:val="24"/>
          <w:szCs w:val="24"/>
          <w:lang w:val="en-US"/>
        </w:rPr>
        <w:t>. Washington, D.C. and Addis Ababa: International Food Policy Research Institute (IFPRI) and Ethiopian Development Research Institute (EDRI). Retrieved from http://www.ifpri.org/publication/childrens-diets-nutrition-knowledge-and-access-markets</w:t>
      </w:r>
    </w:p>
    <w:p w14:paraId="218BD174" w14:textId="77777777" w:rsidR="00FB580C" w:rsidRPr="00F0530D" w:rsidRDefault="00FB580C" w:rsidP="00FB580C">
      <w:pPr>
        <w:rPr>
          <w:rFonts w:asciiTheme="majorHAnsi" w:hAnsiTheme="majorHAnsi" w:cs="Times New Roman"/>
          <w:sz w:val="24"/>
          <w:szCs w:val="24"/>
          <w:lang w:val="en-US"/>
        </w:rPr>
      </w:pPr>
    </w:p>
    <w:p w14:paraId="0501C1C1"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Hoddinott, J., Karachiwalla, N. I., Ledlie, N. A., &amp; Roy, S. (2016). Adolescent girls’ infant and young child nutrition knowledge levels and sources differ among rural and urban samples in Bangladesh: adolescent girls’ nutrition knowledge sources. </w:t>
      </w:r>
      <w:r w:rsidRPr="00F0530D">
        <w:rPr>
          <w:rFonts w:asciiTheme="majorHAnsi" w:hAnsiTheme="majorHAnsi" w:cs="Times New Roman"/>
          <w:i/>
          <w:iCs/>
          <w:sz w:val="24"/>
          <w:szCs w:val="24"/>
          <w:lang w:val="en-US"/>
        </w:rPr>
        <w:t>Maternal &amp; Child Nutrition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12</w:t>
      </w:r>
      <w:r w:rsidRPr="00F0530D">
        <w:rPr>
          <w:rFonts w:asciiTheme="majorHAnsi" w:hAnsiTheme="majorHAnsi" w:cs="Times New Roman"/>
          <w:sz w:val="24"/>
          <w:szCs w:val="24"/>
          <w:lang w:val="en-US"/>
        </w:rPr>
        <w:t>, 885–897.</w:t>
      </w:r>
    </w:p>
    <w:p w14:paraId="0BEF1BA5" w14:textId="77777777" w:rsidR="00FB580C" w:rsidRPr="00F0530D" w:rsidRDefault="00FB580C" w:rsidP="00FB580C">
      <w:pPr>
        <w:rPr>
          <w:rFonts w:asciiTheme="majorHAnsi" w:hAnsiTheme="majorHAnsi" w:cs="Times New Roman"/>
          <w:sz w:val="24"/>
          <w:szCs w:val="24"/>
          <w:lang w:val="en-US"/>
        </w:rPr>
      </w:pPr>
    </w:p>
    <w:p w14:paraId="2F72AF07"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lastRenderedPageBreak/>
        <w:t xml:space="preserve">International Food Policy Research Institute (IFPRI). (2016). </w:t>
      </w:r>
      <w:r w:rsidRPr="00F0530D">
        <w:rPr>
          <w:rFonts w:asciiTheme="majorHAnsi" w:hAnsiTheme="majorHAnsi" w:cs="Times New Roman"/>
          <w:i/>
          <w:iCs/>
          <w:sz w:val="24"/>
          <w:szCs w:val="24"/>
          <w:lang w:val="en-US"/>
        </w:rPr>
        <w:t>Global Nutrition Report 2016 From Promise to Impact Ending Malnutrition by 2030</w:t>
      </w:r>
      <w:r w:rsidRPr="00F0530D">
        <w:rPr>
          <w:rFonts w:asciiTheme="majorHAnsi" w:hAnsiTheme="majorHAnsi" w:cs="Times New Roman"/>
          <w:sz w:val="24"/>
          <w:szCs w:val="24"/>
          <w:lang w:val="en-US"/>
        </w:rPr>
        <w:t>. Washington, DC: International Food Policy Research Institute. Retrieved from http://ebrary.ifpri.org/cdm/ref/collection/p15738coll2/id/130354</w:t>
      </w:r>
    </w:p>
    <w:p w14:paraId="6F044DDF" w14:textId="77777777" w:rsidR="00FB580C" w:rsidRPr="00F0530D" w:rsidRDefault="00FB580C" w:rsidP="00FB580C">
      <w:pPr>
        <w:rPr>
          <w:rFonts w:asciiTheme="majorHAnsi" w:hAnsiTheme="majorHAnsi" w:cs="Times New Roman"/>
          <w:sz w:val="24"/>
          <w:szCs w:val="24"/>
          <w:lang w:val="en-US"/>
        </w:rPr>
      </w:pPr>
    </w:p>
    <w:p w14:paraId="5DB175EF" w14:textId="77777777" w:rsidR="00F3367C" w:rsidRPr="00F0530D" w:rsidRDefault="00F3367C" w:rsidP="00FB580C">
      <w:pPr>
        <w:pStyle w:val="Literaturverzeichnis"/>
        <w:spacing w:line="240" w:lineRule="auto"/>
        <w:rPr>
          <w:rFonts w:asciiTheme="majorHAnsi" w:hAnsiTheme="majorHAnsi" w:cs="Times New Roman"/>
          <w:sz w:val="24"/>
          <w:szCs w:val="24"/>
        </w:rPr>
      </w:pPr>
      <w:r w:rsidRPr="00F0530D">
        <w:rPr>
          <w:rFonts w:asciiTheme="majorHAnsi" w:hAnsiTheme="majorHAnsi" w:cs="Times New Roman"/>
          <w:sz w:val="24"/>
          <w:szCs w:val="24"/>
        </w:rPr>
        <w:t xml:space="preserve">Kigaru, D. M. D., Loechl, C., Moleah, T., Macharia-Mutie, C. W., &amp; Ndungu, Z. W. (2015). </w:t>
      </w:r>
      <w:r w:rsidRPr="00F0530D">
        <w:rPr>
          <w:rFonts w:asciiTheme="majorHAnsi" w:hAnsiTheme="majorHAnsi" w:cs="Times New Roman"/>
          <w:sz w:val="24"/>
          <w:szCs w:val="24"/>
          <w:lang w:val="en-US"/>
        </w:rPr>
        <w:t xml:space="preserve">Nutrition knowledge, attitude and practices among urban primary school children in Nairobi City, Kenya: a KAP study. </w:t>
      </w:r>
      <w:r w:rsidRPr="00F0530D">
        <w:rPr>
          <w:rFonts w:asciiTheme="majorHAnsi" w:hAnsiTheme="majorHAnsi" w:cs="Times New Roman"/>
          <w:i/>
          <w:iCs/>
          <w:sz w:val="24"/>
          <w:szCs w:val="24"/>
        </w:rPr>
        <w:t>BMC Nutrition</w:t>
      </w:r>
      <w:r w:rsidRPr="00F0530D">
        <w:rPr>
          <w:rFonts w:asciiTheme="majorHAnsi" w:hAnsiTheme="majorHAnsi" w:cs="Times New Roman"/>
          <w:sz w:val="24"/>
          <w:szCs w:val="24"/>
        </w:rPr>
        <w:t xml:space="preserve">, </w:t>
      </w:r>
      <w:r w:rsidRPr="00F0530D">
        <w:rPr>
          <w:rFonts w:asciiTheme="majorHAnsi" w:hAnsiTheme="majorHAnsi" w:cs="Times New Roman"/>
          <w:i/>
          <w:iCs/>
          <w:sz w:val="24"/>
          <w:szCs w:val="24"/>
        </w:rPr>
        <w:t>1</w:t>
      </w:r>
      <w:r w:rsidRPr="00F0530D">
        <w:rPr>
          <w:rFonts w:asciiTheme="majorHAnsi" w:hAnsiTheme="majorHAnsi" w:cs="Times New Roman"/>
          <w:sz w:val="24"/>
          <w:szCs w:val="24"/>
        </w:rPr>
        <w:t>, 1–44.</w:t>
      </w:r>
    </w:p>
    <w:p w14:paraId="132C686A" w14:textId="77777777" w:rsidR="00FB580C" w:rsidRPr="00F0530D" w:rsidRDefault="00FB580C" w:rsidP="00FB580C">
      <w:pPr>
        <w:rPr>
          <w:rFonts w:asciiTheme="majorHAnsi" w:hAnsiTheme="majorHAnsi" w:cs="Times New Roman"/>
          <w:sz w:val="24"/>
          <w:szCs w:val="24"/>
        </w:rPr>
      </w:pPr>
    </w:p>
    <w:p w14:paraId="7C063C38"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rPr>
        <w:t xml:space="preserve">Kimenju, S. C., Rischke, R., Klasen, S., &amp; Qaim, M. (2015). </w:t>
      </w:r>
      <w:r w:rsidRPr="00F0530D">
        <w:rPr>
          <w:rFonts w:asciiTheme="majorHAnsi" w:hAnsiTheme="majorHAnsi" w:cs="Times New Roman"/>
          <w:sz w:val="24"/>
          <w:szCs w:val="24"/>
          <w:lang w:val="en-US"/>
        </w:rPr>
        <w:t xml:space="preserve">Do supermarkets contribute to the obesity pandemic in developing countries? </w:t>
      </w:r>
      <w:r w:rsidRPr="00F0530D">
        <w:rPr>
          <w:rFonts w:asciiTheme="majorHAnsi" w:hAnsiTheme="majorHAnsi" w:cs="Times New Roman"/>
          <w:i/>
          <w:iCs/>
          <w:sz w:val="24"/>
          <w:szCs w:val="24"/>
          <w:lang w:val="en-US"/>
        </w:rPr>
        <w:t>Public Health Nutrition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18</w:t>
      </w:r>
      <w:r w:rsidRPr="00F0530D">
        <w:rPr>
          <w:rFonts w:asciiTheme="majorHAnsi" w:hAnsiTheme="majorHAnsi" w:cs="Times New Roman"/>
          <w:sz w:val="24"/>
          <w:szCs w:val="24"/>
          <w:lang w:val="en-US"/>
        </w:rPr>
        <w:t>, 3224–3233.</w:t>
      </w:r>
    </w:p>
    <w:p w14:paraId="29AE5C7D" w14:textId="77777777" w:rsidR="00FB580C" w:rsidRPr="00F0530D" w:rsidRDefault="00FB580C" w:rsidP="00FB580C">
      <w:pPr>
        <w:rPr>
          <w:rFonts w:asciiTheme="majorHAnsi" w:hAnsiTheme="majorHAnsi" w:cs="Times New Roman"/>
          <w:sz w:val="24"/>
          <w:szCs w:val="24"/>
          <w:lang w:val="en-US"/>
        </w:rPr>
      </w:pPr>
    </w:p>
    <w:p w14:paraId="16412DDA"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Leroy, J. L., Ruel, M., Habicht, J.-P., &amp; Frongillo, E. A. (2014). Linear growth deficit continues to accumulate beyond the first 1000 days in low- and middle-income countries: global evidence from 51 national surveys. </w:t>
      </w:r>
      <w:r w:rsidRPr="00F0530D">
        <w:rPr>
          <w:rFonts w:asciiTheme="majorHAnsi" w:hAnsiTheme="majorHAnsi" w:cs="Times New Roman"/>
          <w:i/>
          <w:iCs/>
          <w:sz w:val="24"/>
          <w:szCs w:val="24"/>
          <w:lang w:val="en-US"/>
        </w:rPr>
        <w:t>The Journal of Nutrition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144</w:t>
      </w:r>
      <w:r w:rsidRPr="00F0530D">
        <w:rPr>
          <w:rFonts w:asciiTheme="majorHAnsi" w:hAnsiTheme="majorHAnsi" w:cs="Times New Roman"/>
          <w:sz w:val="24"/>
          <w:szCs w:val="24"/>
          <w:lang w:val="en-US"/>
        </w:rPr>
        <w:t>, 1460–1466.</w:t>
      </w:r>
    </w:p>
    <w:p w14:paraId="211EE0CF" w14:textId="77777777" w:rsidR="00FB580C" w:rsidRPr="00F0530D" w:rsidRDefault="00FB580C" w:rsidP="00FB580C">
      <w:pPr>
        <w:rPr>
          <w:rFonts w:asciiTheme="majorHAnsi" w:hAnsiTheme="majorHAnsi" w:cs="Times New Roman"/>
          <w:sz w:val="24"/>
          <w:szCs w:val="24"/>
          <w:lang w:val="en-US"/>
        </w:rPr>
      </w:pPr>
    </w:p>
    <w:p w14:paraId="5D88C143"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Matanda, D. J., Mittelmark, M. B., &amp; Kigaru, D. M. D. (2014). Child undernutrition in Kenya: trend analyses from 1993 to 2008–09. </w:t>
      </w:r>
      <w:r w:rsidRPr="00F0530D">
        <w:rPr>
          <w:rFonts w:asciiTheme="majorHAnsi" w:hAnsiTheme="majorHAnsi" w:cs="Times New Roman"/>
          <w:i/>
          <w:iCs/>
          <w:sz w:val="24"/>
          <w:szCs w:val="24"/>
          <w:lang w:val="en-US"/>
        </w:rPr>
        <w:t>BMC Pediatrics</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14</w:t>
      </w:r>
      <w:r w:rsidRPr="00F0530D">
        <w:rPr>
          <w:rFonts w:asciiTheme="majorHAnsi" w:hAnsiTheme="majorHAnsi" w:cs="Times New Roman"/>
          <w:sz w:val="24"/>
          <w:szCs w:val="24"/>
          <w:lang w:val="en-US"/>
        </w:rPr>
        <w:t>, 1–13.</w:t>
      </w:r>
    </w:p>
    <w:p w14:paraId="38A31DEC" w14:textId="77777777" w:rsidR="00FB580C" w:rsidRPr="00F0530D" w:rsidRDefault="00FB580C" w:rsidP="00FB580C">
      <w:pPr>
        <w:rPr>
          <w:rFonts w:asciiTheme="majorHAnsi" w:hAnsiTheme="majorHAnsi" w:cs="Times New Roman"/>
          <w:sz w:val="24"/>
          <w:szCs w:val="24"/>
          <w:lang w:val="en-US"/>
        </w:rPr>
      </w:pPr>
    </w:p>
    <w:p w14:paraId="626B029A"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Ministry of Public Health and Sanitation (Ed.). (2012). </w:t>
      </w:r>
      <w:r w:rsidRPr="00F0530D">
        <w:rPr>
          <w:rFonts w:asciiTheme="majorHAnsi" w:hAnsiTheme="majorHAnsi" w:cs="Times New Roman"/>
          <w:i/>
          <w:iCs/>
          <w:sz w:val="24"/>
          <w:szCs w:val="24"/>
          <w:lang w:val="en-US"/>
        </w:rPr>
        <w:t>National Nutrition Action Plan 2012-2017</w:t>
      </w:r>
      <w:r w:rsidRPr="00F0530D">
        <w:rPr>
          <w:rFonts w:asciiTheme="majorHAnsi" w:hAnsiTheme="majorHAnsi" w:cs="Times New Roman"/>
          <w:sz w:val="24"/>
          <w:szCs w:val="24"/>
          <w:lang w:val="en-US"/>
        </w:rPr>
        <w:t>. Nairobi, Kenya: Republic of Kenya.</w:t>
      </w:r>
    </w:p>
    <w:p w14:paraId="28D144C0" w14:textId="77777777" w:rsidR="0060281F" w:rsidRPr="00F0530D" w:rsidRDefault="0060281F" w:rsidP="0060281F">
      <w:pPr>
        <w:rPr>
          <w:rFonts w:asciiTheme="majorHAnsi" w:hAnsiTheme="majorHAnsi" w:cs="Times New Roman"/>
          <w:sz w:val="24"/>
          <w:szCs w:val="24"/>
          <w:lang w:val="en-US"/>
        </w:rPr>
      </w:pPr>
    </w:p>
    <w:p w14:paraId="3E4FB0ED" w14:textId="23DB0685"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O’Donnell, O., van Doorslaer, E., Wagstaff, A., &amp; Lidelow, M. (2008). </w:t>
      </w:r>
      <w:r w:rsidRPr="00F0530D">
        <w:rPr>
          <w:rFonts w:asciiTheme="majorHAnsi" w:hAnsiTheme="majorHAnsi" w:cs="Times New Roman"/>
          <w:i/>
          <w:iCs/>
          <w:sz w:val="24"/>
          <w:szCs w:val="24"/>
          <w:lang w:val="en-US"/>
        </w:rPr>
        <w:t>Analysing Health Equity using Household Survey Data: A Guide to Techniques and Their Implementation</w:t>
      </w:r>
      <w:r w:rsidRPr="00F0530D">
        <w:rPr>
          <w:rFonts w:asciiTheme="majorHAnsi" w:hAnsiTheme="majorHAnsi" w:cs="Times New Roman"/>
          <w:sz w:val="24"/>
          <w:szCs w:val="24"/>
          <w:lang w:val="en-US"/>
        </w:rPr>
        <w:t xml:space="preserve">. Washington, D.C: World Bank. Retrieved from </w:t>
      </w:r>
      <w:r w:rsidR="0018713E" w:rsidRPr="0018713E">
        <w:rPr>
          <w:rFonts w:asciiTheme="majorHAnsi" w:hAnsiTheme="majorHAnsi" w:cs="Times New Roman"/>
          <w:sz w:val="24"/>
          <w:szCs w:val="24"/>
          <w:lang w:val="en-US"/>
        </w:rPr>
        <w:t>http://siteresources.worldbank.org/INTPAH/Resources/Publications/459843-1195594469249/HealthEquityFINAL.pdf</w:t>
      </w:r>
    </w:p>
    <w:p w14:paraId="286E9A0E" w14:textId="77777777" w:rsidR="00FB580C" w:rsidRPr="00F0530D" w:rsidRDefault="00FB580C" w:rsidP="00FB580C">
      <w:pPr>
        <w:rPr>
          <w:rFonts w:asciiTheme="majorHAnsi" w:hAnsiTheme="majorHAnsi" w:cs="Times New Roman"/>
          <w:sz w:val="24"/>
          <w:szCs w:val="24"/>
          <w:lang w:val="en-US"/>
        </w:rPr>
      </w:pPr>
    </w:p>
    <w:p w14:paraId="12434BEB"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Prentice, A. M., Ward, K. A., Goldberg, G. R., Jarjou, L. M., Moore, S. E., Fulford, A. J., &amp; Prentice, A. (2013). Critical windows for nutritional interventions against stunting. </w:t>
      </w:r>
      <w:r w:rsidRPr="00F0530D">
        <w:rPr>
          <w:rFonts w:asciiTheme="majorHAnsi" w:hAnsiTheme="majorHAnsi" w:cs="Times New Roman"/>
          <w:i/>
          <w:iCs/>
          <w:sz w:val="24"/>
          <w:szCs w:val="24"/>
          <w:lang w:val="en-US"/>
        </w:rPr>
        <w:t>The American Journal of Clinical Nutrition</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97</w:t>
      </w:r>
      <w:r w:rsidRPr="00F0530D">
        <w:rPr>
          <w:rFonts w:asciiTheme="majorHAnsi" w:hAnsiTheme="majorHAnsi" w:cs="Times New Roman"/>
          <w:sz w:val="24"/>
          <w:szCs w:val="24"/>
          <w:lang w:val="en-US"/>
        </w:rPr>
        <w:t>, 911–918.</w:t>
      </w:r>
    </w:p>
    <w:p w14:paraId="3618CD2C" w14:textId="77777777" w:rsidR="00FB580C" w:rsidRPr="00F0530D" w:rsidRDefault="00FB580C" w:rsidP="00FB580C">
      <w:pPr>
        <w:rPr>
          <w:rFonts w:asciiTheme="majorHAnsi" w:hAnsiTheme="majorHAnsi" w:cs="Times New Roman"/>
          <w:sz w:val="24"/>
          <w:szCs w:val="24"/>
          <w:lang w:val="en-US"/>
        </w:rPr>
      </w:pPr>
    </w:p>
    <w:p w14:paraId="3AC4255A"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rPr>
        <w:t xml:space="preserve">Rischke, R., Kimenju, S. C., Klasen, S., &amp; Qaim, M. (2015). </w:t>
      </w:r>
      <w:r w:rsidRPr="00F0530D">
        <w:rPr>
          <w:rFonts w:asciiTheme="majorHAnsi" w:hAnsiTheme="majorHAnsi" w:cs="Times New Roman"/>
          <w:sz w:val="24"/>
          <w:szCs w:val="24"/>
          <w:lang w:val="en-US"/>
        </w:rPr>
        <w:t xml:space="preserve">Supermarkets and food consumption patterns: The case of small towns in Kenya. </w:t>
      </w:r>
      <w:r w:rsidRPr="00F0530D">
        <w:rPr>
          <w:rFonts w:asciiTheme="majorHAnsi" w:hAnsiTheme="majorHAnsi" w:cs="Times New Roman"/>
          <w:i/>
          <w:iCs/>
          <w:sz w:val="24"/>
          <w:szCs w:val="24"/>
          <w:lang w:val="en-US"/>
        </w:rPr>
        <w:t>Food Policy</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52</w:t>
      </w:r>
      <w:r w:rsidRPr="00F0530D">
        <w:rPr>
          <w:rFonts w:asciiTheme="majorHAnsi" w:hAnsiTheme="majorHAnsi" w:cs="Times New Roman"/>
          <w:sz w:val="24"/>
          <w:szCs w:val="24"/>
          <w:lang w:val="en-US"/>
        </w:rPr>
        <w:t>, 9–21.</w:t>
      </w:r>
    </w:p>
    <w:p w14:paraId="7083F2C3" w14:textId="77777777" w:rsidR="00FB580C" w:rsidRPr="00F0530D" w:rsidRDefault="00FB580C" w:rsidP="00FB580C">
      <w:pPr>
        <w:rPr>
          <w:rFonts w:asciiTheme="majorHAnsi" w:hAnsiTheme="majorHAnsi" w:cs="Times New Roman"/>
          <w:sz w:val="24"/>
          <w:szCs w:val="24"/>
          <w:lang w:val="en-US"/>
        </w:rPr>
      </w:pPr>
    </w:p>
    <w:p w14:paraId="11D9C344"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Ruel, M. T., Menon, P., Habicht, J.-P., Loechl, C., Bergeron, G., Pelto, G., … Hankebo, B. (2008). Age-based preventive targeting of food assistance and behaviour change and communication for reduction of childhood undernutrition in Haiti: a cluster randomised trial. </w:t>
      </w:r>
      <w:r w:rsidRPr="00F0530D">
        <w:rPr>
          <w:rFonts w:asciiTheme="majorHAnsi" w:hAnsiTheme="majorHAnsi" w:cs="Times New Roman"/>
          <w:i/>
          <w:iCs/>
          <w:sz w:val="24"/>
          <w:szCs w:val="24"/>
          <w:lang w:val="en-US"/>
        </w:rPr>
        <w:t>The Lancet</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371</w:t>
      </w:r>
      <w:r w:rsidRPr="00F0530D">
        <w:rPr>
          <w:rFonts w:asciiTheme="majorHAnsi" w:hAnsiTheme="majorHAnsi" w:cs="Times New Roman"/>
          <w:sz w:val="24"/>
          <w:szCs w:val="24"/>
          <w:lang w:val="en-US"/>
        </w:rPr>
        <w:t>, 588–595.</w:t>
      </w:r>
    </w:p>
    <w:p w14:paraId="1105249E" w14:textId="77777777" w:rsidR="00FB580C" w:rsidRPr="00F0530D" w:rsidRDefault="00FB580C" w:rsidP="00FB580C">
      <w:pPr>
        <w:rPr>
          <w:rFonts w:asciiTheme="majorHAnsi" w:hAnsiTheme="majorHAnsi" w:cs="Times New Roman"/>
          <w:sz w:val="24"/>
          <w:szCs w:val="24"/>
          <w:lang w:val="en-US"/>
        </w:rPr>
      </w:pPr>
    </w:p>
    <w:p w14:paraId="6A24CBD0"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lastRenderedPageBreak/>
        <w:t xml:space="preserve">Silverman, B. W. (1986). </w:t>
      </w:r>
      <w:r w:rsidRPr="00F0530D">
        <w:rPr>
          <w:rFonts w:asciiTheme="majorHAnsi" w:hAnsiTheme="majorHAnsi" w:cs="Times New Roman"/>
          <w:i/>
          <w:iCs/>
          <w:sz w:val="24"/>
          <w:szCs w:val="24"/>
          <w:lang w:val="en-US"/>
        </w:rPr>
        <w:t>Density Estimation for Statistics and Data Analysis</w:t>
      </w:r>
      <w:r w:rsidRPr="00F0530D">
        <w:rPr>
          <w:rFonts w:asciiTheme="majorHAnsi" w:hAnsiTheme="majorHAnsi" w:cs="Times New Roman"/>
          <w:sz w:val="24"/>
          <w:szCs w:val="24"/>
          <w:lang w:val="en-US"/>
        </w:rPr>
        <w:t>. London, UK: Chapman &amp; Hall.</w:t>
      </w:r>
    </w:p>
    <w:p w14:paraId="2725A336" w14:textId="77777777" w:rsidR="0018713E" w:rsidRDefault="0018713E" w:rsidP="00FB580C">
      <w:pPr>
        <w:rPr>
          <w:rFonts w:asciiTheme="majorHAnsi" w:hAnsiTheme="majorHAnsi" w:cs="Times New Roman"/>
          <w:sz w:val="24"/>
          <w:szCs w:val="24"/>
          <w:lang w:val="en-US"/>
        </w:rPr>
      </w:pPr>
    </w:p>
    <w:p w14:paraId="3B46FAB2" w14:textId="77777777" w:rsidR="00540E7B" w:rsidRPr="00F0530D" w:rsidRDefault="00540E7B" w:rsidP="00FB580C">
      <w:pPr>
        <w:rPr>
          <w:rFonts w:asciiTheme="majorHAnsi" w:hAnsiTheme="majorHAnsi" w:cs="Times New Roman"/>
          <w:sz w:val="24"/>
          <w:szCs w:val="24"/>
          <w:lang w:val="en-US"/>
        </w:rPr>
      </w:pPr>
    </w:p>
    <w:p w14:paraId="20ABC8AD" w14:textId="77777777" w:rsidR="00F3367C"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Stein, A. D., Wang, M., Martorell, R., Norris, S. A., Adair, L. S., Bas, I., … Cohorts Group. (2010). Growth patterns in early childhood and final attained stature: data from five birth cohorts from low- and middle-income countries. </w:t>
      </w:r>
      <w:r w:rsidRPr="00F0530D">
        <w:rPr>
          <w:rFonts w:asciiTheme="majorHAnsi" w:hAnsiTheme="majorHAnsi" w:cs="Times New Roman"/>
          <w:i/>
          <w:iCs/>
          <w:sz w:val="24"/>
          <w:szCs w:val="24"/>
          <w:lang w:val="en-US"/>
        </w:rPr>
        <w:t>American Journal of Human Biology: The Official Journal of the Human Biology Council</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22</w:t>
      </w:r>
      <w:r w:rsidRPr="00F0530D">
        <w:rPr>
          <w:rFonts w:asciiTheme="majorHAnsi" w:hAnsiTheme="majorHAnsi" w:cs="Times New Roman"/>
          <w:sz w:val="24"/>
          <w:szCs w:val="24"/>
          <w:lang w:val="en-US"/>
        </w:rPr>
        <w:t>, 353–359.</w:t>
      </w:r>
    </w:p>
    <w:p w14:paraId="69F30E3B" w14:textId="77777777" w:rsidR="0018713E" w:rsidRPr="00F0530D" w:rsidRDefault="0018713E" w:rsidP="00F0530D">
      <w:pPr>
        <w:rPr>
          <w:lang w:val="en-US"/>
        </w:rPr>
      </w:pPr>
    </w:p>
    <w:p w14:paraId="793E4DB7"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Tabbakh, T., &amp; Freeland-Graves, J. H. (2016). The home environment: a mediator of nutrition knowledge and diet quality in adolescents. </w:t>
      </w:r>
      <w:r w:rsidRPr="00F0530D">
        <w:rPr>
          <w:rFonts w:asciiTheme="majorHAnsi" w:hAnsiTheme="majorHAnsi" w:cs="Times New Roman"/>
          <w:i/>
          <w:iCs/>
          <w:sz w:val="24"/>
          <w:szCs w:val="24"/>
          <w:lang w:val="en-US"/>
        </w:rPr>
        <w:t>Appetite</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105</w:t>
      </w:r>
      <w:r w:rsidRPr="00F0530D">
        <w:rPr>
          <w:rFonts w:asciiTheme="majorHAnsi" w:hAnsiTheme="majorHAnsi" w:cs="Times New Roman"/>
          <w:sz w:val="24"/>
          <w:szCs w:val="24"/>
          <w:lang w:val="en-US"/>
        </w:rPr>
        <w:t>, 46–52.</w:t>
      </w:r>
    </w:p>
    <w:p w14:paraId="59FB1712" w14:textId="77777777" w:rsidR="00FB580C" w:rsidRPr="00F0530D" w:rsidRDefault="00FB580C" w:rsidP="00FB580C">
      <w:pPr>
        <w:rPr>
          <w:rFonts w:asciiTheme="majorHAnsi" w:hAnsiTheme="majorHAnsi" w:cs="Times New Roman"/>
          <w:sz w:val="24"/>
          <w:szCs w:val="24"/>
          <w:lang w:val="en-US"/>
        </w:rPr>
      </w:pPr>
    </w:p>
    <w:p w14:paraId="1BDB652C"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UNICEF, WHO, &amp; World Bank Group. (2015). </w:t>
      </w:r>
      <w:r w:rsidRPr="00F0530D">
        <w:rPr>
          <w:rFonts w:asciiTheme="majorHAnsi" w:hAnsiTheme="majorHAnsi" w:cs="Times New Roman"/>
          <w:i/>
          <w:iCs/>
          <w:sz w:val="24"/>
          <w:szCs w:val="24"/>
          <w:lang w:val="en-US"/>
        </w:rPr>
        <w:t>Joint Child Malnutrition Estimates 2016 edition</w:t>
      </w:r>
      <w:r w:rsidRPr="00F0530D">
        <w:rPr>
          <w:rFonts w:asciiTheme="majorHAnsi" w:hAnsiTheme="majorHAnsi" w:cs="Times New Roman"/>
          <w:sz w:val="24"/>
          <w:szCs w:val="24"/>
          <w:lang w:val="en-US"/>
        </w:rPr>
        <w:t>. New York, N.Y; Geneva, Switzerland and Washington, D.C: United Nations Children’s Fund, the World Health Organization and World Bank Group. Retrieved from http://www.who.int/nutgrowthdb/estimates2015/en/</w:t>
      </w:r>
    </w:p>
    <w:p w14:paraId="71B6F739" w14:textId="77777777" w:rsidR="00FB580C" w:rsidRPr="00F0530D" w:rsidRDefault="00FB580C" w:rsidP="00FB580C">
      <w:pPr>
        <w:rPr>
          <w:rFonts w:asciiTheme="majorHAnsi" w:hAnsiTheme="majorHAnsi" w:cs="Times New Roman"/>
          <w:sz w:val="24"/>
          <w:szCs w:val="24"/>
          <w:lang w:val="en-US"/>
        </w:rPr>
      </w:pPr>
    </w:p>
    <w:p w14:paraId="4AC50BD2"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Variyam, J. N., Blaylock, J., Lin, B.-H., Ralston, K., &amp; Smallwood, D. (1999). Mother’s nutrition knowledge and children’s dietary intakes. </w:t>
      </w:r>
      <w:r w:rsidRPr="00F0530D">
        <w:rPr>
          <w:rFonts w:asciiTheme="majorHAnsi" w:hAnsiTheme="majorHAnsi" w:cs="Times New Roman"/>
          <w:i/>
          <w:iCs/>
          <w:sz w:val="24"/>
          <w:szCs w:val="24"/>
          <w:lang w:val="en-US"/>
        </w:rPr>
        <w:t>American Journal of Agricultural Economics</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81</w:t>
      </w:r>
      <w:r w:rsidRPr="00F0530D">
        <w:rPr>
          <w:rFonts w:asciiTheme="majorHAnsi" w:hAnsiTheme="majorHAnsi" w:cs="Times New Roman"/>
          <w:sz w:val="24"/>
          <w:szCs w:val="24"/>
          <w:lang w:val="en-US"/>
        </w:rPr>
        <w:t>, 373–384.</w:t>
      </w:r>
    </w:p>
    <w:p w14:paraId="13372791" w14:textId="77777777" w:rsidR="00FB580C" w:rsidRPr="00F0530D" w:rsidRDefault="00FB580C" w:rsidP="00FB580C">
      <w:pPr>
        <w:rPr>
          <w:rFonts w:asciiTheme="majorHAnsi" w:hAnsiTheme="majorHAnsi" w:cs="Times New Roman"/>
          <w:sz w:val="24"/>
          <w:szCs w:val="24"/>
          <w:lang w:val="en-US"/>
        </w:rPr>
      </w:pPr>
    </w:p>
    <w:p w14:paraId="7603F4CE" w14:textId="49E89415" w:rsidR="0060281F" w:rsidRPr="00F0530D" w:rsidRDefault="0060281F" w:rsidP="0060281F">
      <w:pPr>
        <w:spacing w:after="0" w:line="240" w:lineRule="auto"/>
        <w:ind w:left="709" w:hanging="709"/>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Vereecken, C., &amp; Maes, Lea. (2010). Young children's dietary habits and associations with the mothers' nutritional knowledge and attitudes. </w:t>
      </w:r>
      <w:r w:rsidRPr="00F0530D">
        <w:rPr>
          <w:rFonts w:asciiTheme="majorHAnsi" w:hAnsiTheme="majorHAnsi" w:cs="Times New Roman"/>
          <w:i/>
          <w:sz w:val="24"/>
          <w:szCs w:val="24"/>
          <w:lang w:val="en-US"/>
        </w:rPr>
        <w:t>Appetite</w:t>
      </w:r>
      <w:r w:rsidRPr="00F0530D">
        <w:rPr>
          <w:rFonts w:asciiTheme="majorHAnsi" w:hAnsiTheme="majorHAnsi" w:cs="Times New Roman"/>
          <w:sz w:val="24"/>
          <w:szCs w:val="24"/>
          <w:lang w:val="en-US"/>
        </w:rPr>
        <w:t>, 54, 44-51.</w:t>
      </w:r>
    </w:p>
    <w:p w14:paraId="7F4749FF" w14:textId="77777777" w:rsidR="0060281F" w:rsidRPr="00F0530D" w:rsidRDefault="0060281F" w:rsidP="0060281F">
      <w:pPr>
        <w:rPr>
          <w:rFonts w:asciiTheme="majorHAnsi" w:hAnsiTheme="majorHAnsi" w:cs="Times New Roman"/>
          <w:sz w:val="24"/>
          <w:szCs w:val="24"/>
          <w:lang w:val="en-US"/>
        </w:rPr>
      </w:pPr>
    </w:p>
    <w:p w14:paraId="04635208"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Wand, M. P., &amp; Jones, M. C. (1995). </w:t>
      </w:r>
      <w:r w:rsidRPr="00F0530D">
        <w:rPr>
          <w:rFonts w:asciiTheme="majorHAnsi" w:hAnsiTheme="majorHAnsi" w:cs="Times New Roman"/>
          <w:i/>
          <w:iCs/>
          <w:sz w:val="24"/>
          <w:szCs w:val="24"/>
          <w:lang w:val="en-US"/>
        </w:rPr>
        <w:t>Kernel Smoothing</w:t>
      </w:r>
      <w:r w:rsidRPr="00F0530D">
        <w:rPr>
          <w:rFonts w:asciiTheme="majorHAnsi" w:hAnsiTheme="majorHAnsi" w:cs="Times New Roman"/>
          <w:sz w:val="24"/>
          <w:szCs w:val="24"/>
          <w:lang w:val="en-US"/>
        </w:rPr>
        <w:t xml:space="preserve"> (1st ed). London; New York: Chapman &amp; Hall.</w:t>
      </w:r>
    </w:p>
    <w:p w14:paraId="76A17D0B" w14:textId="77777777" w:rsidR="00874E17" w:rsidRPr="00F0530D" w:rsidRDefault="00874E17" w:rsidP="00F0530D">
      <w:pPr>
        <w:rPr>
          <w:rFonts w:asciiTheme="majorHAnsi" w:hAnsiTheme="majorHAnsi" w:cs="Times New Roman"/>
          <w:sz w:val="24"/>
          <w:szCs w:val="24"/>
          <w:lang w:val="en-US"/>
        </w:rPr>
      </w:pPr>
    </w:p>
    <w:p w14:paraId="714EAF1B"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Webb, P., &amp; Block, S. (2004). Nutrition information and formal schooling as inputs to child nutrition. </w:t>
      </w:r>
      <w:r w:rsidRPr="00F0530D">
        <w:rPr>
          <w:rFonts w:asciiTheme="majorHAnsi" w:hAnsiTheme="majorHAnsi" w:cs="Times New Roman"/>
          <w:i/>
          <w:iCs/>
          <w:sz w:val="24"/>
          <w:szCs w:val="24"/>
          <w:lang w:val="en-US"/>
        </w:rPr>
        <w:t>Economic Development and Cultural Change</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52</w:t>
      </w:r>
      <w:r w:rsidRPr="00F0530D">
        <w:rPr>
          <w:rFonts w:asciiTheme="majorHAnsi" w:hAnsiTheme="majorHAnsi" w:cs="Times New Roman"/>
          <w:sz w:val="24"/>
          <w:szCs w:val="24"/>
          <w:lang w:val="en-US"/>
        </w:rPr>
        <w:t>, 801–820.</w:t>
      </w:r>
    </w:p>
    <w:p w14:paraId="227F50B6" w14:textId="77777777" w:rsidR="0060281F" w:rsidRPr="00F0530D" w:rsidRDefault="0060281F" w:rsidP="0060281F">
      <w:pPr>
        <w:rPr>
          <w:rFonts w:asciiTheme="majorHAnsi" w:hAnsiTheme="majorHAnsi" w:cs="Times New Roman"/>
          <w:sz w:val="24"/>
          <w:szCs w:val="24"/>
          <w:lang w:val="en-US"/>
        </w:rPr>
      </w:pPr>
    </w:p>
    <w:p w14:paraId="646FF99E" w14:textId="77777777" w:rsidR="00874E17" w:rsidRPr="00F0530D" w:rsidRDefault="00874E17" w:rsidP="00F0530D">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Wells, J. C. K. (2014). Toward body composition reference data for infants, children, and adolescents. </w:t>
      </w:r>
      <w:r w:rsidRPr="00F0530D">
        <w:rPr>
          <w:rFonts w:asciiTheme="majorHAnsi" w:hAnsiTheme="majorHAnsi" w:cs="Times New Roman"/>
          <w:i/>
          <w:iCs/>
          <w:sz w:val="24"/>
          <w:szCs w:val="24"/>
          <w:lang w:val="en-US"/>
        </w:rPr>
        <w:t>Advances in Nutrition: An International Review Journal</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5</w:t>
      </w:r>
      <w:r w:rsidRPr="00F0530D">
        <w:rPr>
          <w:rFonts w:asciiTheme="majorHAnsi" w:hAnsiTheme="majorHAnsi" w:cs="Times New Roman"/>
          <w:sz w:val="24"/>
          <w:szCs w:val="24"/>
          <w:lang w:val="en-US"/>
        </w:rPr>
        <w:t>, 320S–329S.</w:t>
      </w:r>
    </w:p>
    <w:p w14:paraId="7BF81097" w14:textId="77777777" w:rsidR="00874E17" w:rsidRPr="00F0530D" w:rsidRDefault="00874E17" w:rsidP="00F0530D">
      <w:pPr>
        <w:rPr>
          <w:rFonts w:asciiTheme="majorHAnsi" w:hAnsiTheme="majorHAnsi" w:cs="Times New Roman"/>
          <w:sz w:val="24"/>
          <w:szCs w:val="24"/>
          <w:lang w:val="en-US"/>
        </w:rPr>
      </w:pPr>
    </w:p>
    <w:p w14:paraId="72A09378"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White, H. (1980). A heteroskedasticity-consistent covariance matrix estimator and a direct test for heteroskedasticity. </w:t>
      </w:r>
      <w:r w:rsidRPr="00F0530D">
        <w:rPr>
          <w:rFonts w:asciiTheme="majorHAnsi" w:hAnsiTheme="majorHAnsi" w:cs="Times New Roman"/>
          <w:i/>
          <w:iCs/>
          <w:sz w:val="24"/>
          <w:szCs w:val="24"/>
          <w:lang w:val="en-US"/>
        </w:rPr>
        <w:t>Econometrica</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48</w:t>
      </w:r>
      <w:r w:rsidRPr="00F0530D">
        <w:rPr>
          <w:rFonts w:asciiTheme="majorHAnsi" w:hAnsiTheme="majorHAnsi" w:cs="Times New Roman"/>
          <w:sz w:val="24"/>
          <w:szCs w:val="24"/>
          <w:lang w:val="en-US"/>
        </w:rPr>
        <w:t>, 817–838.</w:t>
      </w:r>
    </w:p>
    <w:p w14:paraId="7B48F018" w14:textId="77777777" w:rsidR="00FB580C" w:rsidRPr="00F0530D" w:rsidRDefault="00FB580C" w:rsidP="00FB580C">
      <w:pPr>
        <w:rPr>
          <w:rFonts w:asciiTheme="majorHAnsi" w:hAnsiTheme="majorHAnsi" w:cs="Times New Roman"/>
          <w:sz w:val="24"/>
          <w:szCs w:val="24"/>
          <w:lang w:val="en-US"/>
        </w:rPr>
      </w:pPr>
    </w:p>
    <w:p w14:paraId="15465BC1"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WHO Expert Committee. (1995). </w:t>
      </w:r>
      <w:r w:rsidRPr="00F0530D">
        <w:rPr>
          <w:rFonts w:asciiTheme="majorHAnsi" w:hAnsiTheme="majorHAnsi" w:cs="Times New Roman"/>
          <w:i/>
          <w:iCs/>
          <w:sz w:val="24"/>
          <w:szCs w:val="24"/>
          <w:lang w:val="en-US"/>
        </w:rPr>
        <w:t>Physical Status: The Use and Interpretation of Anthropometry</w:t>
      </w:r>
      <w:r w:rsidRPr="00F0530D">
        <w:rPr>
          <w:rFonts w:asciiTheme="majorHAnsi" w:hAnsiTheme="majorHAnsi" w:cs="Times New Roman"/>
          <w:sz w:val="24"/>
          <w:szCs w:val="24"/>
          <w:lang w:val="en-US"/>
        </w:rPr>
        <w:t>. Geneva, Switzerland: World Health Organization. Retrieved from http://www.who.int/childgrowth/publications/physical_status/en/</w:t>
      </w:r>
    </w:p>
    <w:p w14:paraId="382FBF08" w14:textId="77777777" w:rsidR="00FB580C" w:rsidRPr="00F0530D" w:rsidRDefault="00FB580C" w:rsidP="00FB580C">
      <w:pPr>
        <w:rPr>
          <w:rFonts w:asciiTheme="majorHAnsi" w:hAnsiTheme="majorHAnsi" w:cs="Times New Roman"/>
          <w:sz w:val="24"/>
          <w:szCs w:val="24"/>
          <w:lang w:val="en-US"/>
        </w:rPr>
      </w:pPr>
    </w:p>
    <w:p w14:paraId="473ACA03"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lastRenderedPageBreak/>
        <w:t xml:space="preserve">WHO Multicentre Growth Reference Study Group. (2006). </w:t>
      </w:r>
      <w:r w:rsidRPr="00F0530D">
        <w:rPr>
          <w:rFonts w:asciiTheme="majorHAnsi" w:hAnsiTheme="majorHAnsi" w:cs="Times New Roman"/>
          <w:i/>
          <w:iCs/>
          <w:sz w:val="24"/>
          <w:szCs w:val="24"/>
          <w:lang w:val="en-US"/>
        </w:rPr>
        <w:t>The WHO Child Growth Standards: Length/height-for-age, weight-for-age, weight-for-length, weight-for-height and body mass index-for-age: Methods and development</w:t>
      </w:r>
      <w:r w:rsidRPr="00F0530D">
        <w:rPr>
          <w:rFonts w:asciiTheme="majorHAnsi" w:hAnsiTheme="majorHAnsi" w:cs="Times New Roman"/>
          <w:sz w:val="24"/>
          <w:szCs w:val="24"/>
          <w:lang w:val="en-US"/>
        </w:rPr>
        <w:t>. Geneva, Switzerland: World Health Organization. Retrieved from http://www.who.int/childgrowth/standards/en/</w:t>
      </w:r>
    </w:p>
    <w:p w14:paraId="1AC0688E" w14:textId="2C75CF71" w:rsidR="00FB580C" w:rsidRDefault="00FB580C" w:rsidP="00FB580C">
      <w:pPr>
        <w:pStyle w:val="Literaturverzeichnis"/>
        <w:spacing w:line="240" w:lineRule="auto"/>
        <w:rPr>
          <w:rFonts w:asciiTheme="majorHAnsi" w:hAnsiTheme="majorHAnsi" w:cs="Times New Roman"/>
          <w:sz w:val="24"/>
          <w:szCs w:val="24"/>
          <w:lang w:val="en-US"/>
        </w:rPr>
      </w:pPr>
    </w:p>
    <w:p w14:paraId="698CD6B1" w14:textId="77777777" w:rsidR="00FB580C" w:rsidRPr="00F0530D" w:rsidRDefault="00FB580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WHO. (2016). WHO | Global Database on Child Growth and Malnutrition. Retrieved September 14, 2016, from http://www.who.int/nutgrowthdb/about/introduction/en/index2.html</w:t>
      </w:r>
    </w:p>
    <w:p w14:paraId="5B153B5C" w14:textId="77777777" w:rsidR="00FB580C" w:rsidRPr="00F0530D" w:rsidRDefault="00FB580C" w:rsidP="00FB580C">
      <w:pPr>
        <w:rPr>
          <w:rFonts w:asciiTheme="majorHAnsi" w:hAnsiTheme="majorHAnsi" w:cs="Times New Roman"/>
          <w:sz w:val="24"/>
          <w:szCs w:val="24"/>
          <w:lang w:val="en-US"/>
        </w:rPr>
      </w:pPr>
    </w:p>
    <w:p w14:paraId="3564B932"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World Bank. (2010). </w:t>
      </w:r>
      <w:r w:rsidRPr="00F0530D">
        <w:rPr>
          <w:rFonts w:asciiTheme="majorHAnsi" w:hAnsiTheme="majorHAnsi" w:cs="Times New Roman"/>
          <w:i/>
          <w:iCs/>
          <w:sz w:val="24"/>
          <w:szCs w:val="24"/>
          <w:lang w:val="en-US"/>
        </w:rPr>
        <w:t>What can we learn from nutrition impact evaluations? Lessons from a review of interventions to reduce child malnutrition in developing countries</w:t>
      </w:r>
      <w:r w:rsidRPr="00F0530D">
        <w:rPr>
          <w:rFonts w:asciiTheme="majorHAnsi" w:hAnsiTheme="majorHAnsi" w:cs="Times New Roman"/>
          <w:sz w:val="24"/>
          <w:szCs w:val="24"/>
          <w:lang w:val="en-US"/>
        </w:rPr>
        <w:t>. Washington, D.C: World Bank. Retrieved from http://elibrary.worldbank.org/doi/abs/10.1596/978-0-8213-8406-0</w:t>
      </w:r>
    </w:p>
    <w:p w14:paraId="6277D079" w14:textId="77777777" w:rsidR="00FB580C" w:rsidRPr="00F0530D" w:rsidRDefault="00FB580C" w:rsidP="00FB580C">
      <w:pPr>
        <w:rPr>
          <w:rFonts w:asciiTheme="majorHAnsi" w:hAnsiTheme="majorHAnsi" w:cs="Times New Roman"/>
          <w:sz w:val="24"/>
          <w:szCs w:val="24"/>
          <w:lang w:val="en-US"/>
        </w:rPr>
      </w:pPr>
    </w:p>
    <w:p w14:paraId="444846C3" w14:textId="77777777" w:rsidR="00F3367C" w:rsidRPr="00F0530D" w:rsidRDefault="00F3367C" w:rsidP="00FB580C">
      <w:pPr>
        <w:pStyle w:val="Literaturverzeichnis"/>
        <w:spacing w:line="240" w:lineRule="auto"/>
        <w:rPr>
          <w:rFonts w:asciiTheme="majorHAnsi" w:hAnsiTheme="majorHAnsi" w:cs="Times New Roman"/>
          <w:sz w:val="24"/>
          <w:szCs w:val="24"/>
          <w:lang w:val="en-US"/>
        </w:rPr>
      </w:pPr>
      <w:r w:rsidRPr="00F0530D">
        <w:rPr>
          <w:rFonts w:asciiTheme="majorHAnsi" w:hAnsiTheme="majorHAnsi" w:cs="Times New Roman"/>
          <w:sz w:val="24"/>
          <w:szCs w:val="24"/>
          <w:lang w:val="en-US"/>
        </w:rPr>
        <w:t xml:space="preserve">Yabancı, N., Kısaç, İ., &amp; Karakuş, S. Ş. (2014). The effects of mother’s nutritional knowledge on attitudes and behaviors of children about nutrition. </w:t>
      </w:r>
      <w:r w:rsidRPr="00F0530D">
        <w:rPr>
          <w:rFonts w:asciiTheme="majorHAnsi" w:hAnsiTheme="majorHAnsi" w:cs="Times New Roman"/>
          <w:i/>
          <w:iCs/>
          <w:sz w:val="24"/>
          <w:szCs w:val="24"/>
          <w:lang w:val="en-US"/>
        </w:rPr>
        <w:t>Procedia - Social and Behavioral Sciences</w:t>
      </w:r>
      <w:r w:rsidRPr="00F0530D">
        <w:rPr>
          <w:rFonts w:asciiTheme="majorHAnsi" w:hAnsiTheme="majorHAnsi" w:cs="Times New Roman"/>
          <w:sz w:val="24"/>
          <w:szCs w:val="24"/>
          <w:lang w:val="en-US"/>
        </w:rPr>
        <w:t xml:space="preserve">, </w:t>
      </w:r>
      <w:r w:rsidRPr="00F0530D">
        <w:rPr>
          <w:rFonts w:asciiTheme="majorHAnsi" w:hAnsiTheme="majorHAnsi" w:cs="Times New Roman"/>
          <w:i/>
          <w:iCs/>
          <w:sz w:val="24"/>
          <w:szCs w:val="24"/>
          <w:lang w:val="en-US"/>
        </w:rPr>
        <w:t>116</w:t>
      </w:r>
      <w:r w:rsidRPr="00F0530D">
        <w:rPr>
          <w:rFonts w:asciiTheme="majorHAnsi" w:hAnsiTheme="majorHAnsi" w:cs="Times New Roman"/>
          <w:sz w:val="24"/>
          <w:szCs w:val="24"/>
          <w:lang w:val="en-US"/>
        </w:rPr>
        <w:t>, 4477–4481.</w:t>
      </w:r>
    </w:p>
    <w:p w14:paraId="23CF8208" w14:textId="77777777" w:rsidR="001210F5" w:rsidRPr="00064DA0" w:rsidRDefault="00051CB9" w:rsidP="00FB580C">
      <w:pPr>
        <w:spacing w:after="0" w:line="240" w:lineRule="auto"/>
        <w:ind w:left="720" w:hanging="720"/>
        <w:jc w:val="both"/>
        <w:rPr>
          <w:rFonts w:asciiTheme="majorHAnsi" w:hAnsiTheme="majorHAnsi"/>
          <w:sz w:val="24"/>
          <w:szCs w:val="24"/>
          <w:lang w:val="en-US"/>
        </w:rPr>
      </w:pPr>
      <w:r w:rsidRPr="00F0530D">
        <w:rPr>
          <w:rFonts w:asciiTheme="majorHAnsi" w:hAnsiTheme="majorHAnsi" w:cs="Times New Roman"/>
          <w:sz w:val="24"/>
          <w:szCs w:val="24"/>
          <w:lang w:val="en-US"/>
        </w:rPr>
        <w:fldChar w:fldCharType="end"/>
      </w:r>
    </w:p>
    <w:p w14:paraId="6ABC228D" w14:textId="77777777" w:rsidR="00A97876" w:rsidRPr="00E950A8" w:rsidRDefault="00A97876" w:rsidP="00FB580C">
      <w:pPr>
        <w:spacing w:after="0" w:line="240" w:lineRule="auto"/>
        <w:rPr>
          <w:rFonts w:asciiTheme="majorHAnsi" w:hAnsiTheme="majorHAnsi"/>
          <w:b/>
          <w:sz w:val="24"/>
          <w:szCs w:val="24"/>
          <w:lang w:val="en-US"/>
        </w:rPr>
      </w:pPr>
    </w:p>
    <w:sectPr w:rsidR="00A97876" w:rsidRPr="00E950A8" w:rsidSect="00410269">
      <w:headerReference w:type="default" r:id="rId18"/>
      <w:footerReference w:type="default" r:id="rId19"/>
      <w:pgSz w:w="11906" w:h="16838"/>
      <w:pgMar w:top="1417" w:right="1133"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2666F" w14:textId="77777777" w:rsidR="003A4DBA" w:rsidRDefault="003A4DBA" w:rsidP="004E7A2F">
      <w:pPr>
        <w:spacing w:after="0" w:line="240" w:lineRule="auto"/>
      </w:pPr>
      <w:r>
        <w:separator/>
      </w:r>
    </w:p>
  </w:endnote>
  <w:endnote w:type="continuationSeparator" w:id="0">
    <w:p w14:paraId="555BA48C" w14:textId="77777777" w:rsidR="003A4DBA" w:rsidRDefault="003A4DBA" w:rsidP="004E7A2F">
      <w:pPr>
        <w:spacing w:after="0" w:line="240" w:lineRule="auto"/>
      </w:pPr>
      <w:r>
        <w:continuationSeparator/>
      </w:r>
    </w:p>
  </w:endnote>
  <w:endnote w:type="continuationNotice" w:id="1">
    <w:p w14:paraId="055EA7CA" w14:textId="77777777" w:rsidR="003A4DBA" w:rsidRDefault="003A4D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428434"/>
      <w:docPartObj>
        <w:docPartGallery w:val="Page Numbers (Bottom of Page)"/>
        <w:docPartUnique/>
      </w:docPartObj>
    </w:sdtPr>
    <w:sdtEndPr/>
    <w:sdtContent>
      <w:p w14:paraId="75573E19" w14:textId="77777777" w:rsidR="000A49F9" w:rsidRDefault="000A49F9">
        <w:pPr>
          <w:pStyle w:val="Fuzeile"/>
          <w:jc w:val="center"/>
        </w:pPr>
        <w:r>
          <w:fldChar w:fldCharType="begin"/>
        </w:r>
        <w:r>
          <w:instrText>PAGE   \* MERGEFORMAT</w:instrText>
        </w:r>
        <w:r>
          <w:fldChar w:fldCharType="separate"/>
        </w:r>
        <w:r w:rsidR="007C3E2A">
          <w:rPr>
            <w:noProof/>
          </w:rPr>
          <w:t>22</w:t>
        </w:r>
        <w:r>
          <w:fldChar w:fldCharType="end"/>
        </w:r>
      </w:p>
    </w:sdtContent>
  </w:sdt>
  <w:p w14:paraId="2EF6388C" w14:textId="77777777" w:rsidR="000A49F9" w:rsidRDefault="000A49F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739495"/>
      <w:docPartObj>
        <w:docPartGallery w:val="Page Numbers (Bottom of Page)"/>
        <w:docPartUnique/>
      </w:docPartObj>
    </w:sdtPr>
    <w:sdtEndPr/>
    <w:sdtContent>
      <w:p w14:paraId="39AD63B5" w14:textId="77777777" w:rsidR="000A49F9" w:rsidRDefault="000A49F9">
        <w:pPr>
          <w:pStyle w:val="Fuzeile"/>
          <w:jc w:val="center"/>
        </w:pPr>
        <w:r>
          <w:fldChar w:fldCharType="begin"/>
        </w:r>
        <w:r>
          <w:instrText>PAGE   \* MERGEFORMAT</w:instrText>
        </w:r>
        <w:r>
          <w:fldChar w:fldCharType="separate"/>
        </w:r>
        <w:r w:rsidR="007C3E2A">
          <w:rPr>
            <w:noProof/>
          </w:rPr>
          <w:t>27</w:t>
        </w:r>
        <w:r>
          <w:fldChar w:fldCharType="end"/>
        </w:r>
      </w:p>
    </w:sdtContent>
  </w:sdt>
  <w:p w14:paraId="4BD6E2A8" w14:textId="77777777" w:rsidR="000A49F9" w:rsidRDefault="000A49F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14982" w14:textId="77777777" w:rsidR="003A4DBA" w:rsidRDefault="003A4DBA" w:rsidP="004E7A2F">
      <w:pPr>
        <w:spacing w:after="0" w:line="240" w:lineRule="auto"/>
      </w:pPr>
      <w:r>
        <w:separator/>
      </w:r>
    </w:p>
  </w:footnote>
  <w:footnote w:type="continuationSeparator" w:id="0">
    <w:p w14:paraId="207E0C2C" w14:textId="77777777" w:rsidR="003A4DBA" w:rsidRDefault="003A4DBA" w:rsidP="004E7A2F">
      <w:pPr>
        <w:spacing w:after="0" w:line="240" w:lineRule="auto"/>
      </w:pPr>
      <w:r>
        <w:continuationSeparator/>
      </w:r>
    </w:p>
  </w:footnote>
  <w:footnote w:type="continuationNotice" w:id="1">
    <w:p w14:paraId="570D0965" w14:textId="77777777" w:rsidR="003A4DBA" w:rsidRDefault="003A4DBA">
      <w:pPr>
        <w:spacing w:after="0" w:line="240" w:lineRule="auto"/>
      </w:pPr>
    </w:p>
  </w:footnote>
  <w:footnote w:id="2">
    <w:p w14:paraId="05F9F151" w14:textId="77777777" w:rsidR="000A49F9" w:rsidRPr="000C3350" w:rsidRDefault="000A49F9" w:rsidP="008A5C7B">
      <w:pPr>
        <w:pStyle w:val="Funotentext"/>
        <w:jc w:val="both"/>
        <w:rPr>
          <w:rFonts w:asciiTheme="majorHAnsi" w:hAnsiTheme="majorHAnsi"/>
          <w:sz w:val="22"/>
          <w:szCs w:val="22"/>
          <w:lang w:val="en-US"/>
        </w:rPr>
      </w:pPr>
      <w:r w:rsidRPr="000C3350">
        <w:rPr>
          <w:rStyle w:val="Funotenzeichen"/>
          <w:rFonts w:asciiTheme="majorHAnsi" w:hAnsiTheme="majorHAnsi"/>
          <w:sz w:val="22"/>
          <w:szCs w:val="22"/>
          <w:lang w:val="en-US"/>
        </w:rPr>
        <w:footnoteRef/>
      </w:r>
      <w:r w:rsidRPr="000C3350">
        <w:rPr>
          <w:rFonts w:asciiTheme="majorHAnsi" w:hAnsiTheme="majorHAnsi"/>
          <w:sz w:val="22"/>
          <w:szCs w:val="22"/>
          <w:lang w:val="en-US"/>
        </w:rPr>
        <w:t xml:space="preserve"> In cases where the child’s mother was unavailable, data from another female caretaker in the same household were taken. This happened in 12% of the sample households.</w:t>
      </w:r>
    </w:p>
  </w:footnote>
  <w:footnote w:id="3">
    <w:p w14:paraId="60AB6E04" w14:textId="77777777" w:rsidR="000A49F9" w:rsidRPr="000C3350" w:rsidRDefault="000A49F9" w:rsidP="008A5C7B">
      <w:pPr>
        <w:pStyle w:val="Funotentext"/>
        <w:jc w:val="both"/>
        <w:rPr>
          <w:rFonts w:asciiTheme="majorHAnsi" w:hAnsiTheme="majorHAnsi"/>
          <w:sz w:val="22"/>
          <w:szCs w:val="22"/>
          <w:lang w:val="en-US"/>
        </w:rPr>
      </w:pPr>
      <w:r w:rsidRPr="000C3350">
        <w:rPr>
          <w:rStyle w:val="Funotenzeichen"/>
          <w:rFonts w:asciiTheme="majorHAnsi" w:hAnsiTheme="majorHAnsi"/>
          <w:sz w:val="22"/>
          <w:szCs w:val="22"/>
          <w:lang w:val="en-US"/>
        </w:rPr>
        <w:footnoteRef/>
      </w:r>
      <w:r w:rsidRPr="000C3350">
        <w:rPr>
          <w:rFonts w:asciiTheme="majorHAnsi" w:hAnsiTheme="majorHAnsi"/>
          <w:sz w:val="22"/>
          <w:szCs w:val="22"/>
          <w:lang w:val="en-US"/>
        </w:rPr>
        <w:t xml:space="preserve"> Household consumption expenditures include expenditures for all food and non-food items consumed by the household over a period of one </w:t>
      </w:r>
      <w:r>
        <w:rPr>
          <w:rFonts w:asciiTheme="majorHAnsi" w:hAnsiTheme="majorHAnsi"/>
          <w:sz w:val="22"/>
          <w:szCs w:val="22"/>
          <w:lang w:val="en-US"/>
        </w:rPr>
        <w:t>month</w:t>
      </w:r>
      <w:r w:rsidRPr="000C3350">
        <w:rPr>
          <w:rFonts w:asciiTheme="majorHAnsi" w:hAnsiTheme="majorHAnsi"/>
          <w:sz w:val="22"/>
          <w:szCs w:val="22"/>
          <w:lang w:val="en-US"/>
        </w:rPr>
        <w:t>. To make values comparable</w:t>
      </w:r>
      <w:r>
        <w:rPr>
          <w:rFonts w:asciiTheme="majorHAnsi" w:hAnsiTheme="majorHAnsi"/>
          <w:sz w:val="22"/>
          <w:szCs w:val="22"/>
          <w:lang w:val="en-US"/>
        </w:rPr>
        <w:t xml:space="preserve"> across households of different size</w:t>
      </w:r>
      <w:r w:rsidRPr="000C3350">
        <w:rPr>
          <w:rFonts w:asciiTheme="majorHAnsi" w:hAnsiTheme="majorHAnsi"/>
          <w:sz w:val="22"/>
          <w:szCs w:val="22"/>
          <w:lang w:val="en-US"/>
        </w:rPr>
        <w:t xml:space="preserve">, </w:t>
      </w:r>
      <w:r>
        <w:rPr>
          <w:rFonts w:asciiTheme="majorHAnsi" w:hAnsiTheme="majorHAnsi"/>
          <w:sz w:val="22"/>
          <w:szCs w:val="22"/>
          <w:lang w:val="en-US"/>
        </w:rPr>
        <w:t>we express consumption expenditures per adult equivalent. Monetary</w:t>
      </w:r>
      <w:r w:rsidRPr="000C3350">
        <w:rPr>
          <w:rFonts w:asciiTheme="majorHAnsi" w:hAnsiTheme="majorHAnsi"/>
          <w:sz w:val="22"/>
          <w:szCs w:val="22"/>
          <w:lang w:val="en-US"/>
        </w:rPr>
        <w:t xml:space="preserve"> </w:t>
      </w:r>
      <w:r>
        <w:rPr>
          <w:rFonts w:asciiTheme="majorHAnsi" w:hAnsiTheme="majorHAnsi"/>
          <w:sz w:val="22"/>
          <w:szCs w:val="22"/>
          <w:lang w:val="en-US"/>
        </w:rPr>
        <w:t xml:space="preserve">values for </w:t>
      </w:r>
      <w:r w:rsidRPr="000C3350">
        <w:rPr>
          <w:rFonts w:asciiTheme="majorHAnsi" w:eastAsiaTheme="minorEastAsia" w:hAnsiTheme="majorHAnsi" w:cs="Times New Roman"/>
          <w:sz w:val="22"/>
          <w:szCs w:val="22"/>
          <w:lang w:val="en-US"/>
        </w:rPr>
        <w:t xml:space="preserve">2015 </w:t>
      </w:r>
      <w:r>
        <w:rPr>
          <w:rFonts w:asciiTheme="majorHAnsi" w:eastAsiaTheme="minorEastAsia" w:hAnsiTheme="majorHAnsi" w:cs="Times New Roman"/>
          <w:sz w:val="22"/>
          <w:szCs w:val="22"/>
          <w:lang w:val="en-US"/>
        </w:rPr>
        <w:t xml:space="preserve">were deflated </w:t>
      </w:r>
      <w:r w:rsidRPr="000C3350">
        <w:rPr>
          <w:rFonts w:asciiTheme="majorHAnsi" w:eastAsiaTheme="minorEastAsia" w:hAnsiTheme="majorHAnsi" w:cs="Times New Roman"/>
          <w:sz w:val="22"/>
          <w:szCs w:val="22"/>
          <w:lang w:val="en-US"/>
        </w:rPr>
        <w:t>to 2012 using the consumer</w:t>
      </w:r>
      <w:r w:rsidRPr="00153505">
        <w:rPr>
          <w:rFonts w:asciiTheme="majorHAnsi" w:eastAsiaTheme="minorEastAsia" w:hAnsiTheme="majorHAnsi" w:cs="Times New Roman"/>
          <w:sz w:val="22"/>
          <w:szCs w:val="22"/>
          <w:lang w:val="en-US"/>
        </w:rPr>
        <w:t xml:space="preserve"> pr</w:t>
      </w:r>
      <w:r>
        <w:rPr>
          <w:rFonts w:asciiTheme="majorHAnsi" w:eastAsiaTheme="minorEastAsia" w:hAnsiTheme="majorHAnsi" w:cs="Times New Roman"/>
          <w:sz w:val="22"/>
          <w:szCs w:val="22"/>
          <w:lang w:val="en-US"/>
        </w:rPr>
        <w:t>i</w:t>
      </w:r>
      <w:r w:rsidRPr="000C3350">
        <w:rPr>
          <w:rFonts w:asciiTheme="majorHAnsi" w:eastAsiaTheme="minorEastAsia" w:hAnsiTheme="majorHAnsi" w:cs="Times New Roman"/>
          <w:sz w:val="22"/>
          <w:szCs w:val="22"/>
          <w:lang w:val="en-US"/>
        </w:rPr>
        <w:t>ce index.</w:t>
      </w:r>
    </w:p>
  </w:footnote>
  <w:footnote w:id="4">
    <w:p w14:paraId="2BA87522" w14:textId="77777777" w:rsidR="000A49F9" w:rsidRPr="000C3350" w:rsidRDefault="000A49F9" w:rsidP="008A5C7B">
      <w:pPr>
        <w:pStyle w:val="Funotentext"/>
        <w:jc w:val="both"/>
        <w:rPr>
          <w:rFonts w:asciiTheme="majorHAnsi" w:hAnsiTheme="majorHAnsi"/>
          <w:sz w:val="22"/>
          <w:szCs w:val="22"/>
          <w:lang w:val="en-US"/>
        </w:rPr>
      </w:pPr>
      <w:r w:rsidRPr="000C3350">
        <w:rPr>
          <w:rStyle w:val="Funotenzeichen"/>
          <w:rFonts w:asciiTheme="majorHAnsi" w:hAnsiTheme="majorHAnsi"/>
          <w:sz w:val="22"/>
          <w:szCs w:val="22"/>
        </w:rPr>
        <w:footnoteRef/>
      </w:r>
      <w:r w:rsidRPr="000C3350">
        <w:rPr>
          <w:rFonts w:asciiTheme="majorHAnsi" w:hAnsiTheme="majorHAnsi"/>
          <w:sz w:val="22"/>
          <w:szCs w:val="22"/>
          <w:lang w:val="en-US"/>
        </w:rPr>
        <w:t xml:space="preserve"> This result of a strong positive association between maternal nutrition knowledge and HAZ of children and adolescents also holds when we use alternative indicators of nutrition knowledge. In Table </w:t>
      </w:r>
      <w:r>
        <w:rPr>
          <w:rFonts w:asciiTheme="majorHAnsi" w:hAnsiTheme="majorHAnsi"/>
          <w:sz w:val="22"/>
          <w:szCs w:val="22"/>
          <w:lang w:val="en-US"/>
        </w:rPr>
        <w:t>S</w:t>
      </w:r>
      <w:r w:rsidRPr="000C3350">
        <w:rPr>
          <w:rFonts w:asciiTheme="majorHAnsi" w:hAnsiTheme="majorHAnsi"/>
          <w:sz w:val="22"/>
          <w:szCs w:val="22"/>
          <w:lang w:val="en-US"/>
        </w:rPr>
        <w:t xml:space="preserve">1 in the </w:t>
      </w:r>
      <w:r>
        <w:rPr>
          <w:rFonts w:asciiTheme="majorHAnsi" w:hAnsiTheme="majorHAnsi"/>
          <w:sz w:val="22"/>
          <w:szCs w:val="22"/>
          <w:lang w:val="en-US"/>
        </w:rPr>
        <w:t>supplementary material,</w:t>
      </w:r>
      <w:r w:rsidRPr="000C3350">
        <w:rPr>
          <w:rFonts w:asciiTheme="majorHAnsi" w:hAnsiTheme="majorHAnsi"/>
          <w:sz w:val="22"/>
          <w:szCs w:val="22"/>
          <w:lang w:val="en-US"/>
        </w:rPr>
        <w:t xml:space="preserve"> we show results where we used the total number of correct answers to the nutrition questions instead of the standardized aggregate knowledge score.</w:t>
      </w:r>
    </w:p>
  </w:footnote>
  <w:footnote w:id="5">
    <w:p w14:paraId="78A25F7B" w14:textId="77777777" w:rsidR="000A49F9" w:rsidRPr="00F07F87" w:rsidRDefault="000A49F9" w:rsidP="008A5C7B">
      <w:pPr>
        <w:pStyle w:val="Funotentext"/>
        <w:jc w:val="both"/>
        <w:rPr>
          <w:lang w:val="en-US"/>
        </w:rPr>
      </w:pPr>
      <w:r>
        <w:rPr>
          <w:rStyle w:val="Funotenzeichen"/>
        </w:rPr>
        <w:footnoteRef/>
      </w:r>
      <w:r w:rsidRPr="00F07F87">
        <w:rPr>
          <w:lang w:val="en-US"/>
        </w:rPr>
        <w:t xml:space="preserve"> </w:t>
      </w:r>
      <w:r w:rsidRPr="00F07F87">
        <w:rPr>
          <w:rFonts w:asciiTheme="majorHAnsi" w:hAnsiTheme="majorHAnsi"/>
          <w:sz w:val="22"/>
          <w:szCs w:val="22"/>
          <w:lang w:val="en-US"/>
        </w:rPr>
        <w:t xml:space="preserve">The </w:t>
      </w:r>
      <w:r>
        <w:rPr>
          <w:rFonts w:asciiTheme="majorHAnsi" w:hAnsiTheme="majorHAnsi"/>
          <w:sz w:val="22"/>
          <w:szCs w:val="22"/>
          <w:lang w:val="en-US"/>
        </w:rPr>
        <w:t xml:space="preserve">reconstructed growth references for children between 5-19 years </w:t>
      </w:r>
      <w:r w:rsidRPr="00056610">
        <w:rPr>
          <w:rFonts w:asciiTheme="majorHAnsi" w:hAnsiTheme="majorHAnsi"/>
          <w:sz w:val="22"/>
          <w:szCs w:val="22"/>
          <w:lang w:val="en-US"/>
        </w:rPr>
        <w:t>mak</w:t>
      </w:r>
      <w:r>
        <w:rPr>
          <w:rFonts w:asciiTheme="majorHAnsi" w:hAnsiTheme="majorHAnsi"/>
          <w:sz w:val="22"/>
          <w:szCs w:val="22"/>
          <w:lang w:val="en-US"/>
        </w:rPr>
        <w:t>e</w:t>
      </w:r>
      <w:r w:rsidRPr="00F07F87">
        <w:rPr>
          <w:rFonts w:asciiTheme="majorHAnsi" w:hAnsiTheme="majorHAnsi"/>
          <w:sz w:val="22"/>
          <w:szCs w:val="22"/>
          <w:lang w:val="en-US"/>
        </w:rPr>
        <w:t xml:space="preserve"> use of the 1977 NCHS/WHO </w:t>
      </w:r>
      <w:r>
        <w:rPr>
          <w:rFonts w:asciiTheme="majorHAnsi" w:hAnsiTheme="majorHAnsi"/>
          <w:sz w:val="22"/>
          <w:szCs w:val="22"/>
          <w:lang w:val="en-US"/>
        </w:rPr>
        <w:t>g</w:t>
      </w:r>
      <w:r w:rsidRPr="00F07F87">
        <w:rPr>
          <w:rFonts w:asciiTheme="majorHAnsi" w:hAnsiTheme="majorHAnsi"/>
          <w:sz w:val="22"/>
          <w:szCs w:val="22"/>
          <w:lang w:val="en-US"/>
        </w:rPr>
        <w:t xml:space="preserve">rowth </w:t>
      </w:r>
      <w:r>
        <w:rPr>
          <w:rFonts w:asciiTheme="majorHAnsi" w:hAnsiTheme="majorHAnsi"/>
          <w:sz w:val="22"/>
          <w:szCs w:val="22"/>
          <w:lang w:val="en-US"/>
        </w:rPr>
        <w:t>r</w:t>
      </w:r>
      <w:r w:rsidRPr="00F07F87">
        <w:rPr>
          <w:rFonts w:asciiTheme="majorHAnsi" w:hAnsiTheme="majorHAnsi"/>
          <w:sz w:val="22"/>
          <w:szCs w:val="22"/>
          <w:lang w:val="en-US"/>
        </w:rPr>
        <w:t>eference</w:t>
      </w:r>
      <w:r>
        <w:rPr>
          <w:rFonts w:asciiTheme="majorHAnsi" w:hAnsiTheme="majorHAnsi"/>
          <w:sz w:val="22"/>
          <w:szCs w:val="22"/>
          <w:lang w:val="en-US"/>
        </w:rPr>
        <w:t xml:space="preserve"> </w:t>
      </w:r>
      <w:r>
        <w:rPr>
          <w:rFonts w:asciiTheme="majorHAnsi" w:hAnsiTheme="majorHAnsi"/>
          <w:sz w:val="22"/>
          <w:szCs w:val="22"/>
          <w:lang w:val="en-US"/>
        </w:rPr>
        <w:fldChar w:fldCharType="begin"/>
      </w:r>
      <w:r>
        <w:rPr>
          <w:rFonts w:asciiTheme="majorHAnsi" w:hAnsiTheme="majorHAnsi"/>
          <w:sz w:val="22"/>
          <w:szCs w:val="22"/>
          <w:lang w:val="en-US"/>
        </w:rPr>
        <w:instrText xml:space="preserve"> ADDIN ZOTERO_ITEM CSL_CITATION {"citationID":"1luevgtpld","properties":{"formattedCitation":"(Hamill, Drizd, Johnson, Reed, &amp; Roche, 1977)","plainCitation":"(Hamill, Drizd, Johnson, Reed, &amp; Roche, 1977)"},"citationItems":[{"id":1127,"uris":["http://zotero.org/groups/698231/items/6VS9MGSR"],"uri":["http://zotero.org/groups/698231/items/6VS9MGSR"],"itemData":{"id":1127,"type":"article-journal","title":"NCHS growth curves for children birth-18 years. United States","container-title":"Vital and Health Statistics. Series 11, Data from the National Health Survey","page":"i-iv, 1-74","issue":"165","source":"PubMed","ISSN":"0083-1980","note":"PMID: 611680","journalAbbreviation":"Vital Health Stat 11","language":"eng","author":[{"family":"Hamill","given":"P. V."},{"family":"Drizd","given":"T. A."},{"family":"Johnson","given":"C. L."},{"family":"Reed","given":"R. B."},{"family":"Roche","given":"A. F."}],"issued":{"date-parts":[["1977",11]]}}}],"schema":"https://github.com/citation-style-language/schema/raw/master/csl-citation.json"} </w:instrText>
      </w:r>
      <w:r>
        <w:rPr>
          <w:rFonts w:asciiTheme="majorHAnsi" w:hAnsiTheme="majorHAnsi"/>
          <w:sz w:val="22"/>
          <w:szCs w:val="22"/>
          <w:lang w:val="en-US"/>
        </w:rPr>
        <w:fldChar w:fldCharType="separate"/>
      </w:r>
      <w:r w:rsidRPr="00F07F87">
        <w:rPr>
          <w:rFonts w:ascii="Cambria" w:hAnsi="Cambria"/>
          <w:sz w:val="22"/>
          <w:lang w:val="en-US"/>
        </w:rPr>
        <w:t>(Hamill</w:t>
      </w:r>
      <w:r>
        <w:rPr>
          <w:rFonts w:ascii="Cambria" w:hAnsi="Cambria"/>
          <w:sz w:val="22"/>
          <w:lang w:val="en-US"/>
        </w:rPr>
        <w:t xml:space="preserve"> et al.</w:t>
      </w:r>
      <w:r w:rsidRPr="00F07F87">
        <w:rPr>
          <w:rFonts w:ascii="Cambria" w:hAnsi="Cambria"/>
          <w:sz w:val="22"/>
          <w:lang w:val="en-US"/>
        </w:rPr>
        <w:t>,</w:t>
      </w:r>
      <w:r>
        <w:rPr>
          <w:rFonts w:ascii="Cambria" w:hAnsi="Cambria"/>
          <w:sz w:val="22"/>
          <w:lang w:val="en-US"/>
        </w:rPr>
        <w:t xml:space="preserve"> </w:t>
      </w:r>
      <w:r w:rsidRPr="00F07F87">
        <w:rPr>
          <w:rFonts w:ascii="Cambria" w:hAnsi="Cambria"/>
          <w:sz w:val="22"/>
          <w:lang w:val="en-US"/>
        </w:rPr>
        <w:t>1977)</w:t>
      </w:r>
      <w:r>
        <w:rPr>
          <w:rFonts w:asciiTheme="majorHAnsi" w:hAnsiTheme="majorHAnsi"/>
          <w:sz w:val="22"/>
          <w:szCs w:val="22"/>
          <w:lang w:val="en-US"/>
        </w:rPr>
        <w:fldChar w:fldCharType="end"/>
      </w:r>
      <w:r w:rsidRPr="00F07F87">
        <w:rPr>
          <w:rFonts w:asciiTheme="majorHAnsi" w:hAnsiTheme="majorHAnsi"/>
          <w:sz w:val="22"/>
          <w:szCs w:val="22"/>
          <w:lang w:val="en-US"/>
        </w:rPr>
        <w:t xml:space="preserve"> supplemented with data from the WHO </w:t>
      </w:r>
      <w:r>
        <w:rPr>
          <w:rFonts w:asciiTheme="majorHAnsi" w:hAnsiTheme="majorHAnsi"/>
          <w:sz w:val="22"/>
          <w:szCs w:val="22"/>
          <w:lang w:val="en-US"/>
        </w:rPr>
        <w:t>c</w:t>
      </w:r>
      <w:r w:rsidRPr="00F07F87">
        <w:rPr>
          <w:rFonts w:asciiTheme="majorHAnsi" w:hAnsiTheme="majorHAnsi"/>
          <w:sz w:val="22"/>
          <w:szCs w:val="22"/>
          <w:lang w:val="en-US"/>
        </w:rPr>
        <w:t>hild</w:t>
      </w:r>
      <w:r>
        <w:rPr>
          <w:rFonts w:asciiTheme="majorHAnsi" w:hAnsiTheme="majorHAnsi"/>
          <w:sz w:val="22"/>
          <w:szCs w:val="22"/>
          <w:lang w:val="en-US"/>
        </w:rPr>
        <w:t xml:space="preserve"> growth standards (WHO, 2006) and apply the state-of-the-art statistical methods </w:t>
      </w:r>
      <w:r>
        <w:rPr>
          <w:rFonts w:asciiTheme="majorHAnsi" w:hAnsiTheme="majorHAnsi"/>
          <w:sz w:val="22"/>
          <w:szCs w:val="22"/>
          <w:lang w:val="en-US"/>
        </w:rPr>
        <w:fldChar w:fldCharType="begin"/>
      </w:r>
      <w:r>
        <w:rPr>
          <w:rFonts w:asciiTheme="majorHAnsi" w:hAnsiTheme="majorHAnsi"/>
          <w:sz w:val="22"/>
          <w:szCs w:val="22"/>
          <w:lang w:val="en-US"/>
        </w:rPr>
        <w:instrText xml:space="preserve"> ADDIN ZOTERO_ITEM CSL_CITATION {"citationID":"10vii5ugun","properties":{"formattedCitation":"(de Onis, 2007)","plainCitation":"(de Onis, 2007)"},"citationItems":[{"id":1130,"uris":["http://zotero.org/groups/698231/items/KSQ9D498"],"uri":["http://zotero.org/groups/698231/items/KSQ9D498"],"itemData":{"id":1130,"type":"article-journal","title":"Development of a WHO growth reference for school-aged children and adolescents","container-title":"Bulletin of the World Health Organization","page":"660-667","volume":"85","issue":"09","source":"CrossRef","DOI":"10.2471/BLT.07.043497","ISSN":"00429686","author":[{"family":"Onis","given":"Mercedes","non-dropping-particle":"de"}],"issued":{"date-parts":[["2007",9,1]]}}}],"schema":"https://github.com/citation-style-language/schema/raw/master/csl-citation.json"} </w:instrText>
      </w:r>
      <w:r>
        <w:rPr>
          <w:rFonts w:asciiTheme="majorHAnsi" w:hAnsiTheme="majorHAnsi"/>
          <w:sz w:val="22"/>
          <w:szCs w:val="22"/>
          <w:lang w:val="en-US"/>
        </w:rPr>
        <w:fldChar w:fldCharType="separate"/>
      </w:r>
      <w:r w:rsidRPr="00F07F87">
        <w:rPr>
          <w:rFonts w:ascii="Cambria" w:hAnsi="Cambria"/>
          <w:sz w:val="22"/>
          <w:lang w:val="en-US"/>
        </w:rPr>
        <w:t>(de Onis</w:t>
      </w:r>
      <w:r>
        <w:rPr>
          <w:rFonts w:ascii="Cambria" w:hAnsi="Cambria"/>
          <w:sz w:val="22"/>
          <w:lang w:val="en-US"/>
        </w:rPr>
        <w:t xml:space="preserve"> et al.</w:t>
      </w:r>
      <w:r w:rsidRPr="00F07F87">
        <w:rPr>
          <w:rFonts w:ascii="Cambria" w:hAnsi="Cambria"/>
          <w:sz w:val="22"/>
          <w:lang w:val="en-US"/>
        </w:rPr>
        <w:t>, 2007)</w:t>
      </w:r>
      <w:r>
        <w:rPr>
          <w:rFonts w:asciiTheme="majorHAnsi" w:hAnsiTheme="majorHAnsi"/>
          <w:sz w:val="22"/>
          <w:szCs w:val="22"/>
          <w:lang w:val="en-US"/>
        </w:rPr>
        <w:fldChar w:fldCharType="end"/>
      </w:r>
      <w:r>
        <w:rPr>
          <w:rFonts w:asciiTheme="majorHAnsi" w:hAnsiTheme="majorHAnsi"/>
          <w:sz w:val="22"/>
          <w:szCs w:val="22"/>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5F27D" w14:textId="77777777" w:rsidR="000A49F9" w:rsidRDefault="000A49F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FCE75" w14:textId="77777777" w:rsidR="000A49F9" w:rsidRDefault="000A49F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A5EC5"/>
    <w:multiLevelType w:val="hybridMultilevel"/>
    <w:tmpl w:val="1396D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7DB1B5F"/>
    <w:multiLevelType w:val="hybridMultilevel"/>
    <w:tmpl w:val="EFA07A2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nsid w:val="550F7561"/>
    <w:multiLevelType w:val="hybridMultilevel"/>
    <w:tmpl w:val="A8AC5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98668E"/>
    <w:multiLevelType w:val="hybridMultilevel"/>
    <w:tmpl w:val="269821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55D70F2"/>
    <w:multiLevelType w:val="hybridMultilevel"/>
    <w:tmpl w:val="32E27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63D7B41"/>
    <w:multiLevelType w:val="hybridMultilevel"/>
    <w:tmpl w:val="9E4430F4"/>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34E"/>
    <w:rsid w:val="00000877"/>
    <w:rsid w:val="00004308"/>
    <w:rsid w:val="0000556F"/>
    <w:rsid w:val="0001265F"/>
    <w:rsid w:val="00012B1D"/>
    <w:rsid w:val="00013B46"/>
    <w:rsid w:val="00013C57"/>
    <w:rsid w:val="000157DF"/>
    <w:rsid w:val="000173E9"/>
    <w:rsid w:val="00017AF9"/>
    <w:rsid w:val="000205B2"/>
    <w:rsid w:val="00020D4B"/>
    <w:rsid w:val="0002256C"/>
    <w:rsid w:val="00023642"/>
    <w:rsid w:val="000239DD"/>
    <w:rsid w:val="00024357"/>
    <w:rsid w:val="00033AD0"/>
    <w:rsid w:val="00040E1B"/>
    <w:rsid w:val="0004163B"/>
    <w:rsid w:val="00051CB9"/>
    <w:rsid w:val="00053593"/>
    <w:rsid w:val="00054B3A"/>
    <w:rsid w:val="00061B6D"/>
    <w:rsid w:val="0006380D"/>
    <w:rsid w:val="00064DA0"/>
    <w:rsid w:val="00064DC2"/>
    <w:rsid w:val="0006552A"/>
    <w:rsid w:val="00065D33"/>
    <w:rsid w:val="00066F91"/>
    <w:rsid w:val="000679AF"/>
    <w:rsid w:val="000706E6"/>
    <w:rsid w:val="00071AED"/>
    <w:rsid w:val="00071B4B"/>
    <w:rsid w:val="000754E9"/>
    <w:rsid w:val="00080C6F"/>
    <w:rsid w:val="0008388B"/>
    <w:rsid w:val="00085481"/>
    <w:rsid w:val="00086AC9"/>
    <w:rsid w:val="0008771D"/>
    <w:rsid w:val="0009028D"/>
    <w:rsid w:val="000921E4"/>
    <w:rsid w:val="00092344"/>
    <w:rsid w:val="00093199"/>
    <w:rsid w:val="00097190"/>
    <w:rsid w:val="000A0866"/>
    <w:rsid w:val="000A08C7"/>
    <w:rsid w:val="000A2464"/>
    <w:rsid w:val="000A3EBC"/>
    <w:rsid w:val="000A49F9"/>
    <w:rsid w:val="000B6D03"/>
    <w:rsid w:val="000B6E9A"/>
    <w:rsid w:val="000B72BB"/>
    <w:rsid w:val="000C2A5B"/>
    <w:rsid w:val="000C3350"/>
    <w:rsid w:val="000C38BD"/>
    <w:rsid w:val="000C7ED1"/>
    <w:rsid w:val="000D0D84"/>
    <w:rsid w:val="000D1605"/>
    <w:rsid w:val="000D1F10"/>
    <w:rsid w:val="000D4B46"/>
    <w:rsid w:val="000D6074"/>
    <w:rsid w:val="000D6CE7"/>
    <w:rsid w:val="000D7849"/>
    <w:rsid w:val="000E110A"/>
    <w:rsid w:val="000E15E1"/>
    <w:rsid w:val="000E1A82"/>
    <w:rsid w:val="000E49A4"/>
    <w:rsid w:val="000E7A00"/>
    <w:rsid w:val="000F0644"/>
    <w:rsid w:val="000F21CE"/>
    <w:rsid w:val="000F2817"/>
    <w:rsid w:val="000F2820"/>
    <w:rsid w:val="000F290C"/>
    <w:rsid w:val="000F5218"/>
    <w:rsid w:val="00101C85"/>
    <w:rsid w:val="001078EA"/>
    <w:rsid w:val="00110C29"/>
    <w:rsid w:val="001113A3"/>
    <w:rsid w:val="00112CCE"/>
    <w:rsid w:val="00114F3D"/>
    <w:rsid w:val="00120C36"/>
    <w:rsid w:val="00120CB7"/>
    <w:rsid w:val="001210F5"/>
    <w:rsid w:val="00124091"/>
    <w:rsid w:val="00124DF4"/>
    <w:rsid w:val="001251D2"/>
    <w:rsid w:val="001308C6"/>
    <w:rsid w:val="00131596"/>
    <w:rsid w:val="00131958"/>
    <w:rsid w:val="00133A74"/>
    <w:rsid w:val="00134153"/>
    <w:rsid w:val="00135D83"/>
    <w:rsid w:val="00136744"/>
    <w:rsid w:val="0013708C"/>
    <w:rsid w:val="00141852"/>
    <w:rsid w:val="00141B00"/>
    <w:rsid w:val="00142AC7"/>
    <w:rsid w:val="00143EE4"/>
    <w:rsid w:val="00145C38"/>
    <w:rsid w:val="001461F0"/>
    <w:rsid w:val="001470FF"/>
    <w:rsid w:val="001471CF"/>
    <w:rsid w:val="00147553"/>
    <w:rsid w:val="00153505"/>
    <w:rsid w:val="00153553"/>
    <w:rsid w:val="00161943"/>
    <w:rsid w:val="00162BA2"/>
    <w:rsid w:val="0016710D"/>
    <w:rsid w:val="00167240"/>
    <w:rsid w:val="00171AA2"/>
    <w:rsid w:val="0017482E"/>
    <w:rsid w:val="00174DBF"/>
    <w:rsid w:val="00181AD8"/>
    <w:rsid w:val="001841AF"/>
    <w:rsid w:val="001846B7"/>
    <w:rsid w:val="00186869"/>
    <w:rsid w:val="0018713E"/>
    <w:rsid w:val="0019120B"/>
    <w:rsid w:val="0019716C"/>
    <w:rsid w:val="001A47F8"/>
    <w:rsid w:val="001A6251"/>
    <w:rsid w:val="001A670D"/>
    <w:rsid w:val="001A78D6"/>
    <w:rsid w:val="001A7977"/>
    <w:rsid w:val="001B0A1A"/>
    <w:rsid w:val="001B0B66"/>
    <w:rsid w:val="001B1E33"/>
    <w:rsid w:val="001B21F5"/>
    <w:rsid w:val="001B432E"/>
    <w:rsid w:val="001B63CB"/>
    <w:rsid w:val="001C0793"/>
    <w:rsid w:val="001C1ED0"/>
    <w:rsid w:val="001C1F06"/>
    <w:rsid w:val="001C2594"/>
    <w:rsid w:val="001C37B3"/>
    <w:rsid w:val="001C424F"/>
    <w:rsid w:val="001C44BD"/>
    <w:rsid w:val="001C4BF0"/>
    <w:rsid w:val="001C51D7"/>
    <w:rsid w:val="001C7E21"/>
    <w:rsid w:val="001D0BB2"/>
    <w:rsid w:val="001D217B"/>
    <w:rsid w:val="001D2A74"/>
    <w:rsid w:val="001D3E53"/>
    <w:rsid w:val="001E629A"/>
    <w:rsid w:val="001F01CA"/>
    <w:rsid w:val="001F1F35"/>
    <w:rsid w:val="001F435D"/>
    <w:rsid w:val="0020155D"/>
    <w:rsid w:val="002022DA"/>
    <w:rsid w:val="00204BF1"/>
    <w:rsid w:val="00207502"/>
    <w:rsid w:val="0021012D"/>
    <w:rsid w:val="00214FCA"/>
    <w:rsid w:val="002217E7"/>
    <w:rsid w:val="002238BD"/>
    <w:rsid w:val="00223F8E"/>
    <w:rsid w:val="00227BC6"/>
    <w:rsid w:val="00231886"/>
    <w:rsid w:val="002325DD"/>
    <w:rsid w:val="00233906"/>
    <w:rsid w:val="00233B84"/>
    <w:rsid w:val="00234E86"/>
    <w:rsid w:val="0023584C"/>
    <w:rsid w:val="00236EF6"/>
    <w:rsid w:val="00237B95"/>
    <w:rsid w:val="00245329"/>
    <w:rsid w:val="00245FA1"/>
    <w:rsid w:val="00246A7D"/>
    <w:rsid w:val="00246CD0"/>
    <w:rsid w:val="00255BAE"/>
    <w:rsid w:val="00256DD1"/>
    <w:rsid w:val="00257E4F"/>
    <w:rsid w:val="00257E62"/>
    <w:rsid w:val="00260920"/>
    <w:rsid w:val="0026094B"/>
    <w:rsid w:val="0026473C"/>
    <w:rsid w:val="0027249F"/>
    <w:rsid w:val="0027508C"/>
    <w:rsid w:val="002751F5"/>
    <w:rsid w:val="00280250"/>
    <w:rsid w:val="00281FDF"/>
    <w:rsid w:val="002837C6"/>
    <w:rsid w:val="002863C9"/>
    <w:rsid w:val="00286E80"/>
    <w:rsid w:val="0029341F"/>
    <w:rsid w:val="00294229"/>
    <w:rsid w:val="00294937"/>
    <w:rsid w:val="002A06AE"/>
    <w:rsid w:val="002A1D9F"/>
    <w:rsid w:val="002A2BE1"/>
    <w:rsid w:val="002A305E"/>
    <w:rsid w:val="002A38AE"/>
    <w:rsid w:val="002B0C0E"/>
    <w:rsid w:val="002B1658"/>
    <w:rsid w:val="002B34BF"/>
    <w:rsid w:val="002B43E2"/>
    <w:rsid w:val="002B56D9"/>
    <w:rsid w:val="002C026B"/>
    <w:rsid w:val="002C0787"/>
    <w:rsid w:val="002C0FAC"/>
    <w:rsid w:val="002C4CB5"/>
    <w:rsid w:val="002C6B9F"/>
    <w:rsid w:val="002D449A"/>
    <w:rsid w:val="002E0C35"/>
    <w:rsid w:val="002E17D9"/>
    <w:rsid w:val="002E3E5F"/>
    <w:rsid w:val="002E3F2C"/>
    <w:rsid w:val="002E4C15"/>
    <w:rsid w:val="002E5AAC"/>
    <w:rsid w:val="002F016D"/>
    <w:rsid w:val="002F1FF6"/>
    <w:rsid w:val="002F21BC"/>
    <w:rsid w:val="002F4930"/>
    <w:rsid w:val="002F5019"/>
    <w:rsid w:val="002F61B9"/>
    <w:rsid w:val="002F65E9"/>
    <w:rsid w:val="002F70F4"/>
    <w:rsid w:val="00302BE0"/>
    <w:rsid w:val="003103C9"/>
    <w:rsid w:val="0031078F"/>
    <w:rsid w:val="00313438"/>
    <w:rsid w:val="00313A8F"/>
    <w:rsid w:val="003149F2"/>
    <w:rsid w:val="0031544C"/>
    <w:rsid w:val="00317600"/>
    <w:rsid w:val="003205AD"/>
    <w:rsid w:val="003223CE"/>
    <w:rsid w:val="00323849"/>
    <w:rsid w:val="00323AFD"/>
    <w:rsid w:val="00324A8C"/>
    <w:rsid w:val="00324D18"/>
    <w:rsid w:val="00327601"/>
    <w:rsid w:val="00327DEC"/>
    <w:rsid w:val="003323CC"/>
    <w:rsid w:val="00333B8B"/>
    <w:rsid w:val="003356B1"/>
    <w:rsid w:val="00340311"/>
    <w:rsid w:val="003409F1"/>
    <w:rsid w:val="00341661"/>
    <w:rsid w:val="00342A36"/>
    <w:rsid w:val="0034420D"/>
    <w:rsid w:val="00345D7D"/>
    <w:rsid w:val="00347207"/>
    <w:rsid w:val="003529C1"/>
    <w:rsid w:val="00353082"/>
    <w:rsid w:val="00353FA3"/>
    <w:rsid w:val="00354591"/>
    <w:rsid w:val="00354D90"/>
    <w:rsid w:val="00355B45"/>
    <w:rsid w:val="00361F00"/>
    <w:rsid w:val="00364E45"/>
    <w:rsid w:val="00365C62"/>
    <w:rsid w:val="00376463"/>
    <w:rsid w:val="0038038D"/>
    <w:rsid w:val="00386964"/>
    <w:rsid w:val="00390FB3"/>
    <w:rsid w:val="003913F5"/>
    <w:rsid w:val="003921DB"/>
    <w:rsid w:val="003949B5"/>
    <w:rsid w:val="00394E93"/>
    <w:rsid w:val="00395D78"/>
    <w:rsid w:val="00396B1E"/>
    <w:rsid w:val="003A0FD1"/>
    <w:rsid w:val="003A4DBA"/>
    <w:rsid w:val="003A5CDC"/>
    <w:rsid w:val="003A61EE"/>
    <w:rsid w:val="003A6AE0"/>
    <w:rsid w:val="003A75D2"/>
    <w:rsid w:val="003B2E88"/>
    <w:rsid w:val="003B3DEE"/>
    <w:rsid w:val="003B70EC"/>
    <w:rsid w:val="003C218D"/>
    <w:rsid w:val="003C3379"/>
    <w:rsid w:val="003D19E1"/>
    <w:rsid w:val="003D4F61"/>
    <w:rsid w:val="003D623A"/>
    <w:rsid w:val="003E56A7"/>
    <w:rsid w:val="003E631D"/>
    <w:rsid w:val="003E6B61"/>
    <w:rsid w:val="003F2495"/>
    <w:rsid w:val="003F3102"/>
    <w:rsid w:val="003F36DE"/>
    <w:rsid w:val="003F4277"/>
    <w:rsid w:val="003F442D"/>
    <w:rsid w:val="003F55AE"/>
    <w:rsid w:val="003F6693"/>
    <w:rsid w:val="003F7BFE"/>
    <w:rsid w:val="00403316"/>
    <w:rsid w:val="00403E66"/>
    <w:rsid w:val="00410269"/>
    <w:rsid w:val="004151B4"/>
    <w:rsid w:val="004164FF"/>
    <w:rsid w:val="004177F7"/>
    <w:rsid w:val="00424DCD"/>
    <w:rsid w:val="00431E72"/>
    <w:rsid w:val="00432F05"/>
    <w:rsid w:val="0043323E"/>
    <w:rsid w:val="004412F8"/>
    <w:rsid w:val="00446211"/>
    <w:rsid w:val="00447ECE"/>
    <w:rsid w:val="00450BF4"/>
    <w:rsid w:val="004520DB"/>
    <w:rsid w:val="00452867"/>
    <w:rsid w:val="00455DFF"/>
    <w:rsid w:val="0045610B"/>
    <w:rsid w:val="004641AF"/>
    <w:rsid w:val="00470212"/>
    <w:rsid w:val="00470C39"/>
    <w:rsid w:val="00474089"/>
    <w:rsid w:val="004759FE"/>
    <w:rsid w:val="00476E55"/>
    <w:rsid w:val="0048033B"/>
    <w:rsid w:val="00481C9F"/>
    <w:rsid w:val="0048308D"/>
    <w:rsid w:val="004911F9"/>
    <w:rsid w:val="004922E3"/>
    <w:rsid w:val="004A1923"/>
    <w:rsid w:val="004A3351"/>
    <w:rsid w:val="004A3DA6"/>
    <w:rsid w:val="004A4E3C"/>
    <w:rsid w:val="004B034E"/>
    <w:rsid w:val="004B3DDB"/>
    <w:rsid w:val="004B51E3"/>
    <w:rsid w:val="004B574E"/>
    <w:rsid w:val="004B7FC3"/>
    <w:rsid w:val="004C0B57"/>
    <w:rsid w:val="004C13B0"/>
    <w:rsid w:val="004D1CE4"/>
    <w:rsid w:val="004D3356"/>
    <w:rsid w:val="004D4729"/>
    <w:rsid w:val="004D5072"/>
    <w:rsid w:val="004D67A0"/>
    <w:rsid w:val="004D6F6C"/>
    <w:rsid w:val="004D7C9F"/>
    <w:rsid w:val="004D7D37"/>
    <w:rsid w:val="004E78D0"/>
    <w:rsid w:val="004E7A2F"/>
    <w:rsid w:val="004F1F85"/>
    <w:rsid w:val="004F4D0A"/>
    <w:rsid w:val="004F5461"/>
    <w:rsid w:val="004F559D"/>
    <w:rsid w:val="005008B7"/>
    <w:rsid w:val="00501016"/>
    <w:rsid w:val="0050120E"/>
    <w:rsid w:val="005053AF"/>
    <w:rsid w:val="0051115D"/>
    <w:rsid w:val="00511530"/>
    <w:rsid w:val="005125AC"/>
    <w:rsid w:val="00515DA5"/>
    <w:rsid w:val="00516F74"/>
    <w:rsid w:val="00522C7F"/>
    <w:rsid w:val="00526EC1"/>
    <w:rsid w:val="0053448F"/>
    <w:rsid w:val="005352B9"/>
    <w:rsid w:val="00540819"/>
    <w:rsid w:val="00540E34"/>
    <w:rsid w:val="00540E7B"/>
    <w:rsid w:val="00541B0E"/>
    <w:rsid w:val="00546F75"/>
    <w:rsid w:val="005508D8"/>
    <w:rsid w:val="00553937"/>
    <w:rsid w:val="00563259"/>
    <w:rsid w:val="005646EC"/>
    <w:rsid w:val="005656F3"/>
    <w:rsid w:val="00573E69"/>
    <w:rsid w:val="00580C45"/>
    <w:rsid w:val="00581736"/>
    <w:rsid w:val="00581A63"/>
    <w:rsid w:val="00582114"/>
    <w:rsid w:val="00585CF2"/>
    <w:rsid w:val="005863A0"/>
    <w:rsid w:val="00591F8B"/>
    <w:rsid w:val="00594EB2"/>
    <w:rsid w:val="00596D2B"/>
    <w:rsid w:val="005A0C84"/>
    <w:rsid w:val="005A15E4"/>
    <w:rsid w:val="005A3305"/>
    <w:rsid w:val="005A49F5"/>
    <w:rsid w:val="005A4D8B"/>
    <w:rsid w:val="005A5C69"/>
    <w:rsid w:val="005A7D47"/>
    <w:rsid w:val="005B24BC"/>
    <w:rsid w:val="005B410D"/>
    <w:rsid w:val="005B5131"/>
    <w:rsid w:val="005C316A"/>
    <w:rsid w:val="005C5238"/>
    <w:rsid w:val="005D03BE"/>
    <w:rsid w:val="005D39CE"/>
    <w:rsid w:val="005D3A8E"/>
    <w:rsid w:val="005D4A50"/>
    <w:rsid w:val="005D4F7D"/>
    <w:rsid w:val="005D52F5"/>
    <w:rsid w:val="005D64CF"/>
    <w:rsid w:val="005D77A8"/>
    <w:rsid w:val="005E1505"/>
    <w:rsid w:val="005E1681"/>
    <w:rsid w:val="005E1881"/>
    <w:rsid w:val="005E2B38"/>
    <w:rsid w:val="005F00C0"/>
    <w:rsid w:val="005F2E3F"/>
    <w:rsid w:val="005F38E4"/>
    <w:rsid w:val="00600535"/>
    <w:rsid w:val="0060080C"/>
    <w:rsid w:val="006026AF"/>
    <w:rsid w:val="0060281F"/>
    <w:rsid w:val="00603B41"/>
    <w:rsid w:val="0060400B"/>
    <w:rsid w:val="006049FA"/>
    <w:rsid w:val="006138A2"/>
    <w:rsid w:val="00614C5B"/>
    <w:rsid w:val="006156B1"/>
    <w:rsid w:val="00626DC9"/>
    <w:rsid w:val="006276E3"/>
    <w:rsid w:val="0063072E"/>
    <w:rsid w:val="00630CDF"/>
    <w:rsid w:val="00631746"/>
    <w:rsid w:val="00632BCA"/>
    <w:rsid w:val="00634D20"/>
    <w:rsid w:val="0063508B"/>
    <w:rsid w:val="006378B5"/>
    <w:rsid w:val="0063797C"/>
    <w:rsid w:val="006406DB"/>
    <w:rsid w:val="00641869"/>
    <w:rsid w:val="006428EA"/>
    <w:rsid w:val="006467B4"/>
    <w:rsid w:val="00646C39"/>
    <w:rsid w:val="006513AD"/>
    <w:rsid w:val="00652384"/>
    <w:rsid w:val="006536B9"/>
    <w:rsid w:val="00657B38"/>
    <w:rsid w:val="00657D61"/>
    <w:rsid w:val="00660B9E"/>
    <w:rsid w:val="00663337"/>
    <w:rsid w:val="00665E10"/>
    <w:rsid w:val="006660DB"/>
    <w:rsid w:val="006676BD"/>
    <w:rsid w:val="00675081"/>
    <w:rsid w:val="00677ABA"/>
    <w:rsid w:val="006813E8"/>
    <w:rsid w:val="00685B62"/>
    <w:rsid w:val="00690A59"/>
    <w:rsid w:val="0069265D"/>
    <w:rsid w:val="00692978"/>
    <w:rsid w:val="0069615F"/>
    <w:rsid w:val="006975F0"/>
    <w:rsid w:val="006A07AA"/>
    <w:rsid w:val="006A1201"/>
    <w:rsid w:val="006A1E76"/>
    <w:rsid w:val="006A6A48"/>
    <w:rsid w:val="006B056F"/>
    <w:rsid w:val="006B3C36"/>
    <w:rsid w:val="006B61C1"/>
    <w:rsid w:val="006B78CA"/>
    <w:rsid w:val="006C33DC"/>
    <w:rsid w:val="006C4CC8"/>
    <w:rsid w:val="006C66CB"/>
    <w:rsid w:val="006C6B79"/>
    <w:rsid w:val="006C79AB"/>
    <w:rsid w:val="006D6F0A"/>
    <w:rsid w:val="006E02AE"/>
    <w:rsid w:val="006E0AD1"/>
    <w:rsid w:val="006E2B9F"/>
    <w:rsid w:val="006E3FEB"/>
    <w:rsid w:val="006E720C"/>
    <w:rsid w:val="006F1482"/>
    <w:rsid w:val="006F38BF"/>
    <w:rsid w:val="006F41E6"/>
    <w:rsid w:val="006F7733"/>
    <w:rsid w:val="00700E00"/>
    <w:rsid w:val="007019C2"/>
    <w:rsid w:val="007027F3"/>
    <w:rsid w:val="00702935"/>
    <w:rsid w:val="00703AAC"/>
    <w:rsid w:val="00706965"/>
    <w:rsid w:val="00706DC4"/>
    <w:rsid w:val="00707C38"/>
    <w:rsid w:val="007123BE"/>
    <w:rsid w:val="00713123"/>
    <w:rsid w:val="00713B81"/>
    <w:rsid w:val="00715EAA"/>
    <w:rsid w:val="00715F10"/>
    <w:rsid w:val="007176AE"/>
    <w:rsid w:val="007217EB"/>
    <w:rsid w:val="0072214F"/>
    <w:rsid w:val="00723C33"/>
    <w:rsid w:val="00726837"/>
    <w:rsid w:val="00730F6F"/>
    <w:rsid w:val="007331D6"/>
    <w:rsid w:val="00740956"/>
    <w:rsid w:val="00741218"/>
    <w:rsid w:val="0074170B"/>
    <w:rsid w:val="00743790"/>
    <w:rsid w:val="0074467C"/>
    <w:rsid w:val="00744709"/>
    <w:rsid w:val="007455D0"/>
    <w:rsid w:val="007537C7"/>
    <w:rsid w:val="00755C74"/>
    <w:rsid w:val="00756244"/>
    <w:rsid w:val="00761582"/>
    <w:rsid w:val="00761C4A"/>
    <w:rsid w:val="00763992"/>
    <w:rsid w:val="00763CF2"/>
    <w:rsid w:val="00765994"/>
    <w:rsid w:val="00770F15"/>
    <w:rsid w:val="0077161C"/>
    <w:rsid w:val="00772604"/>
    <w:rsid w:val="00772867"/>
    <w:rsid w:val="00774816"/>
    <w:rsid w:val="00775440"/>
    <w:rsid w:val="00776958"/>
    <w:rsid w:val="007804C7"/>
    <w:rsid w:val="007823C9"/>
    <w:rsid w:val="00784CF6"/>
    <w:rsid w:val="00786844"/>
    <w:rsid w:val="00790D85"/>
    <w:rsid w:val="00791259"/>
    <w:rsid w:val="00791A6A"/>
    <w:rsid w:val="007941C6"/>
    <w:rsid w:val="00797130"/>
    <w:rsid w:val="00797210"/>
    <w:rsid w:val="007975AF"/>
    <w:rsid w:val="00797912"/>
    <w:rsid w:val="007A0AA7"/>
    <w:rsid w:val="007A1166"/>
    <w:rsid w:val="007A2F7D"/>
    <w:rsid w:val="007A3032"/>
    <w:rsid w:val="007A7026"/>
    <w:rsid w:val="007C12C7"/>
    <w:rsid w:val="007C1724"/>
    <w:rsid w:val="007C36A5"/>
    <w:rsid w:val="007C3E2A"/>
    <w:rsid w:val="007C43C7"/>
    <w:rsid w:val="007C57EA"/>
    <w:rsid w:val="007C76B9"/>
    <w:rsid w:val="007C77DE"/>
    <w:rsid w:val="007C7E71"/>
    <w:rsid w:val="007D5E4A"/>
    <w:rsid w:val="007E1ABB"/>
    <w:rsid w:val="007E481A"/>
    <w:rsid w:val="007E4AA2"/>
    <w:rsid w:val="007E5799"/>
    <w:rsid w:val="007E6597"/>
    <w:rsid w:val="007E698E"/>
    <w:rsid w:val="007E74CF"/>
    <w:rsid w:val="007F1427"/>
    <w:rsid w:val="007F308B"/>
    <w:rsid w:val="007F5195"/>
    <w:rsid w:val="008036B2"/>
    <w:rsid w:val="00803CCC"/>
    <w:rsid w:val="00805AD5"/>
    <w:rsid w:val="008070DB"/>
    <w:rsid w:val="00810155"/>
    <w:rsid w:val="00812A76"/>
    <w:rsid w:val="00813DF1"/>
    <w:rsid w:val="00815A9D"/>
    <w:rsid w:val="00820AA3"/>
    <w:rsid w:val="008211B1"/>
    <w:rsid w:val="00824220"/>
    <w:rsid w:val="008251D2"/>
    <w:rsid w:val="00825C0B"/>
    <w:rsid w:val="00830F1A"/>
    <w:rsid w:val="00831BF2"/>
    <w:rsid w:val="0083276E"/>
    <w:rsid w:val="0083293D"/>
    <w:rsid w:val="00836506"/>
    <w:rsid w:val="00836C84"/>
    <w:rsid w:val="00837FF4"/>
    <w:rsid w:val="008440A2"/>
    <w:rsid w:val="0084487F"/>
    <w:rsid w:val="00850F4A"/>
    <w:rsid w:val="008519DF"/>
    <w:rsid w:val="0085327F"/>
    <w:rsid w:val="0085385A"/>
    <w:rsid w:val="00853D44"/>
    <w:rsid w:val="00854696"/>
    <w:rsid w:val="00854B4B"/>
    <w:rsid w:val="008553C7"/>
    <w:rsid w:val="0086349E"/>
    <w:rsid w:val="00866536"/>
    <w:rsid w:val="00874E17"/>
    <w:rsid w:val="00880C07"/>
    <w:rsid w:val="00880D44"/>
    <w:rsid w:val="0088163A"/>
    <w:rsid w:val="00881F73"/>
    <w:rsid w:val="0088281C"/>
    <w:rsid w:val="00885A8A"/>
    <w:rsid w:val="00886295"/>
    <w:rsid w:val="00887C0D"/>
    <w:rsid w:val="008923EC"/>
    <w:rsid w:val="00892AB3"/>
    <w:rsid w:val="00893C5E"/>
    <w:rsid w:val="008942FE"/>
    <w:rsid w:val="00895156"/>
    <w:rsid w:val="00896208"/>
    <w:rsid w:val="00897A37"/>
    <w:rsid w:val="008A3120"/>
    <w:rsid w:val="008A57FC"/>
    <w:rsid w:val="008A5C7B"/>
    <w:rsid w:val="008B0887"/>
    <w:rsid w:val="008B10C7"/>
    <w:rsid w:val="008B1339"/>
    <w:rsid w:val="008B2C8B"/>
    <w:rsid w:val="008B752E"/>
    <w:rsid w:val="008C4A5B"/>
    <w:rsid w:val="008C6CD3"/>
    <w:rsid w:val="008D1ECA"/>
    <w:rsid w:val="008D1F59"/>
    <w:rsid w:val="008D2938"/>
    <w:rsid w:val="008D3F4C"/>
    <w:rsid w:val="008D4093"/>
    <w:rsid w:val="008E56F6"/>
    <w:rsid w:val="008E58C3"/>
    <w:rsid w:val="008E64E1"/>
    <w:rsid w:val="008F402D"/>
    <w:rsid w:val="008F43FF"/>
    <w:rsid w:val="008F59B3"/>
    <w:rsid w:val="008F5FBE"/>
    <w:rsid w:val="00902C82"/>
    <w:rsid w:val="0090314A"/>
    <w:rsid w:val="0090442F"/>
    <w:rsid w:val="00911D42"/>
    <w:rsid w:val="00912CDA"/>
    <w:rsid w:val="0091633F"/>
    <w:rsid w:val="009221C6"/>
    <w:rsid w:val="0092636B"/>
    <w:rsid w:val="00930B12"/>
    <w:rsid w:val="00933C90"/>
    <w:rsid w:val="009350D4"/>
    <w:rsid w:val="009359FF"/>
    <w:rsid w:val="009369F3"/>
    <w:rsid w:val="00943E6A"/>
    <w:rsid w:val="00944005"/>
    <w:rsid w:val="00945FFC"/>
    <w:rsid w:val="00946549"/>
    <w:rsid w:val="009477ED"/>
    <w:rsid w:val="00951A62"/>
    <w:rsid w:val="00952AC7"/>
    <w:rsid w:val="00956B1E"/>
    <w:rsid w:val="00957883"/>
    <w:rsid w:val="009600A0"/>
    <w:rsid w:val="00964715"/>
    <w:rsid w:val="0096596F"/>
    <w:rsid w:val="0096668C"/>
    <w:rsid w:val="00971BFA"/>
    <w:rsid w:val="0097228A"/>
    <w:rsid w:val="00972E9D"/>
    <w:rsid w:val="009741F3"/>
    <w:rsid w:val="009742DE"/>
    <w:rsid w:val="00977372"/>
    <w:rsid w:val="00982330"/>
    <w:rsid w:val="0098676B"/>
    <w:rsid w:val="009911C9"/>
    <w:rsid w:val="009926B8"/>
    <w:rsid w:val="00992FED"/>
    <w:rsid w:val="009963B3"/>
    <w:rsid w:val="009A121D"/>
    <w:rsid w:val="009A1794"/>
    <w:rsid w:val="009A1AE9"/>
    <w:rsid w:val="009A1B09"/>
    <w:rsid w:val="009A27FA"/>
    <w:rsid w:val="009A371E"/>
    <w:rsid w:val="009A4906"/>
    <w:rsid w:val="009A579E"/>
    <w:rsid w:val="009A6B5B"/>
    <w:rsid w:val="009B028E"/>
    <w:rsid w:val="009B3365"/>
    <w:rsid w:val="009C098E"/>
    <w:rsid w:val="009C36CD"/>
    <w:rsid w:val="009D0AED"/>
    <w:rsid w:val="009D158D"/>
    <w:rsid w:val="009D3057"/>
    <w:rsid w:val="009D39BC"/>
    <w:rsid w:val="009D3B74"/>
    <w:rsid w:val="009D50C5"/>
    <w:rsid w:val="009D5128"/>
    <w:rsid w:val="009D58EF"/>
    <w:rsid w:val="009D612D"/>
    <w:rsid w:val="009E20DF"/>
    <w:rsid w:val="009E7F00"/>
    <w:rsid w:val="009F1C57"/>
    <w:rsid w:val="009F1F51"/>
    <w:rsid w:val="009F4301"/>
    <w:rsid w:val="00A01992"/>
    <w:rsid w:val="00A04E86"/>
    <w:rsid w:val="00A07042"/>
    <w:rsid w:val="00A0709A"/>
    <w:rsid w:val="00A076DA"/>
    <w:rsid w:val="00A10438"/>
    <w:rsid w:val="00A23E0F"/>
    <w:rsid w:val="00A254F5"/>
    <w:rsid w:val="00A302E2"/>
    <w:rsid w:val="00A31277"/>
    <w:rsid w:val="00A329CD"/>
    <w:rsid w:val="00A367BF"/>
    <w:rsid w:val="00A36CAB"/>
    <w:rsid w:val="00A40345"/>
    <w:rsid w:val="00A403AC"/>
    <w:rsid w:val="00A410F5"/>
    <w:rsid w:val="00A420F8"/>
    <w:rsid w:val="00A47D97"/>
    <w:rsid w:val="00A51E15"/>
    <w:rsid w:val="00A54558"/>
    <w:rsid w:val="00A54C44"/>
    <w:rsid w:val="00A569E2"/>
    <w:rsid w:val="00A570A8"/>
    <w:rsid w:val="00A607D9"/>
    <w:rsid w:val="00A6304F"/>
    <w:rsid w:val="00A64400"/>
    <w:rsid w:val="00A65F54"/>
    <w:rsid w:val="00A65FF3"/>
    <w:rsid w:val="00A74CC0"/>
    <w:rsid w:val="00A7508F"/>
    <w:rsid w:val="00A75859"/>
    <w:rsid w:val="00A75B96"/>
    <w:rsid w:val="00A81694"/>
    <w:rsid w:val="00A90E72"/>
    <w:rsid w:val="00A91B96"/>
    <w:rsid w:val="00A933E1"/>
    <w:rsid w:val="00A96171"/>
    <w:rsid w:val="00A97876"/>
    <w:rsid w:val="00AA7953"/>
    <w:rsid w:val="00AB17B9"/>
    <w:rsid w:val="00AB3201"/>
    <w:rsid w:val="00AB5FFA"/>
    <w:rsid w:val="00AB7537"/>
    <w:rsid w:val="00AC031D"/>
    <w:rsid w:val="00AD197E"/>
    <w:rsid w:val="00AD5C5D"/>
    <w:rsid w:val="00AE2599"/>
    <w:rsid w:val="00AE7EB1"/>
    <w:rsid w:val="00AF0E7B"/>
    <w:rsid w:val="00AF1FD3"/>
    <w:rsid w:val="00AF2109"/>
    <w:rsid w:val="00AF3205"/>
    <w:rsid w:val="00AF4640"/>
    <w:rsid w:val="00AF65C9"/>
    <w:rsid w:val="00AF7050"/>
    <w:rsid w:val="00B0360E"/>
    <w:rsid w:val="00B03F47"/>
    <w:rsid w:val="00B04D6B"/>
    <w:rsid w:val="00B05389"/>
    <w:rsid w:val="00B11E28"/>
    <w:rsid w:val="00B22EC0"/>
    <w:rsid w:val="00B2316A"/>
    <w:rsid w:val="00B24AA4"/>
    <w:rsid w:val="00B30339"/>
    <w:rsid w:val="00B30C48"/>
    <w:rsid w:val="00B32102"/>
    <w:rsid w:val="00B3215D"/>
    <w:rsid w:val="00B34B16"/>
    <w:rsid w:val="00B3611A"/>
    <w:rsid w:val="00B36915"/>
    <w:rsid w:val="00B36F3C"/>
    <w:rsid w:val="00B4077F"/>
    <w:rsid w:val="00B4366A"/>
    <w:rsid w:val="00B43BA4"/>
    <w:rsid w:val="00B46C0A"/>
    <w:rsid w:val="00B57CA1"/>
    <w:rsid w:val="00B60754"/>
    <w:rsid w:val="00B617F4"/>
    <w:rsid w:val="00B618EF"/>
    <w:rsid w:val="00B64485"/>
    <w:rsid w:val="00B668F3"/>
    <w:rsid w:val="00B66EE6"/>
    <w:rsid w:val="00B7162C"/>
    <w:rsid w:val="00B72476"/>
    <w:rsid w:val="00B775A6"/>
    <w:rsid w:val="00B8070E"/>
    <w:rsid w:val="00B86AC0"/>
    <w:rsid w:val="00B91714"/>
    <w:rsid w:val="00B92E22"/>
    <w:rsid w:val="00B940B0"/>
    <w:rsid w:val="00B94680"/>
    <w:rsid w:val="00B958F9"/>
    <w:rsid w:val="00BA35FB"/>
    <w:rsid w:val="00BA36A9"/>
    <w:rsid w:val="00BA48F7"/>
    <w:rsid w:val="00BB03EC"/>
    <w:rsid w:val="00BB274B"/>
    <w:rsid w:val="00BB398E"/>
    <w:rsid w:val="00BB5BD9"/>
    <w:rsid w:val="00BC026E"/>
    <w:rsid w:val="00BC0F3F"/>
    <w:rsid w:val="00BC2F22"/>
    <w:rsid w:val="00BC6DAD"/>
    <w:rsid w:val="00BC75C6"/>
    <w:rsid w:val="00BD2A6A"/>
    <w:rsid w:val="00BD2B86"/>
    <w:rsid w:val="00BD41E4"/>
    <w:rsid w:val="00BD5165"/>
    <w:rsid w:val="00BD657A"/>
    <w:rsid w:val="00BD77AB"/>
    <w:rsid w:val="00BE1772"/>
    <w:rsid w:val="00BE275D"/>
    <w:rsid w:val="00BE3215"/>
    <w:rsid w:val="00BE35F4"/>
    <w:rsid w:val="00BE3B89"/>
    <w:rsid w:val="00BE4327"/>
    <w:rsid w:val="00BE6529"/>
    <w:rsid w:val="00BF5A05"/>
    <w:rsid w:val="00BF6612"/>
    <w:rsid w:val="00C00AE1"/>
    <w:rsid w:val="00C010AF"/>
    <w:rsid w:val="00C01CC1"/>
    <w:rsid w:val="00C035B2"/>
    <w:rsid w:val="00C03ECC"/>
    <w:rsid w:val="00C10FD1"/>
    <w:rsid w:val="00C119BB"/>
    <w:rsid w:val="00C12BCA"/>
    <w:rsid w:val="00C13845"/>
    <w:rsid w:val="00C13B13"/>
    <w:rsid w:val="00C149DB"/>
    <w:rsid w:val="00C16BAE"/>
    <w:rsid w:val="00C17302"/>
    <w:rsid w:val="00C20A41"/>
    <w:rsid w:val="00C22135"/>
    <w:rsid w:val="00C261ED"/>
    <w:rsid w:val="00C301D4"/>
    <w:rsid w:val="00C353ED"/>
    <w:rsid w:val="00C45D12"/>
    <w:rsid w:val="00C46FE5"/>
    <w:rsid w:val="00C47547"/>
    <w:rsid w:val="00C50C64"/>
    <w:rsid w:val="00C5163D"/>
    <w:rsid w:val="00C5583B"/>
    <w:rsid w:val="00C55CED"/>
    <w:rsid w:val="00C63521"/>
    <w:rsid w:val="00C64CB7"/>
    <w:rsid w:val="00C65E3C"/>
    <w:rsid w:val="00C70F0E"/>
    <w:rsid w:val="00C72CC3"/>
    <w:rsid w:val="00C74B22"/>
    <w:rsid w:val="00C752AA"/>
    <w:rsid w:val="00C764A2"/>
    <w:rsid w:val="00C96161"/>
    <w:rsid w:val="00C964AF"/>
    <w:rsid w:val="00CA229C"/>
    <w:rsid w:val="00CA34CE"/>
    <w:rsid w:val="00CA5659"/>
    <w:rsid w:val="00CA6F8A"/>
    <w:rsid w:val="00CB1E63"/>
    <w:rsid w:val="00CB2B65"/>
    <w:rsid w:val="00CB2DA1"/>
    <w:rsid w:val="00CB2E66"/>
    <w:rsid w:val="00CB44DB"/>
    <w:rsid w:val="00CB5242"/>
    <w:rsid w:val="00CB7900"/>
    <w:rsid w:val="00CC323A"/>
    <w:rsid w:val="00CC7DE9"/>
    <w:rsid w:val="00CD1AC3"/>
    <w:rsid w:val="00CD2E9E"/>
    <w:rsid w:val="00CD62C2"/>
    <w:rsid w:val="00CF3817"/>
    <w:rsid w:val="00CF3C6F"/>
    <w:rsid w:val="00CF458D"/>
    <w:rsid w:val="00CF45FC"/>
    <w:rsid w:val="00CF6DFB"/>
    <w:rsid w:val="00D03FC8"/>
    <w:rsid w:val="00D04AC8"/>
    <w:rsid w:val="00D06A3C"/>
    <w:rsid w:val="00D1276C"/>
    <w:rsid w:val="00D14045"/>
    <w:rsid w:val="00D15EB3"/>
    <w:rsid w:val="00D21565"/>
    <w:rsid w:val="00D2378B"/>
    <w:rsid w:val="00D2389F"/>
    <w:rsid w:val="00D260B1"/>
    <w:rsid w:val="00D323C7"/>
    <w:rsid w:val="00D32588"/>
    <w:rsid w:val="00D33EA5"/>
    <w:rsid w:val="00D358EF"/>
    <w:rsid w:val="00D36DAF"/>
    <w:rsid w:val="00D4266C"/>
    <w:rsid w:val="00D46055"/>
    <w:rsid w:val="00D47D0D"/>
    <w:rsid w:val="00D51E5F"/>
    <w:rsid w:val="00D578C0"/>
    <w:rsid w:val="00D63CEB"/>
    <w:rsid w:val="00D6432C"/>
    <w:rsid w:val="00D65E9F"/>
    <w:rsid w:val="00D728CD"/>
    <w:rsid w:val="00D7712D"/>
    <w:rsid w:val="00D832A4"/>
    <w:rsid w:val="00D84BB3"/>
    <w:rsid w:val="00D8509C"/>
    <w:rsid w:val="00D859A3"/>
    <w:rsid w:val="00D86AC1"/>
    <w:rsid w:val="00D87B82"/>
    <w:rsid w:val="00D87CB8"/>
    <w:rsid w:val="00D9324E"/>
    <w:rsid w:val="00D95E84"/>
    <w:rsid w:val="00D96BC6"/>
    <w:rsid w:val="00D97272"/>
    <w:rsid w:val="00DA23C8"/>
    <w:rsid w:val="00DA2644"/>
    <w:rsid w:val="00DA5511"/>
    <w:rsid w:val="00DB1F1B"/>
    <w:rsid w:val="00DB1FE8"/>
    <w:rsid w:val="00DB31BD"/>
    <w:rsid w:val="00DB6F69"/>
    <w:rsid w:val="00DB7261"/>
    <w:rsid w:val="00DC2803"/>
    <w:rsid w:val="00DC54C0"/>
    <w:rsid w:val="00DD0500"/>
    <w:rsid w:val="00DD0587"/>
    <w:rsid w:val="00DD0608"/>
    <w:rsid w:val="00DD0784"/>
    <w:rsid w:val="00DD7307"/>
    <w:rsid w:val="00DD74EA"/>
    <w:rsid w:val="00DE3016"/>
    <w:rsid w:val="00DE3139"/>
    <w:rsid w:val="00DE4021"/>
    <w:rsid w:val="00DF2C92"/>
    <w:rsid w:val="00DF4A78"/>
    <w:rsid w:val="00DF5331"/>
    <w:rsid w:val="00E00379"/>
    <w:rsid w:val="00E01C54"/>
    <w:rsid w:val="00E0484F"/>
    <w:rsid w:val="00E1490F"/>
    <w:rsid w:val="00E15686"/>
    <w:rsid w:val="00E1702D"/>
    <w:rsid w:val="00E2242E"/>
    <w:rsid w:val="00E22569"/>
    <w:rsid w:val="00E2305D"/>
    <w:rsid w:val="00E25D20"/>
    <w:rsid w:val="00E279BE"/>
    <w:rsid w:val="00E326DA"/>
    <w:rsid w:val="00E331C7"/>
    <w:rsid w:val="00E4253C"/>
    <w:rsid w:val="00E4570C"/>
    <w:rsid w:val="00E46FE6"/>
    <w:rsid w:val="00E5074F"/>
    <w:rsid w:val="00E519D5"/>
    <w:rsid w:val="00E52345"/>
    <w:rsid w:val="00E52EF9"/>
    <w:rsid w:val="00E5361A"/>
    <w:rsid w:val="00E5373E"/>
    <w:rsid w:val="00E54F85"/>
    <w:rsid w:val="00E633D5"/>
    <w:rsid w:val="00E647D0"/>
    <w:rsid w:val="00E7272F"/>
    <w:rsid w:val="00E72D4A"/>
    <w:rsid w:val="00E82EF5"/>
    <w:rsid w:val="00E9059D"/>
    <w:rsid w:val="00E91B52"/>
    <w:rsid w:val="00E93BF0"/>
    <w:rsid w:val="00E94B8B"/>
    <w:rsid w:val="00E950A8"/>
    <w:rsid w:val="00E957A3"/>
    <w:rsid w:val="00E96486"/>
    <w:rsid w:val="00E97584"/>
    <w:rsid w:val="00EA6D14"/>
    <w:rsid w:val="00EB28D1"/>
    <w:rsid w:val="00EB3696"/>
    <w:rsid w:val="00EB491B"/>
    <w:rsid w:val="00EC06D2"/>
    <w:rsid w:val="00EC0DDB"/>
    <w:rsid w:val="00EC1250"/>
    <w:rsid w:val="00EC7A08"/>
    <w:rsid w:val="00ED445A"/>
    <w:rsid w:val="00EE04F6"/>
    <w:rsid w:val="00EE16E1"/>
    <w:rsid w:val="00EE3460"/>
    <w:rsid w:val="00EF0A75"/>
    <w:rsid w:val="00EF2326"/>
    <w:rsid w:val="00EF3307"/>
    <w:rsid w:val="00EF652A"/>
    <w:rsid w:val="00F003FB"/>
    <w:rsid w:val="00F00E35"/>
    <w:rsid w:val="00F00F12"/>
    <w:rsid w:val="00F01A81"/>
    <w:rsid w:val="00F0530D"/>
    <w:rsid w:val="00F06E55"/>
    <w:rsid w:val="00F11EE7"/>
    <w:rsid w:val="00F12F0E"/>
    <w:rsid w:val="00F15988"/>
    <w:rsid w:val="00F15CDD"/>
    <w:rsid w:val="00F174ED"/>
    <w:rsid w:val="00F21F1D"/>
    <w:rsid w:val="00F237A6"/>
    <w:rsid w:val="00F26460"/>
    <w:rsid w:val="00F27312"/>
    <w:rsid w:val="00F327D9"/>
    <w:rsid w:val="00F3367C"/>
    <w:rsid w:val="00F341DD"/>
    <w:rsid w:val="00F34CDE"/>
    <w:rsid w:val="00F40257"/>
    <w:rsid w:val="00F4142B"/>
    <w:rsid w:val="00F42A30"/>
    <w:rsid w:val="00F47480"/>
    <w:rsid w:val="00F4777E"/>
    <w:rsid w:val="00F478D1"/>
    <w:rsid w:val="00F518FA"/>
    <w:rsid w:val="00F52ED6"/>
    <w:rsid w:val="00F5373D"/>
    <w:rsid w:val="00F55084"/>
    <w:rsid w:val="00F55FFE"/>
    <w:rsid w:val="00F60ED6"/>
    <w:rsid w:val="00F62240"/>
    <w:rsid w:val="00F649AE"/>
    <w:rsid w:val="00F64D92"/>
    <w:rsid w:val="00F770EB"/>
    <w:rsid w:val="00F83253"/>
    <w:rsid w:val="00F85E9C"/>
    <w:rsid w:val="00F86797"/>
    <w:rsid w:val="00F8782F"/>
    <w:rsid w:val="00F91194"/>
    <w:rsid w:val="00F95F39"/>
    <w:rsid w:val="00F976E1"/>
    <w:rsid w:val="00FA0B68"/>
    <w:rsid w:val="00FA10B9"/>
    <w:rsid w:val="00FA139D"/>
    <w:rsid w:val="00FA300E"/>
    <w:rsid w:val="00FA35D9"/>
    <w:rsid w:val="00FA41AD"/>
    <w:rsid w:val="00FA6B1B"/>
    <w:rsid w:val="00FA7CAE"/>
    <w:rsid w:val="00FB54C5"/>
    <w:rsid w:val="00FB580C"/>
    <w:rsid w:val="00FB5CB3"/>
    <w:rsid w:val="00FB631E"/>
    <w:rsid w:val="00FB754B"/>
    <w:rsid w:val="00FB7DDF"/>
    <w:rsid w:val="00FC4196"/>
    <w:rsid w:val="00FC4CAD"/>
    <w:rsid w:val="00FC6569"/>
    <w:rsid w:val="00FD0E5A"/>
    <w:rsid w:val="00FD40C7"/>
    <w:rsid w:val="00FD71FA"/>
    <w:rsid w:val="00FE0B2B"/>
    <w:rsid w:val="00FE119A"/>
    <w:rsid w:val="00FF2451"/>
    <w:rsid w:val="00FF2800"/>
    <w:rsid w:val="00FF3620"/>
    <w:rsid w:val="00FF57C7"/>
    <w:rsid w:val="00FF79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C3E2A"/>
    <w:pPr>
      <w:keepNext/>
      <w:keepLines/>
      <w:spacing w:before="480" w:after="0"/>
      <w:jc w:val="center"/>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C3E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92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A579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A579E"/>
    <w:rPr>
      <w:rFonts w:ascii="Tahoma" w:hAnsi="Tahoma" w:cs="Tahoma"/>
      <w:sz w:val="16"/>
      <w:szCs w:val="16"/>
    </w:rPr>
  </w:style>
  <w:style w:type="paragraph" w:styleId="Kopfzeile">
    <w:name w:val="header"/>
    <w:basedOn w:val="Standard"/>
    <w:link w:val="KopfzeileZchn"/>
    <w:uiPriority w:val="99"/>
    <w:unhideWhenUsed/>
    <w:rsid w:val="004E7A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7A2F"/>
  </w:style>
  <w:style w:type="paragraph" w:styleId="Fuzeile">
    <w:name w:val="footer"/>
    <w:basedOn w:val="Standard"/>
    <w:link w:val="FuzeileZchn"/>
    <w:uiPriority w:val="99"/>
    <w:unhideWhenUsed/>
    <w:rsid w:val="004E7A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7A2F"/>
  </w:style>
  <w:style w:type="paragraph" w:styleId="Funotentext">
    <w:name w:val="footnote text"/>
    <w:basedOn w:val="Standard"/>
    <w:link w:val="FunotentextZchn"/>
    <w:uiPriority w:val="99"/>
    <w:unhideWhenUsed/>
    <w:rsid w:val="00790D85"/>
    <w:pPr>
      <w:spacing w:after="0" w:line="240" w:lineRule="auto"/>
    </w:pPr>
    <w:rPr>
      <w:sz w:val="20"/>
      <w:szCs w:val="20"/>
    </w:rPr>
  </w:style>
  <w:style w:type="character" w:customStyle="1" w:styleId="FunotentextZchn">
    <w:name w:val="Fußnotentext Zchn"/>
    <w:basedOn w:val="Absatz-Standardschriftart"/>
    <w:link w:val="Funotentext"/>
    <w:uiPriority w:val="99"/>
    <w:rsid w:val="00790D85"/>
    <w:rPr>
      <w:sz w:val="20"/>
      <w:szCs w:val="20"/>
    </w:rPr>
  </w:style>
  <w:style w:type="character" w:styleId="Funotenzeichen">
    <w:name w:val="footnote reference"/>
    <w:basedOn w:val="Absatz-Standardschriftart"/>
    <w:uiPriority w:val="99"/>
    <w:semiHidden/>
    <w:unhideWhenUsed/>
    <w:rsid w:val="00790D85"/>
    <w:rPr>
      <w:vertAlign w:val="superscript"/>
    </w:rPr>
  </w:style>
  <w:style w:type="paragraph" w:styleId="Listenabsatz">
    <w:name w:val="List Paragraph"/>
    <w:basedOn w:val="Standard"/>
    <w:uiPriority w:val="34"/>
    <w:qFormat/>
    <w:rsid w:val="00761582"/>
    <w:pPr>
      <w:ind w:left="720"/>
      <w:contextualSpacing/>
    </w:pPr>
  </w:style>
  <w:style w:type="paragraph" w:styleId="Literaturverzeichnis">
    <w:name w:val="Bibliography"/>
    <w:basedOn w:val="Standard"/>
    <w:next w:val="Standard"/>
    <w:uiPriority w:val="37"/>
    <w:unhideWhenUsed/>
    <w:rsid w:val="00FB54C5"/>
    <w:pPr>
      <w:spacing w:after="0" w:line="480" w:lineRule="auto"/>
      <w:ind w:left="720" w:hanging="720"/>
    </w:pPr>
  </w:style>
  <w:style w:type="character" w:styleId="Kommentarzeichen">
    <w:name w:val="annotation reference"/>
    <w:basedOn w:val="Absatz-Standardschriftart"/>
    <w:uiPriority w:val="99"/>
    <w:semiHidden/>
    <w:unhideWhenUsed/>
    <w:rsid w:val="00D96BC6"/>
    <w:rPr>
      <w:sz w:val="16"/>
      <w:szCs w:val="16"/>
    </w:rPr>
  </w:style>
  <w:style w:type="paragraph" w:styleId="Kommentartext">
    <w:name w:val="annotation text"/>
    <w:basedOn w:val="Standard"/>
    <w:link w:val="KommentartextZchn"/>
    <w:uiPriority w:val="99"/>
    <w:unhideWhenUsed/>
    <w:rsid w:val="00D96BC6"/>
    <w:pPr>
      <w:spacing w:line="240" w:lineRule="auto"/>
    </w:pPr>
    <w:rPr>
      <w:sz w:val="20"/>
      <w:szCs w:val="20"/>
    </w:rPr>
  </w:style>
  <w:style w:type="character" w:customStyle="1" w:styleId="KommentartextZchn">
    <w:name w:val="Kommentartext Zchn"/>
    <w:basedOn w:val="Absatz-Standardschriftart"/>
    <w:link w:val="Kommentartext"/>
    <w:uiPriority w:val="99"/>
    <w:rsid w:val="00D96BC6"/>
    <w:rPr>
      <w:sz w:val="20"/>
      <w:szCs w:val="20"/>
    </w:rPr>
  </w:style>
  <w:style w:type="paragraph" w:styleId="Kommentarthema">
    <w:name w:val="annotation subject"/>
    <w:basedOn w:val="Kommentartext"/>
    <w:next w:val="Kommentartext"/>
    <w:link w:val="KommentarthemaZchn"/>
    <w:uiPriority w:val="99"/>
    <w:semiHidden/>
    <w:unhideWhenUsed/>
    <w:rsid w:val="008A57FC"/>
    <w:rPr>
      <w:b/>
      <w:bCs/>
    </w:rPr>
  </w:style>
  <w:style w:type="character" w:customStyle="1" w:styleId="KommentarthemaZchn">
    <w:name w:val="Kommentarthema Zchn"/>
    <w:basedOn w:val="KommentartextZchn"/>
    <w:link w:val="Kommentarthema"/>
    <w:uiPriority w:val="99"/>
    <w:semiHidden/>
    <w:rsid w:val="008A57FC"/>
    <w:rPr>
      <w:b/>
      <w:bCs/>
      <w:sz w:val="20"/>
      <w:szCs w:val="20"/>
    </w:rPr>
  </w:style>
  <w:style w:type="character" w:styleId="Hyperlink">
    <w:name w:val="Hyperlink"/>
    <w:basedOn w:val="Absatz-Standardschriftart"/>
    <w:uiPriority w:val="99"/>
    <w:unhideWhenUsed/>
    <w:rsid w:val="00CB2DA1"/>
    <w:rPr>
      <w:color w:val="0000FF" w:themeColor="hyperlink"/>
      <w:u w:val="single"/>
    </w:rPr>
  </w:style>
  <w:style w:type="character" w:styleId="Platzhaltertext">
    <w:name w:val="Placeholder Text"/>
    <w:basedOn w:val="Absatz-Standardschriftart"/>
    <w:uiPriority w:val="99"/>
    <w:semiHidden/>
    <w:rsid w:val="00B940B0"/>
    <w:rPr>
      <w:color w:val="808080"/>
    </w:rPr>
  </w:style>
  <w:style w:type="paragraph" w:styleId="Beschriftung">
    <w:name w:val="caption"/>
    <w:basedOn w:val="Standard"/>
    <w:next w:val="Standard"/>
    <w:uiPriority w:val="35"/>
    <w:semiHidden/>
    <w:unhideWhenUsed/>
    <w:qFormat/>
    <w:rsid w:val="00135D83"/>
    <w:pPr>
      <w:spacing w:line="240" w:lineRule="auto"/>
    </w:pPr>
    <w:rPr>
      <w:b/>
      <w:bCs/>
      <w:color w:val="4F81BD" w:themeColor="accent1"/>
      <w:sz w:val="18"/>
      <w:szCs w:val="18"/>
    </w:rPr>
  </w:style>
  <w:style w:type="paragraph" w:styleId="berarbeitung">
    <w:name w:val="Revision"/>
    <w:hidden/>
    <w:uiPriority w:val="99"/>
    <w:semiHidden/>
    <w:rsid w:val="00E950A8"/>
    <w:pPr>
      <w:spacing w:after="0" w:line="240" w:lineRule="auto"/>
    </w:pPr>
  </w:style>
  <w:style w:type="table" w:customStyle="1" w:styleId="TableGrid1">
    <w:name w:val="Table Grid1"/>
    <w:basedOn w:val="NormaleTabelle"/>
    <w:next w:val="Tabellenraster"/>
    <w:uiPriority w:val="59"/>
    <w:rsid w:val="007A1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8A5C7B"/>
  </w:style>
  <w:style w:type="paragraph" w:styleId="NurText">
    <w:name w:val="Plain Text"/>
    <w:basedOn w:val="Standard"/>
    <w:link w:val="NurTextZchn"/>
    <w:uiPriority w:val="99"/>
    <w:semiHidden/>
    <w:unhideWhenUsed/>
    <w:rsid w:val="008B10C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8B10C7"/>
    <w:rPr>
      <w:rFonts w:ascii="Consolas" w:hAnsi="Consolas"/>
      <w:sz w:val="21"/>
      <w:szCs w:val="21"/>
    </w:rPr>
  </w:style>
  <w:style w:type="character" w:customStyle="1" w:styleId="berschrift1Zchn">
    <w:name w:val="Überschrift 1 Zchn"/>
    <w:basedOn w:val="Absatz-Standardschriftart"/>
    <w:link w:val="berschrift1"/>
    <w:uiPriority w:val="9"/>
    <w:rsid w:val="007C3E2A"/>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7C3E2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C3E2A"/>
    <w:pPr>
      <w:keepNext/>
      <w:keepLines/>
      <w:spacing w:before="480" w:after="0"/>
      <w:jc w:val="center"/>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C3E2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92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A579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A579E"/>
    <w:rPr>
      <w:rFonts w:ascii="Tahoma" w:hAnsi="Tahoma" w:cs="Tahoma"/>
      <w:sz w:val="16"/>
      <w:szCs w:val="16"/>
    </w:rPr>
  </w:style>
  <w:style w:type="paragraph" w:styleId="Kopfzeile">
    <w:name w:val="header"/>
    <w:basedOn w:val="Standard"/>
    <w:link w:val="KopfzeileZchn"/>
    <w:uiPriority w:val="99"/>
    <w:unhideWhenUsed/>
    <w:rsid w:val="004E7A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7A2F"/>
  </w:style>
  <w:style w:type="paragraph" w:styleId="Fuzeile">
    <w:name w:val="footer"/>
    <w:basedOn w:val="Standard"/>
    <w:link w:val="FuzeileZchn"/>
    <w:uiPriority w:val="99"/>
    <w:unhideWhenUsed/>
    <w:rsid w:val="004E7A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7A2F"/>
  </w:style>
  <w:style w:type="paragraph" w:styleId="Funotentext">
    <w:name w:val="footnote text"/>
    <w:basedOn w:val="Standard"/>
    <w:link w:val="FunotentextZchn"/>
    <w:uiPriority w:val="99"/>
    <w:unhideWhenUsed/>
    <w:rsid w:val="00790D85"/>
    <w:pPr>
      <w:spacing w:after="0" w:line="240" w:lineRule="auto"/>
    </w:pPr>
    <w:rPr>
      <w:sz w:val="20"/>
      <w:szCs w:val="20"/>
    </w:rPr>
  </w:style>
  <w:style w:type="character" w:customStyle="1" w:styleId="FunotentextZchn">
    <w:name w:val="Fußnotentext Zchn"/>
    <w:basedOn w:val="Absatz-Standardschriftart"/>
    <w:link w:val="Funotentext"/>
    <w:uiPriority w:val="99"/>
    <w:rsid w:val="00790D85"/>
    <w:rPr>
      <w:sz w:val="20"/>
      <w:szCs w:val="20"/>
    </w:rPr>
  </w:style>
  <w:style w:type="character" w:styleId="Funotenzeichen">
    <w:name w:val="footnote reference"/>
    <w:basedOn w:val="Absatz-Standardschriftart"/>
    <w:uiPriority w:val="99"/>
    <w:semiHidden/>
    <w:unhideWhenUsed/>
    <w:rsid w:val="00790D85"/>
    <w:rPr>
      <w:vertAlign w:val="superscript"/>
    </w:rPr>
  </w:style>
  <w:style w:type="paragraph" w:styleId="Listenabsatz">
    <w:name w:val="List Paragraph"/>
    <w:basedOn w:val="Standard"/>
    <w:uiPriority w:val="34"/>
    <w:qFormat/>
    <w:rsid w:val="00761582"/>
    <w:pPr>
      <w:ind w:left="720"/>
      <w:contextualSpacing/>
    </w:pPr>
  </w:style>
  <w:style w:type="paragraph" w:styleId="Literaturverzeichnis">
    <w:name w:val="Bibliography"/>
    <w:basedOn w:val="Standard"/>
    <w:next w:val="Standard"/>
    <w:uiPriority w:val="37"/>
    <w:unhideWhenUsed/>
    <w:rsid w:val="00FB54C5"/>
    <w:pPr>
      <w:spacing w:after="0" w:line="480" w:lineRule="auto"/>
      <w:ind w:left="720" w:hanging="720"/>
    </w:pPr>
  </w:style>
  <w:style w:type="character" w:styleId="Kommentarzeichen">
    <w:name w:val="annotation reference"/>
    <w:basedOn w:val="Absatz-Standardschriftart"/>
    <w:uiPriority w:val="99"/>
    <w:semiHidden/>
    <w:unhideWhenUsed/>
    <w:rsid w:val="00D96BC6"/>
    <w:rPr>
      <w:sz w:val="16"/>
      <w:szCs w:val="16"/>
    </w:rPr>
  </w:style>
  <w:style w:type="paragraph" w:styleId="Kommentartext">
    <w:name w:val="annotation text"/>
    <w:basedOn w:val="Standard"/>
    <w:link w:val="KommentartextZchn"/>
    <w:uiPriority w:val="99"/>
    <w:unhideWhenUsed/>
    <w:rsid w:val="00D96BC6"/>
    <w:pPr>
      <w:spacing w:line="240" w:lineRule="auto"/>
    </w:pPr>
    <w:rPr>
      <w:sz w:val="20"/>
      <w:szCs w:val="20"/>
    </w:rPr>
  </w:style>
  <w:style w:type="character" w:customStyle="1" w:styleId="KommentartextZchn">
    <w:name w:val="Kommentartext Zchn"/>
    <w:basedOn w:val="Absatz-Standardschriftart"/>
    <w:link w:val="Kommentartext"/>
    <w:uiPriority w:val="99"/>
    <w:rsid w:val="00D96BC6"/>
    <w:rPr>
      <w:sz w:val="20"/>
      <w:szCs w:val="20"/>
    </w:rPr>
  </w:style>
  <w:style w:type="paragraph" w:styleId="Kommentarthema">
    <w:name w:val="annotation subject"/>
    <w:basedOn w:val="Kommentartext"/>
    <w:next w:val="Kommentartext"/>
    <w:link w:val="KommentarthemaZchn"/>
    <w:uiPriority w:val="99"/>
    <w:semiHidden/>
    <w:unhideWhenUsed/>
    <w:rsid w:val="008A57FC"/>
    <w:rPr>
      <w:b/>
      <w:bCs/>
    </w:rPr>
  </w:style>
  <w:style w:type="character" w:customStyle="1" w:styleId="KommentarthemaZchn">
    <w:name w:val="Kommentarthema Zchn"/>
    <w:basedOn w:val="KommentartextZchn"/>
    <w:link w:val="Kommentarthema"/>
    <w:uiPriority w:val="99"/>
    <w:semiHidden/>
    <w:rsid w:val="008A57FC"/>
    <w:rPr>
      <w:b/>
      <w:bCs/>
      <w:sz w:val="20"/>
      <w:szCs w:val="20"/>
    </w:rPr>
  </w:style>
  <w:style w:type="character" w:styleId="Hyperlink">
    <w:name w:val="Hyperlink"/>
    <w:basedOn w:val="Absatz-Standardschriftart"/>
    <w:uiPriority w:val="99"/>
    <w:unhideWhenUsed/>
    <w:rsid w:val="00CB2DA1"/>
    <w:rPr>
      <w:color w:val="0000FF" w:themeColor="hyperlink"/>
      <w:u w:val="single"/>
    </w:rPr>
  </w:style>
  <w:style w:type="character" w:styleId="Platzhaltertext">
    <w:name w:val="Placeholder Text"/>
    <w:basedOn w:val="Absatz-Standardschriftart"/>
    <w:uiPriority w:val="99"/>
    <w:semiHidden/>
    <w:rsid w:val="00B940B0"/>
    <w:rPr>
      <w:color w:val="808080"/>
    </w:rPr>
  </w:style>
  <w:style w:type="paragraph" w:styleId="Beschriftung">
    <w:name w:val="caption"/>
    <w:basedOn w:val="Standard"/>
    <w:next w:val="Standard"/>
    <w:uiPriority w:val="35"/>
    <w:semiHidden/>
    <w:unhideWhenUsed/>
    <w:qFormat/>
    <w:rsid w:val="00135D83"/>
    <w:pPr>
      <w:spacing w:line="240" w:lineRule="auto"/>
    </w:pPr>
    <w:rPr>
      <w:b/>
      <w:bCs/>
      <w:color w:val="4F81BD" w:themeColor="accent1"/>
      <w:sz w:val="18"/>
      <w:szCs w:val="18"/>
    </w:rPr>
  </w:style>
  <w:style w:type="paragraph" w:styleId="berarbeitung">
    <w:name w:val="Revision"/>
    <w:hidden/>
    <w:uiPriority w:val="99"/>
    <w:semiHidden/>
    <w:rsid w:val="00E950A8"/>
    <w:pPr>
      <w:spacing w:after="0" w:line="240" w:lineRule="auto"/>
    </w:pPr>
  </w:style>
  <w:style w:type="table" w:customStyle="1" w:styleId="TableGrid1">
    <w:name w:val="Table Grid1"/>
    <w:basedOn w:val="NormaleTabelle"/>
    <w:next w:val="Tabellenraster"/>
    <w:uiPriority w:val="59"/>
    <w:rsid w:val="007A1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8A5C7B"/>
  </w:style>
  <w:style w:type="paragraph" w:styleId="NurText">
    <w:name w:val="Plain Text"/>
    <w:basedOn w:val="Standard"/>
    <w:link w:val="NurTextZchn"/>
    <w:uiPriority w:val="99"/>
    <w:semiHidden/>
    <w:unhideWhenUsed/>
    <w:rsid w:val="008B10C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8B10C7"/>
    <w:rPr>
      <w:rFonts w:ascii="Consolas" w:hAnsi="Consolas"/>
      <w:sz w:val="21"/>
      <w:szCs w:val="21"/>
    </w:rPr>
  </w:style>
  <w:style w:type="character" w:customStyle="1" w:styleId="berschrift1Zchn">
    <w:name w:val="Überschrift 1 Zchn"/>
    <w:basedOn w:val="Absatz-Standardschriftart"/>
    <w:link w:val="berschrift1"/>
    <w:uiPriority w:val="9"/>
    <w:rsid w:val="007C3E2A"/>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7C3E2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5994">
      <w:bodyDiv w:val="1"/>
      <w:marLeft w:val="0"/>
      <w:marRight w:val="0"/>
      <w:marTop w:val="0"/>
      <w:marBottom w:val="0"/>
      <w:divBdr>
        <w:top w:val="none" w:sz="0" w:space="0" w:color="auto"/>
        <w:left w:val="none" w:sz="0" w:space="0" w:color="auto"/>
        <w:bottom w:val="none" w:sz="0" w:space="0" w:color="auto"/>
        <w:right w:val="none" w:sz="0" w:space="0" w:color="auto"/>
      </w:divBdr>
    </w:div>
    <w:div w:id="231933510">
      <w:bodyDiv w:val="1"/>
      <w:marLeft w:val="0"/>
      <w:marRight w:val="0"/>
      <w:marTop w:val="0"/>
      <w:marBottom w:val="0"/>
      <w:divBdr>
        <w:top w:val="none" w:sz="0" w:space="0" w:color="auto"/>
        <w:left w:val="none" w:sz="0" w:space="0" w:color="auto"/>
        <w:bottom w:val="none" w:sz="0" w:space="0" w:color="auto"/>
        <w:right w:val="none" w:sz="0" w:space="0" w:color="auto"/>
      </w:divBdr>
    </w:div>
    <w:div w:id="258950746">
      <w:bodyDiv w:val="1"/>
      <w:marLeft w:val="0"/>
      <w:marRight w:val="0"/>
      <w:marTop w:val="0"/>
      <w:marBottom w:val="0"/>
      <w:divBdr>
        <w:top w:val="none" w:sz="0" w:space="0" w:color="auto"/>
        <w:left w:val="none" w:sz="0" w:space="0" w:color="auto"/>
        <w:bottom w:val="none" w:sz="0" w:space="0" w:color="auto"/>
        <w:right w:val="none" w:sz="0" w:space="0" w:color="auto"/>
      </w:divBdr>
    </w:div>
    <w:div w:id="821196841">
      <w:bodyDiv w:val="1"/>
      <w:marLeft w:val="0"/>
      <w:marRight w:val="0"/>
      <w:marTop w:val="0"/>
      <w:marBottom w:val="0"/>
      <w:divBdr>
        <w:top w:val="none" w:sz="0" w:space="0" w:color="auto"/>
        <w:left w:val="none" w:sz="0" w:space="0" w:color="auto"/>
        <w:bottom w:val="none" w:sz="0" w:space="0" w:color="auto"/>
        <w:right w:val="none" w:sz="0" w:space="0" w:color="auto"/>
      </w:divBdr>
    </w:div>
    <w:div w:id="961113992">
      <w:bodyDiv w:val="1"/>
      <w:marLeft w:val="0"/>
      <w:marRight w:val="0"/>
      <w:marTop w:val="0"/>
      <w:marBottom w:val="0"/>
      <w:divBdr>
        <w:top w:val="none" w:sz="0" w:space="0" w:color="auto"/>
        <w:left w:val="none" w:sz="0" w:space="0" w:color="auto"/>
        <w:bottom w:val="none" w:sz="0" w:space="0" w:color="auto"/>
        <w:right w:val="none" w:sz="0" w:space="0" w:color="auto"/>
      </w:divBdr>
    </w:div>
    <w:div w:id="1004014230">
      <w:bodyDiv w:val="1"/>
      <w:marLeft w:val="0"/>
      <w:marRight w:val="0"/>
      <w:marTop w:val="0"/>
      <w:marBottom w:val="0"/>
      <w:divBdr>
        <w:top w:val="none" w:sz="0" w:space="0" w:color="auto"/>
        <w:left w:val="none" w:sz="0" w:space="0" w:color="auto"/>
        <w:bottom w:val="none" w:sz="0" w:space="0" w:color="auto"/>
        <w:right w:val="none" w:sz="0" w:space="0" w:color="auto"/>
      </w:divBdr>
    </w:div>
    <w:div w:id="1458181850">
      <w:bodyDiv w:val="1"/>
      <w:marLeft w:val="0"/>
      <w:marRight w:val="0"/>
      <w:marTop w:val="0"/>
      <w:marBottom w:val="0"/>
      <w:divBdr>
        <w:top w:val="none" w:sz="0" w:space="0" w:color="auto"/>
        <w:left w:val="none" w:sz="0" w:space="0" w:color="auto"/>
        <w:bottom w:val="none" w:sz="0" w:space="0" w:color="auto"/>
        <w:right w:val="none" w:sz="0" w:space="0" w:color="auto"/>
      </w:divBdr>
    </w:div>
    <w:div w:id="1561401289">
      <w:bodyDiv w:val="1"/>
      <w:marLeft w:val="0"/>
      <w:marRight w:val="0"/>
      <w:marTop w:val="0"/>
      <w:marBottom w:val="0"/>
      <w:divBdr>
        <w:top w:val="none" w:sz="0" w:space="0" w:color="auto"/>
        <w:left w:val="none" w:sz="0" w:space="0" w:color="auto"/>
        <w:bottom w:val="none" w:sz="0" w:space="0" w:color="auto"/>
        <w:right w:val="none" w:sz="0" w:space="0" w:color="auto"/>
      </w:divBdr>
    </w:div>
    <w:div w:id="205064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qaim@uni-goettingen.de" TargetMode="External"/><Relationship Id="rId17" Type="http://schemas.openxmlformats.org/officeDocument/2006/relationships/hyperlink" Target="https://doi.org/10.1111/dpr.12255" TargetMode="External"/><Relationship Id="rId2" Type="http://schemas.openxmlformats.org/officeDocument/2006/relationships/numbering" Target="numbering.xml"/><Relationship Id="rId16" Type="http://schemas.openxmlformats.org/officeDocument/2006/relationships/hyperlink" Target="https://www.die-gdi.de/uploads/media/DP_17.2016.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mona.rischke@agr.uni-goettingen.de" TargetMode="External"/><Relationship Id="rId5" Type="http://schemas.openxmlformats.org/officeDocument/2006/relationships/settings" Target="settings.xml"/><Relationship Id="rId15" Type="http://schemas.openxmlformats.org/officeDocument/2006/relationships/image" Target="media/image1.tiff"/><Relationship Id="rId10" Type="http://schemas.openxmlformats.org/officeDocument/2006/relationships/hyperlink" Target="mailto:kathrin-maria.demmler@agr.uni-goettingen.de"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bdebela@uni-goettingen.d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40C60-BB25-4766-B446-8FF75BC30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20489</Words>
  <Characters>116790</Characters>
  <Application>Microsoft Office Word</Application>
  <DocSecurity>0</DocSecurity>
  <Lines>973</Lines>
  <Paragraphs>274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 Goettingen</Company>
  <LinksUpToDate>false</LinksUpToDate>
  <CharactersWithSpaces>137005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Debela, Bethelhem Legesse</dc:creator>
  <cp:lastModifiedBy>Kathrin Maria Demmler</cp:lastModifiedBy>
  <cp:revision>3</cp:revision>
  <cp:lastPrinted>2017-04-10T07:56:00Z</cp:lastPrinted>
  <dcterms:created xsi:type="dcterms:W3CDTF">2017-08-16T07:42:00Z</dcterms:created>
  <dcterms:modified xsi:type="dcterms:W3CDTF">2017-08-16T08:13:00Z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zotero-version="4.0.29.6"&gt;&lt;session id="Jmejz2OF"/&gt;&lt;style id="http://www.zotero.org/styles/apa-no-doi-no-issue" locale="en-US" hasBibliography="1" bibliographyStyleHasBeenSet="1"/&gt;&lt;prefs&gt;&lt;pref name="fieldType" value="Field"/&gt;&lt;pref na</vt:lpwstr>
  </property>
  <property fmtid="{D5CDD505-2E9C-101B-9397-08002B2CF9AE}" pid="3" name="ZOTERO_PREF_2">
    <vt:lpwstr>me="storeReferences" value="true"/&gt;&lt;pref name="automaticJournalAbbreviations" value="true"/&gt;&lt;pref name="noteType" value=""/&gt;&lt;/prefs&gt;&lt;/data&gt;</vt:lpwstr>
  </property>
</Properties>
</file>