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85955" w14:textId="35327033" w:rsidR="00B87D10" w:rsidRPr="000C0D44" w:rsidRDefault="00E00684" w:rsidP="005737A4">
      <w:pPr>
        <w:jc w:val="center"/>
        <w:rPr>
          <w:rFonts w:ascii="Arial" w:hAnsi="Arial" w:cs="Arial"/>
          <w:sz w:val="22"/>
          <w:szCs w:val="22"/>
        </w:rPr>
      </w:pPr>
      <w:r w:rsidRPr="000C0D44">
        <w:rPr>
          <w:rFonts w:ascii="Arial" w:hAnsi="Arial" w:cs="Arial"/>
          <w:sz w:val="22"/>
          <w:szCs w:val="22"/>
        </w:rPr>
        <w:t xml:space="preserve">Inhalational </w:t>
      </w:r>
      <w:r w:rsidR="002C76DD" w:rsidRPr="000C0D44">
        <w:rPr>
          <w:rFonts w:ascii="Arial" w:hAnsi="Arial" w:cs="Arial"/>
          <w:sz w:val="22"/>
          <w:szCs w:val="22"/>
        </w:rPr>
        <w:t xml:space="preserve">Exposures Associated with </w:t>
      </w:r>
      <w:r w:rsidRPr="000C0D44">
        <w:rPr>
          <w:rFonts w:ascii="Arial" w:hAnsi="Arial" w:cs="Arial"/>
          <w:sz w:val="22"/>
          <w:szCs w:val="22"/>
        </w:rPr>
        <w:t xml:space="preserve">Risk of </w:t>
      </w:r>
      <w:r w:rsidR="002C76DD" w:rsidRPr="000C0D44">
        <w:rPr>
          <w:rFonts w:ascii="Arial" w:hAnsi="Arial" w:cs="Arial"/>
          <w:sz w:val="22"/>
          <w:szCs w:val="22"/>
        </w:rPr>
        <w:t>Interstitial Lung Disease: A Systematic Review and Meta-Analysis</w:t>
      </w:r>
    </w:p>
    <w:p w14:paraId="4160CD5A" w14:textId="39B2B9F5" w:rsidR="002C76DD" w:rsidRPr="000C0D44" w:rsidRDefault="002C76DD" w:rsidP="005737A4">
      <w:pPr>
        <w:jc w:val="center"/>
        <w:rPr>
          <w:rFonts w:ascii="Arial" w:hAnsi="Arial" w:cs="Arial"/>
          <w:sz w:val="22"/>
          <w:szCs w:val="22"/>
        </w:rPr>
      </w:pPr>
    </w:p>
    <w:p w14:paraId="1894B1B1" w14:textId="5EEBB7F7" w:rsidR="002C76DD" w:rsidRPr="00A437D5" w:rsidRDefault="002C76DD" w:rsidP="005737A4">
      <w:pPr>
        <w:jc w:val="center"/>
        <w:rPr>
          <w:rFonts w:ascii="Arial" w:hAnsi="Arial" w:cs="Arial"/>
          <w:sz w:val="22"/>
          <w:szCs w:val="22"/>
          <w:vertAlign w:val="superscript"/>
        </w:rPr>
      </w:pPr>
      <w:r w:rsidRPr="000C0D44">
        <w:rPr>
          <w:rFonts w:ascii="Arial" w:hAnsi="Arial" w:cs="Arial"/>
          <w:sz w:val="22"/>
          <w:szCs w:val="22"/>
        </w:rPr>
        <w:t>Cathryn T. Lee</w:t>
      </w:r>
      <w:r w:rsidR="000C0D44">
        <w:rPr>
          <w:rFonts w:ascii="Arial" w:hAnsi="Arial" w:cs="Arial"/>
          <w:sz w:val="22"/>
          <w:szCs w:val="22"/>
          <w:vertAlign w:val="superscript"/>
        </w:rPr>
        <w:t>1</w:t>
      </w:r>
      <w:r w:rsidRPr="000C0D44">
        <w:rPr>
          <w:rFonts w:ascii="Arial" w:hAnsi="Arial" w:cs="Arial"/>
          <w:sz w:val="22"/>
          <w:szCs w:val="22"/>
        </w:rPr>
        <w:t xml:space="preserve">, Sheiphali </w:t>
      </w:r>
      <w:r w:rsidR="009C6954">
        <w:rPr>
          <w:rFonts w:ascii="Arial" w:hAnsi="Arial" w:cs="Arial"/>
          <w:sz w:val="22"/>
          <w:szCs w:val="22"/>
        </w:rPr>
        <w:t xml:space="preserve">A. </w:t>
      </w:r>
      <w:r w:rsidRPr="000C0D44">
        <w:rPr>
          <w:rFonts w:ascii="Arial" w:hAnsi="Arial" w:cs="Arial"/>
          <w:sz w:val="22"/>
          <w:szCs w:val="22"/>
        </w:rPr>
        <w:t>Gandhi</w:t>
      </w:r>
      <w:r w:rsidR="000C0D44">
        <w:rPr>
          <w:rFonts w:ascii="Arial" w:hAnsi="Arial" w:cs="Arial"/>
          <w:sz w:val="22"/>
          <w:szCs w:val="22"/>
          <w:vertAlign w:val="superscript"/>
        </w:rPr>
        <w:t>2</w:t>
      </w:r>
      <w:r w:rsidRPr="000C0D44">
        <w:rPr>
          <w:rFonts w:ascii="Arial" w:hAnsi="Arial" w:cs="Arial"/>
          <w:sz w:val="22"/>
          <w:szCs w:val="22"/>
        </w:rPr>
        <w:t>, Seham Elmrayed</w:t>
      </w:r>
      <w:r w:rsidR="000C0D44">
        <w:rPr>
          <w:rFonts w:ascii="Arial" w:hAnsi="Arial" w:cs="Arial"/>
          <w:sz w:val="22"/>
          <w:szCs w:val="22"/>
          <w:vertAlign w:val="superscript"/>
        </w:rPr>
        <w:t>3</w:t>
      </w:r>
      <w:r w:rsidRPr="000C0D44">
        <w:rPr>
          <w:rFonts w:ascii="Arial" w:hAnsi="Arial" w:cs="Arial"/>
          <w:sz w:val="22"/>
          <w:szCs w:val="22"/>
        </w:rPr>
        <w:t xml:space="preserve">, </w:t>
      </w:r>
      <w:r w:rsidR="00E00684" w:rsidRPr="000C0D44">
        <w:rPr>
          <w:rFonts w:ascii="Arial" w:hAnsi="Arial" w:cs="Arial"/>
          <w:sz w:val="22"/>
          <w:szCs w:val="22"/>
        </w:rPr>
        <w:t>Hayley Barnes</w:t>
      </w:r>
      <w:r w:rsidR="000C0D44">
        <w:rPr>
          <w:rFonts w:ascii="Arial" w:hAnsi="Arial" w:cs="Arial"/>
          <w:sz w:val="22"/>
          <w:szCs w:val="22"/>
          <w:vertAlign w:val="superscript"/>
        </w:rPr>
        <w:t>4</w:t>
      </w:r>
      <w:r w:rsidR="00C874BE">
        <w:rPr>
          <w:rFonts w:ascii="Arial" w:hAnsi="Arial" w:cs="Arial"/>
          <w:sz w:val="22"/>
          <w:szCs w:val="22"/>
          <w:vertAlign w:val="superscript"/>
        </w:rPr>
        <w:t>,5,6</w:t>
      </w:r>
      <w:r w:rsidR="00E00684" w:rsidRPr="000C0D44">
        <w:rPr>
          <w:rFonts w:ascii="Arial" w:hAnsi="Arial" w:cs="Arial"/>
          <w:sz w:val="22"/>
          <w:szCs w:val="22"/>
        </w:rPr>
        <w:t>, Diane Lorenzetti</w:t>
      </w:r>
      <w:r w:rsidR="00C874BE">
        <w:rPr>
          <w:rFonts w:ascii="Arial" w:hAnsi="Arial" w:cs="Arial"/>
          <w:sz w:val="22"/>
          <w:szCs w:val="22"/>
          <w:vertAlign w:val="superscript"/>
        </w:rPr>
        <w:t>7,8</w:t>
      </w:r>
      <w:r w:rsidR="00E00684" w:rsidRPr="000C0D44">
        <w:rPr>
          <w:rFonts w:ascii="Arial" w:hAnsi="Arial" w:cs="Arial"/>
          <w:sz w:val="22"/>
          <w:szCs w:val="22"/>
        </w:rPr>
        <w:t xml:space="preserve">, </w:t>
      </w:r>
      <w:r w:rsidRPr="000C0D44">
        <w:rPr>
          <w:rFonts w:ascii="Arial" w:hAnsi="Arial" w:cs="Arial"/>
          <w:sz w:val="22"/>
          <w:szCs w:val="22"/>
        </w:rPr>
        <w:t>Margaret L. Salisbury</w:t>
      </w:r>
      <w:r w:rsidR="00C874BE">
        <w:rPr>
          <w:rFonts w:ascii="Arial" w:hAnsi="Arial" w:cs="Arial"/>
          <w:sz w:val="22"/>
          <w:szCs w:val="22"/>
          <w:vertAlign w:val="superscript"/>
        </w:rPr>
        <w:t>9</w:t>
      </w:r>
      <w:r w:rsidRPr="000C0D44">
        <w:rPr>
          <w:rFonts w:ascii="Arial" w:hAnsi="Arial" w:cs="Arial"/>
          <w:sz w:val="22"/>
          <w:szCs w:val="22"/>
        </w:rPr>
        <w:t>,</w:t>
      </w:r>
      <w:r w:rsidR="0005752F">
        <w:rPr>
          <w:rFonts w:ascii="Arial" w:hAnsi="Arial" w:cs="Arial"/>
          <w:sz w:val="22"/>
          <w:szCs w:val="22"/>
        </w:rPr>
        <w:t xml:space="preserve"> Iain D. Stewart</w:t>
      </w:r>
      <w:r w:rsidR="00C874BE">
        <w:rPr>
          <w:rFonts w:ascii="Arial" w:hAnsi="Arial" w:cs="Arial"/>
          <w:sz w:val="22"/>
          <w:szCs w:val="22"/>
          <w:vertAlign w:val="superscript"/>
        </w:rPr>
        <w:t>10</w:t>
      </w:r>
      <w:r w:rsidR="0005752F">
        <w:rPr>
          <w:rFonts w:ascii="Arial" w:hAnsi="Arial" w:cs="Arial"/>
          <w:sz w:val="22"/>
          <w:szCs w:val="22"/>
        </w:rPr>
        <w:t>,</w:t>
      </w:r>
      <w:r w:rsidRPr="000C0D44">
        <w:rPr>
          <w:rFonts w:ascii="Arial" w:hAnsi="Arial" w:cs="Arial"/>
          <w:sz w:val="22"/>
          <w:szCs w:val="22"/>
        </w:rPr>
        <w:t xml:space="preserve"> Christopher Barber</w:t>
      </w:r>
      <w:r w:rsidR="00C874BE">
        <w:rPr>
          <w:rFonts w:ascii="Arial" w:hAnsi="Arial" w:cs="Arial"/>
          <w:sz w:val="22"/>
          <w:szCs w:val="22"/>
          <w:vertAlign w:val="superscript"/>
        </w:rPr>
        <w:t>11</w:t>
      </w:r>
      <w:r w:rsidRPr="000C0D44">
        <w:rPr>
          <w:rFonts w:ascii="Arial" w:hAnsi="Arial" w:cs="Arial"/>
          <w:sz w:val="22"/>
          <w:szCs w:val="22"/>
        </w:rPr>
        <w:t xml:space="preserve">, Cheryl </w:t>
      </w:r>
      <w:r w:rsidR="00245CFF">
        <w:rPr>
          <w:rFonts w:ascii="Arial" w:hAnsi="Arial" w:cs="Arial"/>
          <w:sz w:val="22"/>
          <w:szCs w:val="22"/>
        </w:rPr>
        <w:t>E</w:t>
      </w:r>
      <w:r w:rsidRPr="000C0D44">
        <w:rPr>
          <w:rFonts w:ascii="Arial" w:hAnsi="Arial" w:cs="Arial"/>
          <w:sz w:val="22"/>
          <w:szCs w:val="22"/>
        </w:rPr>
        <w:t>. Peters</w:t>
      </w:r>
      <w:r w:rsidR="00C874BE">
        <w:rPr>
          <w:rFonts w:ascii="Arial" w:hAnsi="Arial" w:cs="Arial"/>
          <w:sz w:val="22"/>
          <w:szCs w:val="22"/>
          <w:vertAlign w:val="superscript"/>
        </w:rPr>
        <w:t>7</w:t>
      </w:r>
      <w:r w:rsidRPr="000C0D44">
        <w:rPr>
          <w:rFonts w:ascii="Arial" w:hAnsi="Arial" w:cs="Arial"/>
          <w:sz w:val="22"/>
          <w:szCs w:val="22"/>
        </w:rPr>
        <w:t>, Johanna Feary</w:t>
      </w:r>
      <w:r w:rsidR="00C874BE">
        <w:rPr>
          <w:rFonts w:ascii="Arial" w:hAnsi="Arial" w:cs="Arial"/>
          <w:sz w:val="22"/>
          <w:szCs w:val="22"/>
          <w:vertAlign w:val="superscript"/>
        </w:rPr>
        <w:t>10</w:t>
      </w:r>
      <w:r w:rsidRPr="000C0D44">
        <w:rPr>
          <w:rFonts w:ascii="Arial" w:hAnsi="Arial" w:cs="Arial"/>
          <w:sz w:val="22"/>
          <w:szCs w:val="22"/>
        </w:rPr>
        <w:t>, Kerri A. Johannson</w:t>
      </w:r>
      <w:r w:rsidR="003C71EC">
        <w:rPr>
          <w:rFonts w:ascii="Arial" w:hAnsi="Arial" w:cs="Arial"/>
          <w:sz w:val="22"/>
          <w:szCs w:val="22"/>
          <w:vertAlign w:val="superscript"/>
        </w:rPr>
        <w:t>1</w:t>
      </w:r>
      <w:r w:rsidR="00C874BE">
        <w:rPr>
          <w:rFonts w:ascii="Arial" w:hAnsi="Arial" w:cs="Arial"/>
          <w:sz w:val="22"/>
          <w:szCs w:val="22"/>
          <w:vertAlign w:val="superscript"/>
        </w:rPr>
        <w:t>2</w:t>
      </w:r>
      <w:r w:rsidR="00731BD7">
        <w:rPr>
          <w:rFonts w:ascii="Arial" w:hAnsi="Arial" w:cs="Arial"/>
          <w:sz w:val="22"/>
          <w:szCs w:val="22"/>
          <w:vertAlign w:val="superscript"/>
        </w:rPr>
        <w:t>,1</w:t>
      </w:r>
      <w:r w:rsidR="00C874BE">
        <w:rPr>
          <w:rFonts w:ascii="Arial" w:hAnsi="Arial" w:cs="Arial"/>
          <w:sz w:val="22"/>
          <w:szCs w:val="22"/>
          <w:vertAlign w:val="superscript"/>
        </w:rPr>
        <w:t>3</w:t>
      </w:r>
    </w:p>
    <w:p w14:paraId="35D56298" w14:textId="56343463" w:rsidR="002C76DD" w:rsidRPr="000C0D44" w:rsidRDefault="002C76DD" w:rsidP="005737A4">
      <w:pPr>
        <w:rPr>
          <w:rFonts w:ascii="Arial" w:hAnsi="Arial" w:cs="Arial"/>
          <w:sz w:val="22"/>
          <w:szCs w:val="22"/>
        </w:rPr>
      </w:pPr>
    </w:p>
    <w:p w14:paraId="0E5405CD" w14:textId="71931A11" w:rsidR="002C76DD" w:rsidRPr="000C0D44" w:rsidRDefault="002C76DD" w:rsidP="005737A4">
      <w:pPr>
        <w:rPr>
          <w:rFonts w:ascii="Arial" w:hAnsi="Arial" w:cs="Arial"/>
          <w:sz w:val="22"/>
          <w:szCs w:val="22"/>
        </w:rPr>
      </w:pPr>
      <w:r w:rsidRPr="000C0D44">
        <w:rPr>
          <w:rFonts w:ascii="Arial" w:hAnsi="Arial" w:cs="Arial"/>
          <w:sz w:val="22"/>
          <w:szCs w:val="22"/>
        </w:rPr>
        <w:t xml:space="preserve">Affiliations: </w:t>
      </w:r>
    </w:p>
    <w:p w14:paraId="6EDE03CF" w14:textId="36CF59BB" w:rsidR="002C76DD" w:rsidRDefault="000C0D44" w:rsidP="005737A4">
      <w:pPr>
        <w:pStyle w:val="ListParagraph"/>
        <w:numPr>
          <w:ilvl w:val="0"/>
          <w:numId w:val="2"/>
        </w:numPr>
        <w:rPr>
          <w:rFonts w:ascii="Arial" w:hAnsi="Arial" w:cs="Arial"/>
          <w:sz w:val="22"/>
          <w:szCs w:val="22"/>
        </w:rPr>
      </w:pPr>
      <w:r>
        <w:rPr>
          <w:rFonts w:ascii="Arial" w:hAnsi="Arial" w:cs="Arial"/>
          <w:sz w:val="22"/>
          <w:szCs w:val="22"/>
        </w:rPr>
        <w:t>Department of Medicine, Section of Pulmonary &amp; Critical Care Medicine, University of Chicago, Chicago, IL</w:t>
      </w:r>
    </w:p>
    <w:p w14:paraId="0FA892A4" w14:textId="56602F1A" w:rsidR="000C0D44" w:rsidRDefault="000C0D44" w:rsidP="005737A4">
      <w:pPr>
        <w:pStyle w:val="ListParagraph"/>
        <w:numPr>
          <w:ilvl w:val="0"/>
          <w:numId w:val="2"/>
        </w:numPr>
        <w:rPr>
          <w:rFonts w:ascii="Arial" w:hAnsi="Arial" w:cs="Arial"/>
          <w:sz w:val="22"/>
          <w:szCs w:val="22"/>
        </w:rPr>
      </w:pPr>
      <w:r>
        <w:rPr>
          <w:rFonts w:ascii="Arial" w:hAnsi="Arial" w:cs="Arial"/>
          <w:sz w:val="22"/>
          <w:szCs w:val="22"/>
        </w:rPr>
        <w:t xml:space="preserve">Department of Medicine, </w:t>
      </w:r>
      <w:r w:rsidR="009C6954">
        <w:rPr>
          <w:rFonts w:ascii="Arial" w:hAnsi="Arial" w:cs="Arial"/>
          <w:sz w:val="22"/>
          <w:szCs w:val="22"/>
        </w:rPr>
        <w:t xml:space="preserve">Division of Occupational, Environmental, and Climate Medicine, </w:t>
      </w:r>
      <w:r>
        <w:rPr>
          <w:rFonts w:ascii="Arial" w:hAnsi="Arial" w:cs="Arial"/>
          <w:sz w:val="22"/>
          <w:szCs w:val="22"/>
        </w:rPr>
        <w:t>University of California, San Francisco, San Francisco, CA</w:t>
      </w:r>
    </w:p>
    <w:p w14:paraId="5F9A6D4D" w14:textId="3D8183C1" w:rsidR="000C0D44" w:rsidRDefault="000C0D44" w:rsidP="005737A4">
      <w:pPr>
        <w:pStyle w:val="ListParagraph"/>
        <w:numPr>
          <w:ilvl w:val="0"/>
          <w:numId w:val="2"/>
        </w:numPr>
        <w:rPr>
          <w:rFonts w:ascii="Arial" w:hAnsi="Arial" w:cs="Arial"/>
          <w:sz w:val="22"/>
          <w:szCs w:val="22"/>
        </w:rPr>
      </w:pPr>
      <w:r>
        <w:rPr>
          <w:rFonts w:ascii="Arial" w:hAnsi="Arial" w:cs="Arial"/>
          <w:sz w:val="22"/>
          <w:szCs w:val="22"/>
        </w:rPr>
        <w:t>Institute of Global Health and Human Ecology, American University in Cairo, Cairo, Egypt</w:t>
      </w:r>
    </w:p>
    <w:p w14:paraId="0E790E90" w14:textId="2EB4FF67" w:rsidR="00C874BE" w:rsidRPr="00C874BE" w:rsidRDefault="00C874BE" w:rsidP="00C874BE">
      <w:pPr>
        <w:pStyle w:val="ListParagraph"/>
        <w:numPr>
          <w:ilvl w:val="0"/>
          <w:numId w:val="2"/>
        </w:numPr>
        <w:rPr>
          <w:rFonts w:ascii="Arial" w:eastAsia="Times New Roman" w:hAnsi="Arial" w:cs="Arial"/>
          <w:color w:val="000000"/>
          <w:sz w:val="22"/>
          <w:szCs w:val="22"/>
          <w:lang w:val="en-US"/>
        </w:rPr>
      </w:pPr>
      <w:r w:rsidRPr="00C874BE">
        <w:rPr>
          <w:rFonts w:ascii="Arial" w:eastAsia="Times New Roman" w:hAnsi="Arial" w:cs="Arial"/>
          <w:color w:val="000000"/>
          <w:sz w:val="22"/>
          <w:szCs w:val="22"/>
          <w:lang w:val="en-US"/>
        </w:rPr>
        <w:t>Monash Centre for Occupational and Environmental Health, Monash University, Melbourne, Australia</w:t>
      </w:r>
    </w:p>
    <w:p w14:paraId="55305DB6" w14:textId="170A4EE4" w:rsidR="00C874BE" w:rsidRPr="00C874BE" w:rsidRDefault="00C874BE" w:rsidP="00C874BE">
      <w:pPr>
        <w:pStyle w:val="ListParagraph"/>
        <w:numPr>
          <w:ilvl w:val="0"/>
          <w:numId w:val="2"/>
        </w:numPr>
        <w:rPr>
          <w:rFonts w:ascii="Arial" w:eastAsia="Times New Roman" w:hAnsi="Arial" w:cs="Arial"/>
          <w:color w:val="000000"/>
          <w:sz w:val="22"/>
          <w:szCs w:val="22"/>
          <w:lang w:val="en-US"/>
        </w:rPr>
      </w:pPr>
      <w:r w:rsidRPr="00C874BE">
        <w:rPr>
          <w:rFonts w:ascii="Arial" w:eastAsia="Times New Roman" w:hAnsi="Arial" w:cs="Arial"/>
          <w:color w:val="000000"/>
          <w:sz w:val="22"/>
          <w:szCs w:val="22"/>
          <w:lang w:val="en-US"/>
        </w:rPr>
        <w:t>School of Translational Medicine, Monash University, Melbourne, Australia</w:t>
      </w:r>
    </w:p>
    <w:p w14:paraId="3B88002F" w14:textId="4F6C1A11" w:rsidR="00C874BE" w:rsidRPr="00C874BE" w:rsidRDefault="00C874BE" w:rsidP="00C874BE">
      <w:pPr>
        <w:pStyle w:val="ListParagraph"/>
        <w:numPr>
          <w:ilvl w:val="0"/>
          <w:numId w:val="2"/>
        </w:numPr>
        <w:rPr>
          <w:rFonts w:ascii="Arial" w:eastAsia="Times New Roman" w:hAnsi="Arial" w:cs="Arial"/>
          <w:color w:val="000000"/>
          <w:sz w:val="22"/>
          <w:szCs w:val="22"/>
          <w:lang w:val="en-US"/>
        </w:rPr>
      </w:pPr>
      <w:r w:rsidRPr="00C874BE">
        <w:rPr>
          <w:rFonts w:ascii="Arial" w:eastAsia="Times New Roman" w:hAnsi="Arial" w:cs="Arial"/>
          <w:color w:val="000000"/>
          <w:sz w:val="22"/>
          <w:szCs w:val="22"/>
          <w:lang w:val="en-US"/>
        </w:rPr>
        <w:t>Department of Respiratory Medicine, Alfred Health, Melbourne, Australia</w:t>
      </w:r>
    </w:p>
    <w:p w14:paraId="5FA46EB4" w14:textId="3D219142" w:rsidR="00A437D5" w:rsidRDefault="00A437D5" w:rsidP="005737A4">
      <w:pPr>
        <w:pStyle w:val="ListParagraph"/>
        <w:numPr>
          <w:ilvl w:val="0"/>
          <w:numId w:val="2"/>
        </w:numPr>
        <w:rPr>
          <w:rFonts w:ascii="Arial" w:hAnsi="Arial" w:cs="Arial"/>
          <w:sz w:val="22"/>
          <w:szCs w:val="22"/>
        </w:rPr>
      </w:pPr>
      <w:r>
        <w:rPr>
          <w:rFonts w:ascii="Arial" w:hAnsi="Arial" w:cs="Arial"/>
          <w:sz w:val="22"/>
          <w:szCs w:val="22"/>
        </w:rPr>
        <w:t>Department of Community Health Sciences, University of Calgary, Calgary, AB</w:t>
      </w:r>
    </w:p>
    <w:p w14:paraId="1B3FAB37" w14:textId="77777777" w:rsidR="00731BD7" w:rsidRPr="00A437D5" w:rsidRDefault="00731BD7" w:rsidP="005737A4">
      <w:pPr>
        <w:pStyle w:val="ListParagraph"/>
        <w:numPr>
          <w:ilvl w:val="0"/>
          <w:numId w:val="2"/>
        </w:numPr>
        <w:rPr>
          <w:rFonts w:ascii="Arial" w:hAnsi="Arial" w:cs="Arial"/>
          <w:sz w:val="22"/>
          <w:szCs w:val="22"/>
        </w:rPr>
      </w:pPr>
      <w:r>
        <w:rPr>
          <w:rFonts w:ascii="Arial" w:hAnsi="Arial" w:cs="Arial"/>
          <w:sz w:val="22"/>
          <w:szCs w:val="22"/>
        </w:rPr>
        <w:t>Health Sciences Library, University of Calgary, Calgary, AB</w:t>
      </w:r>
    </w:p>
    <w:p w14:paraId="373AED37" w14:textId="623762BA" w:rsidR="00A437D5" w:rsidRDefault="00A437D5" w:rsidP="005737A4">
      <w:pPr>
        <w:pStyle w:val="ListParagraph"/>
        <w:numPr>
          <w:ilvl w:val="0"/>
          <w:numId w:val="2"/>
        </w:numPr>
        <w:rPr>
          <w:rFonts w:ascii="Arial" w:hAnsi="Arial" w:cs="Arial"/>
          <w:sz w:val="22"/>
          <w:szCs w:val="22"/>
        </w:rPr>
      </w:pPr>
      <w:r>
        <w:rPr>
          <w:rFonts w:ascii="Arial" w:hAnsi="Arial" w:cs="Arial"/>
          <w:sz w:val="22"/>
          <w:szCs w:val="22"/>
        </w:rPr>
        <w:t>Department of Medicine, Division of Allergy, Pulmonary and Critical Care Medicine, Vanderbilt University, Nashville, TN</w:t>
      </w:r>
    </w:p>
    <w:p w14:paraId="01D35955" w14:textId="717F7486" w:rsidR="0005752F" w:rsidRDefault="0005752F" w:rsidP="005737A4">
      <w:pPr>
        <w:pStyle w:val="ListParagraph"/>
        <w:numPr>
          <w:ilvl w:val="0"/>
          <w:numId w:val="2"/>
        </w:numPr>
        <w:rPr>
          <w:rFonts w:ascii="Arial" w:hAnsi="Arial" w:cs="Arial"/>
          <w:sz w:val="22"/>
          <w:szCs w:val="22"/>
        </w:rPr>
      </w:pPr>
      <w:r>
        <w:rPr>
          <w:rFonts w:ascii="Arial" w:hAnsi="Arial" w:cs="Arial"/>
          <w:sz w:val="22"/>
          <w:szCs w:val="22"/>
        </w:rPr>
        <w:t>National Heart and Lung Institute, Imperial College of London, London, UK</w:t>
      </w:r>
    </w:p>
    <w:p w14:paraId="7AE40B24" w14:textId="404F556B" w:rsidR="00A437D5" w:rsidRDefault="00A437D5" w:rsidP="002350F8">
      <w:pPr>
        <w:pStyle w:val="ListParagraph"/>
        <w:numPr>
          <w:ilvl w:val="0"/>
          <w:numId w:val="2"/>
        </w:numPr>
        <w:rPr>
          <w:rFonts w:ascii="Arial" w:hAnsi="Arial" w:cs="Arial"/>
          <w:sz w:val="22"/>
          <w:szCs w:val="22"/>
        </w:rPr>
      </w:pPr>
      <w:r>
        <w:rPr>
          <w:rFonts w:ascii="Arial" w:hAnsi="Arial" w:cs="Arial"/>
          <w:sz w:val="22"/>
          <w:szCs w:val="22"/>
        </w:rPr>
        <w:t>Centre for Workplace Health, Sheffield, UK</w:t>
      </w:r>
    </w:p>
    <w:p w14:paraId="63B2AEB9" w14:textId="208FFD51" w:rsidR="00A437D5" w:rsidRDefault="00A437D5" w:rsidP="005737A4">
      <w:pPr>
        <w:pStyle w:val="ListParagraph"/>
        <w:numPr>
          <w:ilvl w:val="0"/>
          <w:numId w:val="2"/>
        </w:numPr>
        <w:rPr>
          <w:rFonts w:ascii="Arial" w:hAnsi="Arial" w:cs="Arial"/>
          <w:sz w:val="22"/>
          <w:szCs w:val="22"/>
        </w:rPr>
      </w:pPr>
      <w:r>
        <w:rPr>
          <w:rFonts w:ascii="Arial" w:hAnsi="Arial" w:cs="Arial"/>
          <w:sz w:val="22"/>
          <w:szCs w:val="22"/>
        </w:rPr>
        <w:t>Department of Medicine, University of Calgary, Calgary, AB</w:t>
      </w:r>
    </w:p>
    <w:p w14:paraId="778263D6" w14:textId="1E763BF5" w:rsidR="003C71EC" w:rsidRDefault="003C71EC" w:rsidP="005737A4">
      <w:pPr>
        <w:pStyle w:val="ListParagraph"/>
        <w:numPr>
          <w:ilvl w:val="0"/>
          <w:numId w:val="2"/>
        </w:numPr>
        <w:rPr>
          <w:rFonts w:ascii="Arial" w:hAnsi="Arial" w:cs="Arial"/>
          <w:sz w:val="22"/>
          <w:szCs w:val="22"/>
        </w:rPr>
      </w:pPr>
      <w:r>
        <w:rPr>
          <w:rFonts w:ascii="Arial" w:hAnsi="Arial" w:cs="Arial"/>
          <w:sz w:val="22"/>
          <w:szCs w:val="22"/>
        </w:rPr>
        <w:t>Snyder Institute for Chronic Diseases, University of Calgary, Calgary AB</w:t>
      </w:r>
    </w:p>
    <w:p w14:paraId="307E86EB" w14:textId="77777777" w:rsidR="004F356F" w:rsidRPr="000C0D44" w:rsidRDefault="004F356F" w:rsidP="005737A4">
      <w:pPr>
        <w:rPr>
          <w:rFonts w:ascii="Arial" w:hAnsi="Arial" w:cs="Arial"/>
          <w:sz w:val="22"/>
          <w:szCs w:val="22"/>
        </w:rPr>
      </w:pPr>
    </w:p>
    <w:p w14:paraId="2BCAABA2" w14:textId="241E1305" w:rsidR="002C76DD" w:rsidRPr="000C0D44" w:rsidRDefault="002C76DD" w:rsidP="005737A4">
      <w:pPr>
        <w:rPr>
          <w:rFonts w:ascii="Arial" w:hAnsi="Arial" w:cs="Arial"/>
          <w:sz w:val="22"/>
          <w:szCs w:val="22"/>
        </w:rPr>
      </w:pPr>
      <w:r w:rsidRPr="000C0D44">
        <w:rPr>
          <w:rFonts w:ascii="Arial" w:hAnsi="Arial" w:cs="Arial"/>
          <w:sz w:val="22"/>
          <w:szCs w:val="22"/>
        </w:rPr>
        <w:t xml:space="preserve">Corresponding Author: </w:t>
      </w:r>
    </w:p>
    <w:p w14:paraId="34AE70B8" w14:textId="77777777" w:rsidR="000C0D44" w:rsidRPr="000C0D44" w:rsidRDefault="000C0D44" w:rsidP="005737A4">
      <w:pPr>
        <w:rPr>
          <w:rFonts w:ascii="Arial" w:hAnsi="Arial" w:cs="Arial"/>
          <w:sz w:val="22"/>
          <w:szCs w:val="22"/>
        </w:rPr>
      </w:pPr>
      <w:r w:rsidRPr="000C0D44">
        <w:rPr>
          <w:rFonts w:ascii="Arial" w:hAnsi="Arial" w:cs="Arial"/>
          <w:sz w:val="22"/>
          <w:szCs w:val="22"/>
        </w:rPr>
        <w:t>Cathryn T. Lee, MD</w:t>
      </w:r>
    </w:p>
    <w:p w14:paraId="23272454" w14:textId="77777777" w:rsidR="000C0D44" w:rsidRPr="000C0D44" w:rsidRDefault="000C0D44" w:rsidP="005737A4">
      <w:pPr>
        <w:rPr>
          <w:rFonts w:ascii="Arial" w:hAnsi="Arial" w:cs="Arial"/>
          <w:sz w:val="22"/>
          <w:szCs w:val="22"/>
        </w:rPr>
      </w:pPr>
      <w:r w:rsidRPr="000C0D44">
        <w:rPr>
          <w:rFonts w:ascii="Arial" w:hAnsi="Arial" w:cs="Arial"/>
          <w:sz w:val="22"/>
          <w:szCs w:val="22"/>
        </w:rPr>
        <w:t>5841 S. Maryland Ave</w:t>
      </w:r>
    </w:p>
    <w:p w14:paraId="2FA96A0E" w14:textId="77777777" w:rsidR="000C0D44" w:rsidRPr="000C0D44" w:rsidRDefault="000C0D44" w:rsidP="005737A4">
      <w:pPr>
        <w:rPr>
          <w:rFonts w:ascii="Arial" w:hAnsi="Arial" w:cs="Arial"/>
          <w:sz w:val="22"/>
          <w:szCs w:val="22"/>
        </w:rPr>
      </w:pPr>
      <w:r w:rsidRPr="000C0D44">
        <w:rPr>
          <w:rFonts w:ascii="Arial" w:hAnsi="Arial" w:cs="Arial"/>
          <w:sz w:val="22"/>
          <w:szCs w:val="22"/>
        </w:rPr>
        <w:t>Chicago, IL 60637</w:t>
      </w:r>
    </w:p>
    <w:p w14:paraId="11567621" w14:textId="659ACA20" w:rsidR="000C0D44" w:rsidRPr="000C0D44" w:rsidRDefault="00BD1B30" w:rsidP="005737A4">
      <w:pPr>
        <w:rPr>
          <w:rFonts w:ascii="Arial" w:hAnsi="Arial" w:cs="Arial"/>
          <w:sz w:val="22"/>
          <w:szCs w:val="22"/>
        </w:rPr>
      </w:pPr>
      <w:r>
        <w:rPr>
          <w:rFonts w:ascii="Arial" w:hAnsi="Arial" w:cs="Arial"/>
          <w:sz w:val="22"/>
          <w:szCs w:val="22"/>
        </w:rPr>
        <w:t>cathryn.lee@bsd.uchicago.edu</w:t>
      </w:r>
    </w:p>
    <w:p w14:paraId="2E19DCB2" w14:textId="089B95DF" w:rsidR="002C76DD" w:rsidRDefault="002C76DD" w:rsidP="002B6C71">
      <w:pPr>
        <w:spacing w:line="480" w:lineRule="auto"/>
        <w:rPr>
          <w:rFonts w:ascii="Arial" w:hAnsi="Arial" w:cs="Arial"/>
          <w:sz w:val="22"/>
          <w:szCs w:val="22"/>
        </w:rPr>
      </w:pPr>
    </w:p>
    <w:p w14:paraId="53D134D9" w14:textId="5C47D479" w:rsidR="003710AA" w:rsidRDefault="00C91D3C" w:rsidP="003710AA">
      <w:pPr>
        <w:rPr>
          <w:rFonts w:ascii="Arial" w:hAnsi="Arial" w:cs="Arial"/>
          <w:sz w:val="22"/>
          <w:szCs w:val="22"/>
        </w:rPr>
      </w:pPr>
      <w:r>
        <w:rPr>
          <w:rFonts w:ascii="Arial" w:hAnsi="Arial" w:cs="Arial"/>
          <w:b/>
          <w:sz w:val="22"/>
          <w:szCs w:val="22"/>
        </w:rPr>
        <w:t>What is already known on this topic</w:t>
      </w:r>
      <w:r w:rsidR="003710AA">
        <w:rPr>
          <w:rFonts w:ascii="Arial" w:hAnsi="Arial" w:cs="Arial"/>
          <w:b/>
          <w:sz w:val="22"/>
          <w:szCs w:val="22"/>
        </w:rPr>
        <w:t xml:space="preserve">: </w:t>
      </w:r>
      <w:r w:rsidR="00B1454A">
        <w:rPr>
          <w:rFonts w:ascii="Arial" w:hAnsi="Arial" w:cs="Arial"/>
          <w:sz w:val="22"/>
          <w:szCs w:val="22"/>
        </w:rPr>
        <w:t>Some specific disease-exposure relationships, such as smoking and idiopathic pulmonary fibrosis, have been found, but the magnitude and extent of the effect of inhalational exposures on ILD incidence remains incompletely understood.</w:t>
      </w:r>
    </w:p>
    <w:p w14:paraId="58B71128" w14:textId="64062F5C" w:rsidR="00B53949" w:rsidRDefault="00B53949" w:rsidP="003710AA">
      <w:pPr>
        <w:rPr>
          <w:rFonts w:ascii="Arial" w:hAnsi="Arial" w:cs="Arial"/>
          <w:sz w:val="22"/>
          <w:szCs w:val="22"/>
        </w:rPr>
      </w:pPr>
    </w:p>
    <w:p w14:paraId="5C53C565" w14:textId="33C6BF95" w:rsidR="00B53949" w:rsidRDefault="00C91D3C" w:rsidP="003710AA">
      <w:pPr>
        <w:rPr>
          <w:rFonts w:ascii="Arial" w:hAnsi="Arial" w:cs="Arial"/>
          <w:sz w:val="22"/>
          <w:szCs w:val="22"/>
        </w:rPr>
      </w:pPr>
      <w:r>
        <w:rPr>
          <w:rFonts w:ascii="Arial" w:hAnsi="Arial" w:cs="Arial"/>
          <w:b/>
          <w:sz w:val="22"/>
          <w:szCs w:val="22"/>
        </w:rPr>
        <w:t>What this study adds:</w:t>
      </w:r>
      <w:r w:rsidR="00DB7CFB" w:rsidRPr="00DB7CFB">
        <w:rPr>
          <w:rFonts w:ascii="Arial" w:hAnsi="Arial" w:cs="Arial"/>
          <w:sz w:val="22"/>
          <w:szCs w:val="22"/>
        </w:rPr>
        <w:t xml:space="preserve"> </w:t>
      </w:r>
      <w:r w:rsidR="00B1454A">
        <w:rPr>
          <w:rFonts w:ascii="Arial" w:hAnsi="Arial" w:cs="Arial"/>
          <w:sz w:val="22"/>
          <w:szCs w:val="22"/>
        </w:rPr>
        <w:t xml:space="preserve">This systematic review and meta-analysis found that smoking, organic exposures, </w:t>
      </w:r>
      <w:r w:rsidR="00FB5B3B">
        <w:rPr>
          <w:rFonts w:ascii="Arial" w:hAnsi="Arial" w:cs="Arial"/>
          <w:sz w:val="22"/>
          <w:szCs w:val="22"/>
        </w:rPr>
        <w:t>metals, dust, and asbestos</w:t>
      </w:r>
      <w:r w:rsidR="00B1454A">
        <w:rPr>
          <w:rFonts w:ascii="Arial" w:hAnsi="Arial" w:cs="Arial"/>
          <w:sz w:val="22"/>
          <w:szCs w:val="22"/>
        </w:rPr>
        <w:t xml:space="preserve"> were all significantly associated with an increased odds of interstitial lung disease incidence.</w:t>
      </w:r>
    </w:p>
    <w:p w14:paraId="2BCA2D0B" w14:textId="479C0415" w:rsidR="00B1454A" w:rsidRDefault="00B1454A" w:rsidP="003710AA">
      <w:pPr>
        <w:rPr>
          <w:rFonts w:ascii="Arial" w:hAnsi="Arial" w:cs="Arial"/>
          <w:b/>
          <w:sz w:val="22"/>
          <w:szCs w:val="22"/>
        </w:rPr>
      </w:pPr>
    </w:p>
    <w:p w14:paraId="47557DCF" w14:textId="29A6D938" w:rsidR="00B1454A" w:rsidRPr="00B1454A" w:rsidRDefault="00B1454A" w:rsidP="003710AA">
      <w:pPr>
        <w:rPr>
          <w:rFonts w:ascii="Arial" w:hAnsi="Arial" w:cs="Arial"/>
          <w:b/>
          <w:sz w:val="22"/>
          <w:szCs w:val="22"/>
        </w:rPr>
      </w:pPr>
      <w:r>
        <w:rPr>
          <w:rFonts w:ascii="Arial" w:hAnsi="Arial" w:cs="Arial"/>
          <w:b/>
          <w:sz w:val="22"/>
          <w:szCs w:val="22"/>
        </w:rPr>
        <w:t>How this study might affect research, practice, or policy:</w:t>
      </w:r>
      <w:r w:rsidRPr="00B1454A">
        <w:rPr>
          <w:rFonts w:ascii="Arial" w:hAnsi="Arial" w:cs="Arial"/>
          <w:sz w:val="22"/>
          <w:szCs w:val="22"/>
        </w:rPr>
        <w:t xml:space="preserve"> </w:t>
      </w:r>
      <w:r w:rsidRPr="00E5158C">
        <w:rPr>
          <w:rFonts w:ascii="Arial" w:hAnsi="Arial" w:cs="Arial"/>
          <w:sz w:val="22"/>
          <w:szCs w:val="22"/>
        </w:rPr>
        <w:t xml:space="preserve">Future research should prioritize </w:t>
      </w:r>
      <w:r>
        <w:rPr>
          <w:rFonts w:ascii="Arial" w:hAnsi="Arial" w:cs="Arial"/>
          <w:sz w:val="22"/>
          <w:szCs w:val="22"/>
        </w:rPr>
        <w:t>the characterization of</w:t>
      </w:r>
      <w:r w:rsidRPr="00E5158C">
        <w:rPr>
          <w:rFonts w:ascii="Arial" w:hAnsi="Arial" w:cs="Arial"/>
          <w:sz w:val="22"/>
          <w:szCs w:val="22"/>
        </w:rPr>
        <w:t xml:space="preserve"> </w:t>
      </w:r>
      <w:r>
        <w:rPr>
          <w:rFonts w:ascii="Arial" w:hAnsi="Arial" w:cs="Arial"/>
          <w:sz w:val="22"/>
          <w:szCs w:val="22"/>
        </w:rPr>
        <w:t xml:space="preserve">specific </w:t>
      </w:r>
      <w:r w:rsidRPr="00E5158C">
        <w:rPr>
          <w:rFonts w:ascii="Arial" w:hAnsi="Arial" w:cs="Arial"/>
          <w:sz w:val="22"/>
          <w:szCs w:val="22"/>
        </w:rPr>
        <w:t>dust exposure</w:t>
      </w:r>
      <w:r>
        <w:rPr>
          <w:rFonts w:ascii="Arial" w:hAnsi="Arial" w:cs="Arial"/>
          <w:sz w:val="22"/>
          <w:szCs w:val="22"/>
        </w:rPr>
        <w:t>s</w:t>
      </w:r>
      <w:r w:rsidRPr="00E5158C">
        <w:rPr>
          <w:rFonts w:ascii="Arial" w:hAnsi="Arial" w:cs="Arial"/>
          <w:sz w:val="22"/>
          <w:szCs w:val="22"/>
        </w:rPr>
        <w:t xml:space="preserve"> in ILD, mitigation of known occupational exposures</w:t>
      </w:r>
      <w:r>
        <w:rPr>
          <w:rFonts w:ascii="Arial" w:hAnsi="Arial" w:cs="Arial"/>
          <w:sz w:val="22"/>
          <w:szCs w:val="22"/>
        </w:rPr>
        <w:t>,</w:t>
      </w:r>
      <w:r w:rsidRPr="00E5158C">
        <w:rPr>
          <w:rFonts w:ascii="Arial" w:hAnsi="Arial" w:cs="Arial"/>
          <w:sz w:val="22"/>
          <w:szCs w:val="22"/>
        </w:rPr>
        <w:t xml:space="preserve"> and understanding</w:t>
      </w:r>
      <w:r>
        <w:rPr>
          <w:rFonts w:ascii="Arial" w:hAnsi="Arial" w:cs="Arial"/>
          <w:sz w:val="22"/>
          <w:szCs w:val="22"/>
        </w:rPr>
        <w:t xml:space="preserve"> of</w:t>
      </w:r>
      <w:r w:rsidRPr="00E5158C">
        <w:rPr>
          <w:rFonts w:ascii="Arial" w:hAnsi="Arial" w:cs="Arial"/>
          <w:sz w:val="22"/>
          <w:szCs w:val="22"/>
        </w:rPr>
        <w:t xml:space="preserve"> the role of inhalational triggers in early or subclinical ILD</w:t>
      </w:r>
      <w:r>
        <w:rPr>
          <w:rFonts w:ascii="Arial" w:hAnsi="Arial" w:cs="Arial"/>
          <w:sz w:val="22"/>
          <w:szCs w:val="22"/>
        </w:rPr>
        <w:t>.</w:t>
      </w:r>
    </w:p>
    <w:p w14:paraId="5F2E55E0" w14:textId="367A4380" w:rsidR="005737A4" w:rsidRPr="00D865F1" w:rsidRDefault="005737A4" w:rsidP="005737A4">
      <w:pPr>
        <w:jc w:val="both"/>
        <w:rPr>
          <w:rFonts w:ascii="Arial" w:hAnsi="Arial" w:cs="Arial"/>
          <w:b/>
          <w:bCs/>
          <w:sz w:val="22"/>
          <w:szCs w:val="22"/>
        </w:rPr>
      </w:pPr>
    </w:p>
    <w:p w14:paraId="0FA162EC" w14:textId="77777777" w:rsidR="005737A4" w:rsidRPr="000C0D44" w:rsidRDefault="005737A4" w:rsidP="005737A4">
      <w:pPr>
        <w:rPr>
          <w:rFonts w:ascii="Arial" w:hAnsi="Arial" w:cs="Arial"/>
          <w:sz w:val="22"/>
          <w:szCs w:val="22"/>
        </w:rPr>
      </w:pPr>
    </w:p>
    <w:p w14:paraId="074DC646" w14:textId="77777777" w:rsidR="005737A4" w:rsidRPr="000C0D44" w:rsidRDefault="005737A4" w:rsidP="005737A4">
      <w:pPr>
        <w:rPr>
          <w:rFonts w:ascii="Arial" w:hAnsi="Arial" w:cs="Arial"/>
          <w:sz w:val="22"/>
          <w:szCs w:val="22"/>
        </w:rPr>
      </w:pPr>
    </w:p>
    <w:p w14:paraId="4DBC220D" w14:textId="50C79652" w:rsidR="005737A4" w:rsidRPr="000C0D44" w:rsidRDefault="005737A4" w:rsidP="005737A4">
      <w:pPr>
        <w:rPr>
          <w:rFonts w:ascii="Arial" w:hAnsi="Arial" w:cs="Arial"/>
          <w:sz w:val="22"/>
          <w:szCs w:val="22"/>
        </w:rPr>
      </w:pPr>
      <w:r>
        <w:rPr>
          <w:rFonts w:ascii="Arial" w:hAnsi="Arial" w:cs="Arial"/>
          <w:sz w:val="22"/>
          <w:szCs w:val="22"/>
        </w:rPr>
        <w:t xml:space="preserve">Word Count: </w:t>
      </w:r>
      <w:r w:rsidR="00C1526C">
        <w:rPr>
          <w:rFonts w:ascii="Arial" w:hAnsi="Arial" w:cs="Arial"/>
          <w:sz w:val="22"/>
          <w:szCs w:val="22"/>
        </w:rPr>
        <w:t>34</w:t>
      </w:r>
      <w:r w:rsidR="00606C2F">
        <w:rPr>
          <w:rFonts w:ascii="Arial" w:hAnsi="Arial" w:cs="Arial"/>
          <w:sz w:val="22"/>
          <w:szCs w:val="22"/>
        </w:rPr>
        <w:t>8</w:t>
      </w:r>
      <w:r w:rsidR="00B7138B">
        <w:rPr>
          <w:rFonts w:ascii="Arial" w:hAnsi="Arial" w:cs="Arial"/>
          <w:sz w:val="22"/>
          <w:szCs w:val="22"/>
        </w:rPr>
        <w:t>3</w:t>
      </w:r>
    </w:p>
    <w:p w14:paraId="1B9855DB" w14:textId="3E2279E4" w:rsidR="002C76DD" w:rsidRPr="000C0D44" w:rsidRDefault="002C76DD" w:rsidP="002B6C71">
      <w:pPr>
        <w:spacing w:line="480" w:lineRule="auto"/>
        <w:rPr>
          <w:rFonts w:ascii="Arial" w:hAnsi="Arial" w:cs="Arial"/>
          <w:sz w:val="22"/>
          <w:szCs w:val="22"/>
        </w:rPr>
      </w:pPr>
    </w:p>
    <w:p w14:paraId="4BAAF6AB" w14:textId="5D6A7FE8" w:rsidR="002C76DD" w:rsidRDefault="002C76DD" w:rsidP="002B6C71">
      <w:pPr>
        <w:spacing w:line="480" w:lineRule="auto"/>
        <w:rPr>
          <w:rFonts w:ascii="Arial" w:hAnsi="Arial" w:cs="Arial"/>
          <w:sz w:val="22"/>
          <w:szCs w:val="22"/>
        </w:rPr>
      </w:pPr>
    </w:p>
    <w:p w14:paraId="59B9BCA0" w14:textId="45861BB1" w:rsidR="00AE0D4B" w:rsidRDefault="00AE0D4B" w:rsidP="002B6C71">
      <w:pPr>
        <w:spacing w:line="480" w:lineRule="auto"/>
        <w:rPr>
          <w:rFonts w:ascii="Arial" w:hAnsi="Arial" w:cs="Arial"/>
          <w:sz w:val="22"/>
          <w:szCs w:val="22"/>
        </w:rPr>
      </w:pPr>
    </w:p>
    <w:p w14:paraId="44E13FC6" w14:textId="10586D0B" w:rsidR="00AE0D4B" w:rsidRDefault="00AE0D4B" w:rsidP="002B6C71">
      <w:pPr>
        <w:spacing w:line="480" w:lineRule="auto"/>
        <w:rPr>
          <w:rFonts w:ascii="Arial" w:hAnsi="Arial" w:cs="Arial"/>
          <w:sz w:val="22"/>
          <w:szCs w:val="22"/>
        </w:rPr>
      </w:pPr>
    </w:p>
    <w:p w14:paraId="2B5BF7DE" w14:textId="77777777" w:rsidR="00AE0D4B" w:rsidRPr="000C0D44" w:rsidRDefault="00AE0D4B" w:rsidP="002B6C71">
      <w:pPr>
        <w:spacing w:line="480" w:lineRule="auto"/>
        <w:rPr>
          <w:rFonts w:ascii="Arial" w:hAnsi="Arial" w:cs="Arial"/>
          <w:sz w:val="22"/>
          <w:szCs w:val="22"/>
        </w:rPr>
      </w:pPr>
    </w:p>
    <w:p w14:paraId="3D852BA0" w14:textId="0ECFA610" w:rsidR="00152BFC" w:rsidRPr="00152BFC" w:rsidRDefault="00474EE8" w:rsidP="00EF3DBC">
      <w:pPr>
        <w:spacing w:line="480" w:lineRule="auto"/>
        <w:rPr>
          <w:rFonts w:ascii="Arial" w:hAnsi="Arial" w:cs="Arial"/>
          <w:b/>
          <w:sz w:val="22"/>
          <w:szCs w:val="22"/>
        </w:rPr>
      </w:pPr>
      <w:r>
        <w:rPr>
          <w:rFonts w:ascii="Arial" w:hAnsi="Arial" w:cs="Arial"/>
          <w:b/>
          <w:sz w:val="22"/>
          <w:szCs w:val="22"/>
        </w:rPr>
        <w:lastRenderedPageBreak/>
        <w:t>Rationale</w:t>
      </w:r>
    </w:p>
    <w:p w14:paraId="111C52C7" w14:textId="1A962EAB" w:rsidR="00152BFC" w:rsidRDefault="00AA3C8F" w:rsidP="00EF3DBC">
      <w:pPr>
        <w:spacing w:line="480" w:lineRule="auto"/>
        <w:rPr>
          <w:rFonts w:ascii="Arial" w:hAnsi="Arial" w:cs="Arial"/>
          <w:sz w:val="22"/>
          <w:szCs w:val="22"/>
        </w:rPr>
      </w:pPr>
      <w:r>
        <w:rPr>
          <w:rFonts w:ascii="Arial" w:hAnsi="Arial" w:cs="Arial"/>
          <w:sz w:val="22"/>
          <w:szCs w:val="22"/>
        </w:rPr>
        <w:t xml:space="preserve">Inhalational exposures are associated with risk of developing interstitial lung disease (ILD), yet the relationship between </w:t>
      </w:r>
      <w:r w:rsidR="00602D94">
        <w:rPr>
          <w:rFonts w:ascii="Arial" w:hAnsi="Arial" w:cs="Arial"/>
          <w:sz w:val="22"/>
          <w:szCs w:val="22"/>
        </w:rPr>
        <w:t>specific</w:t>
      </w:r>
      <w:r>
        <w:rPr>
          <w:rFonts w:ascii="Arial" w:hAnsi="Arial" w:cs="Arial"/>
          <w:sz w:val="22"/>
          <w:szCs w:val="22"/>
        </w:rPr>
        <w:t xml:space="preserve"> exp</w:t>
      </w:r>
      <w:r w:rsidR="009C1817">
        <w:rPr>
          <w:rFonts w:ascii="Arial" w:hAnsi="Arial" w:cs="Arial"/>
          <w:sz w:val="22"/>
          <w:szCs w:val="22"/>
        </w:rPr>
        <w:t>o</w:t>
      </w:r>
      <w:r>
        <w:rPr>
          <w:rFonts w:ascii="Arial" w:hAnsi="Arial" w:cs="Arial"/>
          <w:sz w:val="22"/>
          <w:szCs w:val="22"/>
        </w:rPr>
        <w:t xml:space="preserve">sures and </w:t>
      </w:r>
      <w:r w:rsidR="00602D94">
        <w:rPr>
          <w:rFonts w:ascii="Arial" w:hAnsi="Arial" w:cs="Arial"/>
          <w:sz w:val="22"/>
          <w:szCs w:val="22"/>
        </w:rPr>
        <w:t>ILD</w:t>
      </w:r>
      <w:r>
        <w:rPr>
          <w:rFonts w:ascii="Arial" w:hAnsi="Arial" w:cs="Arial"/>
          <w:sz w:val="22"/>
          <w:szCs w:val="22"/>
        </w:rPr>
        <w:t xml:space="preserve"> is poorly characterized. </w:t>
      </w:r>
    </w:p>
    <w:p w14:paraId="1B18B0BC" w14:textId="77777777" w:rsidR="00474EE8" w:rsidRPr="001D67FA" w:rsidRDefault="00474EE8" w:rsidP="00EF3DBC">
      <w:pPr>
        <w:spacing w:line="480" w:lineRule="auto"/>
        <w:rPr>
          <w:rFonts w:ascii="Arial" w:hAnsi="Arial" w:cs="Arial"/>
          <w:b/>
          <w:sz w:val="22"/>
          <w:szCs w:val="22"/>
        </w:rPr>
      </w:pPr>
      <w:r>
        <w:rPr>
          <w:rFonts w:ascii="Arial" w:hAnsi="Arial" w:cs="Arial"/>
          <w:b/>
          <w:sz w:val="22"/>
          <w:szCs w:val="22"/>
        </w:rPr>
        <w:t>Objective</w:t>
      </w:r>
    </w:p>
    <w:p w14:paraId="0FA9AA45" w14:textId="45E40DCB" w:rsidR="00474EE8" w:rsidRPr="00474EE8" w:rsidRDefault="00474EE8" w:rsidP="00EF3DBC">
      <w:pPr>
        <w:spacing w:line="480" w:lineRule="auto"/>
        <w:rPr>
          <w:rFonts w:ascii="Arial" w:hAnsi="Arial" w:cs="Arial"/>
          <w:sz w:val="22"/>
          <w:szCs w:val="22"/>
        </w:rPr>
      </w:pPr>
      <w:r>
        <w:rPr>
          <w:rFonts w:ascii="Arial" w:hAnsi="Arial" w:cs="Arial"/>
          <w:sz w:val="22"/>
          <w:szCs w:val="22"/>
        </w:rPr>
        <w:t xml:space="preserve">Identify inhalational exposures associated with ILD and estimate the effects </w:t>
      </w:r>
      <w:r w:rsidRPr="00152BFC">
        <w:rPr>
          <w:rFonts w:ascii="Arial" w:hAnsi="Arial" w:cs="Arial"/>
          <w:sz w:val="22"/>
          <w:szCs w:val="22"/>
        </w:rPr>
        <w:t xml:space="preserve">of </w:t>
      </w:r>
      <w:r>
        <w:rPr>
          <w:rFonts w:ascii="Arial" w:hAnsi="Arial" w:cs="Arial"/>
          <w:sz w:val="22"/>
          <w:szCs w:val="22"/>
        </w:rPr>
        <w:t>exposures</w:t>
      </w:r>
      <w:r w:rsidRPr="00152BFC">
        <w:rPr>
          <w:rFonts w:ascii="Arial" w:hAnsi="Arial" w:cs="Arial"/>
          <w:sz w:val="22"/>
          <w:szCs w:val="22"/>
        </w:rPr>
        <w:t xml:space="preserve"> on </w:t>
      </w:r>
      <w:r>
        <w:rPr>
          <w:rFonts w:ascii="Arial" w:hAnsi="Arial" w:cs="Arial"/>
          <w:sz w:val="22"/>
          <w:szCs w:val="22"/>
        </w:rPr>
        <w:t xml:space="preserve">ILD </w:t>
      </w:r>
      <w:r w:rsidRPr="00152BFC">
        <w:rPr>
          <w:rFonts w:ascii="Arial" w:hAnsi="Arial" w:cs="Arial"/>
          <w:sz w:val="22"/>
          <w:szCs w:val="22"/>
        </w:rPr>
        <w:t>risk</w:t>
      </w:r>
      <w:r>
        <w:rPr>
          <w:rFonts w:ascii="Arial" w:hAnsi="Arial" w:cs="Arial"/>
          <w:sz w:val="22"/>
          <w:szCs w:val="22"/>
        </w:rPr>
        <w:t>.</w:t>
      </w:r>
    </w:p>
    <w:p w14:paraId="4D7A7D40" w14:textId="692918E3" w:rsidR="00152BFC" w:rsidRPr="00152BFC" w:rsidRDefault="00152BFC" w:rsidP="00EF3DBC">
      <w:pPr>
        <w:spacing w:line="480" w:lineRule="auto"/>
        <w:rPr>
          <w:rFonts w:ascii="Arial" w:hAnsi="Arial" w:cs="Arial"/>
          <w:b/>
          <w:sz w:val="22"/>
          <w:szCs w:val="22"/>
        </w:rPr>
      </w:pPr>
      <w:r w:rsidRPr="00152BFC">
        <w:rPr>
          <w:rFonts w:ascii="Arial" w:hAnsi="Arial" w:cs="Arial"/>
          <w:b/>
          <w:sz w:val="22"/>
          <w:szCs w:val="22"/>
        </w:rPr>
        <w:t>Methods</w:t>
      </w:r>
    </w:p>
    <w:p w14:paraId="33B62F60" w14:textId="0E947B5C" w:rsidR="00152BFC" w:rsidRPr="00152BFC" w:rsidRDefault="00152BFC" w:rsidP="00EF3DBC">
      <w:pPr>
        <w:spacing w:line="480" w:lineRule="auto"/>
        <w:rPr>
          <w:rFonts w:ascii="Arial" w:hAnsi="Arial" w:cs="Arial"/>
          <w:b/>
          <w:sz w:val="22"/>
          <w:szCs w:val="22"/>
        </w:rPr>
      </w:pPr>
      <w:r w:rsidRPr="00152BFC">
        <w:rPr>
          <w:rFonts w:ascii="Arial" w:hAnsi="Arial" w:cs="Arial"/>
          <w:sz w:val="22"/>
          <w:szCs w:val="22"/>
        </w:rPr>
        <w:t>MEDLINE</w:t>
      </w:r>
      <w:r w:rsidR="00AA3C8F">
        <w:rPr>
          <w:rFonts w:ascii="Arial" w:hAnsi="Arial" w:cs="Arial"/>
          <w:sz w:val="22"/>
          <w:szCs w:val="22"/>
        </w:rPr>
        <w:t xml:space="preserve"> and</w:t>
      </w:r>
      <w:r w:rsidRPr="00152BFC">
        <w:rPr>
          <w:rFonts w:ascii="Arial" w:hAnsi="Arial" w:cs="Arial"/>
          <w:sz w:val="22"/>
          <w:szCs w:val="22"/>
        </w:rPr>
        <w:t xml:space="preserve"> EMBASE databases were searched </w:t>
      </w:r>
      <w:r w:rsidRPr="00CB6755">
        <w:rPr>
          <w:rFonts w:ascii="Arial" w:hAnsi="Arial" w:cs="Arial"/>
          <w:sz w:val="22"/>
          <w:szCs w:val="22"/>
        </w:rPr>
        <w:t>from 1990</w:t>
      </w:r>
      <w:r w:rsidRPr="00152BFC">
        <w:rPr>
          <w:rFonts w:ascii="Arial" w:hAnsi="Arial" w:cs="Arial"/>
          <w:sz w:val="22"/>
          <w:szCs w:val="22"/>
        </w:rPr>
        <w:t xml:space="preserve"> until 2022</w:t>
      </w:r>
      <w:r w:rsidR="00AA3C8F">
        <w:rPr>
          <w:rFonts w:ascii="Arial" w:hAnsi="Arial" w:cs="Arial"/>
          <w:sz w:val="22"/>
          <w:szCs w:val="22"/>
        </w:rPr>
        <w:t xml:space="preserve"> to identify inhalational exp</w:t>
      </w:r>
      <w:r w:rsidR="001F1EED">
        <w:rPr>
          <w:rFonts w:ascii="Arial" w:hAnsi="Arial" w:cs="Arial"/>
          <w:sz w:val="22"/>
          <w:szCs w:val="22"/>
        </w:rPr>
        <w:t>osu</w:t>
      </w:r>
      <w:r w:rsidR="00AA3C8F">
        <w:rPr>
          <w:rFonts w:ascii="Arial" w:hAnsi="Arial" w:cs="Arial"/>
          <w:sz w:val="22"/>
          <w:szCs w:val="22"/>
        </w:rPr>
        <w:t>res associated with ILD diagnosis</w:t>
      </w:r>
      <w:r w:rsidR="00EC2CF9">
        <w:rPr>
          <w:rFonts w:ascii="Arial" w:hAnsi="Arial" w:cs="Arial"/>
          <w:sz w:val="22"/>
          <w:szCs w:val="22"/>
        </w:rPr>
        <w:t>.</w:t>
      </w:r>
      <w:r>
        <w:rPr>
          <w:rFonts w:ascii="Arial" w:hAnsi="Arial" w:cs="Arial"/>
          <w:sz w:val="22"/>
          <w:szCs w:val="22"/>
        </w:rPr>
        <w:t xml:space="preserve"> </w:t>
      </w:r>
      <w:r w:rsidR="00AA3C8F">
        <w:rPr>
          <w:rFonts w:ascii="Arial" w:hAnsi="Arial" w:cs="Arial"/>
          <w:sz w:val="22"/>
          <w:szCs w:val="22"/>
        </w:rPr>
        <w:t>ILDs where causality is well-established</w:t>
      </w:r>
      <w:r w:rsidR="00241736">
        <w:rPr>
          <w:rFonts w:ascii="Arial" w:hAnsi="Arial" w:cs="Arial"/>
          <w:sz w:val="22"/>
          <w:szCs w:val="22"/>
        </w:rPr>
        <w:t xml:space="preserve"> (hypersensitivity pneumonitis, pneumoconiosis) and sarcoidosis were excluded</w:t>
      </w:r>
      <w:r w:rsidR="00C90923">
        <w:rPr>
          <w:rFonts w:ascii="Arial" w:hAnsi="Arial" w:cs="Arial"/>
          <w:sz w:val="22"/>
          <w:szCs w:val="22"/>
        </w:rPr>
        <w:t xml:space="preserve">. </w:t>
      </w:r>
      <w:r w:rsidR="00785C30">
        <w:rPr>
          <w:rFonts w:ascii="Arial" w:hAnsi="Arial" w:cs="Arial"/>
          <w:sz w:val="22"/>
          <w:szCs w:val="22"/>
        </w:rPr>
        <w:t>Two</w:t>
      </w:r>
      <w:r w:rsidRPr="00152BFC">
        <w:rPr>
          <w:rFonts w:ascii="Arial" w:hAnsi="Arial" w:cs="Arial"/>
          <w:sz w:val="22"/>
          <w:szCs w:val="22"/>
        </w:rPr>
        <w:t xml:space="preserve"> independent reviewers</w:t>
      </w:r>
      <w:r w:rsidR="00785C30">
        <w:rPr>
          <w:rFonts w:ascii="Arial" w:hAnsi="Arial" w:cs="Arial"/>
          <w:sz w:val="22"/>
          <w:szCs w:val="22"/>
        </w:rPr>
        <w:t xml:space="preserve"> screened abstracts</w:t>
      </w:r>
      <w:r w:rsidRPr="00152BFC">
        <w:rPr>
          <w:rFonts w:ascii="Arial" w:hAnsi="Arial" w:cs="Arial"/>
          <w:sz w:val="22"/>
          <w:szCs w:val="22"/>
        </w:rPr>
        <w:t xml:space="preserve"> with full-text review </w:t>
      </w:r>
      <w:r w:rsidR="00AA3C8F">
        <w:rPr>
          <w:rFonts w:ascii="Arial" w:hAnsi="Arial" w:cs="Arial"/>
          <w:sz w:val="22"/>
          <w:szCs w:val="22"/>
        </w:rPr>
        <w:t xml:space="preserve">and data extraction </w:t>
      </w:r>
      <w:r w:rsidRPr="00152BFC">
        <w:rPr>
          <w:rFonts w:ascii="Arial" w:hAnsi="Arial" w:cs="Arial"/>
          <w:sz w:val="22"/>
          <w:szCs w:val="22"/>
        </w:rPr>
        <w:t>of eligible studies</w:t>
      </w:r>
      <w:r w:rsidR="00731BD7">
        <w:rPr>
          <w:rFonts w:ascii="Arial" w:hAnsi="Arial" w:cs="Arial"/>
          <w:sz w:val="22"/>
          <w:szCs w:val="22"/>
        </w:rPr>
        <w:t>.</w:t>
      </w:r>
      <w:r w:rsidRPr="00152BFC">
        <w:rPr>
          <w:rFonts w:ascii="Arial" w:hAnsi="Arial" w:cs="Arial"/>
          <w:sz w:val="22"/>
          <w:szCs w:val="22"/>
        </w:rPr>
        <w:t xml:space="preserve"> </w:t>
      </w:r>
      <w:r w:rsidR="00AA3C8F">
        <w:rPr>
          <w:rFonts w:ascii="Arial" w:hAnsi="Arial" w:cs="Arial"/>
          <w:sz w:val="22"/>
          <w:szCs w:val="22"/>
        </w:rPr>
        <w:t>Where possible, d</w:t>
      </w:r>
      <w:r w:rsidRPr="00152BFC">
        <w:rPr>
          <w:rFonts w:ascii="Arial" w:hAnsi="Arial" w:cs="Arial"/>
          <w:sz w:val="22"/>
          <w:szCs w:val="22"/>
        </w:rPr>
        <w:t xml:space="preserve">ata were pooled </w:t>
      </w:r>
      <w:r w:rsidR="00EC2CF9">
        <w:rPr>
          <w:rFonts w:ascii="Arial" w:hAnsi="Arial" w:cs="Arial"/>
          <w:sz w:val="22"/>
          <w:szCs w:val="22"/>
        </w:rPr>
        <w:t xml:space="preserve">and </w:t>
      </w:r>
      <w:r w:rsidR="00286493">
        <w:rPr>
          <w:rFonts w:ascii="Arial" w:hAnsi="Arial" w:cs="Arial"/>
          <w:sz w:val="22"/>
          <w:szCs w:val="22"/>
        </w:rPr>
        <w:t>multi-level meta-analysis was specified</w:t>
      </w:r>
      <w:r w:rsidR="00EC2CF9">
        <w:rPr>
          <w:rFonts w:ascii="Arial" w:hAnsi="Arial" w:cs="Arial"/>
          <w:sz w:val="22"/>
          <w:szCs w:val="22"/>
        </w:rPr>
        <w:t xml:space="preserve"> </w:t>
      </w:r>
      <w:r w:rsidRPr="00152BFC">
        <w:rPr>
          <w:rFonts w:ascii="Arial" w:hAnsi="Arial" w:cs="Arial"/>
          <w:sz w:val="22"/>
          <w:szCs w:val="22"/>
        </w:rPr>
        <w:t>using a random effect</w:t>
      </w:r>
      <w:r w:rsidR="00AA3C8F">
        <w:rPr>
          <w:rFonts w:ascii="Arial" w:hAnsi="Arial" w:cs="Arial"/>
          <w:sz w:val="22"/>
          <w:szCs w:val="22"/>
        </w:rPr>
        <w:t>s</w:t>
      </w:r>
      <w:r w:rsidRPr="00152BFC">
        <w:rPr>
          <w:rFonts w:ascii="Arial" w:hAnsi="Arial" w:cs="Arial"/>
          <w:sz w:val="22"/>
          <w:szCs w:val="22"/>
        </w:rPr>
        <w:t xml:space="preserve"> </w:t>
      </w:r>
      <w:r w:rsidR="008456B1">
        <w:rPr>
          <w:rFonts w:ascii="Arial" w:hAnsi="Arial" w:cs="Arial"/>
          <w:sz w:val="22"/>
          <w:szCs w:val="22"/>
        </w:rPr>
        <w:t>model</w:t>
      </w:r>
      <w:r w:rsidR="00241736">
        <w:rPr>
          <w:rFonts w:ascii="Arial" w:hAnsi="Arial" w:cs="Arial"/>
          <w:sz w:val="22"/>
          <w:szCs w:val="22"/>
        </w:rPr>
        <w:t>. S</w:t>
      </w:r>
      <w:r w:rsidR="00731BD7">
        <w:rPr>
          <w:rFonts w:ascii="Arial" w:hAnsi="Arial" w:cs="Arial"/>
          <w:sz w:val="22"/>
          <w:szCs w:val="22"/>
        </w:rPr>
        <w:t>ources of heterogeneity and risk of bias were assessed</w:t>
      </w:r>
      <w:r w:rsidR="00731BD7" w:rsidRPr="00152BFC">
        <w:rPr>
          <w:rFonts w:ascii="Arial" w:hAnsi="Arial" w:cs="Arial"/>
          <w:sz w:val="22"/>
          <w:szCs w:val="22"/>
        </w:rPr>
        <w:t xml:space="preserve">. </w:t>
      </w:r>
    </w:p>
    <w:p w14:paraId="29236321" w14:textId="207A032E" w:rsidR="00152BFC" w:rsidRPr="00152BFC" w:rsidRDefault="00A81141" w:rsidP="00EF3DBC">
      <w:pPr>
        <w:spacing w:line="480" w:lineRule="auto"/>
        <w:rPr>
          <w:rFonts w:ascii="Arial" w:hAnsi="Arial" w:cs="Arial"/>
          <w:b/>
          <w:sz w:val="22"/>
          <w:szCs w:val="22"/>
        </w:rPr>
      </w:pPr>
      <w:r>
        <w:rPr>
          <w:rFonts w:ascii="Arial" w:hAnsi="Arial" w:cs="Arial"/>
          <w:b/>
          <w:sz w:val="22"/>
          <w:szCs w:val="22"/>
        </w:rPr>
        <w:t xml:space="preserve">Main </w:t>
      </w:r>
      <w:r w:rsidR="00152BFC" w:rsidRPr="00152BFC">
        <w:rPr>
          <w:rFonts w:ascii="Arial" w:hAnsi="Arial" w:cs="Arial"/>
          <w:b/>
          <w:sz w:val="22"/>
          <w:szCs w:val="22"/>
        </w:rPr>
        <w:t>Results</w:t>
      </w:r>
    </w:p>
    <w:p w14:paraId="1FCC428F" w14:textId="0DECA1E5" w:rsidR="00152BFC" w:rsidRDefault="0015796D" w:rsidP="00EF3DBC">
      <w:pPr>
        <w:spacing w:line="480" w:lineRule="auto"/>
        <w:rPr>
          <w:rFonts w:ascii="Arial" w:hAnsi="Arial" w:cs="Arial"/>
          <w:b/>
          <w:sz w:val="22"/>
          <w:szCs w:val="22"/>
        </w:rPr>
      </w:pPr>
      <w:r>
        <w:rPr>
          <w:rFonts w:ascii="Arial" w:hAnsi="Arial" w:cs="Arial"/>
          <w:sz w:val="22"/>
          <w:szCs w:val="22"/>
        </w:rPr>
        <w:t>Ninety-six</w:t>
      </w:r>
      <w:r w:rsidR="008E3131">
        <w:rPr>
          <w:rFonts w:ascii="Arial" w:hAnsi="Arial" w:cs="Arial"/>
          <w:sz w:val="22"/>
          <w:szCs w:val="22"/>
        </w:rPr>
        <w:t xml:space="preserve"> </w:t>
      </w:r>
      <w:r w:rsidR="008E3131" w:rsidRPr="00E5158C">
        <w:rPr>
          <w:rFonts w:ascii="Arial" w:hAnsi="Arial" w:cs="Arial"/>
          <w:sz w:val="22"/>
          <w:szCs w:val="22"/>
        </w:rPr>
        <w:t>studies were included</w:t>
      </w:r>
      <w:r w:rsidR="0005752F">
        <w:rPr>
          <w:rFonts w:ascii="Arial" w:hAnsi="Arial" w:cs="Arial"/>
          <w:sz w:val="22"/>
          <w:szCs w:val="22"/>
        </w:rPr>
        <w:t xml:space="preserve"> in the systematic review</w:t>
      </w:r>
      <w:r w:rsidR="008E3131" w:rsidRPr="00E5158C">
        <w:rPr>
          <w:rFonts w:ascii="Arial" w:hAnsi="Arial" w:cs="Arial"/>
          <w:sz w:val="22"/>
          <w:szCs w:val="22"/>
        </w:rPr>
        <w:t xml:space="preserve">, representing </w:t>
      </w:r>
      <w:r w:rsidR="0036749E">
        <w:rPr>
          <w:rFonts w:ascii="Arial" w:hAnsi="Arial" w:cs="Arial"/>
          <w:sz w:val="22"/>
          <w:szCs w:val="22"/>
        </w:rPr>
        <w:t>40</w:t>
      </w:r>
      <w:r w:rsidR="008E3131">
        <w:rPr>
          <w:rFonts w:ascii="Arial" w:hAnsi="Arial" w:cs="Arial"/>
          <w:sz w:val="22"/>
          <w:szCs w:val="22"/>
        </w:rPr>
        <w:t>,</w:t>
      </w:r>
      <w:r w:rsidR="0036749E">
        <w:rPr>
          <w:rFonts w:ascii="Arial" w:hAnsi="Arial" w:cs="Arial"/>
          <w:sz w:val="22"/>
          <w:szCs w:val="22"/>
        </w:rPr>
        <w:t>819</w:t>
      </w:r>
      <w:r w:rsidR="008E3131">
        <w:rPr>
          <w:rFonts w:ascii="Arial" w:hAnsi="Arial" w:cs="Arial"/>
          <w:sz w:val="22"/>
          <w:szCs w:val="22"/>
        </w:rPr>
        <w:t>,</w:t>
      </w:r>
      <w:r w:rsidR="0036749E">
        <w:rPr>
          <w:rFonts w:ascii="Arial" w:hAnsi="Arial" w:cs="Arial"/>
          <w:sz w:val="22"/>
          <w:szCs w:val="22"/>
        </w:rPr>
        <w:t>116</w:t>
      </w:r>
      <w:r w:rsidR="008E3131" w:rsidRPr="00E5158C">
        <w:rPr>
          <w:rFonts w:ascii="Arial" w:hAnsi="Arial" w:cs="Arial"/>
          <w:sz w:val="22"/>
          <w:szCs w:val="22"/>
        </w:rPr>
        <w:t xml:space="preserve"> </w:t>
      </w:r>
      <w:r w:rsidR="008E3131">
        <w:rPr>
          <w:rFonts w:ascii="Arial" w:hAnsi="Arial" w:cs="Arial"/>
          <w:sz w:val="22"/>
          <w:szCs w:val="22"/>
        </w:rPr>
        <w:t>subjects</w:t>
      </w:r>
      <w:r w:rsidR="0036431A">
        <w:rPr>
          <w:rFonts w:ascii="Arial" w:hAnsi="Arial" w:cs="Arial"/>
          <w:sz w:val="22"/>
          <w:szCs w:val="22"/>
        </w:rPr>
        <w:t xml:space="preserve"> (</w:t>
      </w:r>
      <w:r w:rsidR="00A86179">
        <w:rPr>
          <w:rFonts w:ascii="Arial" w:hAnsi="Arial" w:cs="Arial"/>
          <w:sz w:val="22"/>
          <w:szCs w:val="22"/>
        </w:rPr>
        <w:t>2</w:t>
      </w:r>
      <w:r w:rsidR="00A46FDB">
        <w:rPr>
          <w:rFonts w:ascii="Arial" w:hAnsi="Arial" w:cs="Arial"/>
          <w:sz w:val="22"/>
          <w:szCs w:val="22"/>
        </w:rPr>
        <w:t>95,</w:t>
      </w:r>
      <w:r w:rsidR="001C2354">
        <w:rPr>
          <w:rFonts w:ascii="Arial" w:hAnsi="Arial" w:cs="Arial"/>
          <w:sz w:val="22"/>
          <w:szCs w:val="22"/>
        </w:rPr>
        <w:t>167</w:t>
      </w:r>
      <w:r w:rsidR="008E3131">
        <w:rPr>
          <w:rFonts w:ascii="Arial" w:hAnsi="Arial" w:cs="Arial"/>
          <w:sz w:val="22"/>
          <w:szCs w:val="22"/>
        </w:rPr>
        <w:t xml:space="preserve"> had ILD,</w:t>
      </w:r>
      <w:r w:rsidR="008456B1">
        <w:rPr>
          <w:rFonts w:ascii="Arial" w:hAnsi="Arial" w:cs="Arial"/>
          <w:sz w:val="22"/>
          <w:szCs w:val="22"/>
        </w:rPr>
        <w:t xml:space="preserve"> </w:t>
      </w:r>
      <w:r w:rsidR="00A46FDB">
        <w:rPr>
          <w:rFonts w:ascii="Arial" w:hAnsi="Arial" w:cs="Arial"/>
          <w:sz w:val="22"/>
          <w:szCs w:val="22"/>
        </w:rPr>
        <w:t>40,523,</w:t>
      </w:r>
      <w:r w:rsidR="001C2354">
        <w:rPr>
          <w:rFonts w:ascii="Arial" w:hAnsi="Arial" w:cs="Arial"/>
          <w:sz w:val="22"/>
          <w:szCs w:val="22"/>
        </w:rPr>
        <w:t>949</w:t>
      </w:r>
      <w:r w:rsidR="0036431A">
        <w:rPr>
          <w:rFonts w:ascii="Arial" w:hAnsi="Arial" w:cs="Arial"/>
          <w:sz w:val="22"/>
          <w:szCs w:val="22"/>
        </w:rPr>
        <w:t xml:space="preserve"> </w:t>
      </w:r>
      <w:r w:rsidR="008E3131">
        <w:rPr>
          <w:rFonts w:ascii="Arial" w:hAnsi="Arial" w:cs="Arial"/>
          <w:sz w:val="22"/>
          <w:szCs w:val="22"/>
        </w:rPr>
        <w:t>controls</w:t>
      </w:r>
      <w:r w:rsidR="0036431A">
        <w:rPr>
          <w:rFonts w:ascii="Arial" w:hAnsi="Arial" w:cs="Arial"/>
          <w:sz w:val="22"/>
          <w:szCs w:val="22"/>
        </w:rPr>
        <w:t>)</w:t>
      </w:r>
      <w:r w:rsidR="008E3131">
        <w:rPr>
          <w:rFonts w:ascii="Arial" w:hAnsi="Arial" w:cs="Arial"/>
          <w:sz w:val="22"/>
          <w:szCs w:val="22"/>
        </w:rPr>
        <w:t>.</w:t>
      </w:r>
      <w:r w:rsidR="0067241D" w:rsidRPr="0067241D">
        <w:rPr>
          <w:rFonts w:ascii="Arial" w:hAnsi="Arial" w:cs="Arial"/>
          <w:sz w:val="22"/>
          <w:szCs w:val="22"/>
        </w:rPr>
        <w:t xml:space="preserve"> </w:t>
      </w:r>
      <w:r>
        <w:rPr>
          <w:rFonts w:ascii="Arial" w:hAnsi="Arial" w:cs="Arial"/>
          <w:sz w:val="22"/>
          <w:szCs w:val="22"/>
        </w:rPr>
        <w:t>For the meta-analysis, fifty-four studies were included (</w:t>
      </w:r>
      <w:r w:rsidR="00E3364D">
        <w:rPr>
          <w:rFonts w:ascii="Arial" w:hAnsi="Arial" w:cs="Arial"/>
          <w:sz w:val="22"/>
          <w:szCs w:val="22"/>
        </w:rPr>
        <w:t>40,490,793</w:t>
      </w:r>
      <w:r>
        <w:rPr>
          <w:rFonts w:ascii="Arial" w:hAnsi="Arial" w:cs="Arial"/>
          <w:sz w:val="22"/>
          <w:szCs w:val="22"/>
        </w:rPr>
        <w:t xml:space="preserve"> subjects: </w:t>
      </w:r>
      <w:r w:rsidR="00D72DE1">
        <w:rPr>
          <w:rFonts w:ascii="Arial" w:hAnsi="Arial" w:cs="Arial"/>
          <w:sz w:val="22"/>
          <w:szCs w:val="22"/>
        </w:rPr>
        <w:t>273,899</w:t>
      </w:r>
      <w:r>
        <w:rPr>
          <w:rFonts w:ascii="Arial" w:hAnsi="Arial" w:cs="Arial"/>
          <w:sz w:val="22"/>
          <w:szCs w:val="22"/>
        </w:rPr>
        <w:t xml:space="preserve"> ILD, </w:t>
      </w:r>
      <w:r w:rsidR="00E3364D">
        <w:rPr>
          <w:rFonts w:ascii="Arial" w:hAnsi="Arial" w:cs="Arial"/>
          <w:sz w:val="22"/>
          <w:szCs w:val="22"/>
        </w:rPr>
        <w:t>40,216,894</w:t>
      </w:r>
      <w:r>
        <w:rPr>
          <w:rFonts w:ascii="Arial" w:hAnsi="Arial" w:cs="Arial"/>
          <w:sz w:val="22"/>
          <w:szCs w:val="22"/>
        </w:rPr>
        <w:t xml:space="preserve"> controls). </w:t>
      </w:r>
      <w:r w:rsidR="006866F8">
        <w:rPr>
          <w:rFonts w:ascii="Arial" w:hAnsi="Arial" w:cs="Arial"/>
          <w:sz w:val="22"/>
          <w:szCs w:val="22"/>
        </w:rPr>
        <w:t>E</w:t>
      </w:r>
      <w:r w:rsidR="0067241D" w:rsidRPr="00E5158C">
        <w:rPr>
          <w:rFonts w:ascii="Arial" w:hAnsi="Arial" w:cs="Arial"/>
          <w:sz w:val="22"/>
          <w:szCs w:val="22"/>
        </w:rPr>
        <w:t>xposure</w:t>
      </w:r>
      <w:r w:rsidR="002B6C71">
        <w:rPr>
          <w:rFonts w:ascii="Arial" w:hAnsi="Arial" w:cs="Arial"/>
          <w:sz w:val="22"/>
          <w:szCs w:val="22"/>
        </w:rPr>
        <w:t>s</w:t>
      </w:r>
      <w:r w:rsidR="0067241D" w:rsidRPr="00E5158C">
        <w:rPr>
          <w:rFonts w:ascii="Arial" w:hAnsi="Arial" w:cs="Arial"/>
          <w:sz w:val="22"/>
          <w:szCs w:val="22"/>
        </w:rPr>
        <w:t xml:space="preserve"> </w:t>
      </w:r>
      <w:r w:rsidR="0036431A">
        <w:rPr>
          <w:rFonts w:ascii="Arial" w:hAnsi="Arial" w:cs="Arial"/>
          <w:sz w:val="22"/>
          <w:szCs w:val="22"/>
        </w:rPr>
        <w:t xml:space="preserve">associated </w:t>
      </w:r>
      <w:r w:rsidR="0067241D" w:rsidRPr="00E5158C">
        <w:rPr>
          <w:rFonts w:ascii="Arial" w:hAnsi="Arial" w:cs="Arial"/>
          <w:sz w:val="22"/>
          <w:szCs w:val="22"/>
        </w:rPr>
        <w:t>with</w:t>
      </w:r>
      <w:r w:rsidR="00B030B9">
        <w:rPr>
          <w:rFonts w:ascii="Arial" w:hAnsi="Arial" w:cs="Arial"/>
          <w:sz w:val="22"/>
          <w:szCs w:val="22"/>
        </w:rPr>
        <w:t xml:space="preserve"> significantly</w:t>
      </w:r>
      <w:r w:rsidR="0067241D" w:rsidRPr="00E5158C">
        <w:rPr>
          <w:rFonts w:ascii="Arial" w:hAnsi="Arial" w:cs="Arial"/>
          <w:sz w:val="22"/>
          <w:szCs w:val="22"/>
        </w:rPr>
        <w:t xml:space="preserve"> </w:t>
      </w:r>
      <w:r w:rsidR="00325800">
        <w:rPr>
          <w:rFonts w:ascii="Arial" w:hAnsi="Arial" w:cs="Arial"/>
          <w:sz w:val="22"/>
          <w:szCs w:val="22"/>
        </w:rPr>
        <w:t xml:space="preserve">increased </w:t>
      </w:r>
      <w:r w:rsidR="007F38EA">
        <w:rPr>
          <w:rFonts w:ascii="Arial" w:hAnsi="Arial" w:cs="Arial"/>
          <w:sz w:val="22"/>
          <w:szCs w:val="22"/>
        </w:rPr>
        <w:t>ILD risk</w:t>
      </w:r>
      <w:r w:rsidR="0067241D" w:rsidRPr="00E5158C">
        <w:rPr>
          <w:rFonts w:ascii="Arial" w:hAnsi="Arial" w:cs="Arial"/>
          <w:sz w:val="22"/>
          <w:szCs w:val="22"/>
        </w:rPr>
        <w:t xml:space="preserve"> </w:t>
      </w:r>
      <w:r w:rsidR="00325800">
        <w:rPr>
          <w:rFonts w:ascii="Arial" w:hAnsi="Arial" w:cs="Arial"/>
          <w:sz w:val="22"/>
          <w:szCs w:val="22"/>
        </w:rPr>
        <w:t xml:space="preserve">included </w:t>
      </w:r>
      <w:r w:rsidR="00664ACF" w:rsidRPr="00E5158C">
        <w:rPr>
          <w:rFonts w:ascii="Arial" w:hAnsi="Arial" w:cs="Arial"/>
          <w:sz w:val="22"/>
          <w:szCs w:val="22"/>
        </w:rPr>
        <w:t>smoking (</w:t>
      </w:r>
      <w:r w:rsidR="00B030B9" w:rsidRPr="00E5158C">
        <w:rPr>
          <w:rFonts w:ascii="Arial" w:hAnsi="Arial" w:cs="Arial"/>
          <w:sz w:val="22"/>
          <w:szCs w:val="22"/>
        </w:rPr>
        <w:t>OR 1.</w:t>
      </w:r>
      <w:r w:rsidR="00B030B9">
        <w:rPr>
          <w:rFonts w:ascii="Arial" w:hAnsi="Arial" w:cs="Arial"/>
          <w:sz w:val="22"/>
          <w:szCs w:val="22"/>
        </w:rPr>
        <w:t>69</w:t>
      </w:r>
      <w:r w:rsidR="00B030B9" w:rsidRPr="00E5158C">
        <w:rPr>
          <w:rFonts w:ascii="Arial" w:hAnsi="Arial" w:cs="Arial"/>
          <w:sz w:val="22"/>
          <w:szCs w:val="22"/>
        </w:rPr>
        <w:t>, 95% CI 1.</w:t>
      </w:r>
      <w:r w:rsidR="00B030B9">
        <w:rPr>
          <w:rFonts w:ascii="Arial" w:hAnsi="Arial" w:cs="Arial"/>
          <w:sz w:val="22"/>
          <w:szCs w:val="22"/>
        </w:rPr>
        <w:t>47-</w:t>
      </w:r>
      <w:r w:rsidR="00B030B9" w:rsidRPr="00E5158C">
        <w:rPr>
          <w:rFonts w:ascii="Arial" w:hAnsi="Arial" w:cs="Arial"/>
          <w:sz w:val="22"/>
          <w:szCs w:val="22"/>
        </w:rPr>
        <w:t>1</w:t>
      </w:r>
      <w:r w:rsidR="00B030B9">
        <w:rPr>
          <w:rFonts w:ascii="Arial" w:hAnsi="Arial" w:cs="Arial"/>
          <w:sz w:val="22"/>
          <w:szCs w:val="22"/>
        </w:rPr>
        <w:t>.94</w:t>
      </w:r>
      <w:r w:rsidR="00B030B9" w:rsidRPr="00E5158C">
        <w:rPr>
          <w:rFonts w:ascii="Arial" w:hAnsi="Arial" w:cs="Arial"/>
          <w:sz w:val="22"/>
          <w:szCs w:val="22"/>
        </w:rPr>
        <w:t>)</w:t>
      </w:r>
      <w:r w:rsidR="00664ACF" w:rsidRPr="00E5158C">
        <w:rPr>
          <w:rFonts w:ascii="Arial" w:hAnsi="Arial" w:cs="Arial"/>
          <w:sz w:val="22"/>
          <w:szCs w:val="22"/>
        </w:rPr>
        <w:t>, organic exposures (</w:t>
      </w:r>
      <w:r w:rsidR="00B030B9" w:rsidRPr="00E5158C">
        <w:rPr>
          <w:rFonts w:ascii="Arial" w:hAnsi="Arial" w:cs="Arial"/>
          <w:sz w:val="22"/>
          <w:szCs w:val="22"/>
        </w:rPr>
        <w:t>OR 1.5</w:t>
      </w:r>
      <w:r w:rsidR="00B030B9">
        <w:rPr>
          <w:rFonts w:ascii="Arial" w:hAnsi="Arial" w:cs="Arial"/>
          <w:sz w:val="22"/>
          <w:szCs w:val="22"/>
        </w:rPr>
        <w:t>6</w:t>
      </w:r>
      <w:r w:rsidR="00B030B9" w:rsidRPr="00E5158C">
        <w:rPr>
          <w:rFonts w:ascii="Arial" w:hAnsi="Arial" w:cs="Arial"/>
          <w:sz w:val="22"/>
          <w:szCs w:val="22"/>
        </w:rPr>
        <w:t>, 95% CI 1.</w:t>
      </w:r>
      <w:r w:rsidR="00B030B9">
        <w:rPr>
          <w:rFonts w:ascii="Arial" w:hAnsi="Arial" w:cs="Arial"/>
          <w:sz w:val="22"/>
          <w:szCs w:val="22"/>
        </w:rPr>
        <w:t>12</w:t>
      </w:r>
      <w:r w:rsidR="00B030B9" w:rsidRPr="00E5158C">
        <w:rPr>
          <w:rFonts w:ascii="Arial" w:hAnsi="Arial" w:cs="Arial"/>
          <w:sz w:val="22"/>
          <w:szCs w:val="22"/>
        </w:rPr>
        <w:t>-</w:t>
      </w:r>
      <w:r w:rsidR="00B030B9">
        <w:rPr>
          <w:rFonts w:ascii="Arial" w:hAnsi="Arial" w:cs="Arial"/>
          <w:sz w:val="22"/>
          <w:szCs w:val="22"/>
        </w:rPr>
        <w:t xml:space="preserve">2.16), </w:t>
      </w:r>
      <w:r w:rsidR="00B030B9" w:rsidRPr="00E5158C">
        <w:rPr>
          <w:rFonts w:ascii="Arial" w:hAnsi="Arial" w:cs="Arial"/>
          <w:sz w:val="22"/>
          <w:szCs w:val="22"/>
        </w:rPr>
        <w:t>metal</w:t>
      </w:r>
      <w:r w:rsidR="00B030B9">
        <w:rPr>
          <w:rFonts w:ascii="Arial" w:hAnsi="Arial" w:cs="Arial"/>
          <w:sz w:val="22"/>
          <w:szCs w:val="22"/>
        </w:rPr>
        <w:t>s</w:t>
      </w:r>
      <w:r w:rsidR="00B030B9" w:rsidRPr="00E5158C">
        <w:rPr>
          <w:rFonts w:ascii="Arial" w:hAnsi="Arial" w:cs="Arial"/>
          <w:sz w:val="22"/>
          <w:szCs w:val="22"/>
        </w:rPr>
        <w:t xml:space="preserve"> (OR 1.</w:t>
      </w:r>
      <w:r w:rsidR="00B030B9">
        <w:rPr>
          <w:rFonts w:ascii="Arial" w:hAnsi="Arial" w:cs="Arial"/>
          <w:sz w:val="22"/>
          <w:szCs w:val="22"/>
        </w:rPr>
        <w:t>5</w:t>
      </w:r>
      <w:r w:rsidR="00B030B9" w:rsidRPr="00E5158C">
        <w:rPr>
          <w:rFonts w:ascii="Arial" w:hAnsi="Arial" w:cs="Arial"/>
          <w:sz w:val="22"/>
          <w:szCs w:val="22"/>
        </w:rPr>
        <w:t>2, 95% CI 1.0</w:t>
      </w:r>
      <w:r w:rsidR="00B030B9">
        <w:rPr>
          <w:rFonts w:ascii="Arial" w:hAnsi="Arial" w:cs="Arial"/>
          <w:sz w:val="22"/>
          <w:szCs w:val="22"/>
        </w:rPr>
        <w:t xml:space="preserve">7-2.16), </w:t>
      </w:r>
      <w:r w:rsidR="00F12219">
        <w:rPr>
          <w:rFonts w:ascii="Arial" w:hAnsi="Arial" w:cs="Arial"/>
          <w:sz w:val="22"/>
          <w:szCs w:val="22"/>
        </w:rPr>
        <w:t>dust (</w:t>
      </w:r>
      <w:r w:rsidR="00F12219" w:rsidRPr="00E5158C">
        <w:rPr>
          <w:rFonts w:ascii="Arial" w:hAnsi="Arial" w:cs="Arial"/>
          <w:sz w:val="22"/>
          <w:szCs w:val="22"/>
        </w:rPr>
        <w:t>OR 1.</w:t>
      </w:r>
      <w:r w:rsidR="00F12219">
        <w:rPr>
          <w:rFonts w:ascii="Arial" w:hAnsi="Arial" w:cs="Arial"/>
          <w:sz w:val="22"/>
          <w:szCs w:val="22"/>
        </w:rPr>
        <w:t>45</w:t>
      </w:r>
      <w:r w:rsidR="00F12219" w:rsidRPr="00E5158C">
        <w:rPr>
          <w:rFonts w:ascii="Arial" w:hAnsi="Arial" w:cs="Arial"/>
          <w:sz w:val="22"/>
          <w:szCs w:val="22"/>
        </w:rPr>
        <w:t>, 95% CI 1.</w:t>
      </w:r>
      <w:r w:rsidR="00F12219">
        <w:rPr>
          <w:rFonts w:ascii="Arial" w:hAnsi="Arial" w:cs="Arial"/>
          <w:sz w:val="22"/>
          <w:szCs w:val="22"/>
        </w:rPr>
        <w:t>20-</w:t>
      </w:r>
      <w:r w:rsidR="00F12219" w:rsidRPr="00E5158C">
        <w:rPr>
          <w:rFonts w:ascii="Arial" w:hAnsi="Arial" w:cs="Arial"/>
          <w:sz w:val="22"/>
          <w:szCs w:val="22"/>
        </w:rPr>
        <w:t>1.</w:t>
      </w:r>
      <w:r w:rsidR="00F12219">
        <w:rPr>
          <w:rFonts w:ascii="Arial" w:hAnsi="Arial" w:cs="Arial"/>
          <w:sz w:val="22"/>
          <w:szCs w:val="22"/>
        </w:rPr>
        <w:t>76</w:t>
      </w:r>
      <w:r w:rsidR="00F12219" w:rsidRPr="00E5158C">
        <w:rPr>
          <w:rFonts w:ascii="Arial" w:hAnsi="Arial" w:cs="Arial"/>
          <w:sz w:val="22"/>
          <w:szCs w:val="22"/>
        </w:rPr>
        <w:t xml:space="preserve">), </w:t>
      </w:r>
      <w:r w:rsidR="00F12219">
        <w:rPr>
          <w:rFonts w:ascii="Arial" w:hAnsi="Arial" w:cs="Arial"/>
          <w:sz w:val="22"/>
          <w:szCs w:val="22"/>
        </w:rPr>
        <w:t xml:space="preserve">and asbestos (OR 1.53, 95% CI 1.08-2.15). Silica and fumes had </w:t>
      </w:r>
      <w:r w:rsidR="00FB5B3B">
        <w:rPr>
          <w:rFonts w:ascii="Arial" w:hAnsi="Arial" w:cs="Arial"/>
          <w:sz w:val="22"/>
          <w:szCs w:val="22"/>
        </w:rPr>
        <w:t>positive associations with ILD</w:t>
      </w:r>
      <w:r w:rsidR="00F12219">
        <w:rPr>
          <w:rFonts w:ascii="Arial" w:hAnsi="Arial" w:cs="Arial"/>
          <w:sz w:val="22"/>
          <w:szCs w:val="22"/>
        </w:rPr>
        <w:t xml:space="preserve"> that trended toward significance. </w:t>
      </w:r>
    </w:p>
    <w:p w14:paraId="0957D837" w14:textId="18DCE639" w:rsidR="00152BFC" w:rsidRDefault="00A81141" w:rsidP="00EF3DBC">
      <w:pPr>
        <w:spacing w:line="480" w:lineRule="auto"/>
        <w:rPr>
          <w:rFonts w:ascii="Arial" w:hAnsi="Arial" w:cs="Arial"/>
          <w:b/>
          <w:sz w:val="22"/>
          <w:szCs w:val="22"/>
        </w:rPr>
      </w:pPr>
      <w:r>
        <w:rPr>
          <w:rFonts w:ascii="Arial" w:hAnsi="Arial" w:cs="Arial"/>
          <w:b/>
          <w:sz w:val="22"/>
          <w:szCs w:val="22"/>
        </w:rPr>
        <w:t>Conclusions</w:t>
      </w:r>
    </w:p>
    <w:p w14:paraId="16377AE9" w14:textId="1A3D0215" w:rsidR="00152BFC" w:rsidRDefault="0067241D" w:rsidP="00EF3DBC">
      <w:pPr>
        <w:spacing w:line="480" w:lineRule="auto"/>
        <w:rPr>
          <w:rFonts w:ascii="Arial" w:hAnsi="Arial" w:cs="Arial"/>
          <w:sz w:val="22"/>
          <w:szCs w:val="22"/>
        </w:rPr>
      </w:pPr>
      <w:r w:rsidRPr="00E5158C">
        <w:rPr>
          <w:rFonts w:ascii="Arial" w:hAnsi="Arial" w:cs="Arial"/>
          <w:sz w:val="22"/>
          <w:szCs w:val="22"/>
        </w:rPr>
        <w:t xml:space="preserve">This systematic review and </w:t>
      </w:r>
      <w:r w:rsidR="00286493">
        <w:rPr>
          <w:rFonts w:ascii="Arial" w:hAnsi="Arial" w:cs="Arial"/>
          <w:sz w:val="22"/>
          <w:szCs w:val="22"/>
        </w:rPr>
        <w:t xml:space="preserve">multilevel </w:t>
      </w:r>
      <w:r w:rsidRPr="00E5158C">
        <w:rPr>
          <w:rFonts w:ascii="Arial" w:hAnsi="Arial" w:cs="Arial"/>
          <w:sz w:val="22"/>
          <w:szCs w:val="22"/>
        </w:rPr>
        <w:t xml:space="preserve">meta-analysis </w:t>
      </w:r>
      <w:proofErr w:type="gramStart"/>
      <w:r w:rsidRPr="00E5158C">
        <w:rPr>
          <w:rFonts w:ascii="Arial" w:hAnsi="Arial" w:cs="Arial"/>
          <w:sz w:val="22"/>
          <w:szCs w:val="22"/>
        </w:rPr>
        <w:t>is</w:t>
      </w:r>
      <w:proofErr w:type="gramEnd"/>
      <w:r w:rsidRPr="00E5158C">
        <w:rPr>
          <w:rFonts w:ascii="Arial" w:hAnsi="Arial" w:cs="Arial"/>
          <w:sz w:val="22"/>
          <w:szCs w:val="22"/>
        </w:rPr>
        <w:t xml:space="preserve"> the first to </w:t>
      </w:r>
      <w:r w:rsidR="00AA3C8F">
        <w:rPr>
          <w:rFonts w:ascii="Arial" w:hAnsi="Arial" w:cs="Arial"/>
          <w:sz w:val="22"/>
          <w:szCs w:val="22"/>
        </w:rPr>
        <w:t xml:space="preserve">comprehensively </w:t>
      </w:r>
      <w:r w:rsidRPr="00E5158C">
        <w:rPr>
          <w:rFonts w:ascii="Arial" w:hAnsi="Arial" w:cs="Arial"/>
          <w:sz w:val="22"/>
          <w:szCs w:val="22"/>
        </w:rPr>
        <w:t xml:space="preserve">assess the effect of inhalational exposures on </w:t>
      </w:r>
      <w:r w:rsidR="00AA3C8F">
        <w:rPr>
          <w:rFonts w:ascii="Arial" w:hAnsi="Arial" w:cs="Arial"/>
          <w:sz w:val="22"/>
          <w:szCs w:val="22"/>
        </w:rPr>
        <w:t xml:space="preserve">overall </w:t>
      </w:r>
      <w:r w:rsidRPr="00E5158C">
        <w:rPr>
          <w:rFonts w:ascii="Arial" w:hAnsi="Arial" w:cs="Arial"/>
          <w:sz w:val="22"/>
          <w:szCs w:val="22"/>
        </w:rPr>
        <w:t>risk of ILD</w:t>
      </w:r>
      <w:r w:rsidR="00AA3C8F">
        <w:rPr>
          <w:rFonts w:ascii="Arial" w:hAnsi="Arial" w:cs="Arial"/>
          <w:sz w:val="22"/>
          <w:szCs w:val="22"/>
        </w:rPr>
        <w:t>, with m</w:t>
      </w:r>
      <w:r>
        <w:rPr>
          <w:rFonts w:ascii="Arial" w:hAnsi="Arial" w:cs="Arial"/>
          <w:sz w:val="22"/>
          <w:szCs w:val="22"/>
        </w:rPr>
        <w:t xml:space="preserve">ultiple </w:t>
      </w:r>
      <w:r w:rsidR="00AA3C8F">
        <w:rPr>
          <w:rFonts w:ascii="Arial" w:hAnsi="Arial" w:cs="Arial"/>
          <w:sz w:val="22"/>
          <w:szCs w:val="22"/>
        </w:rPr>
        <w:t xml:space="preserve">putative exposures identified. </w:t>
      </w:r>
      <w:r w:rsidR="00AE0D4B">
        <w:rPr>
          <w:rFonts w:ascii="Arial" w:hAnsi="Arial" w:cs="Arial"/>
          <w:sz w:val="22"/>
          <w:szCs w:val="22"/>
        </w:rPr>
        <w:t>F</w:t>
      </w:r>
      <w:r w:rsidR="00684CDB">
        <w:rPr>
          <w:rFonts w:ascii="Arial" w:hAnsi="Arial" w:cs="Arial"/>
          <w:sz w:val="22"/>
          <w:szCs w:val="22"/>
        </w:rPr>
        <w:t>uture</w:t>
      </w:r>
      <w:r w:rsidR="00AA3C8F">
        <w:rPr>
          <w:rFonts w:ascii="Arial" w:hAnsi="Arial" w:cs="Arial"/>
          <w:sz w:val="22"/>
          <w:szCs w:val="22"/>
        </w:rPr>
        <w:t xml:space="preserve"> work</w:t>
      </w:r>
      <w:r w:rsidR="00684CDB">
        <w:rPr>
          <w:rFonts w:ascii="Arial" w:hAnsi="Arial" w:cs="Arial"/>
          <w:sz w:val="22"/>
          <w:szCs w:val="22"/>
        </w:rPr>
        <w:t xml:space="preserve"> should investigate </w:t>
      </w:r>
      <w:r w:rsidR="007F38EA">
        <w:rPr>
          <w:rFonts w:ascii="Arial" w:hAnsi="Arial" w:cs="Arial"/>
          <w:sz w:val="22"/>
          <w:szCs w:val="22"/>
        </w:rPr>
        <w:t>novel</w:t>
      </w:r>
      <w:r w:rsidR="00684CDB">
        <w:rPr>
          <w:rFonts w:ascii="Arial" w:hAnsi="Arial" w:cs="Arial"/>
          <w:sz w:val="22"/>
          <w:szCs w:val="22"/>
        </w:rPr>
        <w:t xml:space="preserve"> occupational exposures associated with ILD</w:t>
      </w:r>
      <w:r w:rsidR="00AA3C8F">
        <w:rPr>
          <w:rFonts w:ascii="Arial" w:hAnsi="Arial" w:cs="Arial"/>
          <w:sz w:val="22"/>
          <w:szCs w:val="22"/>
        </w:rPr>
        <w:t>,</w:t>
      </w:r>
      <w:r w:rsidR="00684CDB">
        <w:rPr>
          <w:rFonts w:ascii="Arial" w:hAnsi="Arial" w:cs="Arial"/>
          <w:sz w:val="22"/>
          <w:szCs w:val="22"/>
        </w:rPr>
        <w:t xml:space="preserve"> </w:t>
      </w:r>
      <w:r w:rsidR="00AA3C8F">
        <w:rPr>
          <w:rFonts w:ascii="Arial" w:hAnsi="Arial" w:cs="Arial"/>
          <w:sz w:val="22"/>
          <w:szCs w:val="22"/>
        </w:rPr>
        <w:t xml:space="preserve">characterize the gene-environment interaction, and </w:t>
      </w:r>
      <w:r w:rsidR="00684CDB">
        <w:rPr>
          <w:rFonts w:ascii="Arial" w:hAnsi="Arial" w:cs="Arial"/>
          <w:sz w:val="22"/>
          <w:szCs w:val="22"/>
        </w:rPr>
        <w:t xml:space="preserve">develop </w:t>
      </w:r>
      <w:r w:rsidR="00AA3C8F">
        <w:rPr>
          <w:rFonts w:ascii="Arial" w:hAnsi="Arial" w:cs="Arial"/>
          <w:sz w:val="22"/>
          <w:szCs w:val="22"/>
        </w:rPr>
        <w:t xml:space="preserve">preventative </w:t>
      </w:r>
      <w:r w:rsidR="00684CDB">
        <w:rPr>
          <w:rFonts w:ascii="Arial" w:hAnsi="Arial" w:cs="Arial"/>
          <w:sz w:val="22"/>
          <w:szCs w:val="22"/>
        </w:rPr>
        <w:t>strategies.</w:t>
      </w:r>
    </w:p>
    <w:p w14:paraId="0B262DDB" w14:textId="6D1E5C55" w:rsidR="00FA7242" w:rsidRPr="00A81141" w:rsidRDefault="00A81141" w:rsidP="00221626">
      <w:pPr>
        <w:spacing w:line="480" w:lineRule="auto"/>
        <w:rPr>
          <w:rFonts w:ascii="Arial" w:hAnsi="Arial" w:cs="Arial"/>
          <w:b/>
          <w:sz w:val="22"/>
          <w:szCs w:val="22"/>
        </w:rPr>
      </w:pPr>
      <w:r>
        <w:rPr>
          <w:rFonts w:ascii="Arial" w:hAnsi="Arial" w:cs="Arial"/>
          <w:b/>
          <w:sz w:val="22"/>
          <w:szCs w:val="22"/>
        </w:rPr>
        <w:t xml:space="preserve">Abstract Word Count: </w:t>
      </w:r>
      <w:r w:rsidR="00221626">
        <w:rPr>
          <w:rFonts w:ascii="Arial" w:hAnsi="Arial" w:cs="Arial"/>
          <w:b/>
          <w:sz w:val="22"/>
          <w:szCs w:val="22"/>
        </w:rPr>
        <w:t>2</w:t>
      </w:r>
      <w:r w:rsidR="00F12219">
        <w:rPr>
          <w:rFonts w:ascii="Arial" w:hAnsi="Arial" w:cs="Arial"/>
          <w:b/>
          <w:sz w:val="22"/>
          <w:szCs w:val="22"/>
        </w:rPr>
        <w:t>3</w:t>
      </w:r>
      <w:r w:rsidR="0005752F">
        <w:rPr>
          <w:rFonts w:ascii="Arial" w:hAnsi="Arial" w:cs="Arial"/>
          <w:b/>
          <w:sz w:val="22"/>
          <w:szCs w:val="22"/>
        </w:rPr>
        <w:t>8</w:t>
      </w:r>
    </w:p>
    <w:p w14:paraId="7DE1EB12" w14:textId="77777777" w:rsidR="00EF3DBC" w:rsidRPr="000C0D44" w:rsidRDefault="00EF3DBC" w:rsidP="00221626">
      <w:pPr>
        <w:spacing w:line="480" w:lineRule="auto"/>
        <w:rPr>
          <w:rFonts w:ascii="Arial" w:hAnsi="Arial" w:cs="Arial"/>
          <w:sz w:val="22"/>
          <w:szCs w:val="22"/>
        </w:rPr>
      </w:pPr>
      <w:r w:rsidRPr="00D865F1">
        <w:rPr>
          <w:rFonts w:ascii="Arial" w:hAnsi="Arial" w:cs="Arial"/>
          <w:b/>
          <w:sz w:val="22"/>
          <w:szCs w:val="22"/>
        </w:rPr>
        <w:t>Key Words:</w:t>
      </w:r>
      <w:r>
        <w:rPr>
          <w:rFonts w:ascii="Arial" w:hAnsi="Arial" w:cs="Arial"/>
          <w:sz w:val="22"/>
          <w:szCs w:val="22"/>
        </w:rPr>
        <w:t xml:space="preserve"> environmental exposures, occupational exposures, interstitial lung disease, systematic review, meta-analysis</w:t>
      </w:r>
    </w:p>
    <w:p w14:paraId="3A93A50E" w14:textId="1AAC821F" w:rsidR="00EF3DBC" w:rsidRDefault="00EF3DBC" w:rsidP="002B6C71">
      <w:pPr>
        <w:spacing w:line="480" w:lineRule="auto"/>
        <w:rPr>
          <w:rFonts w:ascii="Arial" w:hAnsi="Arial" w:cs="Arial"/>
          <w:b/>
          <w:sz w:val="22"/>
          <w:szCs w:val="22"/>
        </w:rPr>
      </w:pPr>
    </w:p>
    <w:p w14:paraId="67089CB3" w14:textId="77777777" w:rsidR="00286493" w:rsidRDefault="00286493" w:rsidP="002B6C71">
      <w:pPr>
        <w:spacing w:line="480" w:lineRule="auto"/>
        <w:rPr>
          <w:rFonts w:ascii="Arial" w:hAnsi="Arial" w:cs="Arial"/>
          <w:b/>
          <w:sz w:val="22"/>
          <w:szCs w:val="22"/>
        </w:rPr>
      </w:pPr>
    </w:p>
    <w:p w14:paraId="4F59A160" w14:textId="19524D3B" w:rsidR="00EF3DBC" w:rsidRPr="00EF3DBC" w:rsidRDefault="009974F0" w:rsidP="002B6C71">
      <w:pPr>
        <w:spacing w:line="480" w:lineRule="auto"/>
        <w:rPr>
          <w:rFonts w:ascii="Arial" w:hAnsi="Arial" w:cs="Arial"/>
          <w:b/>
          <w:sz w:val="22"/>
          <w:szCs w:val="22"/>
        </w:rPr>
      </w:pPr>
      <w:r>
        <w:rPr>
          <w:rFonts w:ascii="Arial" w:hAnsi="Arial" w:cs="Arial"/>
          <w:b/>
          <w:sz w:val="22"/>
          <w:szCs w:val="22"/>
        </w:rPr>
        <w:lastRenderedPageBreak/>
        <w:t>I</w:t>
      </w:r>
      <w:r w:rsidR="002C76DD" w:rsidRPr="005B1299">
        <w:rPr>
          <w:rFonts w:ascii="Arial" w:hAnsi="Arial" w:cs="Arial"/>
          <w:b/>
          <w:sz w:val="22"/>
          <w:szCs w:val="22"/>
        </w:rPr>
        <w:t>ntroduct</w:t>
      </w:r>
      <w:r w:rsidR="00C16ECB" w:rsidRPr="005B1299">
        <w:rPr>
          <w:rFonts w:ascii="Arial" w:hAnsi="Arial" w:cs="Arial"/>
          <w:b/>
          <w:sz w:val="22"/>
          <w:szCs w:val="22"/>
        </w:rPr>
        <w:t>ion</w:t>
      </w:r>
    </w:p>
    <w:p w14:paraId="59FCDB64" w14:textId="11129209" w:rsidR="002C76DD" w:rsidRPr="00E5158C" w:rsidRDefault="00731BD7" w:rsidP="002B6C71">
      <w:pPr>
        <w:spacing w:line="480" w:lineRule="auto"/>
        <w:rPr>
          <w:rFonts w:ascii="Arial" w:hAnsi="Arial" w:cs="Arial"/>
          <w:sz w:val="22"/>
          <w:szCs w:val="22"/>
        </w:rPr>
      </w:pPr>
      <w:r>
        <w:rPr>
          <w:rFonts w:ascii="Arial" w:hAnsi="Arial" w:cs="Arial"/>
          <w:sz w:val="22"/>
          <w:szCs w:val="22"/>
        </w:rPr>
        <w:t>The i</w:t>
      </w:r>
      <w:r w:rsidR="002C76DD" w:rsidRPr="000C0D44">
        <w:rPr>
          <w:rFonts w:ascii="Arial" w:hAnsi="Arial" w:cs="Arial"/>
          <w:sz w:val="22"/>
          <w:szCs w:val="22"/>
        </w:rPr>
        <w:t>nterstitial lung disease</w:t>
      </w:r>
      <w:r w:rsidR="00FF75CA">
        <w:rPr>
          <w:rFonts w:ascii="Arial" w:hAnsi="Arial" w:cs="Arial"/>
          <w:sz w:val="22"/>
          <w:szCs w:val="22"/>
        </w:rPr>
        <w:t>s</w:t>
      </w:r>
      <w:r w:rsidR="002C76DD" w:rsidRPr="000C0D44">
        <w:rPr>
          <w:rFonts w:ascii="Arial" w:hAnsi="Arial" w:cs="Arial"/>
          <w:sz w:val="22"/>
          <w:szCs w:val="22"/>
        </w:rPr>
        <w:t xml:space="preserve"> (ILD</w:t>
      </w:r>
      <w:r w:rsidR="008E0DC1">
        <w:rPr>
          <w:rFonts w:ascii="Arial" w:hAnsi="Arial" w:cs="Arial"/>
          <w:sz w:val="22"/>
          <w:szCs w:val="22"/>
        </w:rPr>
        <w:t>s</w:t>
      </w:r>
      <w:r w:rsidR="002C76DD" w:rsidRPr="000C0D44">
        <w:rPr>
          <w:rFonts w:ascii="Arial" w:hAnsi="Arial" w:cs="Arial"/>
          <w:sz w:val="22"/>
          <w:szCs w:val="22"/>
        </w:rPr>
        <w:t xml:space="preserve">) </w:t>
      </w:r>
      <w:r>
        <w:rPr>
          <w:rFonts w:ascii="Arial" w:hAnsi="Arial" w:cs="Arial"/>
          <w:sz w:val="22"/>
          <w:szCs w:val="22"/>
        </w:rPr>
        <w:t>are</w:t>
      </w:r>
      <w:r w:rsidR="002C76DD" w:rsidRPr="000C0D44">
        <w:rPr>
          <w:rFonts w:ascii="Arial" w:hAnsi="Arial" w:cs="Arial"/>
          <w:sz w:val="22"/>
          <w:szCs w:val="22"/>
        </w:rPr>
        <w:t xml:space="preserve"> a heterogeneous group of disorders characterized by inflammation and/or fibrosis of the pulmonary parenchyma. </w:t>
      </w:r>
      <w:r w:rsidR="00214726" w:rsidRPr="000C0D44">
        <w:rPr>
          <w:rFonts w:ascii="Arial" w:hAnsi="Arial" w:cs="Arial"/>
          <w:sz w:val="22"/>
          <w:szCs w:val="22"/>
        </w:rPr>
        <w:t>Incidence</w:t>
      </w:r>
      <w:r w:rsidR="002C76DD" w:rsidRPr="000C0D44">
        <w:rPr>
          <w:rFonts w:ascii="Arial" w:hAnsi="Arial" w:cs="Arial"/>
          <w:sz w:val="22"/>
          <w:szCs w:val="22"/>
        </w:rPr>
        <w:t xml:space="preserve"> and prevalence </w:t>
      </w:r>
      <w:r w:rsidR="00214726" w:rsidRPr="000C0D44">
        <w:rPr>
          <w:rFonts w:ascii="Arial" w:hAnsi="Arial" w:cs="Arial"/>
          <w:sz w:val="22"/>
          <w:szCs w:val="22"/>
        </w:rPr>
        <w:t xml:space="preserve">of these disorders </w:t>
      </w:r>
      <w:r>
        <w:rPr>
          <w:rFonts w:ascii="Arial" w:hAnsi="Arial" w:cs="Arial"/>
          <w:sz w:val="22"/>
          <w:szCs w:val="22"/>
        </w:rPr>
        <w:t>may be</w:t>
      </w:r>
      <w:r w:rsidR="00E00684" w:rsidRPr="000C0D44">
        <w:rPr>
          <w:rFonts w:ascii="Arial" w:hAnsi="Arial" w:cs="Arial"/>
          <w:sz w:val="22"/>
          <w:szCs w:val="22"/>
        </w:rPr>
        <w:t xml:space="preserve"> </w:t>
      </w:r>
      <w:r w:rsidR="002C76DD" w:rsidRPr="000C0D44">
        <w:rPr>
          <w:rFonts w:ascii="Arial" w:hAnsi="Arial" w:cs="Arial"/>
          <w:sz w:val="22"/>
          <w:szCs w:val="22"/>
        </w:rPr>
        <w:t xml:space="preserve">increasing, </w:t>
      </w:r>
      <w:r w:rsidR="00214726" w:rsidRPr="000C0D44">
        <w:rPr>
          <w:rFonts w:ascii="Arial" w:hAnsi="Arial" w:cs="Arial"/>
          <w:sz w:val="22"/>
          <w:szCs w:val="22"/>
        </w:rPr>
        <w:t xml:space="preserve">causing </w:t>
      </w:r>
      <w:r w:rsidR="00386C8F" w:rsidRPr="000C0D44">
        <w:rPr>
          <w:rFonts w:ascii="Arial" w:hAnsi="Arial" w:cs="Arial"/>
          <w:sz w:val="22"/>
          <w:szCs w:val="22"/>
        </w:rPr>
        <w:t>attendant</w:t>
      </w:r>
      <w:r w:rsidR="002C76DD" w:rsidRPr="000C0D44">
        <w:rPr>
          <w:rFonts w:ascii="Arial" w:hAnsi="Arial" w:cs="Arial"/>
          <w:sz w:val="22"/>
          <w:szCs w:val="22"/>
        </w:rPr>
        <w:t xml:space="preserve"> </w:t>
      </w:r>
      <w:r w:rsidR="00386C8F" w:rsidRPr="000C0D44">
        <w:rPr>
          <w:rFonts w:ascii="Arial" w:hAnsi="Arial" w:cs="Arial"/>
          <w:sz w:val="22"/>
          <w:szCs w:val="22"/>
        </w:rPr>
        <w:t xml:space="preserve">rises in </w:t>
      </w:r>
      <w:r w:rsidR="002C76DD" w:rsidRPr="000C0D44">
        <w:rPr>
          <w:rFonts w:ascii="Arial" w:hAnsi="Arial" w:cs="Arial"/>
          <w:sz w:val="22"/>
          <w:szCs w:val="22"/>
        </w:rPr>
        <w:t>morbidity and early mortality.</w:t>
      </w:r>
      <w:r w:rsidR="00CB7FB0" w:rsidRPr="00E5158C">
        <w:rPr>
          <w:rFonts w:ascii="Arial" w:hAnsi="Arial" w:cs="Arial"/>
          <w:sz w:val="22"/>
          <w:szCs w:val="22"/>
        </w:rPr>
        <w:fldChar w:fldCharType="begin"/>
      </w:r>
      <w:r w:rsidR="00A86179">
        <w:rPr>
          <w:rFonts w:ascii="Arial" w:hAnsi="Arial" w:cs="Arial"/>
          <w:sz w:val="22"/>
          <w:szCs w:val="22"/>
        </w:rPr>
        <w:instrText xml:space="preserve"> ADDIN ZOTERO_ITEM CSL_CITATION {"citationID":"BxszVRoL","properties":{"formattedCitation":"[1], [2]","plainCitation":"[1], [2]","noteIndex":0},"citationItems":[{"id":31,"uris":["http://zotero.org/users/local/5isXr7c7/items/5LGGQ2BG"],"itemData":{"id":31,"type":"article-journal","container-title":"The New England Journal of Medicine","DOI":"10.1056/NEJMra2005230","ISSN":"1533-4406","issue":"10","journalAbbreviation":"N Engl J Med","language":"eng","note":"PMID: 32877584","page":"958-968","source":"PubMed","title":"Spectrum of Fibrotic Lung Diseases","volume":"383","author":[{"family":"Wijsenbeek","given":"Marlies"},{"family":"Cottin","given":"Vincent"}],"issued":{"date-parts":[["2020",9,3]]}},"label":"page"},{"id":1110,"uris":["http://zotero.org/users/local/5isXr7c7/items/GYNQYUFZ"],"itemData":{"id":1110,"type":"article-journal","abstract":"Tweetable abstract @ERSpublications\nclick to tweetInterstitial lung diseases (ILDs) are a significant contributor to disability and deaths in the USA. The prevalence and deaths from ILDs have increased but when adjusted for age, have been stable since 2010. https://bit.ly/3IDlZrg","container-title":"ERJ Open Research","DOI":"10.1183/23120541.00630-2021","ISSN":"2312-0541","issue":"1","language":"en","license":"Copyright ©The authors 2022. http://creativecommons.org/licenses/by-nc/4.0/This version is distributed under the terms of the Creative Commons Attribution Non-Commercial Licence 4.0. For commercial reproduction rights and permissions contact permissions@ersnet.org","note":"publisher: European Respiratory Society\nsection: Research letter\nPMID: 35141319","source":"openres.ersjournals.com","title":"The prevalence and burden of interstitial lung diseases in the USA","URL":"https://openres.ersjournals.com/content/8/1/00630-2021","volume":"8","author":[{"family":"Jeganathan","given":"Niranjan"},{"family":"Sathananthan","given":"Matheni"}],"accessed":{"date-parts":[["2023",4,10]]},"issued":{"date-parts":[["2022",1,1]]}}}],"schema":"https://github.com/citation-style-language/schema/raw/master/csl-citation.json"} </w:instrText>
      </w:r>
      <w:r w:rsidR="00CB7FB0" w:rsidRPr="00E5158C">
        <w:rPr>
          <w:rFonts w:ascii="Arial" w:hAnsi="Arial" w:cs="Arial"/>
          <w:sz w:val="22"/>
          <w:szCs w:val="22"/>
        </w:rPr>
        <w:fldChar w:fldCharType="separate"/>
      </w:r>
      <w:r w:rsidR="00A86179">
        <w:rPr>
          <w:rFonts w:ascii="Arial" w:hAnsi="Arial" w:cs="Arial"/>
          <w:sz w:val="22"/>
        </w:rPr>
        <w:t>[1], [2]</w:t>
      </w:r>
      <w:r w:rsidR="00CB7FB0" w:rsidRPr="00E5158C">
        <w:rPr>
          <w:rFonts w:ascii="Arial" w:hAnsi="Arial" w:cs="Arial"/>
          <w:sz w:val="22"/>
          <w:szCs w:val="22"/>
        </w:rPr>
        <w:fldChar w:fldCharType="end"/>
      </w:r>
      <w:r w:rsidR="00CB7FB0" w:rsidRPr="000C0D44">
        <w:rPr>
          <w:rFonts w:ascii="Arial" w:hAnsi="Arial" w:cs="Arial"/>
          <w:sz w:val="22"/>
          <w:szCs w:val="22"/>
        </w:rPr>
        <w:t xml:space="preserve"> </w:t>
      </w:r>
      <w:r w:rsidR="00806B0F">
        <w:rPr>
          <w:rFonts w:ascii="Arial" w:hAnsi="Arial" w:cs="Arial"/>
          <w:sz w:val="22"/>
          <w:szCs w:val="22"/>
        </w:rPr>
        <w:t xml:space="preserve">While some forms of </w:t>
      </w:r>
      <w:r w:rsidR="00806B0F" w:rsidRPr="00E5158C">
        <w:rPr>
          <w:rFonts w:ascii="Arial" w:hAnsi="Arial" w:cs="Arial"/>
          <w:sz w:val="22"/>
          <w:szCs w:val="22"/>
        </w:rPr>
        <w:t xml:space="preserve">ILD </w:t>
      </w:r>
      <w:r w:rsidR="00806B0F">
        <w:rPr>
          <w:rFonts w:ascii="Arial" w:hAnsi="Arial" w:cs="Arial"/>
          <w:sz w:val="22"/>
          <w:szCs w:val="22"/>
        </w:rPr>
        <w:t>are defined</w:t>
      </w:r>
      <w:r w:rsidR="00806B0F" w:rsidRPr="00E5158C">
        <w:rPr>
          <w:rFonts w:ascii="Arial" w:hAnsi="Arial" w:cs="Arial"/>
          <w:sz w:val="22"/>
          <w:szCs w:val="22"/>
        </w:rPr>
        <w:t xml:space="preserve"> by </w:t>
      </w:r>
      <w:r w:rsidR="00806B0F">
        <w:rPr>
          <w:rFonts w:ascii="Arial" w:hAnsi="Arial" w:cs="Arial"/>
          <w:sz w:val="22"/>
          <w:szCs w:val="22"/>
        </w:rPr>
        <w:t xml:space="preserve">the presence of ongoing or historical exposures (e.g., organic exposures such as mold and </w:t>
      </w:r>
      <w:r w:rsidR="00806B0F" w:rsidRPr="00E5158C">
        <w:rPr>
          <w:rFonts w:ascii="Arial" w:hAnsi="Arial" w:cs="Arial"/>
          <w:sz w:val="22"/>
          <w:szCs w:val="22"/>
        </w:rPr>
        <w:t>hypersensitivity pneumonitis (HP)</w:t>
      </w:r>
      <w:r w:rsidR="00806B0F">
        <w:rPr>
          <w:rFonts w:ascii="Arial" w:hAnsi="Arial" w:cs="Arial"/>
          <w:sz w:val="22"/>
          <w:szCs w:val="22"/>
        </w:rPr>
        <w:t>;</w:t>
      </w:r>
      <w:r w:rsidR="00806B0F" w:rsidRPr="00E5158C">
        <w:rPr>
          <w:rFonts w:ascii="Arial" w:hAnsi="Arial" w:cs="Arial"/>
          <w:sz w:val="22"/>
          <w:szCs w:val="22"/>
        </w:rPr>
        <w:t xml:space="preserve"> </w:t>
      </w:r>
      <w:r w:rsidR="00806B0F">
        <w:rPr>
          <w:rFonts w:ascii="Arial" w:hAnsi="Arial" w:cs="Arial"/>
          <w:sz w:val="22"/>
          <w:szCs w:val="22"/>
        </w:rPr>
        <w:t xml:space="preserve">asbestos and </w:t>
      </w:r>
      <w:r w:rsidR="00806B0F" w:rsidRPr="00E5158C">
        <w:rPr>
          <w:rFonts w:ascii="Arial" w:hAnsi="Arial" w:cs="Arial"/>
          <w:sz w:val="22"/>
          <w:szCs w:val="22"/>
        </w:rPr>
        <w:t>pneumoconios</w:t>
      </w:r>
      <w:r w:rsidR="00806B0F">
        <w:rPr>
          <w:rFonts w:ascii="Arial" w:hAnsi="Arial" w:cs="Arial"/>
          <w:sz w:val="22"/>
          <w:szCs w:val="22"/>
        </w:rPr>
        <w:t>i</w:t>
      </w:r>
      <w:r w:rsidR="00806B0F" w:rsidRPr="00E5158C">
        <w:rPr>
          <w:rFonts w:ascii="Arial" w:hAnsi="Arial" w:cs="Arial"/>
          <w:sz w:val="22"/>
          <w:szCs w:val="22"/>
        </w:rPr>
        <w:t>s</w:t>
      </w:r>
      <w:r w:rsidR="00806B0F">
        <w:rPr>
          <w:rFonts w:ascii="Arial" w:hAnsi="Arial" w:cs="Arial"/>
          <w:sz w:val="22"/>
          <w:szCs w:val="22"/>
        </w:rPr>
        <w:t>)</w:t>
      </w:r>
      <w:r w:rsidR="00806B0F" w:rsidRPr="00E5158C">
        <w:rPr>
          <w:rFonts w:ascii="Arial" w:hAnsi="Arial" w:cs="Arial"/>
          <w:sz w:val="22"/>
          <w:szCs w:val="22"/>
        </w:rPr>
        <w:t>,</w:t>
      </w:r>
      <w:r w:rsidR="00806B0F">
        <w:rPr>
          <w:rFonts w:ascii="Arial" w:hAnsi="Arial" w:cs="Arial"/>
          <w:sz w:val="22"/>
          <w:szCs w:val="22"/>
        </w:rPr>
        <w:t xml:space="preserve"> </w:t>
      </w:r>
      <w:r w:rsidR="00806B0F">
        <w:rPr>
          <w:rFonts w:ascii="Arial" w:hAnsi="Arial" w:cs="Arial"/>
          <w:sz w:val="22"/>
          <w:szCs w:val="22"/>
        </w:rPr>
        <w:lastRenderedPageBreak/>
        <w:t>identification of inhaled exposures can also inform the diagnosis and management of idiopathic ILDs such as</w:t>
      </w:r>
      <w:r w:rsidR="00806B0F" w:rsidRPr="00E5158C">
        <w:rPr>
          <w:rFonts w:ascii="Arial" w:hAnsi="Arial" w:cs="Arial"/>
          <w:sz w:val="22"/>
          <w:szCs w:val="22"/>
        </w:rPr>
        <w:t xml:space="preserve"> </w:t>
      </w:r>
      <w:r w:rsidR="00806B0F">
        <w:rPr>
          <w:rFonts w:ascii="Arial" w:hAnsi="Arial" w:cs="Arial"/>
          <w:sz w:val="22"/>
          <w:szCs w:val="22"/>
        </w:rPr>
        <w:t>i</w:t>
      </w:r>
      <w:r w:rsidR="00806B0F" w:rsidRPr="00E5158C">
        <w:rPr>
          <w:rFonts w:ascii="Arial" w:hAnsi="Arial" w:cs="Arial"/>
          <w:sz w:val="22"/>
          <w:szCs w:val="22"/>
        </w:rPr>
        <w:t>diopathic pulmonary fibrosis (IPF)</w:t>
      </w:r>
      <w:r w:rsidR="00806B0F">
        <w:rPr>
          <w:rFonts w:ascii="Arial" w:hAnsi="Arial" w:cs="Arial"/>
          <w:sz w:val="22"/>
          <w:szCs w:val="22"/>
        </w:rPr>
        <w:t>.</w:t>
      </w:r>
      <w:r w:rsidR="002472CA">
        <w:rPr>
          <w:rFonts w:ascii="Arial" w:hAnsi="Arial" w:cs="Arial"/>
          <w:sz w:val="22"/>
          <w:szCs w:val="22"/>
        </w:rPr>
        <w:fldChar w:fldCharType="begin"/>
      </w:r>
      <w:r w:rsidR="00A86179">
        <w:rPr>
          <w:rFonts w:ascii="Arial" w:hAnsi="Arial" w:cs="Arial"/>
          <w:sz w:val="22"/>
          <w:szCs w:val="22"/>
        </w:rPr>
        <w:instrText xml:space="preserve"> ADDIN ZOTERO_ITEM CSL_CITATION {"citationID":"7El78NQq","properties":{"formattedCitation":"[3]","plainCitation":"[3]","noteIndex":0},"citationItems":[{"id":41,"uris":["http://zotero.org/users/local/5isXr7c7/items/FHVPJP6J"],"itemData":{"id":41,"type":"article-journal","abstract":"Background: This guideline addresses the diagnosis of hypersensitivity pneumonitis (HP). It represents a collaborative effort among the American Thoracic Society, Japanese Respiratory Society, and Asociación Latinoamericana del Tórax.Methods: Systematic reviews were performed for six questions. The evidence was discussed, and then recommendations were formulated by a multidisciplinary committee of experts in the field of interstitial lung disease and HP using the GRADE (Grading of Recommendations, Assessment, Development, and Evaluation) approach.Results: The guideline committee defined HP, and clinical, radiographic, and pathological features were described. HP was classified into nonfibrotic and fibrotic phenotypes. There was limited evidence that was directly applicable to all questions. The need for a thorough history and a validated questionnaire to identify potential exposures was agreed on. Serum IgG testing against potential antigens associated with HP was suggested to identify potential exposures. For patients with nonfibrotic HP, a recommendation was made in favor of obtaining bronchoalveolar lavage (BAL) fluid for lymphocyte cellular analysis, and suggestions for transbronchial lung biopsy and surgical lung biopsy were also made. For patients with fibrotic HP, suggestions were made in favor of obtaining BAL for lymphocyte cellular analysis, transbronchial lung cryobiopsy, and surgical lung biopsy. Diagnostic criteria were established, and a diagnostic algorithm was created by expert consensus. Knowledge gaps were identified as future research directions.Conclusions: The guideline committee developed a systematic approach to the diagnosis of HP. The approach should be reevaluated as new evidence accumulates.","container-title":"American Journal of Respiratory and Critical Care Medicine","DOI":"10.1164/rccm.202005-2032ST","ISSN":"1535-4970","issue":"3","journalAbbreviation":"Am J Respir Crit Care Med","language":"eng","note":"PMID: 32706311\nPMCID: PMC7397797","page":"e36-e69","source":"PubMed","title":"Diagnosis of Hypersensitivity Pneumonitis in Adults. An Official ATS/JRS/ALAT Clinical Practice Guideline","volume":"202","author":[{"family":"Raghu","given":"Ganesh"},{"family":"Remy-Jardin","given":"Martine"},{"family":"Ryerson","given":"Christopher J."},{"family":"Myers","given":"Jeffrey L."},{"family":"Kreuter","given":"Michael"},{"family":"Vasakova","given":"Martina"},{"family":"Bargagli","given":"El</w:instrText>
      </w:r>
      <w:r w:rsidR="00A86179">
        <w:rPr>
          <w:rFonts w:ascii="Arial" w:hAnsi="Arial" w:cs="Arial"/>
          <w:sz w:val="22"/>
          <w:szCs w:val="22"/>
        </w:rPr>
        <w:lastRenderedPageBreak/>
        <w:instrText xml:space="preserve">ena"},{"family":"Chung","given":"Jonathan H."},{"family":"Collins","given":"Bridget F."},{"family":"Bendstrup","given":"Elisabeth"},{"family":"Chami","given":"Hassan A."},{"family":"Chua","given":"Abigail T."},{"family":"Corte","given":"Tamera J."},{"family":"Dalphin","given":"Jean-Charles"},{"family":"Danoff","given":"Sonye K."},{"family":"Diaz-Mendoza","given":"Javier"},{"family":"Duggal","given":"Abhijit"},{"family":"Egashira","given":"Ryoko"},{"family":"Ewing","given":"Thomas"},{"family":"Gulati","given":"Mridu"},{"family":"Inoue","given":"Yoshikazu"},{"family":"Jenkins","given":"Alex R."},{"family":"Johannson","given":"Kerri A."},{"family":"Johkoh","given":"Takeshi"},{"family":"Tamae-Kakazu","given":"Maximiliano"},{"family":"Kitaichi","given":"Masanori"},{"family":"Knight","given":"Shandra L."},{"family":"Koschel","given":"Dirk"},{"family":"Lederer","given":"David J."},{"family":"Mageto","given":"Yolanda"},{"family":"Maier","given":"Lisa A."},{"family":"Matiz","given":"Carlos"},{"family":"Morell","given":"Ferran"},{"family":"Nicholson","given":"Andrew G."},{"family":"Patolia","given":"Setu"},{"family":"Pereira","given":"Carlos A."},{"family":"Renzoni","given":"Elisabetta A."},{"family":"Salisbury","given":"Margaret L."},{"family":"Selman","given":"Moises"},{"family":"Walsh","given":"Simon L. F."},{"family":"Wuyts","given":"Wim A."},{"family":"Wilson","given":"Kevin C."}],"issued":{"date-parts":[["2020",8,1]]}}}],"schema":"https://github.com/citation-style-language/schema/raw/master/csl-citation.json"} </w:instrText>
      </w:r>
      <w:r w:rsidR="002472CA">
        <w:rPr>
          <w:rFonts w:ascii="Arial" w:hAnsi="Arial" w:cs="Arial"/>
          <w:sz w:val="22"/>
          <w:szCs w:val="22"/>
        </w:rPr>
        <w:fldChar w:fldCharType="separate"/>
      </w:r>
      <w:r w:rsidR="00A86179">
        <w:rPr>
          <w:rFonts w:ascii="Arial" w:hAnsi="Arial" w:cs="Arial"/>
          <w:sz w:val="22"/>
        </w:rPr>
        <w:t>[3]</w:t>
      </w:r>
      <w:r w:rsidR="002472CA">
        <w:rPr>
          <w:rFonts w:ascii="Arial" w:hAnsi="Arial" w:cs="Arial"/>
          <w:sz w:val="22"/>
          <w:szCs w:val="22"/>
        </w:rPr>
        <w:fldChar w:fldCharType="end"/>
      </w:r>
      <w:r w:rsidR="00806B0F">
        <w:rPr>
          <w:rFonts w:ascii="Arial" w:hAnsi="Arial" w:cs="Arial"/>
          <w:sz w:val="22"/>
          <w:szCs w:val="22"/>
        </w:rPr>
        <w:t xml:space="preserve"> </w:t>
      </w:r>
      <w:r w:rsidR="00806B0F" w:rsidRPr="00C9114E">
        <w:rPr>
          <w:rFonts w:ascii="Arial" w:hAnsi="Arial" w:cs="Arial"/>
          <w:sz w:val="22"/>
          <w:szCs w:val="22"/>
        </w:rPr>
        <w:t xml:space="preserve">For example, the IPF population attributable fraction (PAF, the proportion of cases </w:t>
      </w:r>
      <w:r w:rsidR="00806B0F">
        <w:rPr>
          <w:rFonts w:ascii="Arial" w:hAnsi="Arial" w:cs="Arial"/>
          <w:sz w:val="22"/>
          <w:szCs w:val="22"/>
        </w:rPr>
        <w:t xml:space="preserve">that are </w:t>
      </w:r>
      <w:r w:rsidR="00806B0F" w:rsidRPr="00C9114E">
        <w:rPr>
          <w:rFonts w:ascii="Arial" w:hAnsi="Arial" w:cs="Arial"/>
          <w:sz w:val="22"/>
          <w:szCs w:val="22"/>
        </w:rPr>
        <w:t>due to</w:t>
      </w:r>
      <w:r w:rsidR="00806B0F">
        <w:rPr>
          <w:rFonts w:ascii="Arial" w:hAnsi="Arial" w:cs="Arial"/>
          <w:sz w:val="22"/>
          <w:szCs w:val="22"/>
        </w:rPr>
        <w:t xml:space="preserve"> an</w:t>
      </w:r>
      <w:r w:rsidR="00806B0F" w:rsidRPr="00C9114E">
        <w:rPr>
          <w:rFonts w:ascii="Arial" w:hAnsi="Arial" w:cs="Arial"/>
          <w:sz w:val="22"/>
          <w:szCs w:val="22"/>
        </w:rPr>
        <w:t xml:space="preserve"> exposure) for occupational </w:t>
      </w:r>
      <w:r w:rsidR="00806B0F">
        <w:rPr>
          <w:rFonts w:ascii="Arial" w:hAnsi="Arial" w:cs="Arial"/>
          <w:sz w:val="22"/>
          <w:szCs w:val="22"/>
        </w:rPr>
        <w:t xml:space="preserve">exposure to </w:t>
      </w:r>
      <w:r w:rsidR="00806B0F" w:rsidRPr="00C9114E">
        <w:rPr>
          <w:rFonts w:ascii="Arial" w:hAnsi="Arial" w:cs="Arial"/>
          <w:sz w:val="22"/>
          <w:szCs w:val="22"/>
        </w:rPr>
        <w:t>vapors, gases, dusts, and fumes (VGDF) is 26%</w:t>
      </w:r>
      <w:r w:rsidR="00FA7242">
        <w:rPr>
          <w:rFonts w:ascii="Arial" w:hAnsi="Arial" w:cs="Arial"/>
          <w:sz w:val="22"/>
          <w:szCs w:val="22"/>
        </w:rPr>
        <w:t>.</w:t>
      </w:r>
      <w:r w:rsidR="00FA7242">
        <w:rPr>
          <w:rFonts w:ascii="Arial" w:hAnsi="Arial" w:cs="Arial"/>
          <w:sz w:val="22"/>
          <w:szCs w:val="22"/>
        </w:rPr>
        <w:fldChar w:fldCharType="begin"/>
      </w:r>
      <w:r w:rsidR="00A86179">
        <w:rPr>
          <w:rFonts w:ascii="Arial" w:hAnsi="Arial" w:cs="Arial"/>
          <w:sz w:val="22"/>
          <w:szCs w:val="22"/>
        </w:rPr>
        <w:instrText xml:space="preserve"> ADDIN ZOTERO_ITEM CSL_CITATION {"citationID":"n28xW8zK","properties":{"formattedCitation":"[4]","plainCitation":"[4]","noteIndex":0},"citationItems":[{"id":46,"uris":["http://zotero.org/users/local/5isXr7c7/items/AW4NNJTI"],"itemData":{"id":46,"type":"article-journal","abstract":"Rationale: Workplace inhalational hazards remain common worldwide, even though they are ameliorable. Previous American Thoracic Society documents have assessed the contribution of workplace exposures to asthma and chronic obstructive pulmonary disease on a population level, but not to other chronic respiratory diseases. The goal of this document is to report an in-depth literature review and data synthesis of the occupational contribution to the burden of the major nonmalignant respiratory diseases, including airway diseases; interstitial fibrosis; hypersensitivity pneumonitis; other noninfectious granulomatous lung diseases, </w:instrText>
      </w:r>
      <w:r w:rsidR="00A86179">
        <w:rPr>
          <w:rFonts w:ascii="Arial" w:hAnsi="Arial" w:cs="Arial"/>
          <w:sz w:val="22"/>
          <w:szCs w:val="22"/>
        </w:rPr>
        <w:lastRenderedPageBreak/>
        <w:instrText xml:space="preserve">including sarcoidosis; and selected respiratory infections. Methods: Relevant literature was identified for each respiratory condition. The occupational population attributable fraction (PAF) was estimated for those conditions for which there were sufficient population-based studies to allow pooled estimates. For the other conditions, the occupational burden of disease was estimated on the basis of attribution in case series, incidence rate ratios, or attributable fraction within an exposed group. Results: Workplace exposures contribute substantially to the burden of multiple chronic respiratory diseases, including asthma (PAF, 16%); chronic obstructive pulmonary disease (PAF, 14%); chronic bronchitis (PAF, 13%); idiopathic pulmonary fibrosis (PAF, 26%); hypersensitivity pneumonitis (occupational burden, 19%); other granulomatous diseases, including sarcoidosis (occupational burden, 30%); pulmonary alveolar proteinosis (occupational burden, 29%); tuberculosis (occupational burden, 2.3% in silica-exposed workers and 1% in healthcare workers); and community-acquired pneumonia in working-age adults (PAF, 10%). Conclusions: Workplace exposures contribute to the burden of disease across a range of nonmalignant lung conditions in adults (in addition to the 100% burden for the classic occupational pneumoconioses). This burden has important clinical, research, and policy implications. There is a pressing need to improve clinical recognition and public health awareness of the contribution of occupational factors across a range of nonmalignant respiratory diseases.","container-title":"American Journal of Respiratory and Critical Care Medicine","DOI":"10.1164/rccm.201904-0717ST","ISSN":"1535-4970","issue":"11","journalAbbreviation":"Am J Respir Crit Care Med","language":"eng","note":"PMID: 31149852\nPMCID: PMC6543721","page":"1312-1334","source":"PubMed","title":"The Occupational Burden of Nonmalignant Respiratory Diseases. An Official American Thoracic Society and European Respiratory Society Statement","volume":"199","author":[{"family":"Blanc","given":"Paul D."},{"family":"Annesi-Maesano","given":"Isabella"},{"family":"Balmes","given":"John R."},{"family":"Cummings","given":"Kristin J."},{"family":"Fishwick","given":"David"},{"family":"Miedinger","given":"David"},{"family":"Murgia","given":"Nicola"},{"family":"Naidoo","given":"Rajen N."},{"family":"Reynolds","given":"Carl J."},{"family":"Sigsgaard","given":"Torben"},{"family":"Torén","given":"Kjell"},{"family":"Vinnikov","given":"Denis"},{"family":"Redlich","given":"Carrie A."}],"issued":{"date-parts":[["2019",6,1]]}}}],"schema":"https://github.com/citation-style-language/schema/raw/master/csl-citation.json"} </w:instrText>
      </w:r>
      <w:r w:rsidR="00FA7242">
        <w:rPr>
          <w:rFonts w:ascii="Arial" w:hAnsi="Arial" w:cs="Arial"/>
          <w:sz w:val="22"/>
          <w:szCs w:val="22"/>
        </w:rPr>
        <w:fldChar w:fldCharType="separate"/>
      </w:r>
      <w:r w:rsidR="00A86179">
        <w:rPr>
          <w:rFonts w:ascii="Arial" w:hAnsi="Arial" w:cs="Arial"/>
          <w:sz w:val="22"/>
        </w:rPr>
        <w:t>[4]</w:t>
      </w:r>
      <w:r w:rsidR="00FA7242">
        <w:rPr>
          <w:rFonts w:ascii="Arial" w:hAnsi="Arial" w:cs="Arial"/>
          <w:sz w:val="22"/>
          <w:szCs w:val="22"/>
        </w:rPr>
        <w:fldChar w:fldCharType="end"/>
      </w:r>
      <w:r w:rsidR="00FA7242">
        <w:rPr>
          <w:rFonts w:ascii="Arial" w:hAnsi="Arial" w:cs="Arial"/>
          <w:sz w:val="22"/>
          <w:szCs w:val="22"/>
        </w:rPr>
        <w:t xml:space="preserve"> </w:t>
      </w:r>
      <w:r w:rsidR="00806B0F">
        <w:rPr>
          <w:rFonts w:ascii="Arial" w:hAnsi="Arial" w:cs="Arial"/>
          <w:sz w:val="22"/>
          <w:szCs w:val="22"/>
        </w:rPr>
        <w:t xml:space="preserve">Approximately 45% of patients with IPF, </w:t>
      </w:r>
      <w:r w:rsidR="00806B0F" w:rsidRPr="00E5158C">
        <w:rPr>
          <w:rFonts w:ascii="Arial" w:hAnsi="Arial" w:cs="Arial"/>
          <w:sz w:val="22"/>
          <w:szCs w:val="22"/>
        </w:rPr>
        <w:t xml:space="preserve">connective tissue disease-related ILDs </w:t>
      </w:r>
      <w:r w:rsidR="00806B0F">
        <w:rPr>
          <w:rFonts w:ascii="Arial" w:hAnsi="Arial" w:cs="Arial"/>
          <w:sz w:val="22"/>
          <w:szCs w:val="22"/>
        </w:rPr>
        <w:t xml:space="preserve">(CTD-ILDs), or </w:t>
      </w:r>
      <w:r w:rsidR="00806B0F">
        <w:rPr>
          <w:rFonts w:ascii="Arial" w:hAnsi="Arial" w:cs="Arial"/>
          <w:sz w:val="22"/>
          <w:szCs w:val="22"/>
        </w:rPr>
        <w:lastRenderedPageBreak/>
        <w:t>unclassifiable ILDs reported exposure to organic, inorganic, or both types of exposures in the previous 3 years.</w:t>
      </w:r>
      <w:r w:rsidR="00F223C5">
        <w:rPr>
          <w:rFonts w:ascii="Arial" w:hAnsi="Arial" w:cs="Arial"/>
          <w:sz w:val="22"/>
          <w:szCs w:val="22"/>
        </w:rPr>
        <w:fldChar w:fldCharType="begin"/>
      </w:r>
      <w:r w:rsidR="00A86179">
        <w:rPr>
          <w:rFonts w:ascii="Arial" w:hAnsi="Arial" w:cs="Arial"/>
          <w:sz w:val="22"/>
          <w:szCs w:val="22"/>
        </w:rPr>
        <w:instrText xml:space="preserve"> ADDIN ZOTERO_ITEM CSL_CITATION {"citationID":"ewUBqTqh","properties":{"formattedCitation":"[5], [6]","plainCitation":"[5], [6]","noteIndex":0},"citationItems":[{"id":1,"uris":["http://zotero.org/users/local/5isXr7c7/items/XDZTHLCJ"],"itemData":{"id":1,"type":"article-journal","abstract":"BACKGROUND: Inhalational exposures are increasingly recognized as contributing factors in interstitial lung disease (ILD). However, the characteristics of both exposures and exposed patients are not well understood. We hypothesized that domestic and occupational inhalational exposures would be common and associated with differences in demographics, clinical characteristics, and transplant-free survival in patients with all forms of ILD.\nRESEARCH QUESTION: What is the prevalence of inhalational exposures across all ILD diagnoses, and are these exposures associated with differences in demographics, clinical characteristics, and transplant-free survival?\nSTUDY DESIGN AND METHODS: Patients from a tertiary ILD clinic underwent an interview designed to capture inhalational exposures including occupational, home, hobbies, and tobacco. Demographic and survival data were collected from the electronic medical record. Survival analysis was performed using Cox regression to compare exposed vs unexposed patients and adjusted for gender-age-physiology score and smoking.\nRESULTS: One hundred and fifty-six patients seen between May and October 2018 were analyzed. Patients had a wide variety of multidisciplinary diagnoses, with a minority of patients with hypersensitivity pneumonitis (14%). One hundred and one patients (65%) had potentially relevant inhalational exposures. More men than women had a history of any exposure (82% vs 51%; P &lt; .001), occupational exposure (66% vs 14%, P &lt; .001), and multiple exposures (56% vs 26%, P &lt; .001), respectively. White race was associated with bird and hobby exposure. Patients with any exposure had worse transplant-free survival (unadjusted hazard ratio, 2.58; 95% CI, 1.13-5.92; P = .025), but this was not statistically significant after adjustment (hazard ratio, 1.82; 95% CI, 0.77-4.27; P = .17).\nINTERPRETATION: A standardized interview revealed most patients across all types of ILD had potentially relevant inhalational exposures. Exposures were markedly different based on demographics and were associated with worse transplant-free survival, but this survival difference was not significant after multivariable adjustment. Identification and avoidance of exposures represent actionable targets in ILD management.","container-title":"Chest","DOI":"10.1016/j.chest.2021.02.026","ISSN":"1931-3543","issue":"1","journalAbbreviation":"Chest","language":"eng","note":"PMID: 33621598","page":"209-</w:instrText>
      </w:r>
      <w:r w:rsidR="00A86179">
        <w:rPr>
          <w:rFonts w:ascii="Arial" w:hAnsi="Arial" w:cs="Arial"/>
          <w:sz w:val="22"/>
          <w:szCs w:val="22"/>
        </w:rPr>
        <w:lastRenderedPageBreak/>
        <w:instrText xml:space="preserve">218","source":"PubMed","title":"Characteristics and Prevalence of Domestic and Occupational Inhalational Exposures Across Interstitial Lung Diseases","volume":"160","author":[{"family":"Lee","given":"Cathryn T."},{"family":"Adegunsoye","given":"Ayodeji"},{"family":"Chung","given":"Jonathan H."},{"family":"Ventura","given":"Iazsmin Bauer"},{"family":"Jablonski","given":"Renea"},{"family":"Montner","given":"Steven"},{"family":"Vij","given":"Rekha"},{"family":"Hines","given":"Stella E."},{"family":"Strek","given":"Mary E."}],"issued":{"date-parts":[["2021",7]]}}},{"id":1340,"uris":["http://zotero.org/users/local/5isXr7c7/items/GCCPBXTZ"],"itemData":{"id":1340,"type":"article-journal","abstract":"BACKGROUND AND OBJECTIVE: Inhalational exposures are a known cause of interstitial lung disease (ILD), but little is understood about their prevalence across ILD subtypes and their relationship with pulmonary function and survival.\nMETHODS: Patients with fibrotic ILD were identified from the multicentre Canadian Registry for Pulmonary Fibrosis. Patients completed questionnaires regarding ILD-related occupational and environmental exposures. The relationship between exposures and the outcomes of baseline age, gender, family history, pulmonary function and survival was analysed using linear and logistic regression models, linear mixed-effect regression models and survival analysis using multivariable Cox proportional hazards along with the log-rank test.\nRESULTS: There were 3820 patients included in this study, with 2385 (62%) having ILD-related inhalational exposure. Exposed patients were younger, particularly in the idiopathic pulmonary fibrosis subgroup. Inhalational exposure was associated with male gender (adjusted OR 1.46, 95% CI 1.28-1.68, p &lt; 0.001) and family history of pulmonary fibrosis (adjusted OR 1.73, 95% CI 1.40-2.15, p &lt; 0.001). Patients with any inhalational exposure had improved transplant-free survival (hazard ratio 0.81, 95% CI 0.71-0.92, p = 0.001); this effect persisted across diagnostic subtypes. The relationship between exposures and annual change in forced vital capacity varied by ILD subtype.\nCONCLUSION: Patients with fibrotic ILD report high prevalence of inhalational exposures across ILD subtypes. These exposures were associated with younger age at diagnosis, male gender and family history of pulmonary fibrosis. Identification of an inhalational exposure was associated with a survival benefit. These findings suggest that inhaled exposures may impact clinical outcomes in patients with ILD, and future work should characterize the mechanisms underlying these relationships.","container-title":"Respirology (Carlton, Vic.)","DOI":"10.1111/resp.14267","ISSN":"1440-1843","issue":"8","journalAbbreviation":"Respirology","language":"eng","note":"PMID: 35512793\nPMCID: </w:instrText>
      </w:r>
      <w:r w:rsidR="00A86179">
        <w:rPr>
          <w:rFonts w:ascii="Arial" w:hAnsi="Arial" w:cs="Arial"/>
          <w:sz w:val="22"/>
          <w:szCs w:val="22"/>
        </w:rPr>
        <w:lastRenderedPageBreak/>
        <w:instrText xml:space="preserve">PMC9296585","page":"635-644","source":"PubMed","title":"Inhalational exposures in patients with fibrotic interstitial lung disease: Presentation, pulmonary function and survival in the Canadian Registry for Pulmonary Fibrosis","title-short":"Inhalational exposures in patients with fibrotic interstitial lung disease","volume":"27","author":[{"family":"Lee","given":"Cathryn T."},{"family":"Strek","given":"Mary E."},{"family":"Adegunsoye","given":"Ayodeji"},{"family":"Wong","given":"Alyson W."},{"family":"Assayag","given":"Deborah"},{"family":"Cox","given":"Gerard"},{"family":"Fell","given":"Charlene D."},{"family":"Fisher","given":"Jolene H."},{"family":"Gershon","given":"Andrea S."},{"family":"Halayko","given":"Andrew J."},{"family":"Hambly","given":"Nathan"},{"family":"Khalil","given":"Nasreen"},{"family":"Kolb","given":"Martin"},{"family":"Lok","given":"Stacey D."},{"family":"Manganas","given":"Hélène"},{"family":"Marcoux","given":"Veronica"},{"family":"Morisset","given":"Julie"},{"family":"Sadatsafavi","given":"Mohsen"},{"family":"Shapera","given":"Shane"},{"family":"To","given":"Teresa"},{"family":"Wilcox","given":"Pearce"},{"family":"Ryerson","given":"Christopher J."},{"family":"Johannson","given":"Kerri A."}],"issued":{"date-parts":[["2022",8]]}}}],"schema":"https://github.com/citation-style-language/schema/raw/master/csl-citation.json"} </w:instrText>
      </w:r>
      <w:r w:rsidR="00F223C5">
        <w:rPr>
          <w:rFonts w:ascii="Arial" w:hAnsi="Arial" w:cs="Arial"/>
          <w:sz w:val="22"/>
          <w:szCs w:val="22"/>
        </w:rPr>
        <w:fldChar w:fldCharType="separate"/>
      </w:r>
      <w:r w:rsidR="00A86179">
        <w:rPr>
          <w:rFonts w:ascii="Arial" w:hAnsi="Arial" w:cs="Arial"/>
          <w:sz w:val="22"/>
        </w:rPr>
        <w:t>[5], [6]</w:t>
      </w:r>
      <w:r w:rsidR="00F223C5">
        <w:rPr>
          <w:rFonts w:ascii="Arial" w:hAnsi="Arial" w:cs="Arial"/>
          <w:sz w:val="22"/>
          <w:szCs w:val="22"/>
        </w:rPr>
        <w:fldChar w:fldCharType="end"/>
      </w:r>
      <w:r w:rsidR="00806B0F" w:rsidRPr="00E5158C">
        <w:rPr>
          <w:rFonts w:ascii="Arial" w:hAnsi="Arial" w:cs="Arial"/>
          <w:sz w:val="22"/>
          <w:szCs w:val="22"/>
        </w:rPr>
        <w:t xml:space="preserve"> </w:t>
      </w:r>
      <w:r w:rsidR="00806B0F">
        <w:rPr>
          <w:rFonts w:ascii="Arial" w:hAnsi="Arial" w:cs="Arial"/>
          <w:sz w:val="22"/>
          <w:szCs w:val="22"/>
        </w:rPr>
        <w:t>In general, t</w:t>
      </w:r>
      <w:r w:rsidR="00806B0F" w:rsidRPr="00E5158C">
        <w:rPr>
          <w:rFonts w:ascii="Arial" w:hAnsi="Arial" w:cs="Arial"/>
          <w:sz w:val="22"/>
          <w:szCs w:val="22"/>
        </w:rPr>
        <w:t>he strength and causal nature of these associations remains incompletely understood.</w:t>
      </w:r>
      <w:r w:rsidR="00806B0F" w:rsidRPr="00E5158C">
        <w:rPr>
          <w:rFonts w:ascii="Arial" w:hAnsi="Arial" w:cs="Arial"/>
          <w:sz w:val="22"/>
          <w:szCs w:val="22"/>
        </w:rPr>
        <w:fldChar w:fldCharType="begin"/>
      </w:r>
      <w:r w:rsidR="00A86179">
        <w:rPr>
          <w:rFonts w:ascii="Arial" w:hAnsi="Arial" w:cs="Arial"/>
          <w:sz w:val="22"/>
          <w:szCs w:val="22"/>
        </w:rPr>
        <w:instrText xml:space="preserve"> ADDIN ZOTERO_ITEM CSL_CITATION {"citationID":"LIraFKKy","properties":{"formattedCitation":"[4]","plainCitation":"[4]","noteIndex":0},"citationItems":[{"id":46,"uris":["http://zotero.org/users/local/5isXr7c7/items/AW4NNJTI"],"itemData":{"id":46,"type":"article-journal","abstract":"Rationale: Workplace inhalational hazards remain common worldwide, even though they are ameliorable. Previous American Thoracic Society documents have assessed the contribution of workplace exposures to asthma and chronic obstructive pulmonary disease on a population level, but not to other chronic respiratory diseases. The goal of this document is to report an in-depth literature review and data synthesis of the occupational contribution to the burden of the major nonmalignant respiratory diseases, including airway diseases; interstitial fibrosis; hypersensitivity pneumonitis; other noninfectious granulomatous lung diseases, including sarcoidosis; and selected respiratory infections. Methods: Relevant literature was identified for each respiratory condition. The occupational population attributable fraction (PAF) was estimated for those conditions for which there were sufficient population-based studies to allow pooled estimates. For the other </w:instrText>
      </w:r>
      <w:r w:rsidR="00A86179">
        <w:rPr>
          <w:rFonts w:ascii="Arial" w:hAnsi="Arial" w:cs="Arial"/>
          <w:sz w:val="22"/>
          <w:szCs w:val="22"/>
        </w:rPr>
        <w:lastRenderedPageBreak/>
        <w:instrText xml:space="preserve">conditions, the occupational burden of disease was estimated on the basis of attribution in case series, incidence rate ratios, or attributable fraction within an exposed group. Results: Workplace exposures contribute substantially to the burden of multiple chronic respiratory diseases, including asthma (PAF, 16%); chronic obstructive pulmonary disease (PAF, 14%); chronic bronchitis (PAF, 13%); idiopathic pulmonary fibrosis (PAF, 26%); hypersensitivity pneumonitis (occupational burden, 19%); other granulomatous diseases, including sarcoidosis (occupational burden, 30%); pulmonary alveolar proteinosis (occupational burden, 29%); tuberculosis (occupational burden, 2.3% in silica-exposed workers and 1% in healthcare workers); and community-acquired pneumonia in working-age adults (PAF, 10%). Conclusions: Workplace exposures contribute to the burden of disease across a range of nonmalignant lung conditions in adults (in addition to the 100% burden for the classic occupational pneumoconioses). This burden has important clinical, research, and policy implications. There is a pressing need to improve clinical recognition and public health awareness of the contribution of occupational factors across a range of nonmalignant respiratory diseases.","container-title":"American Journal of Respiratory and Critical Care Medicine","DOI":"10.1164/rccm.201904-0717ST","ISSN":"1535-4970","issue":"11","journalAbbreviation":"Am J Respir Crit Care Med","language":"eng","note":"PMID: 31149852\nPMCID: PMC6543721","page":"1312-1334","source":"PubMed","title":"The Occupational Burden of Nonmalignant Respiratory Diseases. An Official American Thoracic Society and European Respiratory Society Statement","volume":"199","author":[{"family":"Blanc","given":"Paul D."},{"family":"Annesi-Maesano","given":"Isabella"},{"family":"Balmes","given":"John R."},{"family":"Cummings","given":"Kristin J."},{"family":"Fishwick","given":"David"},{"family":"Miedinger","given":"David"},{"family":"Murgia","given":"Nicola"},{"family":"Naidoo","given":"Rajen N."},{"family":"Reynolds","given":"Carl J."},{"family":"Sigsgaard","given":"Torben"},{"family":"Torén","given":"Kjell"},{"family":"Vinnikov","given":"Denis"},{"family":"Redlich","given":"Carrie A."}],"issued":{"date-parts":[["2019",6,1]]}}}],"schema":"https://github.com/citation-style-language/schema/raw/master/csl-citation.json"} </w:instrText>
      </w:r>
      <w:r w:rsidR="00806B0F" w:rsidRPr="00E5158C">
        <w:rPr>
          <w:rFonts w:ascii="Arial" w:hAnsi="Arial" w:cs="Arial"/>
          <w:sz w:val="22"/>
          <w:szCs w:val="22"/>
        </w:rPr>
        <w:fldChar w:fldCharType="separate"/>
      </w:r>
      <w:r w:rsidR="00A86179">
        <w:rPr>
          <w:rFonts w:ascii="Arial" w:hAnsi="Arial" w:cs="Arial"/>
          <w:sz w:val="22"/>
        </w:rPr>
        <w:t>[4]</w:t>
      </w:r>
      <w:r w:rsidR="00806B0F" w:rsidRPr="00E5158C">
        <w:rPr>
          <w:rFonts w:ascii="Arial" w:hAnsi="Arial" w:cs="Arial"/>
          <w:sz w:val="22"/>
          <w:szCs w:val="22"/>
        </w:rPr>
        <w:fldChar w:fldCharType="end"/>
      </w:r>
    </w:p>
    <w:p w14:paraId="2A21813F" w14:textId="6268282A" w:rsidR="002C76DD" w:rsidRPr="00E5158C" w:rsidRDefault="002C76DD" w:rsidP="002B6C71">
      <w:pPr>
        <w:spacing w:line="480" w:lineRule="auto"/>
        <w:rPr>
          <w:rFonts w:ascii="Arial" w:hAnsi="Arial" w:cs="Arial"/>
          <w:sz w:val="22"/>
          <w:szCs w:val="22"/>
        </w:rPr>
      </w:pPr>
    </w:p>
    <w:p w14:paraId="5013ACA1" w14:textId="405B5895" w:rsidR="00BB4F09" w:rsidRPr="00E5158C" w:rsidRDefault="00E00684" w:rsidP="002B6C71">
      <w:pPr>
        <w:spacing w:line="480" w:lineRule="auto"/>
        <w:rPr>
          <w:rFonts w:ascii="Arial" w:hAnsi="Arial" w:cs="Arial"/>
          <w:sz w:val="22"/>
          <w:szCs w:val="22"/>
        </w:rPr>
      </w:pPr>
      <w:r w:rsidRPr="00E5158C">
        <w:rPr>
          <w:rFonts w:ascii="Arial" w:hAnsi="Arial" w:cs="Arial"/>
          <w:sz w:val="22"/>
          <w:szCs w:val="22"/>
        </w:rPr>
        <w:t xml:space="preserve">Hundreds of potential </w:t>
      </w:r>
      <w:r w:rsidR="008538DE">
        <w:rPr>
          <w:rFonts w:ascii="Arial" w:hAnsi="Arial" w:cs="Arial"/>
          <w:sz w:val="22"/>
          <w:szCs w:val="22"/>
        </w:rPr>
        <w:t xml:space="preserve">ILD-related </w:t>
      </w:r>
      <w:r w:rsidR="002C76DD" w:rsidRPr="00E5158C">
        <w:rPr>
          <w:rFonts w:ascii="Arial" w:hAnsi="Arial" w:cs="Arial"/>
          <w:sz w:val="22"/>
          <w:szCs w:val="22"/>
        </w:rPr>
        <w:t xml:space="preserve">exposures have been identified over </w:t>
      </w:r>
      <w:r w:rsidRPr="00E5158C">
        <w:rPr>
          <w:rFonts w:ascii="Arial" w:hAnsi="Arial" w:cs="Arial"/>
          <w:sz w:val="22"/>
          <w:szCs w:val="22"/>
        </w:rPr>
        <w:t>time</w:t>
      </w:r>
      <w:r w:rsidR="002C76DD" w:rsidRPr="00E5158C">
        <w:rPr>
          <w:rFonts w:ascii="Arial" w:hAnsi="Arial" w:cs="Arial"/>
          <w:sz w:val="22"/>
          <w:szCs w:val="22"/>
        </w:rPr>
        <w:t>, a</w:t>
      </w:r>
      <w:r w:rsidR="00697F38" w:rsidRPr="00E5158C">
        <w:rPr>
          <w:rFonts w:ascii="Arial" w:hAnsi="Arial" w:cs="Arial"/>
          <w:sz w:val="22"/>
          <w:szCs w:val="22"/>
        </w:rPr>
        <w:t>nd the emergence of new technologies mean</w:t>
      </w:r>
      <w:r w:rsidR="00AA3C8F">
        <w:rPr>
          <w:rFonts w:ascii="Arial" w:hAnsi="Arial" w:cs="Arial"/>
          <w:sz w:val="22"/>
          <w:szCs w:val="22"/>
        </w:rPr>
        <w:t>s</w:t>
      </w:r>
      <w:r w:rsidR="00697F38" w:rsidRPr="00E5158C">
        <w:rPr>
          <w:rFonts w:ascii="Arial" w:hAnsi="Arial" w:cs="Arial"/>
          <w:sz w:val="22"/>
          <w:szCs w:val="22"/>
        </w:rPr>
        <w:t xml:space="preserve"> that novel exposure-disease associations are recognized every year. For instance, </w:t>
      </w:r>
      <w:r w:rsidR="00596373" w:rsidRPr="00E5158C">
        <w:rPr>
          <w:rFonts w:ascii="Arial" w:hAnsi="Arial" w:cs="Arial"/>
          <w:sz w:val="22"/>
          <w:szCs w:val="22"/>
        </w:rPr>
        <w:t xml:space="preserve">being </w:t>
      </w:r>
      <w:r w:rsidR="00596373" w:rsidRPr="00E5158C">
        <w:rPr>
          <w:rFonts w:ascii="Arial" w:hAnsi="Arial" w:cs="Arial"/>
          <w:sz w:val="22"/>
          <w:szCs w:val="22"/>
        </w:rPr>
        <w:lastRenderedPageBreak/>
        <w:t xml:space="preserve">employed in a dental office, exposure to </w:t>
      </w:r>
      <w:r w:rsidR="00697F38" w:rsidRPr="00E5158C">
        <w:rPr>
          <w:rFonts w:ascii="Arial" w:hAnsi="Arial" w:cs="Arial"/>
          <w:sz w:val="22"/>
          <w:szCs w:val="22"/>
        </w:rPr>
        <w:t>silica from artificial stone countertops</w:t>
      </w:r>
      <w:r w:rsidR="00596373" w:rsidRPr="00E5158C">
        <w:rPr>
          <w:rFonts w:ascii="Arial" w:hAnsi="Arial" w:cs="Arial"/>
          <w:sz w:val="22"/>
          <w:szCs w:val="22"/>
        </w:rPr>
        <w:t xml:space="preserve">, and indium from </w:t>
      </w:r>
      <w:r w:rsidR="008423D4">
        <w:rPr>
          <w:rFonts w:ascii="Arial" w:hAnsi="Arial" w:cs="Arial"/>
          <w:sz w:val="22"/>
          <w:szCs w:val="22"/>
        </w:rPr>
        <w:t>liquid-crystal display (</w:t>
      </w:r>
      <w:r w:rsidR="00596373" w:rsidRPr="00E5158C">
        <w:rPr>
          <w:rFonts w:ascii="Arial" w:hAnsi="Arial" w:cs="Arial"/>
          <w:sz w:val="22"/>
          <w:szCs w:val="22"/>
        </w:rPr>
        <w:t>LCD</w:t>
      </w:r>
      <w:r w:rsidR="008423D4">
        <w:rPr>
          <w:rFonts w:ascii="Arial" w:hAnsi="Arial" w:cs="Arial"/>
          <w:sz w:val="22"/>
          <w:szCs w:val="22"/>
        </w:rPr>
        <w:t>)</w:t>
      </w:r>
      <w:r w:rsidR="00596373" w:rsidRPr="00E5158C">
        <w:rPr>
          <w:rFonts w:ascii="Arial" w:hAnsi="Arial" w:cs="Arial"/>
          <w:sz w:val="22"/>
          <w:szCs w:val="22"/>
        </w:rPr>
        <w:t xml:space="preserve"> screens have all </w:t>
      </w:r>
      <w:r w:rsidR="00EC2CF9">
        <w:rPr>
          <w:rFonts w:ascii="Arial" w:hAnsi="Arial" w:cs="Arial"/>
          <w:sz w:val="22"/>
          <w:szCs w:val="22"/>
        </w:rPr>
        <w:t xml:space="preserve">been </w:t>
      </w:r>
      <w:r w:rsidR="00596373" w:rsidRPr="00E5158C">
        <w:rPr>
          <w:rFonts w:ascii="Arial" w:hAnsi="Arial" w:cs="Arial"/>
          <w:sz w:val="22"/>
          <w:szCs w:val="22"/>
        </w:rPr>
        <w:t>putatively associated with ILD</w:t>
      </w:r>
      <w:r w:rsidR="002C76DD" w:rsidRPr="00E5158C">
        <w:rPr>
          <w:rFonts w:ascii="Arial" w:hAnsi="Arial" w:cs="Arial"/>
          <w:sz w:val="22"/>
          <w:szCs w:val="22"/>
        </w:rPr>
        <w:t>.</w:t>
      </w:r>
      <w:r w:rsidR="00596373" w:rsidRPr="00E5158C">
        <w:rPr>
          <w:rFonts w:ascii="Arial" w:hAnsi="Arial" w:cs="Arial"/>
          <w:sz w:val="22"/>
          <w:szCs w:val="22"/>
        </w:rPr>
        <w:fldChar w:fldCharType="begin"/>
      </w:r>
      <w:r w:rsidR="00A86179">
        <w:rPr>
          <w:rFonts w:ascii="Arial" w:hAnsi="Arial" w:cs="Arial"/>
          <w:sz w:val="22"/>
          <w:szCs w:val="22"/>
        </w:rPr>
        <w:instrText xml:space="preserve"> ADDIN ZOTERO_ITEM CSL_CITATION {"citationID":"FDH2Z8sq","properties":{"formattedCitation":"[7], [8], [9]","plainCitation":"[7], [8], [9]","noteIndex":0},"citationItems":[{"id":97,"uris":["http://zotero.org/users/local/5isXr7c7/items/DBU33SS3"],"itemData":{"id":97,"type":"article-journal","abstract":"In April 2016, a Virginia dentist who had recently received a diagnosis of idiopathic pulmonary fibrosis (IPF) and was undergoing treatment at a specialty clinic at a Virginia tertiary care center contacted CDC to report concerns that IPF had been diagnosed in multiple Virginia dentists who had sought treatment at the same specialty clinic. IPF is a chronic, progressive lung disease of unknown cause and associated with a poor prognosis (1). Although IPF has been associated with certain occupations (2), no published data exist regarding IPF in dentists. The medical records for all 894 patients treated for IPF at the Virginia tertiary care center during September 1996-June 2017 were reviewed for evidence that the patient had worked as a dentist, dental hygienist, or dental technician; among these patients, eight (0.9%) were identified as dentists and one (0.1%) as a dental technician, and each had sought treatment during 2000-2015. Seven of these nine patients had died. A questionnaire was administered to one of the living patients, who reported polishing dental appliances and preparing amalgams and impressions without respiratory protection. Substances used during these tasks contained silica, polyvinyl siloxane, alginate, and other compounds with known or potential respiratory toxicity. Although no clear etiologies for this cluster exist, occupational exposures possibly contributed. This cluster of IPF cases reinforces the need to understand further the unique occupational exposures of dental personnel and the association between these exposures and the risk for developing IPF so that appropriate strategies can be developed for the prevention of potentially harmful exposures.","container-title":"MMWR. Morbidity and mortality weekly report","DOI":"10.15585/mmwr.mm6709a2","ISSN":"1545-861X","issue":"9","journalAbbreviation":"MMWR Morb Mortal Wkly Rep","language":"eng","note":"PMID: 29518070\nPMCID: PMC5844279","page":"270-273","source":"PubMed","title":"Dental Personnel Treated for Idiopathic Pulmonary Fibrosis at a Tertiary Care Center - Virginia, 2000-2015","volume":"67","author":[{"family":"Nett","given":"Randall J."},{"family":"Cummings","given":"Kristin J."},{"family":"Cannon","given":"Brenna"},{"family":"Cox-Ganser","given":"Jean"},{"family":"Nathan","given":"Steven D."}],"issued":{"date-parts":[["2018",3,9]]}}},{"id":474,"uris":["http://zotero.org/users/local/5isXr7c7/items/2JVAKEJ5"],"itemData":{"id":</w:instrText>
      </w:r>
      <w:r w:rsidR="00A86179">
        <w:rPr>
          <w:rFonts w:ascii="Arial" w:hAnsi="Arial" w:cs="Arial"/>
          <w:sz w:val="22"/>
          <w:szCs w:val="22"/>
        </w:rPr>
        <w:lastRenderedPageBreak/>
        <w:instrText xml:space="preserve">474,"type":"article-journal","abstract":"Silicosis is a progressive fibrotic lung disease that is caused by the inhalation of respirable crystalline silica. Due to its high silica content, artificial stone (AS) can become a possible source of hazardous dust exposure for workers that are employed in the manufacturing, finishing, and installing of AS countertops. Therefore, the aim of this review was to verify the association between AS derived silica exposure and silicosis development, and also then define the pathological characteristics of the disease in relation to specific work practices and preventive and protective measures that were adopted in the workplace. A systematic review of articles available on Pubmed, Scopus, and Isi Web of Knowledge databases was performed. Although the characteristics of AS-associated silicosis were comparable to those that were reported for the disease in traditional silica exposure settings, some critical issues emerged concerning the general lack of suitable strategies for assessing/managing silica risks in these innovative occupational fields. Further research that is designed to assess the hazardous properties of AS dusts, levels of exposure in workplaces, and the effectiveness of protective equipment appears to be needed to increase awareness concerning AS risks and induce employers, employees, and all factory figures that are engaged in prevention to take action to define/adopt proper measures to protect the health of exposed workers.","container-title":"International Journal of Environmental Research and Public Health","DOI":"10.3390/ijerph16040568","ISSN":"1661-7827","issue":"4","journalAbbreviation":"Int J Environ Res Public Health","note":"PMID: 30781462\nPMCID: PMC6406954","page":"568","source":"PubMed Central","title":"Artificial Stone Associated Silicosis: A Systematic Review","title-short":"Artificial Stone Associated Silicosis","volume":"16","author":[{"family":"Leso","given":"Veruscka"},{"family":"Fontana","given":"Luca"},{"family":"Romano","given":"Rosaria"},{"family":"Gervetti","given":"Paola"},{"family":"Iavicoli","given":"Ivo"}],"issued":{"date-parts":[["2019",2]]}}},{"id":1118,"uris":["http://zotero.org/users/local/5isXr7c7/items/G6KS7753"],"itemData":{"id":1118,"type":"article-journal","abstract":"The production of indium-tin oxide has increased in the past decades due to the increased manufacture of liquid crystal displays (LCD). Taiwan is one of the highest indium-consuming countries worldwide. After repeated inhalation, indium oxide (In2O3) particles would accumulate in the lungs, resulting in severe lung effects. We report two workers of an LCD producing facility with elevated serum indium level up to 149 and 73.8 μg/L (normal value &lt;3.5 μg/L), which was much higher than that </w:instrText>
      </w:r>
      <w:r w:rsidR="00A86179">
        <w:rPr>
          <w:rFonts w:ascii="Arial" w:hAnsi="Arial" w:cs="Arial"/>
          <w:sz w:val="22"/>
          <w:szCs w:val="22"/>
        </w:rPr>
        <w:lastRenderedPageBreak/>
        <w:instrText xml:space="preserve">observed in previous case reports in Taiwan. We collected their detailed working history, symptoms, pulmonary function, radiologic findings, and followed up for more than one year. We also performed workplace evaluation of the facility. We observed that sandblasters who clean components of ITO thin-film production machinery by sandblasting with aluminum oxide tend to have higher indium exposure with worse pulmonary functions and HRCT findings.","container-title":"Journal of the Formosan Medical Association","DOI":"10.1016/j.jfma.2020.08.009","ISSN":"0929-6646","issue":"2","journalAbbreviation":"Journal of the Formosan Medical Association","language":"en","page":"893-898","source":"ScienceDirect","title":"Case reports of indium lung disease in Taiwan","volume":"120","author":[{"family":"Tsao","given":"Yu-Chung"},{"family":"Fan","given":"Hao-Yi"},{"family":"Luo","given":"Jiin-Chyuan John"}],"issued":{"date-parts":[["2021",2,1]]}}}],"schema":"https://github.com/citation-style-language/schema/raw/master/csl-citation.json"} </w:instrText>
      </w:r>
      <w:r w:rsidR="00596373" w:rsidRPr="00E5158C">
        <w:rPr>
          <w:rFonts w:ascii="Arial" w:hAnsi="Arial" w:cs="Arial"/>
          <w:sz w:val="22"/>
          <w:szCs w:val="22"/>
        </w:rPr>
        <w:fldChar w:fldCharType="separate"/>
      </w:r>
      <w:r w:rsidR="00A86179">
        <w:rPr>
          <w:rFonts w:ascii="Arial" w:hAnsi="Arial" w:cs="Arial"/>
          <w:sz w:val="22"/>
        </w:rPr>
        <w:t>[7], [8], [9]</w:t>
      </w:r>
      <w:r w:rsidR="00596373" w:rsidRPr="00E5158C">
        <w:rPr>
          <w:rFonts w:ascii="Arial" w:hAnsi="Arial" w:cs="Arial"/>
          <w:sz w:val="22"/>
          <w:szCs w:val="22"/>
        </w:rPr>
        <w:fldChar w:fldCharType="end"/>
      </w:r>
      <w:r w:rsidR="002C76DD" w:rsidRPr="00E5158C">
        <w:rPr>
          <w:rFonts w:ascii="Arial" w:hAnsi="Arial" w:cs="Arial"/>
          <w:sz w:val="22"/>
          <w:szCs w:val="22"/>
        </w:rPr>
        <w:t xml:space="preserve"> Some historical exposures may be outdated and others irrelevant, depending on the geographic region and individual patient. </w:t>
      </w:r>
      <w:r w:rsidRPr="00E5158C">
        <w:rPr>
          <w:rFonts w:ascii="Arial" w:hAnsi="Arial" w:cs="Arial"/>
          <w:sz w:val="22"/>
          <w:szCs w:val="22"/>
        </w:rPr>
        <w:t xml:space="preserve">Given the vast number of potential exposures, clinicians cannot feasibly inquire about each </w:t>
      </w:r>
      <w:r w:rsidR="008E2B2E">
        <w:rPr>
          <w:rFonts w:ascii="Arial" w:hAnsi="Arial" w:cs="Arial"/>
          <w:sz w:val="22"/>
          <w:szCs w:val="22"/>
        </w:rPr>
        <w:t>individual</w:t>
      </w:r>
      <w:r w:rsidRPr="00E5158C">
        <w:rPr>
          <w:rFonts w:ascii="Arial" w:hAnsi="Arial" w:cs="Arial"/>
          <w:sz w:val="22"/>
          <w:szCs w:val="22"/>
        </w:rPr>
        <w:t xml:space="preserve"> one in a routine clinical encounter.</w:t>
      </w:r>
      <w:r w:rsidR="007F2EBE">
        <w:rPr>
          <w:rFonts w:ascii="Arial" w:hAnsi="Arial" w:cs="Arial"/>
          <w:sz w:val="22"/>
          <w:szCs w:val="22"/>
        </w:rPr>
        <w:t xml:space="preserve"> </w:t>
      </w:r>
      <w:r w:rsidR="008538DE">
        <w:rPr>
          <w:rFonts w:ascii="Arial" w:hAnsi="Arial" w:cs="Arial"/>
          <w:sz w:val="22"/>
          <w:szCs w:val="22"/>
        </w:rPr>
        <w:t xml:space="preserve">Despite their obvious importance, there is a lack of guidance on how to ascertain ILD-related exposures, and of all possible exposures, which ones are most relevant. </w:t>
      </w:r>
      <w:r w:rsidR="007F2EBE">
        <w:rPr>
          <w:rFonts w:ascii="Arial" w:hAnsi="Arial" w:cs="Arial"/>
          <w:sz w:val="22"/>
          <w:szCs w:val="22"/>
        </w:rPr>
        <w:t xml:space="preserve">An evidence-informed contemporaneous and relevant list of </w:t>
      </w:r>
      <w:r w:rsidR="008538DE">
        <w:rPr>
          <w:rFonts w:ascii="Arial" w:hAnsi="Arial" w:cs="Arial"/>
          <w:sz w:val="22"/>
          <w:szCs w:val="22"/>
        </w:rPr>
        <w:t xml:space="preserve">etiologic </w:t>
      </w:r>
      <w:r w:rsidR="007F2EBE">
        <w:rPr>
          <w:rFonts w:ascii="Arial" w:hAnsi="Arial" w:cs="Arial"/>
          <w:sz w:val="22"/>
          <w:szCs w:val="22"/>
        </w:rPr>
        <w:t xml:space="preserve">exposures could improve the efficiency and accuracy of exposure ascertainment in both clinical and research settings. </w:t>
      </w:r>
    </w:p>
    <w:p w14:paraId="7E367DEC" w14:textId="0B89C48B" w:rsidR="002C76DD" w:rsidRPr="00E5158C" w:rsidRDefault="002C76DD" w:rsidP="002B6C71">
      <w:pPr>
        <w:spacing w:line="480" w:lineRule="auto"/>
        <w:rPr>
          <w:rFonts w:ascii="Arial" w:hAnsi="Arial" w:cs="Arial"/>
          <w:sz w:val="22"/>
          <w:szCs w:val="22"/>
        </w:rPr>
      </w:pPr>
    </w:p>
    <w:p w14:paraId="3F45BB13" w14:textId="4BFB867F" w:rsidR="002C76DD" w:rsidRPr="00E5158C" w:rsidRDefault="002C76DD" w:rsidP="002B6C71">
      <w:pPr>
        <w:spacing w:line="480" w:lineRule="auto"/>
        <w:rPr>
          <w:rFonts w:ascii="Arial" w:hAnsi="Arial" w:cs="Arial"/>
          <w:sz w:val="22"/>
          <w:szCs w:val="22"/>
        </w:rPr>
      </w:pPr>
      <w:r w:rsidRPr="00E5158C">
        <w:rPr>
          <w:rFonts w:ascii="Arial" w:hAnsi="Arial" w:cs="Arial"/>
          <w:sz w:val="22"/>
          <w:szCs w:val="22"/>
        </w:rPr>
        <w:t xml:space="preserve">The objective of this systematic review and meta-analysis was to comprehensively </w:t>
      </w:r>
      <w:r w:rsidR="00E34655">
        <w:rPr>
          <w:rFonts w:ascii="Arial" w:hAnsi="Arial" w:cs="Arial"/>
          <w:sz w:val="22"/>
          <w:szCs w:val="22"/>
        </w:rPr>
        <w:t>identify</w:t>
      </w:r>
      <w:r w:rsidRPr="00E5158C">
        <w:rPr>
          <w:rFonts w:ascii="Arial" w:hAnsi="Arial" w:cs="Arial"/>
          <w:sz w:val="22"/>
          <w:szCs w:val="22"/>
        </w:rPr>
        <w:t xml:space="preserve"> occupational and environmental exposures </w:t>
      </w:r>
      <w:r w:rsidR="00E34655">
        <w:rPr>
          <w:rFonts w:ascii="Arial" w:hAnsi="Arial" w:cs="Arial"/>
          <w:sz w:val="22"/>
          <w:szCs w:val="22"/>
        </w:rPr>
        <w:t>associated with increased</w:t>
      </w:r>
      <w:r w:rsidRPr="00E5158C">
        <w:rPr>
          <w:rFonts w:ascii="Arial" w:hAnsi="Arial" w:cs="Arial"/>
          <w:sz w:val="22"/>
          <w:szCs w:val="22"/>
        </w:rPr>
        <w:t xml:space="preserve"> risk of ILD, </w:t>
      </w:r>
      <w:r w:rsidR="00E34655">
        <w:rPr>
          <w:rFonts w:ascii="Arial" w:hAnsi="Arial" w:cs="Arial"/>
          <w:sz w:val="22"/>
          <w:szCs w:val="22"/>
        </w:rPr>
        <w:t>d</w:t>
      </w:r>
      <w:r w:rsidRPr="00E5158C">
        <w:rPr>
          <w:rFonts w:ascii="Arial" w:hAnsi="Arial" w:cs="Arial"/>
          <w:sz w:val="22"/>
          <w:szCs w:val="22"/>
        </w:rPr>
        <w:t xml:space="preserve">efine </w:t>
      </w:r>
      <w:r w:rsidR="00E34655">
        <w:rPr>
          <w:rFonts w:ascii="Arial" w:hAnsi="Arial" w:cs="Arial"/>
          <w:sz w:val="22"/>
          <w:szCs w:val="22"/>
        </w:rPr>
        <w:t xml:space="preserve">the magnitude of risk, and </w:t>
      </w:r>
      <w:r w:rsidRPr="00E5158C">
        <w:rPr>
          <w:rFonts w:ascii="Arial" w:hAnsi="Arial" w:cs="Arial"/>
          <w:sz w:val="22"/>
          <w:szCs w:val="22"/>
        </w:rPr>
        <w:t xml:space="preserve">establish </w:t>
      </w:r>
      <w:r w:rsidR="00945B7A">
        <w:rPr>
          <w:rFonts w:ascii="Arial" w:hAnsi="Arial" w:cs="Arial"/>
          <w:sz w:val="22"/>
          <w:szCs w:val="22"/>
        </w:rPr>
        <w:t xml:space="preserve">the </w:t>
      </w:r>
      <w:r w:rsidRPr="00E5158C">
        <w:rPr>
          <w:rFonts w:ascii="Arial" w:hAnsi="Arial" w:cs="Arial"/>
          <w:sz w:val="22"/>
          <w:szCs w:val="22"/>
        </w:rPr>
        <w:t xml:space="preserve">relative importance of </w:t>
      </w:r>
      <w:r w:rsidR="00945B7A">
        <w:rPr>
          <w:rFonts w:ascii="Arial" w:hAnsi="Arial" w:cs="Arial"/>
          <w:sz w:val="22"/>
          <w:szCs w:val="22"/>
        </w:rPr>
        <w:t>each</w:t>
      </w:r>
      <w:r w:rsidR="00945B7A" w:rsidRPr="00E5158C">
        <w:rPr>
          <w:rFonts w:ascii="Arial" w:hAnsi="Arial" w:cs="Arial"/>
          <w:sz w:val="22"/>
          <w:szCs w:val="22"/>
        </w:rPr>
        <w:t xml:space="preserve"> </w:t>
      </w:r>
      <w:r w:rsidRPr="00E5158C">
        <w:rPr>
          <w:rFonts w:ascii="Arial" w:hAnsi="Arial" w:cs="Arial"/>
          <w:sz w:val="22"/>
          <w:szCs w:val="22"/>
        </w:rPr>
        <w:t>exposure to inform future prioritization of exposure assessment</w:t>
      </w:r>
      <w:r w:rsidR="00EB5848" w:rsidRPr="00E5158C">
        <w:rPr>
          <w:rFonts w:ascii="Arial" w:hAnsi="Arial" w:cs="Arial"/>
          <w:sz w:val="22"/>
          <w:szCs w:val="22"/>
        </w:rPr>
        <w:t>s</w:t>
      </w:r>
      <w:r w:rsidRPr="00E5158C">
        <w:rPr>
          <w:rFonts w:ascii="Arial" w:hAnsi="Arial" w:cs="Arial"/>
          <w:sz w:val="22"/>
          <w:szCs w:val="22"/>
        </w:rPr>
        <w:t xml:space="preserve"> in clinical and research settings. </w:t>
      </w:r>
    </w:p>
    <w:p w14:paraId="5ABB2A34" w14:textId="768B3AD4" w:rsidR="002C76DD" w:rsidRPr="005B1299" w:rsidRDefault="002C76DD" w:rsidP="002B6C71">
      <w:pPr>
        <w:spacing w:line="480" w:lineRule="auto"/>
        <w:rPr>
          <w:rFonts w:ascii="Arial" w:hAnsi="Arial" w:cs="Arial"/>
          <w:b/>
          <w:sz w:val="22"/>
          <w:szCs w:val="22"/>
        </w:rPr>
      </w:pPr>
      <w:r w:rsidRPr="005B1299">
        <w:rPr>
          <w:rFonts w:ascii="Arial" w:hAnsi="Arial" w:cs="Arial"/>
          <w:b/>
          <w:sz w:val="22"/>
          <w:szCs w:val="22"/>
        </w:rPr>
        <w:t>Methods</w:t>
      </w:r>
    </w:p>
    <w:p w14:paraId="565CD545" w14:textId="426E9474" w:rsidR="002C76DD" w:rsidRPr="00E5158C" w:rsidRDefault="002C76DD" w:rsidP="002B6C71">
      <w:pPr>
        <w:spacing w:line="480" w:lineRule="auto"/>
        <w:rPr>
          <w:rFonts w:ascii="Arial" w:hAnsi="Arial" w:cs="Arial"/>
          <w:sz w:val="22"/>
          <w:szCs w:val="22"/>
        </w:rPr>
      </w:pPr>
    </w:p>
    <w:p w14:paraId="718C4067" w14:textId="187DDE28" w:rsidR="005D2881" w:rsidRPr="00E5158C" w:rsidRDefault="005D2881" w:rsidP="002B6C71">
      <w:pPr>
        <w:autoSpaceDE w:val="0"/>
        <w:autoSpaceDN w:val="0"/>
        <w:adjustRightInd w:val="0"/>
        <w:spacing w:line="480" w:lineRule="auto"/>
        <w:rPr>
          <w:rFonts w:ascii="Arial" w:hAnsi="Arial" w:cs="Arial"/>
          <w:sz w:val="22"/>
          <w:szCs w:val="22"/>
          <w:lang w:val="en-GB"/>
        </w:rPr>
      </w:pPr>
      <w:r w:rsidRPr="00E5158C">
        <w:rPr>
          <w:rFonts w:ascii="Arial" w:hAnsi="Arial" w:cs="Arial"/>
          <w:sz w:val="22"/>
          <w:szCs w:val="22"/>
        </w:rPr>
        <w:t>The review was registered in PROSPERO (</w:t>
      </w:r>
      <w:r w:rsidR="00C16ECB" w:rsidRPr="00E5158C">
        <w:rPr>
          <w:rFonts w:ascii="Arial" w:hAnsi="Arial" w:cs="Arial"/>
          <w:color w:val="333333"/>
          <w:sz w:val="22"/>
          <w:szCs w:val="22"/>
          <w:shd w:val="clear" w:color="auto" w:fill="FFFFFF"/>
        </w:rPr>
        <w:t>CRD42022292908</w:t>
      </w:r>
      <w:r w:rsidRPr="00E5158C">
        <w:rPr>
          <w:rFonts w:ascii="Arial" w:hAnsi="Arial" w:cs="Arial"/>
          <w:sz w:val="22"/>
          <w:szCs w:val="22"/>
        </w:rPr>
        <w:t>)</w:t>
      </w:r>
      <w:r w:rsidR="00C16ECB">
        <w:rPr>
          <w:rFonts w:ascii="Arial" w:hAnsi="Arial" w:cs="Arial"/>
          <w:sz w:val="22"/>
          <w:szCs w:val="22"/>
        </w:rPr>
        <w:t xml:space="preserve"> prior to commencement</w:t>
      </w:r>
      <w:r w:rsidRPr="00E5158C">
        <w:rPr>
          <w:rFonts w:ascii="Arial" w:hAnsi="Arial" w:cs="Arial"/>
          <w:sz w:val="22"/>
          <w:szCs w:val="22"/>
        </w:rPr>
        <w:t xml:space="preserve"> and conducted in accordance with the </w:t>
      </w:r>
      <w:r w:rsidRPr="00E5158C">
        <w:rPr>
          <w:rFonts w:ascii="Arial" w:hAnsi="Arial" w:cs="Arial"/>
          <w:sz w:val="22"/>
          <w:szCs w:val="22"/>
          <w:lang w:val="en-GB"/>
        </w:rPr>
        <w:t>Preferred Reporting Items for Systematic Reviews and Meta-Analyses (PRISMA) guideline</w:t>
      </w:r>
      <w:r w:rsidR="0004710D">
        <w:rPr>
          <w:rFonts w:ascii="Arial" w:hAnsi="Arial" w:cs="Arial"/>
          <w:sz w:val="22"/>
          <w:szCs w:val="22"/>
          <w:lang w:val="en-GB"/>
        </w:rPr>
        <w:t>s</w:t>
      </w:r>
      <w:r w:rsidR="006812C0">
        <w:rPr>
          <w:rFonts w:ascii="Arial" w:hAnsi="Arial" w:cs="Arial"/>
          <w:sz w:val="22"/>
          <w:szCs w:val="22"/>
          <w:lang w:val="en-GB"/>
        </w:rPr>
        <w:t xml:space="preserve"> (</w:t>
      </w:r>
      <w:r w:rsidR="006812C0">
        <w:rPr>
          <w:rFonts w:ascii="Arial" w:hAnsi="Arial" w:cs="Arial"/>
          <w:b/>
          <w:sz w:val="22"/>
          <w:szCs w:val="22"/>
          <w:lang w:val="en-GB"/>
        </w:rPr>
        <w:t>Table E</w:t>
      </w:r>
      <w:r w:rsidR="00AB4BAB">
        <w:rPr>
          <w:rFonts w:ascii="Arial" w:hAnsi="Arial" w:cs="Arial"/>
          <w:b/>
          <w:sz w:val="22"/>
          <w:szCs w:val="22"/>
          <w:lang w:val="en-GB"/>
        </w:rPr>
        <w:t>1</w:t>
      </w:r>
      <w:r w:rsidR="006812C0">
        <w:rPr>
          <w:rFonts w:ascii="Arial" w:hAnsi="Arial" w:cs="Arial"/>
          <w:sz w:val="22"/>
          <w:szCs w:val="22"/>
          <w:lang w:val="en-GB"/>
        </w:rPr>
        <w:t>)</w:t>
      </w:r>
      <w:r w:rsidR="0004710D">
        <w:rPr>
          <w:rFonts w:ascii="Arial" w:hAnsi="Arial" w:cs="Arial"/>
          <w:sz w:val="22"/>
          <w:szCs w:val="22"/>
          <w:lang w:val="en-GB"/>
        </w:rPr>
        <w:t>.</w:t>
      </w:r>
      <w:r w:rsidR="0004710D">
        <w:rPr>
          <w:rFonts w:ascii="Arial" w:hAnsi="Arial" w:cs="Arial"/>
          <w:sz w:val="22"/>
          <w:szCs w:val="22"/>
          <w:lang w:val="en-GB"/>
        </w:rPr>
        <w:fldChar w:fldCharType="begin"/>
      </w:r>
      <w:r w:rsidR="00A86179">
        <w:rPr>
          <w:rFonts w:ascii="Arial" w:hAnsi="Arial" w:cs="Arial"/>
          <w:sz w:val="22"/>
          <w:szCs w:val="22"/>
          <w:lang w:val="en-GB"/>
        </w:rPr>
        <w:instrText xml:space="preserve"> ADDIN ZOTERO_ITEM CSL_CITATION {"citationID":"mxIxOBzN","properties":{"formattedCitation":"[10]","plainCitation":"[10]","noteIndex":0},"citationItems":[{"id":1566,"uris":["http://zotero.org/users/local/5isXr7c7/items/2CGEGL4G"],"itemData":{"id":1566,"type":"a</w:instrText>
      </w:r>
      <w:r w:rsidR="00A86179">
        <w:rPr>
          <w:rFonts w:ascii="Arial" w:hAnsi="Arial" w:cs="Arial"/>
          <w:sz w:val="22"/>
          <w:szCs w:val="22"/>
          <w:lang w:val="en-GB"/>
        </w:rPr>
        <w:lastRenderedPageBreak/>
        <w:instrText>rticle-journal","abstract":"&lt;p&gt;The Preferred Reporting Items for Systematic reviews and Meta-Analyses (PRISMA) statement, published in 2009, was designed to help systematic reviewers transparently report why the review was done, what the authors did, and what they found. Over the past decade, advances in systematic review methodology and terminology have necessitated an update to the guideline. The PRISMA 2020 statement replaces the 2009 statement and includes new reporting guidance that reflects advances in methods to identify, select, appraise, and synthesise studies. The structure and presentation of the items have been modified to facilitate implementation. In this article, we present the PRISMA 2020 27-item checklist, an expanded checklist that details reporting recommendations for each item, the PRISMA 2020 abstract checklist, and the revised flow diagrams for original and updated reviews.&lt;/p&gt;","container-title":"BMJ","DOI":"10.1136/bmj.n71","ISSN":"1756-1833","journalAbbreviation":"BMJ","language":"en","license":"© Author(s) (or their employer(s)) 2019. Re-use permitted under CC                 BY. No commercial re-use. See rights and permissions. Published by                 BMJ.. http://creativecommons.org/licenses/by/4.0/This is an Open Access article distributed in accordance with the terms of the Creative Commons Attribution (CC BY 4.0) license, which permits others to distribute, remix, adapt and build upon this work, for commercial use, provided the original work is properly cited. See: http://creativecommons.org/licenses/by/4.0/.","note":"publisher: British Medical Journal Publishing Group\nsection: Research Methods &amp;amp; Reporting\nPMID: 33782057","page":"n71","source":"www.bmj.com","title":"The PRISMA 2020 statement: an updated guideline for reporting systematic reviews","title-short":"The PRISMA 2020 statement","volume":"372","author":[{"family":"Page","given":"Matthew J."},{"family":"McKenzie","given":"Joanne E."},{"family":"Bossuyt","given":"Patrick M."},{"family":"Boutron","given":"Isabelle"},{"family":"Hoffmann","given":"Tammy C."},{"family":"Mulrow","given":"Cynthia D."},{"family":"Shamseer","given":"Larissa"},{"family":"Tetzlaff","given":"Jennifer M."},{"family":"Akl","given":"Elie A."},{"family":"Brennan","given":"Sue E."},{"family":"Chou","given":"Roger"},{"family":"Glanville","given":"Julie"},{"family":"Grimshaw","given":"Jeremy M."},{"family":"Hróbjartsson","given":"Asbjørn"},{"family":"Lalu","given":"Manoj M."},{"family":"Li","given":"Tianjing"},{"family":"Loder","given":"Elizabeth W."},{"family":"Mayo-</w:instrText>
      </w:r>
      <w:r w:rsidR="00A86179">
        <w:rPr>
          <w:rFonts w:ascii="Arial" w:hAnsi="Arial" w:cs="Arial"/>
          <w:sz w:val="22"/>
          <w:szCs w:val="22"/>
          <w:lang w:val="en-GB"/>
        </w:rPr>
        <w:lastRenderedPageBreak/>
        <w:instrText xml:space="preserve">Wilson","given":"Evan"},{"family":"McDonald","given":"Steve"},{"family":"McGuinness","given":"Luke A."},{"family":"Stewart","given":"Lesley A."},{"family":"Thomas","given":"James"},{"family":"Tricco","given":"Andrea C."},{"family":"Welch","given":"Vivian A."},{"family":"Whiting","given":"Penny"},{"family":"Moher","given":"David"}],"issued":{"date-parts":[["2021",3,29]]}}}],"schema":"https://github.com/citation-style-language/schema/raw/master/csl-citation.json"} </w:instrText>
      </w:r>
      <w:r w:rsidR="0004710D">
        <w:rPr>
          <w:rFonts w:ascii="Arial" w:hAnsi="Arial" w:cs="Arial"/>
          <w:sz w:val="22"/>
          <w:szCs w:val="22"/>
          <w:lang w:val="en-GB"/>
        </w:rPr>
        <w:fldChar w:fldCharType="separate"/>
      </w:r>
      <w:r w:rsidR="00A86179">
        <w:rPr>
          <w:rFonts w:ascii="Arial" w:hAnsi="Arial" w:cs="Arial"/>
          <w:sz w:val="22"/>
        </w:rPr>
        <w:t>[10]</w:t>
      </w:r>
      <w:r w:rsidR="0004710D">
        <w:rPr>
          <w:rFonts w:ascii="Arial" w:hAnsi="Arial" w:cs="Arial"/>
          <w:sz w:val="22"/>
          <w:szCs w:val="22"/>
          <w:lang w:val="en-GB"/>
        </w:rPr>
        <w:fldChar w:fldCharType="end"/>
      </w:r>
    </w:p>
    <w:p w14:paraId="44213F1F" w14:textId="77777777" w:rsidR="005D2881" w:rsidRPr="00E5158C" w:rsidRDefault="005D2881" w:rsidP="002B6C71">
      <w:pPr>
        <w:spacing w:line="480" w:lineRule="auto"/>
        <w:rPr>
          <w:rFonts w:ascii="Arial" w:hAnsi="Arial" w:cs="Arial"/>
          <w:sz w:val="22"/>
          <w:szCs w:val="22"/>
        </w:rPr>
      </w:pPr>
    </w:p>
    <w:p w14:paraId="3C8B93AC" w14:textId="37551B26" w:rsidR="00E875E1" w:rsidRPr="009C6954" w:rsidRDefault="002C76DD" w:rsidP="002B6C71">
      <w:pPr>
        <w:spacing w:line="480" w:lineRule="auto"/>
        <w:rPr>
          <w:rFonts w:ascii="Arial" w:hAnsi="Arial" w:cs="Arial"/>
          <w:i/>
          <w:sz w:val="22"/>
          <w:szCs w:val="22"/>
        </w:rPr>
      </w:pPr>
      <w:r w:rsidRPr="009C6954">
        <w:rPr>
          <w:rFonts w:ascii="Arial" w:hAnsi="Arial" w:cs="Arial"/>
          <w:i/>
          <w:sz w:val="22"/>
          <w:szCs w:val="22"/>
        </w:rPr>
        <w:t>Literature Search</w:t>
      </w:r>
      <w:r w:rsidR="008C1C2E" w:rsidRPr="009C6954">
        <w:rPr>
          <w:rFonts w:ascii="Arial" w:hAnsi="Arial" w:cs="Arial"/>
          <w:i/>
          <w:sz w:val="22"/>
          <w:szCs w:val="22"/>
        </w:rPr>
        <w:t xml:space="preserve"> and </w:t>
      </w:r>
      <w:r w:rsidR="00E34655">
        <w:rPr>
          <w:rFonts w:ascii="Arial" w:hAnsi="Arial" w:cs="Arial"/>
          <w:i/>
          <w:sz w:val="22"/>
          <w:szCs w:val="22"/>
        </w:rPr>
        <w:t xml:space="preserve">Initial </w:t>
      </w:r>
      <w:r w:rsidR="008C1C2E" w:rsidRPr="009C6954">
        <w:rPr>
          <w:rFonts w:ascii="Arial" w:hAnsi="Arial" w:cs="Arial"/>
          <w:i/>
          <w:sz w:val="22"/>
          <w:szCs w:val="22"/>
        </w:rPr>
        <w:t>Study Assessment</w:t>
      </w:r>
    </w:p>
    <w:p w14:paraId="7534B66B" w14:textId="77777777" w:rsidR="005D2881" w:rsidRPr="00E5158C" w:rsidRDefault="005D2881" w:rsidP="002B6C71">
      <w:pPr>
        <w:spacing w:line="480" w:lineRule="auto"/>
        <w:rPr>
          <w:rFonts w:ascii="Arial" w:hAnsi="Arial" w:cs="Arial"/>
          <w:sz w:val="22"/>
          <w:szCs w:val="22"/>
        </w:rPr>
      </w:pPr>
    </w:p>
    <w:p w14:paraId="7A3D6AD0" w14:textId="378AD17E" w:rsidR="003539F5" w:rsidRDefault="005D2881" w:rsidP="00F223C5">
      <w:pPr>
        <w:autoSpaceDE w:val="0"/>
        <w:autoSpaceDN w:val="0"/>
        <w:adjustRightInd w:val="0"/>
        <w:spacing w:line="480" w:lineRule="auto"/>
        <w:rPr>
          <w:rFonts w:ascii="Arial" w:hAnsi="Arial" w:cs="Arial"/>
          <w:sz w:val="22"/>
          <w:szCs w:val="22"/>
        </w:rPr>
      </w:pPr>
      <w:r w:rsidRPr="00E5158C">
        <w:rPr>
          <w:rFonts w:ascii="Arial" w:hAnsi="Arial" w:cs="Arial"/>
          <w:sz w:val="22"/>
          <w:szCs w:val="22"/>
        </w:rPr>
        <w:t>A comprehensive search was conducted on two major databases</w:t>
      </w:r>
      <w:r w:rsidR="00C16ECB">
        <w:rPr>
          <w:rFonts w:ascii="Arial" w:hAnsi="Arial" w:cs="Arial"/>
          <w:sz w:val="22"/>
          <w:szCs w:val="22"/>
        </w:rPr>
        <w:t xml:space="preserve">: </w:t>
      </w:r>
      <w:r w:rsidRPr="00E5158C">
        <w:rPr>
          <w:rFonts w:ascii="Arial" w:hAnsi="Arial" w:cs="Arial"/>
          <w:sz w:val="22"/>
          <w:szCs w:val="22"/>
        </w:rPr>
        <w:t xml:space="preserve">EMBASE Ovid and MEDLINE Ovid </w:t>
      </w:r>
      <w:r w:rsidR="003539F5">
        <w:rPr>
          <w:rFonts w:ascii="Arial" w:hAnsi="Arial" w:cs="Arial"/>
          <w:sz w:val="22"/>
          <w:szCs w:val="22"/>
        </w:rPr>
        <w:t xml:space="preserve">for English-language publications dated </w:t>
      </w:r>
      <w:r w:rsidR="003539F5" w:rsidRPr="00CB6755">
        <w:rPr>
          <w:rFonts w:ascii="Arial" w:hAnsi="Arial" w:cs="Arial"/>
          <w:sz w:val="22"/>
          <w:szCs w:val="22"/>
        </w:rPr>
        <w:t>January 1, 1990</w:t>
      </w:r>
      <w:r w:rsidR="003539F5">
        <w:rPr>
          <w:rFonts w:ascii="Arial" w:hAnsi="Arial" w:cs="Arial"/>
          <w:sz w:val="22"/>
          <w:szCs w:val="22"/>
        </w:rPr>
        <w:t xml:space="preserve"> to </w:t>
      </w:r>
      <w:r w:rsidRPr="00E5158C">
        <w:rPr>
          <w:rFonts w:ascii="Arial" w:hAnsi="Arial" w:cs="Arial"/>
          <w:sz w:val="22"/>
          <w:szCs w:val="22"/>
        </w:rPr>
        <w:t>April 19, 2022</w:t>
      </w:r>
      <w:r w:rsidR="0046489A">
        <w:rPr>
          <w:rFonts w:ascii="Arial" w:hAnsi="Arial" w:cs="Arial"/>
          <w:sz w:val="22"/>
          <w:szCs w:val="22"/>
        </w:rPr>
        <w:t xml:space="preserve"> (</w:t>
      </w:r>
      <w:r w:rsidR="00BA04A8">
        <w:rPr>
          <w:rFonts w:ascii="Arial" w:hAnsi="Arial" w:cs="Arial"/>
          <w:b/>
          <w:sz w:val="22"/>
          <w:szCs w:val="22"/>
        </w:rPr>
        <w:t>Tables E</w:t>
      </w:r>
      <w:r w:rsidR="00AB4BAB">
        <w:rPr>
          <w:rFonts w:ascii="Arial" w:hAnsi="Arial" w:cs="Arial"/>
          <w:b/>
          <w:sz w:val="22"/>
          <w:szCs w:val="22"/>
        </w:rPr>
        <w:t>2</w:t>
      </w:r>
      <w:r w:rsidR="00BA04A8">
        <w:rPr>
          <w:rFonts w:ascii="Arial" w:hAnsi="Arial" w:cs="Arial"/>
          <w:b/>
          <w:sz w:val="22"/>
          <w:szCs w:val="22"/>
        </w:rPr>
        <w:t xml:space="preserve"> and E</w:t>
      </w:r>
      <w:r w:rsidR="00AB4BAB">
        <w:rPr>
          <w:rFonts w:ascii="Arial" w:hAnsi="Arial" w:cs="Arial"/>
          <w:b/>
          <w:sz w:val="22"/>
          <w:szCs w:val="22"/>
        </w:rPr>
        <w:t>3</w:t>
      </w:r>
      <w:r w:rsidR="0046489A">
        <w:rPr>
          <w:rFonts w:ascii="Arial" w:hAnsi="Arial" w:cs="Arial"/>
          <w:sz w:val="22"/>
          <w:szCs w:val="22"/>
        </w:rPr>
        <w:t>)</w:t>
      </w:r>
      <w:r w:rsidRPr="00E5158C">
        <w:rPr>
          <w:rFonts w:ascii="Arial" w:hAnsi="Arial" w:cs="Arial"/>
          <w:sz w:val="22"/>
          <w:szCs w:val="22"/>
        </w:rPr>
        <w:t xml:space="preserve">. </w:t>
      </w:r>
      <w:r w:rsidR="005C119B" w:rsidRPr="00E5158C">
        <w:rPr>
          <w:rFonts w:ascii="Arial" w:hAnsi="Arial" w:cs="Arial"/>
          <w:sz w:val="22"/>
          <w:szCs w:val="22"/>
          <w:lang w:val="en-GB"/>
        </w:rPr>
        <w:t>Search terms related to ILD and exposures were included in each search</w:t>
      </w:r>
      <w:r w:rsidR="004F0C5B">
        <w:rPr>
          <w:rFonts w:ascii="Arial" w:hAnsi="Arial" w:cs="Arial"/>
          <w:sz w:val="22"/>
          <w:szCs w:val="22"/>
          <w:lang w:val="en-GB"/>
        </w:rPr>
        <w:t xml:space="preserve">. </w:t>
      </w:r>
      <w:r w:rsidR="005C119B" w:rsidRPr="00E5158C">
        <w:rPr>
          <w:rFonts w:ascii="Arial" w:hAnsi="Arial" w:cs="Arial"/>
          <w:sz w:val="22"/>
          <w:szCs w:val="22"/>
          <w:lang w:val="en-GB"/>
        </w:rPr>
        <w:t>Database subject headings (</w:t>
      </w:r>
      <w:r w:rsidR="00A5779C">
        <w:rPr>
          <w:rFonts w:ascii="Arial" w:hAnsi="Arial" w:cs="Arial"/>
          <w:sz w:val="22"/>
          <w:szCs w:val="22"/>
          <w:lang w:val="en-GB"/>
        </w:rPr>
        <w:t>e.g</w:t>
      </w:r>
      <w:r w:rsidR="005C119B" w:rsidRPr="00E5158C">
        <w:rPr>
          <w:rFonts w:ascii="Arial" w:hAnsi="Arial" w:cs="Arial"/>
          <w:sz w:val="22"/>
          <w:szCs w:val="22"/>
          <w:lang w:val="en-GB"/>
        </w:rPr>
        <w:t xml:space="preserve">., MEDLINE Subject Heading), title abstract keywords, and Boolean operators were used to define and combine these terms. </w:t>
      </w:r>
      <w:r w:rsidR="005C119B" w:rsidRPr="00E5158C">
        <w:rPr>
          <w:rFonts w:ascii="Arial" w:hAnsi="Arial" w:cs="Arial"/>
          <w:sz w:val="22"/>
          <w:szCs w:val="22"/>
        </w:rPr>
        <w:t>W</w:t>
      </w:r>
      <w:r w:rsidR="002C76DD" w:rsidRPr="00E5158C">
        <w:rPr>
          <w:rFonts w:ascii="Arial" w:hAnsi="Arial" w:cs="Arial"/>
          <w:sz w:val="22"/>
          <w:szCs w:val="22"/>
        </w:rPr>
        <w:t xml:space="preserve">e excluded </w:t>
      </w:r>
      <w:r w:rsidR="00AB22E4" w:rsidRPr="00E5158C">
        <w:rPr>
          <w:rFonts w:ascii="Arial" w:hAnsi="Arial" w:cs="Arial"/>
          <w:sz w:val="22"/>
          <w:szCs w:val="22"/>
        </w:rPr>
        <w:t>pneumoconiosis (asbestosis, silicosis)</w:t>
      </w:r>
      <w:r w:rsidR="003539F5">
        <w:rPr>
          <w:rFonts w:ascii="Arial" w:hAnsi="Arial" w:cs="Arial"/>
          <w:sz w:val="22"/>
          <w:szCs w:val="22"/>
        </w:rPr>
        <w:t xml:space="preserve"> in the search terms</w:t>
      </w:r>
      <w:r w:rsidR="007F2EBE">
        <w:rPr>
          <w:rFonts w:ascii="Arial" w:hAnsi="Arial" w:cs="Arial"/>
          <w:sz w:val="22"/>
          <w:szCs w:val="22"/>
        </w:rPr>
        <w:t xml:space="preserve"> given the robust evidence of its causal relationship </w:t>
      </w:r>
      <w:r w:rsidR="00CD182D">
        <w:rPr>
          <w:rFonts w:ascii="Arial" w:hAnsi="Arial" w:cs="Arial"/>
          <w:sz w:val="22"/>
          <w:szCs w:val="22"/>
        </w:rPr>
        <w:t xml:space="preserve">with </w:t>
      </w:r>
      <w:r w:rsidR="007F2EBE">
        <w:rPr>
          <w:rFonts w:ascii="Arial" w:hAnsi="Arial" w:cs="Arial"/>
          <w:sz w:val="22"/>
          <w:szCs w:val="22"/>
        </w:rPr>
        <w:t>exposure</w:t>
      </w:r>
      <w:r w:rsidR="00C12B2B">
        <w:rPr>
          <w:rFonts w:ascii="Arial" w:hAnsi="Arial" w:cs="Arial"/>
          <w:sz w:val="22"/>
          <w:szCs w:val="22"/>
        </w:rPr>
        <w:t xml:space="preserve"> (</w:t>
      </w:r>
      <w:r w:rsidR="00C12B2B">
        <w:rPr>
          <w:rFonts w:ascii="Arial" w:hAnsi="Arial" w:cs="Arial"/>
          <w:b/>
          <w:sz w:val="22"/>
          <w:szCs w:val="22"/>
        </w:rPr>
        <w:t>Tables E</w:t>
      </w:r>
      <w:r w:rsidR="00AB4BAB">
        <w:rPr>
          <w:rFonts w:ascii="Arial" w:hAnsi="Arial" w:cs="Arial"/>
          <w:b/>
          <w:sz w:val="22"/>
          <w:szCs w:val="22"/>
        </w:rPr>
        <w:t>2</w:t>
      </w:r>
      <w:r w:rsidR="00C12B2B">
        <w:rPr>
          <w:rFonts w:ascii="Arial" w:hAnsi="Arial" w:cs="Arial"/>
          <w:b/>
          <w:sz w:val="22"/>
          <w:szCs w:val="22"/>
        </w:rPr>
        <w:t xml:space="preserve"> and E</w:t>
      </w:r>
      <w:r w:rsidR="00AB4BAB">
        <w:rPr>
          <w:rFonts w:ascii="Arial" w:hAnsi="Arial" w:cs="Arial"/>
          <w:b/>
          <w:sz w:val="22"/>
          <w:szCs w:val="22"/>
        </w:rPr>
        <w:t>3</w:t>
      </w:r>
      <w:r w:rsidR="00C12B2B">
        <w:rPr>
          <w:rFonts w:ascii="Arial" w:hAnsi="Arial" w:cs="Arial"/>
          <w:sz w:val="22"/>
          <w:szCs w:val="22"/>
        </w:rPr>
        <w:t>)</w:t>
      </w:r>
      <w:r w:rsidR="00AB22E4" w:rsidRPr="00E5158C">
        <w:rPr>
          <w:rFonts w:ascii="Arial" w:hAnsi="Arial" w:cs="Arial"/>
          <w:sz w:val="22"/>
          <w:szCs w:val="22"/>
        </w:rPr>
        <w:t>.</w:t>
      </w:r>
      <w:r w:rsidR="002C76DD" w:rsidRPr="00E5158C">
        <w:rPr>
          <w:rFonts w:ascii="Arial" w:hAnsi="Arial" w:cs="Arial"/>
          <w:sz w:val="22"/>
          <w:szCs w:val="22"/>
        </w:rPr>
        <w:t xml:space="preserve"> We excluded </w:t>
      </w:r>
      <w:r w:rsidR="00AB22E4" w:rsidRPr="00E5158C">
        <w:rPr>
          <w:rFonts w:ascii="Arial" w:hAnsi="Arial" w:cs="Arial"/>
          <w:sz w:val="22"/>
          <w:szCs w:val="22"/>
        </w:rPr>
        <w:t>HP</w:t>
      </w:r>
      <w:r w:rsidR="002C76DD" w:rsidRPr="00E5158C">
        <w:rPr>
          <w:rFonts w:ascii="Arial" w:hAnsi="Arial" w:cs="Arial"/>
          <w:sz w:val="22"/>
          <w:szCs w:val="22"/>
        </w:rPr>
        <w:t xml:space="preserve"> given recent scoping reviews </w:t>
      </w:r>
      <w:r w:rsidR="00AB22E4" w:rsidRPr="00E5158C">
        <w:rPr>
          <w:rFonts w:ascii="Arial" w:hAnsi="Arial" w:cs="Arial"/>
          <w:sz w:val="22"/>
          <w:szCs w:val="22"/>
        </w:rPr>
        <w:t xml:space="preserve">on specific causal exposures </w:t>
      </w:r>
      <w:r w:rsidR="003539F5">
        <w:rPr>
          <w:rFonts w:ascii="Arial" w:hAnsi="Arial" w:cs="Arial"/>
          <w:sz w:val="22"/>
          <w:szCs w:val="22"/>
        </w:rPr>
        <w:t>and</w:t>
      </w:r>
      <w:r w:rsidR="00AB22E4" w:rsidRPr="00E5158C">
        <w:rPr>
          <w:rFonts w:ascii="Arial" w:hAnsi="Arial" w:cs="Arial"/>
          <w:sz w:val="22"/>
          <w:szCs w:val="22"/>
        </w:rPr>
        <w:t xml:space="preserve"> the presence of a </w:t>
      </w:r>
      <w:r w:rsidR="002C76DD" w:rsidRPr="00E5158C">
        <w:rPr>
          <w:rFonts w:ascii="Arial" w:hAnsi="Arial" w:cs="Arial"/>
          <w:sz w:val="22"/>
          <w:szCs w:val="22"/>
        </w:rPr>
        <w:t xml:space="preserve">recently validated </w:t>
      </w:r>
      <w:r w:rsidR="00AB22E4" w:rsidRPr="00E5158C">
        <w:rPr>
          <w:rFonts w:ascii="Arial" w:hAnsi="Arial" w:cs="Arial"/>
          <w:sz w:val="22"/>
          <w:szCs w:val="22"/>
        </w:rPr>
        <w:t>HP questionnaire</w:t>
      </w:r>
      <w:r w:rsidR="002C76DD" w:rsidRPr="00E5158C">
        <w:rPr>
          <w:rFonts w:ascii="Arial" w:hAnsi="Arial" w:cs="Arial"/>
          <w:sz w:val="22"/>
          <w:szCs w:val="22"/>
        </w:rPr>
        <w:t>.</w:t>
      </w:r>
      <w:r w:rsidR="00AB22E4" w:rsidRPr="00E5158C">
        <w:rPr>
          <w:rFonts w:ascii="Arial" w:hAnsi="Arial" w:cs="Arial"/>
          <w:sz w:val="22"/>
          <w:szCs w:val="22"/>
        </w:rPr>
        <w:fldChar w:fldCharType="begin"/>
      </w:r>
      <w:r w:rsidR="00A86179">
        <w:rPr>
          <w:rFonts w:ascii="Arial" w:hAnsi="Arial" w:cs="Arial"/>
          <w:sz w:val="22"/>
          <w:szCs w:val="22"/>
        </w:rPr>
        <w:instrText xml:space="preserve"> ADDIN ZOTERO_ITEM CSL_CITATION {"citationID":"5UkWgvQ1","properties":{"formattedCitation":"[11], [12]","plainCitation":"[11], [12]","noteIndex":0},"citationItems":[{"id":575,"uris":["http://zotero.org/users/local/5isXr7c7/items/FTB6DQZA"],"itemData":{"id":575,"type":"article-journal","abstract":"Antigen identification is important for establishing a confident diagnosis of hypersensitivity pneumonitis (HP). There are no systematically curated lists of HP-associated exposures that inform clinical relevance or disease phenotype. We sought to systematically identify all reported causes of HP in the literature and evaluate their clinical relevance. A scoping review was performed to identify all publications describing HP cases and their associated exposures (even if unknown) from Jan 1990-June 2020. Frequencies of exposures and meta-analysis of proportions for registry-based studies were determined for specific exposure categories, and associations with fibrotic and non-fibrotic HP were assessed. 24,138 publications were identified, with 967 publications included in the final analysis, representing 62 unique exposures associated with HP. Certain exposures were more frequently reported than </w:instrText>
      </w:r>
      <w:r w:rsidR="00A86179">
        <w:rPr>
          <w:rFonts w:ascii="Arial" w:hAnsi="Arial" w:cs="Arial"/>
          <w:sz w:val="22"/>
          <w:szCs w:val="22"/>
        </w:rPr>
        <w:lastRenderedPageBreak/>
        <w:instrText xml:space="preserve">others, including birds (comprising 32% of HP cases in registry-based studies) and mould (17% registry study HP cases). Antigen-indeterminate HP comprised 15-24% of registry-based studies. Limited data found contaminated metal-working fluids, isocyanate exposure, and hot tub lung were rarely associated with fibrotic features, whereas antigen-indeterminate HP cases were more frequently associated with fibrosis. There was heterogeneity in HP case definition and how causative exposures were identified. We identified 62 unique exposures associated with HP, with specific exposures associated with clinical phenotypes. These data may inform clinical assessment and the development of questionnaires to identify antigens in the diagnostic evaluation of suspected HP. OPEN SCIENCES FRAMEWORK REGISTRATION: osf.io/4aq5m.","container-title":"Respiratory Medicine","DOI":"10.1016/j.rmed.2021.106444","ISSN":"1532-3064","journalAbbreviation":"Respir Med","language":"eng","note":"PMID: 33991845","page":"106444","source":"PubMed","title":"Exposures and associations with clinical phenotypes in hypersensitivity pneumonitis: A scoping review","title-short":"Exposures and associations with clinical phenotypes in hypersensitivity pneumonitis","volume":"184","author":[{"family":"Barnes","given":"Hayley"},{"family":"Lu","given":"Jesse"},{"family":"Glaspole","given":"Ian"},{"family":"Collard","given":"Harold R."},{"family":"Johannson","given":"Kerri A."}],"issued":{"date-parts":[["2021",8]]}}},{"id":506,"uris":["http://zotero.org/users/local/5isXr7c7/items/SBBTIDU8"],"itemData":{"id":506,"type":"article-journal","abstract":"&lt;h3&gt;Background&lt;/h3&gt;&lt;p&gt;Chronic hypersensitivity pneumonitis (CHP) is an immune-mediated interstitial lung disease (ILD) caused by inhalational exposure to environmental antigens, resulting in parenchymal fibrosis. By definition, a diagnosis of CHP assumes a history of antigen exposure, but only half of all patients eventually diagnosed with CHP will have a causative antigen identified. Individual clinician variation in eliciting a history of antigen exposure may affect the frequency and confidence of CHP diagnosis.&lt;/p&gt;&lt;h3&gt;Methods&lt;/h3&gt;&lt;p&gt;A list of potential causative exposures were derived from a systematic review of the literature. A Delphi method was applied to an international panel of ILD experts to obtain consensus regarding technique for the elicitation of exposure to antigens relevant to a diagnosis of CHP. The consensus threshold was set at 80% agreement, and median ≤ 2, interquartile range = 0 on a 5-point Likert scale (1, strongly agree; 2, tend to agree; 3, neither agree nor disagree; 4, disagree; 5, strongly disagree).&lt;/p&gt;&lt;h3&gt;Results&lt;/h3&gt;&lt;p&gt;In two rounds, 36/40 experts participated. Experts agreed on 18 exposure </w:instrText>
      </w:r>
      <w:r w:rsidR="00A86179">
        <w:rPr>
          <w:rFonts w:ascii="Arial" w:hAnsi="Arial" w:cs="Arial"/>
          <w:sz w:val="22"/>
          <w:szCs w:val="22"/>
        </w:rPr>
        <w:lastRenderedPageBreak/>
        <w:instrText xml:space="preserve">items to ask every patient with suspected CHP. Themes included CHP inducing exposures, features that contribute to an exposure's relevance, and quantification of a relevant exposure. Based on the results from the literature review and Delphi process, a CHP exposure assessment instrument was derived. Using cognitive interviews, the instrument was revised by patients with ILD for readability and usability.&lt;/p&gt;&lt;h3&gt;Conclusions&lt;/h3&gt;&lt;p&gt;This Delphi survey provides items that ILD experts agree are important to ask in all patients presenting with suspected CHP and provides basis for a systematically derived CHP exposure assessment instrument. Clinical utility of this exposure assessment instrument may be affected by different local prevalence patterns of exposures. Ongoing research is required to clinically validate these items and consider their impact in more geographically diverse settings.&lt;/p&gt;","container-title":"CHEST","DOI":"10.1016/j.chest.2019.12.018","ISSN":"0012-3692","issue":"6","journalAbbreviation":"CHEST","language":"English","note":"publisher: Elsevier\nPMID: 31958445","page":"1506-1512","source":"journal.chestnet.org","title":"A Systematically Derived Exposure Assessment Instrument for Chronic Hypersensitivity Pneumonitis","volume":"157","author":[{"family":"Barnes","given":"Hayley"},{"family":"Morisset","given":"Julie"},{"family":"Molyneaux","given":"Philip"},{"family":"Westall","given":"Glen"},{"family":"Glaspole","given":"Ian"},{"family":"Collard","given":"Harold R."},{"family":"Antoniou","given":"Katerina M."},{"family":"Barber","given":"Christopher M."},{"family":"Behr","given":"Jürgen"},{"family":"Bonella","given":"Francesco"},{"family":"Corte","given":"Tamera"},{"family":"Costabel","given":"Ulrich"},{"family":"Cottin","given":"Vincent"},{"family":"Crestani","given":"Bruno"},{"family":"Dalphin","given":"Jean-Charles"},{"family":"Flaherty","given":"Kevin R."},{"family":"Goh","given":"Nicole"},{"family":"Johannson","given":"Kerri A."},{"family":"Kondoh","given":"Yasuhiro"},{"family":"Lederer","given":"David"},{"family":"Lee","given":"Joyce"},{"family":"Maher","given":"Toby M."},{"family":"Martinez","given":"Fernando J."},{"family":"Morell","given":"Ferran"},{"family":"Noth","given":"Imre"},{"family":"Raghu","given":"Ganesh"},{"family":"Renzoni","given":"Elisabetta"},{"family":"Richeldi","given":"Luca"},{"family":"Ryerson","given":"Christopher J."},{"family":"Ryu","given":"Jay H."},{"family":"Salisbury","given":"Margaret L."},{"family":"Singh","given":"Sheetu"},{"family":"Selman","given":"Moises"},{"family":"Strek","given":"Mary E."},{"family":"Tarlo","given":"Susan </w:instrText>
      </w:r>
      <w:r w:rsidR="00A86179">
        <w:rPr>
          <w:rFonts w:ascii="Arial" w:hAnsi="Arial" w:cs="Arial"/>
          <w:sz w:val="22"/>
          <w:szCs w:val="22"/>
        </w:rPr>
        <w:lastRenderedPageBreak/>
        <w:instrText xml:space="preserve">M."},{"family":"Tomassetti","given":"Sara"},{"family":"Vancheri","given":"Carlo"},{"family":"Vasakova","given":"Martina"},{"family":"Wolters","given":"Paul"},{"family":"Wells","given":"Athol"}],"issued":{"date-parts":[["2020",6,1]]}}}],"schema":"https://github.com/citation-style-language/schema/raw/master/csl-citation.json"} </w:instrText>
      </w:r>
      <w:r w:rsidR="00AB22E4" w:rsidRPr="00E5158C">
        <w:rPr>
          <w:rFonts w:ascii="Arial" w:hAnsi="Arial" w:cs="Arial"/>
          <w:sz w:val="22"/>
          <w:szCs w:val="22"/>
        </w:rPr>
        <w:fldChar w:fldCharType="separate"/>
      </w:r>
      <w:r w:rsidR="00A86179">
        <w:rPr>
          <w:rFonts w:ascii="Arial" w:hAnsi="Arial" w:cs="Arial"/>
          <w:sz w:val="22"/>
        </w:rPr>
        <w:t>[11], [12]</w:t>
      </w:r>
      <w:r w:rsidR="00AB22E4" w:rsidRPr="00E5158C">
        <w:rPr>
          <w:rFonts w:ascii="Arial" w:hAnsi="Arial" w:cs="Arial"/>
          <w:sz w:val="22"/>
          <w:szCs w:val="22"/>
        </w:rPr>
        <w:fldChar w:fldCharType="end"/>
      </w:r>
      <w:r w:rsidR="00E875E1" w:rsidRPr="00E5158C">
        <w:rPr>
          <w:rFonts w:ascii="Arial" w:hAnsi="Arial" w:cs="Arial"/>
          <w:sz w:val="22"/>
          <w:szCs w:val="22"/>
        </w:rPr>
        <w:t xml:space="preserve"> Sarcoidosis was also excluded given</w:t>
      </w:r>
      <w:r w:rsidR="00D246A8" w:rsidRPr="00E5158C">
        <w:rPr>
          <w:rFonts w:ascii="Arial" w:hAnsi="Arial" w:cs="Arial"/>
          <w:sz w:val="22"/>
          <w:szCs w:val="22"/>
        </w:rPr>
        <w:t xml:space="preserve"> the myriad pulmonary presentations of this disease that occur outside of ILD </w:t>
      </w:r>
      <w:r w:rsidR="003539F5">
        <w:rPr>
          <w:rFonts w:ascii="Arial" w:hAnsi="Arial" w:cs="Arial"/>
          <w:sz w:val="22"/>
          <w:szCs w:val="22"/>
        </w:rPr>
        <w:t>and</w:t>
      </w:r>
      <w:r w:rsidR="00D246A8" w:rsidRPr="00E5158C">
        <w:rPr>
          <w:rFonts w:ascii="Arial" w:hAnsi="Arial" w:cs="Arial"/>
          <w:sz w:val="22"/>
          <w:szCs w:val="22"/>
        </w:rPr>
        <w:t xml:space="preserve"> the large volume of data on sarcoidosis</w:t>
      </w:r>
      <w:r w:rsidR="00E80134">
        <w:rPr>
          <w:rFonts w:ascii="Arial" w:hAnsi="Arial" w:cs="Arial"/>
          <w:sz w:val="22"/>
          <w:szCs w:val="22"/>
        </w:rPr>
        <w:t xml:space="preserve"> that is</w:t>
      </w:r>
      <w:r w:rsidR="003539F5">
        <w:rPr>
          <w:rFonts w:ascii="Arial" w:hAnsi="Arial" w:cs="Arial"/>
          <w:sz w:val="22"/>
          <w:szCs w:val="22"/>
        </w:rPr>
        <w:t xml:space="preserve"> </w:t>
      </w:r>
      <w:r w:rsidR="00D246A8" w:rsidRPr="00E5158C">
        <w:rPr>
          <w:rFonts w:ascii="Arial" w:hAnsi="Arial" w:cs="Arial"/>
          <w:sz w:val="22"/>
          <w:szCs w:val="22"/>
        </w:rPr>
        <w:t>outside the scope of our current objectives.</w:t>
      </w:r>
      <w:r w:rsidR="005C119B" w:rsidRPr="00E5158C">
        <w:rPr>
          <w:rFonts w:ascii="Arial" w:hAnsi="Arial" w:cs="Arial"/>
          <w:sz w:val="22"/>
          <w:szCs w:val="22"/>
        </w:rPr>
        <w:t xml:space="preserve"> </w:t>
      </w:r>
      <w:r w:rsidR="0035490E">
        <w:rPr>
          <w:rFonts w:ascii="Arial" w:hAnsi="Arial" w:cs="Arial"/>
          <w:sz w:val="22"/>
          <w:szCs w:val="22"/>
        </w:rPr>
        <w:t xml:space="preserve">No specific inhalational exposures were excluded. </w:t>
      </w:r>
      <w:r w:rsidR="005C119B" w:rsidRPr="00E5158C">
        <w:rPr>
          <w:rFonts w:ascii="Arial" w:hAnsi="Arial" w:cs="Arial"/>
          <w:sz w:val="22"/>
          <w:szCs w:val="22"/>
        </w:rPr>
        <w:t>Eight previously identified references were used to test the search strategy</w:t>
      </w:r>
      <w:r w:rsidR="007F2EBE">
        <w:rPr>
          <w:rFonts w:ascii="Arial" w:hAnsi="Arial" w:cs="Arial"/>
          <w:sz w:val="22"/>
          <w:szCs w:val="22"/>
        </w:rPr>
        <w:t xml:space="preserve"> to ensure it captur</w:t>
      </w:r>
      <w:r w:rsidR="003539F5">
        <w:rPr>
          <w:rFonts w:ascii="Arial" w:hAnsi="Arial" w:cs="Arial"/>
          <w:sz w:val="22"/>
          <w:szCs w:val="22"/>
        </w:rPr>
        <w:t xml:space="preserve">ed </w:t>
      </w:r>
      <w:r w:rsidR="007F2EBE">
        <w:rPr>
          <w:rFonts w:ascii="Arial" w:hAnsi="Arial" w:cs="Arial"/>
          <w:sz w:val="22"/>
          <w:szCs w:val="22"/>
        </w:rPr>
        <w:t>appropriate citations</w:t>
      </w:r>
      <w:r w:rsidR="005C119B" w:rsidRPr="00E5158C">
        <w:rPr>
          <w:rFonts w:ascii="Arial" w:hAnsi="Arial" w:cs="Arial"/>
          <w:sz w:val="22"/>
          <w:szCs w:val="22"/>
        </w:rPr>
        <w:t>.</w:t>
      </w:r>
      <w:r w:rsidR="002B565F">
        <w:rPr>
          <w:rFonts w:ascii="Arial" w:hAnsi="Arial" w:cs="Arial"/>
          <w:sz w:val="22"/>
          <w:szCs w:val="22"/>
        </w:rPr>
        <w:fldChar w:fldCharType="begin"/>
      </w:r>
      <w:r w:rsidR="00A86179">
        <w:rPr>
          <w:rFonts w:ascii="Arial" w:hAnsi="Arial" w:cs="Arial"/>
          <w:sz w:val="22"/>
          <w:szCs w:val="22"/>
        </w:rPr>
        <w:instrText xml:space="preserve"> ADDIN ZOTERO_ITEM CSL_CITATION {"citationID":"uXY4wWSx","properties":{"formattedCitation":"[13], [14], [15], [16], [17], [18], [19], [20]","plainCitation":"[13], [14], [15], [16], [17], [18], [19], [20]","noteIndex":0},"citationItems":[{"id":5,"uris":["http://zotero.org/users/local/5isXr7c7/items/GCV6HL2W"],"itemData":{"id":5,"type":"article-journal","abstract":"Introduction Idiopathic pulmonary fibrosis (IPF) is a lung disease of unknown cause characterised by progressive scarring, with limited effective treatment and a median survival of only 2–3 years. Our aim was to identify potential occupational and environmental exposures associated with IPF in Australia.\nMethods Cases were recruited by the Australian IPF registry. Population-based controls were recruited by random digit dialling, frequency matched on age, sex and state. Participants completed a questionnaire on demographics, smoking, family history, environmental and occupational exposures. Occupational exposure assessment was undertaken with the Finnish Job Exposure Matrix and Australian asbestos JEM. Multivariable logistic regression was used to describe associations with IPF as ORs and 95% CIs, adjusted for age, sex, state and smoking.\nResults We recruited 503 cases (mean±SD age 71±9 years, 69% male) and 902 controls (71±8 years, 69% male). Ever smoking tobacco was associated with increased risk of IPF: OR 2.20 (95% CI 1.74 to 2.79), but ever using marijuana with reduced risk after adjusting for tobacco: 0.51 (0.33 to 0.78). A family history of pulmonary fibrosis was associated with 12.6-fold (6.52 to 24.2) increased risk of IPF. Occupational exposures to secondhand smoke (OR 2.1; 1.2 to 3.7), respirable dust (OR 1.38; 1.04 to 1.82) and asbestos (OR 1.57; 1.15 to 2.15) were independently associated with increased risk of IPF. However occupational exposures to other specific organic, mineral or metal dusts were not associated with IPF.\nConclusion The burden of IPF could be reduced by intensified tobacco control, occupational dust control measures and elimination of asbestos at work.","container-title":"Thorax","DOI":"10.1136/thoraxjnl-2019-214478","ISSN":"0040-6376, 1468-</w:instrText>
      </w:r>
      <w:r w:rsidR="00A86179">
        <w:rPr>
          <w:rFonts w:ascii="Arial" w:hAnsi="Arial" w:cs="Arial"/>
          <w:sz w:val="22"/>
          <w:szCs w:val="22"/>
        </w:rPr>
        <w:lastRenderedPageBreak/>
        <w:instrText xml:space="preserve">3296","issue":"10","language":"en","license":"© Author(s) (or their employer(s)) 2020. No commercial re-use. See rights and permissions. Published by BMJ.","note":"publisher: BMJ Publishing Group Ltd\nsection: Interstitial lung disease\nPMID: 32660982","page":"864-869","source":"thorax.bmj.com","title":"Occupational and environmental risk factors for idiopathic pulmonary fibrosis in Australia: case–control study","title-short":"Occupational and environmental risk factors for idiopathic pulmonary fibrosis in Australia","volume":"75","author":[{"family":"Abramson","given":"Michael J."},{"family":"Murambadoro","given":"Tsitsi"},{"family":"Alif","given":"Sheikh M."},{"family":"Benke","given":"Geza P."},{"family":"Dharmage","given":"Shyamali C."},{"family":"Glaspole","given":"Ian"},{"family":"Hopkins","given":"Peter"},{"family":"Hoy","given":"Ryan F."},{"family":"Klebe","given":"Sonja"},{"family":"Moodley","given":"Yuben"},{"family":"Rawson","given":"Shuli"},{"family":"Reynolds","given":"Paul N."},{"family":"Wolfe","given":"Rory"},{"family":"Corte","given":"Tamera J."},{"family":"Walters","given":"E. Haydn"}],"issued":{"date-parts":[["2020",10,1]]}}},{"id":1480,"uris":["http://zotero.org/users/local/5isXr7c7/items/IDIGJZ9A"],"itemData":{"id":1480,"type":"article-journal","abstract":"OBJECTIVE--To investigate the role of occupational and domestic exposure to dust in the aetiology of cryptogenic fibrosing alveolitis. DESIGN--Matched case-control study. SUBJECTS--40 Patients with cryptogenic fibrosing alveolitis and 106 community controls matched for age and sex who responded to a questionnaire. MAIN OUTCOME MEASURE--Responses to self administered questionnaire asking about lifetime exposure to dust, animals, and smoke at home and at work. RESULTS--The patients with cryptogenic fibrosing alveolitis were more likely to report occupational exposure to metal dust (matched odds ratio 10.97 (95% confidence interval 2.30 to 52.4), p less than 0.001) or wood dust (2.94 (0.87 to 9.90), p = 0.08), to have worked with cattle (10.89 (1.24 to 96.0), p = 0.01), and to have lived in a house heated by a wood fire (12.55 (1.04 to 114), p = 0.009). A history of smoking and social class based on occupation were not significantly related to disease state. CONCLUSION--Environmental exposure to dust may be an important factor in the aetiology of cryptogenic fibrosing alveolitis.","container-title":"BMJ : British Medical Journal","ISSN":"0959-8138","issue":"6759","journalAbbreviation":"BMJ","note":"PMID: 2249047\nPMCID: PMC1664043","page":"1015-1017","source":"PubMed Central","title":"What causes cryptogenic fibrosing alveolitis? A case-control study of environmental exposure to dust.","title-short":"What causes cryptogenic fibrosing </w:instrText>
      </w:r>
      <w:r w:rsidR="00A86179">
        <w:rPr>
          <w:rFonts w:ascii="Arial" w:hAnsi="Arial" w:cs="Arial"/>
          <w:sz w:val="22"/>
          <w:szCs w:val="22"/>
        </w:rPr>
        <w:lastRenderedPageBreak/>
        <w:instrText xml:space="preserve">alveolitis?","volume":"301","author":[{"family":"Scott","given":"J"},{"family":"Johnston","given":"I"},{"family":"Britton","given":"J"}],"issued":{"date-parts":[["1990",11,3]]}}},{"id":641,"uris":["http://zotero.org/users/local/5isXr7c7/items/C9LXWXZ8"],"itemData":{"id":641,"type":"article-journal","abstract":"Background. We have previously suggested that cryptogenic fibrosing alveolitis (CFA) may be caused by occupational exposures, particularly to metal or wood dust. We have specifically investigated this hypothesis in a case-control study of patients with CFA. Methods. We obtained lifetime occupational histories by postal questionnaire from 218 patients with CFA and 569 controls matched for age, sex, and community, living in the Trent region of the UK. Information was subsequently verified by telephone interview in 165 cases and 408 controls. Serum IgE, rheumatoid factor, and antinuclear antibodies and skin sensitivity to common allergens were measured in cases and in one matched control for each. Findings. The relative risk of CFA, after adjustment for smoking, was significantly increased in relation to questionnaire-reported exposure to metal dust (odds ratio 1.68 [95% CI 1.07-2.65], p = 0.024) or to wood dust (1.71 [1.01-2.92], p = 0.048). Similar results were obtained with the telephone interview data. Significant exposure-response effects were found for both metal-dust and wood-dust exposure. CFA was also associated with the presence of rheumatoid factor or antinuclear antibodies, but not with positive allergen skin tests or raised IgE concentrations. There was no evidence of interaction between the effects of rheumatoid factor, antinuclear antibodies, positive skin allergen tests, or IgE concentrations and exposure to metal or wood dust. The combined aetiological fraction attributable to exposure to metal or wood dust was of the order of 20%. Interpretation. Occupational exposures to metal or wood dust are independent risk factors for CFA. Avoidance or limitation of these exposures may provide an opportunity to prevent the disease.","container-title":"Lancet","DOI":"10.1016/S0140-6736%2896%2990465-1","issue":"8997","journalAbbreviation":"Lancet","note":"publisher-place: United Kingdom\npublisher: Elsevier B.V.","page":"284-289","title":"Occupational exposure to metal or wood dust and aetiology of cryptogenic fibrosing alveolitis","volume":"347","author":[{"literal":"Hubbard R."},{"literal":"Lewis S."},{"literal":"Richards K."},{"literal":"Johnston I."},{"literal":"Britton J."}],"issued":{"date-parts":[["1996"]]}}},{"id":640,"uris":["http://zotero.org/users/local/5isXr7c7/items/BYIR3SIC"],"itemData":{"id":640,"type":"article-journal","abstract":"We report increased proportional mortality from cryptogenic flbrosing alveolitis in the workforce of a major UK engineering company. Measures of metal exposure from unbiased </w:instrText>
      </w:r>
      <w:r w:rsidR="00A86179">
        <w:rPr>
          <w:rFonts w:ascii="Arial" w:hAnsi="Arial" w:cs="Arial"/>
          <w:sz w:val="22"/>
          <w:szCs w:val="22"/>
        </w:rPr>
        <w:lastRenderedPageBreak/>
        <w:instrText xml:space="preserve">historical occupational records showed that among employees who have worked with metal, the risk of death from or with cryptogenic fibrosing alveolitis increased in relation to the duration of metal-working.","container-title":"Lancet","DOI":"10.1016/S0140-6736%2800%2982017-6","issue":"9202","journalAbbreviation":"Lancet","note":"publisher-place: United Kingdom\npublisher: Elsevier B.V.","page":"466-467","title":"Risk of cryptogenic fibrosing alveolitis in metal workers","volume":"355","author":[{"literal":"Hubbard R."},{"literal":"Cooper M."},{"literal":"Antoniak M."},{"literal":"Venn A."},{"literal":"Khan S."},{"literal":"Johnston I."},{"literal":"Lewis S."},{"literal":"Britton J."}],"issued":{"date-parts":[["2000"]]}}},{"id":1483,"uris":["http://zotero.org/users/local/5isXr7c7/items/KZ57X6CP"],"itemData":{"id":1483,"type":"article-journal","abstract":"BACKGROUND: External agents, especially metal and wood dust, are believed to be risk factors for development of idiopathic pulmonary fibrosis (IPF). The aim of this case-control study was to investigate which occupational exposure types are associated with development of severe pulmonary fibrosis (PF), and especially IPF.\nMETHODS: An extensive postal questionnaire including 30 specific items regarding occupational exposure was completed by 181 patients with severe PF and respiratory failure reported to the Swedish Oxygen Register, among whom 140 were judged as having IPF. The questionnaire was also completed by 757 control subjects. We stratified data for age, sex and smoking and calculated odds ratios (ORs).\nRESULTS: We found increased risk for IPF in men with exposure to birch dust (OR 2.7, 95% confidence interval (95% CI) 1.30-5.65) and hardwood dust (OR 2.7, 95% CI 1.14-6.52). Men also had slightly increased ORs associated with birds. We did not find any increased risk in association with metal dust exposure.\nCONCLUSION: Exposure for birch and hardwood dust may contribute to the risk for IPF in men.","container-title":"Respiratory Medicine","DOI":"10.1016/j.rmed.2007.02.027","ISSN":"0954-6111","issue":"10","journalAbbreviation":"Respir Med","language":"eng","note":"PMID: 17628464","page":"2207-2212","source":"PubMed","title":"Occupational exposure and severe pulmonary fibrosis","volume":"101","author":[{"family":"Gustafson","given":"Torbjörn"},{"family":"Dahlman-Höglund","given":"Anna"},{"family":"Nilsson","given":"Kenneth"},{"family":"Ström","given":"Kerstin"},{"family":"Tornling","given":"Göran"},{"family":"Torén","given":"Kjell"}],"issued":{"date-parts":[["2007",10]]}}},{"id":690,"uris":["http://zotero.org/users/local/5isXr7c7/items/N4CYZM3F"],"itemData":{"id":690,"type":"article-journal","abstract":"Idiopathic pulmonary fibrosis (IPF) is a lethal lung disorder of unknown </w:instrText>
      </w:r>
      <w:r w:rsidR="00A86179">
        <w:rPr>
          <w:rFonts w:ascii="Arial" w:hAnsi="Arial" w:cs="Arial"/>
          <w:sz w:val="22"/>
          <w:szCs w:val="22"/>
        </w:rPr>
        <w:lastRenderedPageBreak/>
        <w:instrText xml:space="preserve">etiology. The disease is likely the result of complex interactions between genetic and environmental factors. Evidence suggests that certain environmental factors, such as cigarette smoking and metal dust exposures, or comorbidities like gastroesophageal reflux, and type 2 diabetes mellitus (DM2) may increase risk to develop IPF. Substantial uncertainty remains, however, regarding these and other putative risk factors for IPF. In this study we performed a case-control analysis including 100 patients with IPF and 263 controls matched for age sex and place of residence. We used a structured questionnaire to identify potential risk factors for IPF, including environmental and occupational exposures as well as the relevance of family history of pulmonary fibrosis. The multivariate analysis revealed that family history of pulmonary fibrosis [OR = 6.1, CI95% 2.3-15.9; p &lt; 0.0001] was strongly associated with increased risk of IPF. Actually, 20% of the cases reported a parent or sibling with pulmonary fibrosis. Gastroesophageal reflux [OR = 2.9, CI: 1.3-6.6; p = 0.007], former cigarette smoking [OR = 2.5, CI: 1.4-4.6, p = 0.003], and past or current occupational exposure to dusts, smokes, gases or chemicals [OR = 2.8, CI: 1.5-5.5; p = 0.002] were also associated with the disease. Despite being a significant risk factor on univariate analysis DM2 was not significant in multivariate analysis. These findings indicate that family history of pulmonary fibrosis is a strong risk factor for IPF. Also, we confirmed that occupational exposures, gastroesophageal reflux and former smoking increase the risk for this disease. © 2011 Elsevier Ltd. All rights reserved.","container-title":"Respiratory Medicine","DOI":"10.1016/j.rmed.2011.08.022","issue":"12","journalAbbreviation":"Respiratory Medicine","note":"publisher-place: United Kingdom\npublisher: W.B. Saunders Ltd (32 Jamestown Road, London NW1 7BY, United Kingdom)","page":"1902-1907","title":"Familial pulmonary fibrosis is the strongest risk factor for idiopathic pulmonary fibrosis","volume":"105","author":[{"literal":"Garcia-Sancho C."},{"literal":"Buendia-Roldan I."},{"literal":"Fernandez-Plata M.R."},{"literal":"Navarro C."},{"literal":"Perez-Padilla R."},{"literal":"Vargas M.H."},{"literal":"Loyd J.E."},{"literal":"Selman M."}],"issued":{"date-parts":[["2011"]]}}},{"id":778,"uris":["http://zotero.org/users/local/5isXr7c7/items/PBND4E29"],"itemData":{"id":778,"type":"article-journal","abstract":"Occupational exposures were investigated in a multicenter case-control study of clinically and histologically diagnosed idiopathic pulmonary fibrosis (IPF), a chronic diffuse interstitial lung disease of unknown etiology. Results are based on 248 cases, aged 20-75 years, diagnosed at 16 referral centers between January 1989 and July 1993. There were 491 controls ascertained by random digit dialing and matched to cases on sex, age, and geographic region. Data were collected using a standard telephone </w:instrText>
      </w:r>
      <w:r w:rsidR="00A86179">
        <w:rPr>
          <w:rFonts w:ascii="Arial" w:hAnsi="Arial" w:cs="Arial"/>
          <w:sz w:val="22"/>
          <w:szCs w:val="22"/>
        </w:rPr>
        <w:lastRenderedPageBreak/>
        <w:instrText xml:space="preserve">questionnaire. Occupational factors were based on a detailed history of jobs lasting 6 months or more and job activity, hobby, and specific substance checklists. Several occupational factors, adjusted for age and smoking in conditional multivariate logistic regression analyses, were significantly associated with IPF: farming (odds ratio (OR) = 1.6, 95% confidence interval (CI): 1.0, 2.5); livestock (OR = 2.7, 95% CI: 1.3, 5.5); hairdressing (OR = 4.4, 95% CI: 1.2, 16.3); metal dust (OR = 2.0, 95% CI: 1.0, 4.0); raising birds (OR = 4.7, 95% CI: 1.6, 14.1); stone cutting/polishing (OR = 3.9, 95% CI: 1.2, 12.7); and vegetable dust/animal dust (OR = 4.7, 95% CI: 2.1, 10.4). Interaction was detected between smoking and exposure to livestock (p = 0.06) and farming (p = 0.08). Results confirm previous studies showing increased risk associated with dusty environments.","container-title":"American journal of epidemiology","issue":"4","journalAbbreviation":"American journal of epidemiology","note":"publisher-place: United States","page":"307-15","title":"Occupational and environmental risk factors for idiopathic pulmonary fibrosis: a multicenter case-control study. Collaborating Centers.","volume":"152","author":[{"family":"Baumgartner","given":"K B"},{"family":"Samet","given":"J M"},{"family":"Coultas","given":"D B"},{"family":"Stidley","given":"C A"},{"family":"Hunt","given":"W C"},{"family":"Colby","given":"T V"},{"family":"Waldron","given":"J A"}],"issued":{"date-parts":[["2000"]]}}},{"id":1486,"uris":["http://zotero.org/users/local/5isXr7c7/items/H326QU9G"],"itemData":{"id":1486,"type":"article-journal","abstract":"BACKGROUND: Idiopathic pulmonary fibrosis (IPF) is a chronic, progressive fibrosing interstitial pneumonia of unknown cause associated with the histopathologic and/or radiologic pattern of usual interstitial pneumonia (UIP). Occupational risk factors have been proposed to be associated with UIP. The aim of this case-control study is to evaluate the relationship between UIP pattern and occupational exposure in Southern Europe.\nMETHODS: Sixty nine cases with a UIP radiological pattern at CT-scan were selected from a clinical database of the University Hospital of Perugia, Umbria, between January 2010 and December 2013. Controls (n = 277) not reporting doctor diagnosed pulmonary fibrosis, were ascertained casually among general population from the same catching area of cases. Data were collected by a questionnaire used previously in a similar study. Logistic regression models, adjusted for gender, age and smoking, were performed to evaluate the association between UIP and occupational exposure.\nRESULTS: Farmers, veterinarians and gardeners (OR = 2.73, 95%CI = 1.47-5.10), metallurgical and steel industry workers (OR = 4.80, 95%CI = 1.50-15.33) were occupations associated with UIP. Metal dust and fumes and organic dust were risk factors for UIP. Increasing the length of occupational exposure in jobs at risk of pulmonary </w:instrText>
      </w:r>
      <w:r w:rsidR="00A86179">
        <w:rPr>
          <w:rFonts w:ascii="Arial" w:hAnsi="Arial" w:cs="Arial"/>
          <w:sz w:val="22"/>
          <w:szCs w:val="22"/>
        </w:rPr>
        <w:lastRenderedPageBreak/>
        <w:instrText xml:space="preserve">fibrosis, increased the risk of having UIP.\nCONCLUSIONS: This case control study confirm partially the results from previous similar studies. Some discrepancies could be explained by the different geographical origins of the population under study, reflecting also different occupational exposures.","container-title":"BMC pulmonary medicine","DOI":"10.1186/s12890-018-0644-2","ISSN":"1471-2466","issue":"1","journalAbbreviation":"BMC Pulm Med","language":"eng","note":"PMID: 29784045\nPMCID: PMC5963078","page":"75","source":"PubMed","title":"Occupational risk factors for idiopathic pulmonary fibrosis in Southern Europe: a case-control study","title-short":"Occupational risk factors for idiopathic pulmonary fibrosis in Southern Europe","volume":"18","author":[{"family":"Paolocci","given":"Giulia"},{"family":"Folletti","given":"Ilenia"},{"family":"Torén","given":"Kjell"},{"family":"Ekström","given":"Magnus"},{"family":"Dell'Omo","given":"Marco"},{"family":"Muzi","given":"Giacomo"},{"family":"Murgia","given":"Nicola"}],"issued":{"date-parts":[["2018",5,21]]}}}],"schema":"https://github.com/citation-style-language/schema/raw/master/csl-citation.json"} </w:instrText>
      </w:r>
      <w:r w:rsidR="002B565F">
        <w:rPr>
          <w:rFonts w:ascii="Arial" w:hAnsi="Arial" w:cs="Arial"/>
          <w:sz w:val="22"/>
          <w:szCs w:val="22"/>
        </w:rPr>
        <w:fldChar w:fldCharType="separate"/>
      </w:r>
      <w:r w:rsidR="00A86179">
        <w:rPr>
          <w:rFonts w:ascii="Arial" w:hAnsi="Arial" w:cs="Arial"/>
          <w:sz w:val="22"/>
        </w:rPr>
        <w:t>[13], [14], [15], [16], [17], [18], [19], [20]</w:t>
      </w:r>
      <w:r w:rsidR="002B565F">
        <w:rPr>
          <w:rFonts w:ascii="Arial" w:hAnsi="Arial" w:cs="Arial"/>
          <w:sz w:val="22"/>
          <w:szCs w:val="22"/>
        </w:rPr>
        <w:fldChar w:fldCharType="end"/>
      </w:r>
      <w:r w:rsidR="005C119B" w:rsidRPr="00E5158C">
        <w:rPr>
          <w:rFonts w:ascii="Arial" w:hAnsi="Arial" w:cs="Arial"/>
          <w:sz w:val="22"/>
          <w:szCs w:val="22"/>
        </w:rPr>
        <w:t xml:space="preserve"> </w:t>
      </w:r>
    </w:p>
    <w:p w14:paraId="146C97F6" w14:textId="77777777" w:rsidR="00F223C5" w:rsidRDefault="00F223C5" w:rsidP="00F223C5">
      <w:pPr>
        <w:autoSpaceDE w:val="0"/>
        <w:autoSpaceDN w:val="0"/>
        <w:adjustRightInd w:val="0"/>
        <w:spacing w:line="480" w:lineRule="auto"/>
        <w:rPr>
          <w:rFonts w:ascii="Arial" w:hAnsi="Arial" w:cs="Arial"/>
          <w:sz w:val="22"/>
          <w:szCs w:val="22"/>
        </w:rPr>
      </w:pPr>
    </w:p>
    <w:p w14:paraId="5C065835" w14:textId="2AF0064B" w:rsidR="00436190" w:rsidRPr="00E5158C" w:rsidRDefault="00436190" w:rsidP="00436190">
      <w:pPr>
        <w:spacing w:line="480" w:lineRule="auto"/>
        <w:rPr>
          <w:rFonts w:ascii="Arial" w:hAnsi="Arial" w:cs="Arial"/>
          <w:sz w:val="22"/>
          <w:szCs w:val="22"/>
        </w:rPr>
      </w:pPr>
      <w:r>
        <w:rPr>
          <w:rFonts w:ascii="Arial" w:hAnsi="Arial" w:cs="Arial"/>
          <w:sz w:val="22"/>
          <w:szCs w:val="22"/>
        </w:rPr>
        <w:t>Abstracts were uploaded to</w:t>
      </w:r>
      <w:r w:rsidRPr="00C17C09">
        <w:rPr>
          <w:rFonts w:ascii="Arial" w:hAnsi="Arial" w:cs="Arial"/>
          <w:sz w:val="22"/>
          <w:szCs w:val="22"/>
        </w:rPr>
        <w:t xml:space="preserve"> </w:t>
      </w:r>
      <w:r w:rsidRPr="00C17C09">
        <w:rPr>
          <w:rFonts w:ascii="Arial" w:hAnsi="Arial" w:cs="Arial"/>
          <w:sz w:val="22"/>
          <w:szCs w:val="22"/>
          <w:lang w:val="en-GB"/>
        </w:rPr>
        <w:t xml:space="preserve">Covidence systematic review </w:t>
      </w:r>
      <w:r w:rsidRPr="00C65E48">
        <w:rPr>
          <w:rFonts w:ascii="Arial" w:hAnsi="Arial" w:cs="Arial"/>
          <w:color w:val="000000" w:themeColor="text1"/>
          <w:sz w:val="22"/>
          <w:szCs w:val="22"/>
          <w:lang w:val="en-GB"/>
        </w:rPr>
        <w:t>management software (</w:t>
      </w:r>
      <w:r w:rsidRPr="00C65E48">
        <w:rPr>
          <w:rFonts w:ascii="Arial" w:eastAsia="Times New Roman" w:hAnsi="Arial" w:cs="Arial"/>
          <w:color w:val="000000" w:themeColor="text1"/>
          <w:sz w:val="22"/>
          <w:szCs w:val="22"/>
          <w:shd w:val="clear" w:color="auto" w:fill="FFFFFF"/>
          <w:lang w:val="en-US"/>
        </w:rPr>
        <w:t xml:space="preserve">Covidence systematic review software, Veritas Health Innovation, Melbourne, Australia, available at </w:t>
      </w:r>
      <w:hyperlink r:id="rId8" w:history="1">
        <w:r w:rsidRPr="00C65E48">
          <w:rPr>
            <w:rStyle w:val="Hyperlink"/>
            <w:rFonts w:ascii="Arial" w:eastAsia="Times New Roman" w:hAnsi="Arial" w:cs="Arial"/>
            <w:color w:val="000000" w:themeColor="text1"/>
            <w:sz w:val="22"/>
            <w:szCs w:val="22"/>
            <w:shd w:val="clear" w:color="auto" w:fill="FFFFFF"/>
            <w:lang w:val="en-US"/>
          </w:rPr>
          <w:t>www.covidence.org</w:t>
        </w:r>
      </w:hyperlink>
      <w:r w:rsidRPr="00C65E48">
        <w:rPr>
          <w:rFonts w:ascii="Arial" w:eastAsia="Times New Roman" w:hAnsi="Arial" w:cs="Arial"/>
          <w:color w:val="000000" w:themeColor="text1"/>
          <w:sz w:val="22"/>
          <w:szCs w:val="22"/>
          <w:shd w:val="clear" w:color="auto" w:fill="FFFFFF"/>
          <w:lang w:val="en-US"/>
        </w:rPr>
        <w:t>) to facilitate screening processes</w:t>
      </w:r>
      <w:r w:rsidRPr="00C65E48">
        <w:rPr>
          <w:rFonts w:ascii="Arial" w:hAnsi="Arial" w:cs="Arial"/>
          <w:color w:val="000000" w:themeColor="text1"/>
          <w:sz w:val="22"/>
          <w:szCs w:val="22"/>
          <w:lang w:val="en-GB"/>
        </w:rPr>
        <w:t xml:space="preserve">. </w:t>
      </w:r>
      <w:r w:rsidRPr="00C65E48">
        <w:rPr>
          <w:rFonts w:ascii="Arial" w:hAnsi="Arial" w:cs="Arial"/>
          <w:color w:val="000000" w:themeColor="text1"/>
          <w:sz w:val="22"/>
          <w:szCs w:val="22"/>
        </w:rPr>
        <w:t>All titles and abstracts were independently sc</w:t>
      </w:r>
      <w:r w:rsidRPr="00E5158C">
        <w:rPr>
          <w:rFonts w:ascii="Arial" w:hAnsi="Arial" w:cs="Arial"/>
          <w:sz w:val="22"/>
          <w:szCs w:val="22"/>
        </w:rPr>
        <w:t xml:space="preserve">reened for </w:t>
      </w:r>
      <w:r w:rsidRPr="00C17C09">
        <w:rPr>
          <w:rFonts w:ascii="Arial" w:hAnsi="Arial" w:cs="Arial"/>
          <w:sz w:val="22"/>
          <w:szCs w:val="22"/>
        </w:rPr>
        <w:t>eligibility</w:t>
      </w:r>
      <w:r w:rsidDel="005D5798">
        <w:rPr>
          <w:rFonts w:ascii="Arial" w:hAnsi="Arial" w:cs="Arial"/>
          <w:sz w:val="22"/>
          <w:szCs w:val="22"/>
        </w:rPr>
        <w:t xml:space="preserve"> </w:t>
      </w:r>
      <w:r>
        <w:rPr>
          <w:rFonts w:ascii="Arial" w:hAnsi="Arial" w:cs="Arial"/>
          <w:sz w:val="22"/>
          <w:szCs w:val="22"/>
        </w:rPr>
        <w:t>for full review</w:t>
      </w:r>
      <w:r w:rsidRPr="00E5158C">
        <w:rPr>
          <w:rFonts w:ascii="Arial" w:hAnsi="Arial" w:cs="Arial"/>
          <w:sz w:val="22"/>
          <w:szCs w:val="22"/>
        </w:rPr>
        <w:t xml:space="preserve"> by t</w:t>
      </w:r>
      <w:r>
        <w:rPr>
          <w:rFonts w:ascii="Arial" w:hAnsi="Arial" w:cs="Arial"/>
          <w:sz w:val="22"/>
          <w:szCs w:val="22"/>
        </w:rPr>
        <w:t xml:space="preserve">wo </w:t>
      </w:r>
      <w:r w:rsidRPr="00E5158C">
        <w:rPr>
          <w:rFonts w:ascii="Arial" w:hAnsi="Arial" w:cs="Arial"/>
          <w:sz w:val="22"/>
          <w:szCs w:val="22"/>
        </w:rPr>
        <w:t>reviewers (CTL &amp; SE)</w:t>
      </w:r>
      <w:r>
        <w:rPr>
          <w:rFonts w:ascii="Arial" w:hAnsi="Arial" w:cs="Arial"/>
          <w:sz w:val="22"/>
          <w:szCs w:val="22"/>
        </w:rPr>
        <w:t xml:space="preserve">. </w:t>
      </w:r>
      <w:r>
        <w:rPr>
          <w:rFonts w:ascii="Arial" w:hAnsi="Arial" w:cs="Arial"/>
          <w:sz w:val="22"/>
          <w:szCs w:val="22"/>
          <w:lang w:val="en-GB"/>
        </w:rPr>
        <w:t xml:space="preserve">Full review eligibility </w:t>
      </w:r>
      <w:r w:rsidRPr="00E5158C">
        <w:rPr>
          <w:rFonts w:ascii="Arial" w:hAnsi="Arial" w:cs="Arial"/>
          <w:sz w:val="22"/>
          <w:szCs w:val="22"/>
          <w:lang w:val="en-GB"/>
        </w:rPr>
        <w:t xml:space="preserve">criteria </w:t>
      </w:r>
      <w:r>
        <w:rPr>
          <w:rFonts w:ascii="Arial" w:hAnsi="Arial" w:cs="Arial"/>
          <w:sz w:val="22"/>
          <w:szCs w:val="22"/>
          <w:lang w:val="en-GB"/>
        </w:rPr>
        <w:t xml:space="preserve">were </w:t>
      </w:r>
      <w:r w:rsidR="006C4377">
        <w:rPr>
          <w:rFonts w:ascii="Arial" w:hAnsi="Arial" w:cs="Arial"/>
          <w:sz w:val="22"/>
          <w:szCs w:val="22"/>
          <w:lang w:val="en-GB"/>
        </w:rPr>
        <w:t>applied</w:t>
      </w:r>
      <w:r>
        <w:rPr>
          <w:rFonts w:ascii="Arial" w:hAnsi="Arial" w:cs="Arial"/>
          <w:sz w:val="22"/>
          <w:szCs w:val="22"/>
          <w:lang w:val="en-GB"/>
        </w:rPr>
        <w:t xml:space="preserve"> as follows. Participants were </w:t>
      </w:r>
      <w:r w:rsidRPr="00E5158C">
        <w:rPr>
          <w:rFonts w:ascii="Arial" w:hAnsi="Arial" w:cs="Arial"/>
          <w:sz w:val="22"/>
          <w:szCs w:val="22"/>
        </w:rPr>
        <w:t>adult</w:t>
      </w:r>
      <w:r>
        <w:rPr>
          <w:rFonts w:ascii="Arial" w:hAnsi="Arial" w:cs="Arial"/>
          <w:sz w:val="22"/>
          <w:szCs w:val="22"/>
        </w:rPr>
        <w:t xml:space="preserve"> (age ≥18 years)</w:t>
      </w:r>
      <w:r w:rsidRPr="00E5158C">
        <w:rPr>
          <w:rFonts w:ascii="Arial" w:hAnsi="Arial" w:cs="Arial"/>
          <w:sz w:val="22"/>
          <w:szCs w:val="22"/>
        </w:rPr>
        <w:t xml:space="preserve"> humans </w:t>
      </w:r>
      <w:r>
        <w:rPr>
          <w:rFonts w:ascii="Arial" w:hAnsi="Arial" w:cs="Arial"/>
          <w:sz w:val="22"/>
          <w:szCs w:val="22"/>
          <w:lang w:val="en-GB"/>
        </w:rPr>
        <w:t>with ILD, including IPF, idiopathic interstitial pneumonia (IIP), CTD-ILD, unclassifiable ILD, interstitial pneumonia with autoimmune features (IPAF), and smoking-related ILDs, or controls without ILD. Excluded ILDs were HP, sarcoidosis, asbestosis, silicosis, other pneumoconiosis, drug-related ILD, and radiation-induced ILD. The intervention/exposure was defined as any inhaled environmental, occupational, domestic, or avocational exposure(s). The comparator/control was defined as those not exposed to any inhaled environmental, occupational, domestic, or avocational exposures, or, in descriptions where the entire cohort is exposed, those without ILD. The primary outcome was ILD diagnosis, with the secondary outcome of a relative ranking of risk estimates for ILD diagnosis, and the tertiary outcome of a comparison of risk associations across diagnostic subtypes.</w:t>
      </w:r>
      <w:r w:rsidRPr="009A4D56">
        <w:rPr>
          <w:rFonts w:ascii="Arial" w:hAnsi="Arial" w:cs="Arial"/>
          <w:sz w:val="22"/>
          <w:szCs w:val="22"/>
        </w:rPr>
        <w:t xml:space="preserve"> </w:t>
      </w:r>
      <w:r>
        <w:rPr>
          <w:rFonts w:ascii="Arial" w:hAnsi="Arial" w:cs="Arial"/>
          <w:sz w:val="22"/>
          <w:szCs w:val="22"/>
        </w:rPr>
        <w:t>Additional i</w:t>
      </w:r>
      <w:r w:rsidRPr="00E5158C">
        <w:rPr>
          <w:rFonts w:ascii="Arial" w:hAnsi="Arial" w:cs="Arial"/>
          <w:sz w:val="22"/>
          <w:szCs w:val="22"/>
        </w:rPr>
        <w:t xml:space="preserve">nclusion requirements </w:t>
      </w:r>
      <w:r>
        <w:rPr>
          <w:rFonts w:ascii="Arial" w:hAnsi="Arial" w:cs="Arial"/>
          <w:sz w:val="22"/>
          <w:szCs w:val="22"/>
        </w:rPr>
        <w:t>were publication in</w:t>
      </w:r>
      <w:r w:rsidRPr="00E5158C">
        <w:rPr>
          <w:rFonts w:ascii="Arial" w:hAnsi="Arial" w:cs="Arial"/>
          <w:sz w:val="22"/>
          <w:szCs w:val="22"/>
        </w:rPr>
        <w:t xml:space="preserve"> the English language</w:t>
      </w:r>
      <w:r>
        <w:rPr>
          <w:rFonts w:ascii="Arial" w:hAnsi="Arial" w:cs="Arial"/>
          <w:sz w:val="22"/>
          <w:szCs w:val="22"/>
        </w:rPr>
        <w:t xml:space="preserve"> and</w:t>
      </w:r>
      <w:r w:rsidRPr="00E5158C">
        <w:rPr>
          <w:rFonts w:ascii="Arial" w:hAnsi="Arial" w:cs="Arial"/>
          <w:sz w:val="22"/>
          <w:szCs w:val="22"/>
        </w:rPr>
        <w:t xml:space="preserve"> use of original data</w:t>
      </w:r>
      <w:r>
        <w:rPr>
          <w:rFonts w:ascii="Arial" w:hAnsi="Arial" w:cs="Arial"/>
          <w:sz w:val="22"/>
          <w:szCs w:val="22"/>
        </w:rPr>
        <w:t xml:space="preserve"> to </w:t>
      </w:r>
      <w:r w:rsidRPr="00E5158C">
        <w:rPr>
          <w:rFonts w:ascii="Arial" w:hAnsi="Arial" w:cs="Arial"/>
          <w:sz w:val="22"/>
          <w:szCs w:val="22"/>
        </w:rPr>
        <w:t xml:space="preserve">report an association between exposure </w:t>
      </w:r>
      <w:r w:rsidRPr="00E5158C">
        <w:rPr>
          <w:rFonts w:ascii="Arial" w:hAnsi="Arial" w:cs="Arial"/>
          <w:sz w:val="22"/>
          <w:szCs w:val="22"/>
        </w:rPr>
        <w:lastRenderedPageBreak/>
        <w:t xml:space="preserve">and risk of ILD. Case reports, case series with fewer than 10 patients, and </w:t>
      </w:r>
      <w:r>
        <w:rPr>
          <w:rFonts w:ascii="Arial" w:hAnsi="Arial" w:cs="Arial"/>
          <w:sz w:val="22"/>
          <w:szCs w:val="22"/>
        </w:rPr>
        <w:t>publications</w:t>
      </w:r>
      <w:r w:rsidRPr="00E5158C">
        <w:rPr>
          <w:rFonts w:ascii="Arial" w:hAnsi="Arial" w:cs="Arial"/>
          <w:sz w:val="22"/>
          <w:szCs w:val="22"/>
        </w:rPr>
        <w:t xml:space="preserve"> </w:t>
      </w:r>
      <w:r>
        <w:rPr>
          <w:rFonts w:ascii="Arial" w:hAnsi="Arial" w:cs="Arial"/>
          <w:sz w:val="22"/>
          <w:szCs w:val="22"/>
        </w:rPr>
        <w:t>without</w:t>
      </w:r>
      <w:r w:rsidRPr="00E5158C">
        <w:rPr>
          <w:rFonts w:ascii="Arial" w:hAnsi="Arial" w:cs="Arial"/>
          <w:sz w:val="22"/>
          <w:szCs w:val="22"/>
        </w:rPr>
        <w:t xml:space="preserve"> a numerical effect estimate for association of exposure to risk of ILD were excluded.</w:t>
      </w:r>
      <w:r w:rsidRPr="00432998">
        <w:rPr>
          <w:rFonts w:ascii="Arial" w:hAnsi="Arial" w:cs="Arial"/>
          <w:sz w:val="22"/>
          <w:szCs w:val="22"/>
        </w:rPr>
        <w:t xml:space="preserve"> </w:t>
      </w:r>
    </w:p>
    <w:p w14:paraId="6BA99D37" w14:textId="77777777" w:rsidR="00F223C5" w:rsidRDefault="00F223C5" w:rsidP="00F223C5">
      <w:pPr>
        <w:spacing w:line="480" w:lineRule="auto"/>
        <w:rPr>
          <w:rFonts w:ascii="Times New Roman" w:eastAsia="Times New Roman" w:hAnsi="Times New Roman" w:cs="Times New Roman"/>
          <w:lang w:val="en-US"/>
        </w:rPr>
      </w:pPr>
    </w:p>
    <w:p w14:paraId="65012F0E" w14:textId="77777777" w:rsidR="00F223C5" w:rsidRPr="00E5158C" w:rsidRDefault="00F223C5" w:rsidP="00F223C5">
      <w:pPr>
        <w:spacing w:line="480" w:lineRule="auto"/>
        <w:rPr>
          <w:rFonts w:ascii="Arial" w:hAnsi="Arial" w:cs="Arial"/>
          <w:sz w:val="22"/>
          <w:szCs w:val="22"/>
        </w:rPr>
      </w:pPr>
      <w:r>
        <w:rPr>
          <w:rFonts w:ascii="Arial" w:hAnsi="Arial" w:cs="Arial"/>
          <w:sz w:val="22"/>
          <w:szCs w:val="22"/>
        </w:rPr>
        <w:t xml:space="preserve">Full-text review was completed by two reviewers (CTL &amp; SE) following screening. </w:t>
      </w:r>
      <w:r w:rsidRPr="00E5158C">
        <w:rPr>
          <w:rFonts w:ascii="Arial" w:hAnsi="Arial" w:cs="Arial"/>
          <w:sz w:val="22"/>
          <w:szCs w:val="22"/>
        </w:rPr>
        <w:t>Discrepancies at each stage of screening (i.e., title and abstracts and full-text screening) between reviewers were resolved through discussion with a third reviewer</w:t>
      </w:r>
      <w:r>
        <w:rPr>
          <w:rFonts w:ascii="Arial" w:hAnsi="Arial" w:cs="Arial"/>
          <w:sz w:val="22"/>
          <w:szCs w:val="22"/>
        </w:rPr>
        <w:t xml:space="preserve"> (KAJ)</w:t>
      </w:r>
      <w:r w:rsidRPr="00E5158C">
        <w:rPr>
          <w:rFonts w:ascii="Arial" w:hAnsi="Arial" w:cs="Arial"/>
          <w:sz w:val="22"/>
          <w:szCs w:val="22"/>
        </w:rPr>
        <w:t xml:space="preserve">. </w:t>
      </w:r>
    </w:p>
    <w:p w14:paraId="3E09F23D" w14:textId="53710454" w:rsidR="00903B59" w:rsidRPr="00E5158C" w:rsidRDefault="00903B59" w:rsidP="002B6C71">
      <w:pPr>
        <w:spacing w:line="480" w:lineRule="auto"/>
        <w:rPr>
          <w:rFonts w:ascii="Arial" w:hAnsi="Arial" w:cs="Arial"/>
          <w:sz w:val="22"/>
          <w:szCs w:val="22"/>
        </w:rPr>
      </w:pPr>
    </w:p>
    <w:p w14:paraId="2C194971" w14:textId="21D95F90" w:rsidR="00C146E2" w:rsidRPr="009C6954" w:rsidRDefault="003539F5" w:rsidP="002B6C71">
      <w:pPr>
        <w:spacing w:line="480" w:lineRule="auto"/>
        <w:rPr>
          <w:rFonts w:ascii="Arial" w:hAnsi="Arial" w:cs="Arial"/>
          <w:i/>
          <w:sz w:val="22"/>
          <w:szCs w:val="22"/>
        </w:rPr>
      </w:pPr>
      <w:r>
        <w:rPr>
          <w:rFonts w:ascii="Arial" w:hAnsi="Arial" w:cs="Arial"/>
          <w:i/>
          <w:sz w:val="22"/>
          <w:szCs w:val="22"/>
        </w:rPr>
        <w:t xml:space="preserve">Full-Text Review and </w:t>
      </w:r>
      <w:r w:rsidR="00C146E2" w:rsidRPr="009C6954">
        <w:rPr>
          <w:rFonts w:ascii="Arial" w:hAnsi="Arial" w:cs="Arial"/>
          <w:i/>
          <w:sz w:val="22"/>
          <w:szCs w:val="22"/>
        </w:rPr>
        <w:t>Data Extraction</w:t>
      </w:r>
    </w:p>
    <w:p w14:paraId="31BFF30B" w14:textId="61233370" w:rsidR="00903B59" w:rsidRPr="00E5158C" w:rsidRDefault="00903B59" w:rsidP="002B6C71">
      <w:pPr>
        <w:spacing w:line="480" w:lineRule="auto"/>
        <w:rPr>
          <w:rFonts w:ascii="Arial" w:hAnsi="Arial" w:cs="Arial"/>
          <w:sz w:val="22"/>
          <w:szCs w:val="22"/>
        </w:rPr>
      </w:pPr>
    </w:p>
    <w:p w14:paraId="3C5C142D" w14:textId="7BA8FDB8" w:rsidR="00665B37" w:rsidRPr="00E5158C" w:rsidRDefault="00665B37" w:rsidP="00665B37">
      <w:pPr>
        <w:spacing w:line="480" w:lineRule="auto"/>
        <w:rPr>
          <w:rFonts w:ascii="Arial" w:hAnsi="Arial" w:cs="Arial"/>
          <w:sz w:val="22"/>
          <w:szCs w:val="22"/>
        </w:rPr>
      </w:pPr>
      <w:r>
        <w:rPr>
          <w:rFonts w:ascii="Arial" w:hAnsi="Arial" w:cs="Arial"/>
          <w:sz w:val="22"/>
          <w:szCs w:val="22"/>
        </w:rPr>
        <w:t xml:space="preserve">For publications qualifying for full-text review and extraction, extracted study characteristics </w:t>
      </w:r>
      <w:r w:rsidRPr="00E5158C">
        <w:rPr>
          <w:rFonts w:ascii="Arial" w:hAnsi="Arial" w:cs="Arial"/>
          <w:sz w:val="22"/>
          <w:szCs w:val="22"/>
        </w:rPr>
        <w:t>includ</w:t>
      </w:r>
      <w:r>
        <w:rPr>
          <w:rFonts w:ascii="Arial" w:hAnsi="Arial" w:cs="Arial"/>
          <w:sz w:val="22"/>
          <w:szCs w:val="22"/>
        </w:rPr>
        <w:t>ed</w:t>
      </w:r>
      <w:r w:rsidRPr="00E5158C">
        <w:rPr>
          <w:rFonts w:ascii="Arial" w:hAnsi="Arial" w:cs="Arial"/>
          <w:sz w:val="22"/>
          <w:szCs w:val="22"/>
        </w:rPr>
        <w:t xml:space="preserve"> study title, year of publication, study authors, design, cohort name, location, sample size (proportion of cases vs controls). </w:t>
      </w:r>
      <w:r>
        <w:rPr>
          <w:rFonts w:ascii="Arial" w:hAnsi="Arial" w:cs="Arial"/>
          <w:sz w:val="22"/>
          <w:szCs w:val="22"/>
        </w:rPr>
        <w:t>Cigarette smoking history</w:t>
      </w:r>
      <w:r w:rsidRPr="00E5158C">
        <w:rPr>
          <w:rFonts w:ascii="Arial" w:hAnsi="Arial" w:cs="Arial"/>
          <w:sz w:val="22"/>
          <w:szCs w:val="22"/>
        </w:rPr>
        <w:t xml:space="preserve"> including smoking status (former, current, never) and </w:t>
      </w:r>
      <w:r>
        <w:rPr>
          <w:rFonts w:ascii="Arial" w:hAnsi="Arial" w:cs="Arial"/>
          <w:sz w:val="22"/>
          <w:szCs w:val="22"/>
        </w:rPr>
        <w:t xml:space="preserve">estimated </w:t>
      </w:r>
      <w:r w:rsidRPr="00E5158C">
        <w:rPr>
          <w:rFonts w:ascii="Arial" w:hAnsi="Arial" w:cs="Arial"/>
          <w:sz w:val="22"/>
          <w:szCs w:val="22"/>
        </w:rPr>
        <w:t>smoking dose (</w:t>
      </w:r>
      <w:r>
        <w:rPr>
          <w:rFonts w:ascii="Arial" w:hAnsi="Arial" w:cs="Arial"/>
          <w:sz w:val="22"/>
          <w:szCs w:val="22"/>
        </w:rPr>
        <w:t xml:space="preserve">e.g. number of </w:t>
      </w:r>
      <w:r w:rsidRPr="00E5158C">
        <w:rPr>
          <w:rFonts w:ascii="Arial" w:hAnsi="Arial" w:cs="Arial"/>
          <w:sz w:val="22"/>
          <w:szCs w:val="22"/>
        </w:rPr>
        <w:t>pack years of smoking)</w:t>
      </w:r>
      <w:r>
        <w:rPr>
          <w:rFonts w:ascii="Arial" w:hAnsi="Arial" w:cs="Arial"/>
          <w:sz w:val="22"/>
          <w:szCs w:val="22"/>
        </w:rPr>
        <w:t xml:space="preserve"> was extracted.</w:t>
      </w:r>
      <w:r w:rsidRPr="00E5158C">
        <w:rPr>
          <w:rFonts w:ascii="Arial" w:hAnsi="Arial" w:cs="Arial"/>
          <w:sz w:val="22"/>
          <w:szCs w:val="22"/>
        </w:rPr>
        <w:t xml:space="preserve"> </w:t>
      </w:r>
      <w:r>
        <w:rPr>
          <w:rFonts w:ascii="Arial" w:hAnsi="Arial" w:cs="Arial"/>
          <w:sz w:val="22"/>
          <w:szCs w:val="22"/>
        </w:rPr>
        <w:t>D</w:t>
      </w:r>
      <w:r w:rsidRPr="00E5158C">
        <w:rPr>
          <w:rFonts w:ascii="Arial" w:hAnsi="Arial" w:cs="Arial"/>
          <w:sz w:val="22"/>
          <w:szCs w:val="22"/>
        </w:rPr>
        <w:t xml:space="preserve">ata on exposures including exposure </w:t>
      </w:r>
      <w:r>
        <w:rPr>
          <w:rFonts w:ascii="Arial" w:hAnsi="Arial" w:cs="Arial"/>
          <w:sz w:val="22"/>
          <w:szCs w:val="22"/>
        </w:rPr>
        <w:t>type (e.g. mold, metal)</w:t>
      </w:r>
      <w:r w:rsidRPr="00E5158C">
        <w:rPr>
          <w:rFonts w:ascii="Arial" w:hAnsi="Arial" w:cs="Arial"/>
          <w:sz w:val="22"/>
          <w:szCs w:val="22"/>
        </w:rPr>
        <w:t xml:space="preserve">, method of assessment (e.g., </w:t>
      </w:r>
      <w:r>
        <w:rPr>
          <w:rFonts w:ascii="Arial" w:hAnsi="Arial" w:cs="Arial"/>
          <w:sz w:val="22"/>
          <w:szCs w:val="22"/>
        </w:rPr>
        <w:t>from clinical history/chart review</w:t>
      </w:r>
      <w:r w:rsidRPr="00E5158C">
        <w:rPr>
          <w:rFonts w:ascii="Arial" w:hAnsi="Arial" w:cs="Arial"/>
          <w:sz w:val="22"/>
          <w:szCs w:val="22"/>
        </w:rPr>
        <w:t xml:space="preserve">, self-report), </w:t>
      </w:r>
      <w:r>
        <w:rPr>
          <w:rFonts w:ascii="Arial" w:hAnsi="Arial" w:cs="Arial"/>
          <w:sz w:val="22"/>
          <w:szCs w:val="22"/>
        </w:rPr>
        <w:t xml:space="preserve">location of </w:t>
      </w:r>
      <w:r w:rsidRPr="00E5158C">
        <w:rPr>
          <w:rFonts w:ascii="Arial" w:hAnsi="Arial" w:cs="Arial"/>
          <w:sz w:val="22"/>
          <w:szCs w:val="22"/>
        </w:rPr>
        <w:t>exposure (e.g., occupational, residential) were extrac</w:t>
      </w:r>
      <w:r>
        <w:rPr>
          <w:rFonts w:ascii="Arial" w:hAnsi="Arial" w:cs="Arial"/>
          <w:sz w:val="22"/>
          <w:szCs w:val="22"/>
        </w:rPr>
        <w:t>t</w:t>
      </w:r>
      <w:r w:rsidRPr="00E5158C">
        <w:rPr>
          <w:rFonts w:ascii="Arial" w:hAnsi="Arial" w:cs="Arial"/>
          <w:sz w:val="22"/>
          <w:szCs w:val="22"/>
        </w:rPr>
        <w:t xml:space="preserve">ed. </w:t>
      </w:r>
      <w:r>
        <w:rPr>
          <w:rFonts w:ascii="Arial" w:hAnsi="Arial" w:cs="Arial"/>
          <w:sz w:val="22"/>
          <w:szCs w:val="22"/>
        </w:rPr>
        <w:t>The outcome of interest was diagnosis of an ILD as specified above.</w:t>
      </w:r>
      <w:r w:rsidRPr="00E5158C">
        <w:rPr>
          <w:rFonts w:ascii="Arial" w:hAnsi="Arial" w:cs="Arial"/>
          <w:sz w:val="22"/>
          <w:szCs w:val="22"/>
        </w:rPr>
        <w:t xml:space="preserve"> </w:t>
      </w:r>
      <w:r>
        <w:rPr>
          <w:rFonts w:ascii="Arial" w:hAnsi="Arial" w:cs="Arial"/>
          <w:sz w:val="22"/>
          <w:szCs w:val="22"/>
        </w:rPr>
        <w:t xml:space="preserve">If reported, the specific ILD subtypes were recorded along with diagnostic method: </w:t>
      </w:r>
      <w:r w:rsidRPr="00E5158C">
        <w:rPr>
          <w:rFonts w:ascii="Arial" w:hAnsi="Arial" w:cs="Arial"/>
          <w:sz w:val="22"/>
          <w:szCs w:val="22"/>
        </w:rPr>
        <w:t>administrative</w:t>
      </w:r>
      <w:r>
        <w:rPr>
          <w:rFonts w:ascii="Arial" w:hAnsi="Arial" w:cs="Arial"/>
          <w:sz w:val="22"/>
          <w:szCs w:val="22"/>
        </w:rPr>
        <w:t xml:space="preserve"> (e.g. ICD codes)</w:t>
      </w:r>
      <w:r w:rsidRPr="00E5158C">
        <w:rPr>
          <w:rFonts w:ascii="Arial" w:hAnsi="Arial" w:cs="Arial"/>
          <w:sz w:val="22"/>
          <w:szCs w:val="22"/>
        </w:rPr>
        <w:t>, clin</w:t>
      </w:r>
      <w:r>
        <w:rPr>
          <w:rFonts w:ascii="Arial" w:hAnsi="Arial" w:cs="Arial"/>
          <w:sz w:val="22"/>
          <w:szCs w:val="22"/>
        </w:rPr>
        <w:t>i</w:t>
      </w:r>
      <w:r w:rsidRPr="00E5158C">
        <w:rPr>
          <w:rFonts w:ascii="Arial" w:hAnsi="Arial" w:cs="Arial"/>
          <w:sz w:val="22"/>
          <w:szCs w:val="22"/>
        </w:rPr>
        <w:t>cal</w:t>
      </w:r>
      <w:r>
        <w:rPr>
          <w:rFonts w:ascii="Arial" w:hAnsi="Arial" w:cs="Arial"/>
          <w:sz w:val="22"/>
          <w:szCs w:val="22"/>
        </w:rPr>
        <w:t xml:space="preserve"> (e.g. multidisciplinary diagnosis)</w:t>
      </w:r>
      <w:r w:rsidRPr="00E5158C">
        <w:rPr>
          <w:rFonts w:ascii="Arial" w:hAnsi="Arial" w:cs="Arial"/>
          <w:sz w:val="22"/>
          <w:szCs w:val="22"/>
        </w:rPr>
        <w:t>, radiologic</w:t>
      </w:r>
      <w:r>
        <w:rPr>
          <w:rFonts w:ascii="Arial" w:hAnsi="Arial" w:cs="Arial"/>
          <w:sz w:val="22"/>
          <w:szCs w:val="22"/>
        </w:rPr>
        <w:t>,</w:t>
      </w:r>
      <w:r w:rsidRPr="00E5158C">
        <w:rPr>
          <w:rFonts w:ascii="Arial" w:hAnsi="Arial" w:cs="Arial"/>
          <w:sz w:val="22"/>
          <w:szCs w:val="22"/>
        </w:rPr>
        <w:t xml:space="preserve"> or</w:t>
      </w:r>
      <w:r>
        <w:rPr>
          <w:rFonts w:ascii="Arial" w:hAnsi="Arial" w:cs="Arial"/>
          <w:sz w:val="22"/>
          <w:szCs w:val="22"/>
        </w:rPr>
        <w:t xml:space="preserve"> </w:t>
      </w:r>
      <w:r w:rsidRPr="00CA0F77">
        <w:rPr>
          <w:rFonts w:ascii="Arial" w:hAnsi="Arial" w:cs="Arial"/>
          <w:sz w:val="22"/>
          <w:szCs w:val="22"/>
        </w:rPr>
        <w:t xml:space="preserve">other. </w:t>
      </w:r>
      <w:r w:rsidR="00C11851" w:rsidRPr="00CA0F77">
        <w:rPr>
          <w:rFonts w:ascii="Arial" w:hAnsi="Arial" w:cs="Arial"/>
          <w:sz w:val="22"/>
          <w:szCs w:val="22"/>
        </w:rPr>
        <w:t xml:space="preserve">In </w:t>
      </w:r>
      <w:r w:rsidR="00685364" w:rsidRPr="00CA0F77">
        <w:rPr>
          <w:rFonts w:ascii="Arial" w:hAnsi="Arial" w:cs="Arial"/>
          <w:sz w:val="22"/>
          <w:szCs w:val="22"/>
        </w:rPr>
        <w:t xml:space="preserve">studies </w:t>
      </w:r>
      <w:r w:rsidR="00C11851" w:rsidRPr="00CA0F77">
        <w:rPr>
          <w:rFonts w:ascii="Arial" w:hAnsi="Arial" w:cs="Arial"/>
          <w:sz w:val="22"/>
          <w:szCs w:val="22"/>
        </w:rPr>
        <w:t>where the effect estimate of the same exposure was reported across multiple subgroups</w:t>
      </w:r>
      <w:r w:rsidR="003A1D3A" w:rsidRPr="00CA0F77">
        <w:rPr>
          <w:rFonts w:ascii="Arial" w:hAnsi="Arial" w:cs="Arial"/>
          <w:sz w:val="22"/>
          <w:szCs w:val="22"/>
        </w:rPr>
        <w:t xml:space="preserve"> </w:t>
      </w:r>
      <w:r w:rsidR="00C11851" w:rsidRPr="00CA0F77">
        <w:rPr>
          <w:rFonts w:ascii="Arial" w:hAnsi="Arial" w:cs="Arial"/>
          <w:sz w:val="22"/>
          <w:szCs w:val="22"/>
        </w:rPr>
        <w:t>(i.e. smoking in men and smoking in women</w:t>
      </w:r>
      <w:r w:rsidR="00221A98">
        <w:rPr>
          <w:rFonts w:ascii="Arial" w:hAnsi="Arial" w:cs="Arial"/>
          <w:sz w:val="22"/>
          <w:szCs w:val="22"/>
        </w:rPr>
        <w:t>, or current smoking and former smoking</w:t>
      </w:r>
      <w:r w:rsidR="00C11851" w:rsidRPr="00CA0F77">
        <w:rPr>
          <w:rFonts w:ascii="Arial" w:hAnsi="Arial" w:cs="Arial"/>
          <w:sz w:val="22"/>
          <w:szCs w:val="22"/>
        </w:rPr>
        <w:t xml:space="preserve">), these were reported as </w:t>
      </w:r>
      <w:r w:rsidR="00274DA2" w:rsidRPr="00CA0F77">
        <w:rPr>
          <w:rFonts w:ascii="Arial" w:hAnsi="Arial" w:cs="Arial"/>
          <w:sz w:val="22"/>
          <w:szCs w:val="22"/>
        </w:rPr>
        <w:t>unique</w:t>
      </w:r>
      <w:r w:rsidR="00C11851" w:rsidRPr="00CA0F77">
        <w:rPr>
          <w:rFonts w:ascii="Arial" w:hAnsi="Arial" w:cs="Arial"/>
          <w:sz w:val="22"/>
          <w:szCs w:val="22"/>
        </w:rPr>
        <w:t xml:space="preserve"> effect estimates (i.e. one study was allowed to have multiple effect estimates within the same exposure grouping).</w:t>
      </w:r>
      <w:r w:rsidR="00C11851">
        <w:rPr>
          <w:rFonts w:ascii="Arial" w:hAnsi="Arial" w:cs="Arial"/>
          <w:sz w:val="22"/>
          <w:szCs w:val="22"/>
        </w:rPr>
        <w:t xml:space="preserve"> </w:t>
      </w:r>
      <w:r w:rsidR="00221A98">
        <w:rPr>
          <w:rFonts w:ascii="Arial" w:hAnsi="Arial" w:cs="Arial"/>
          <w:sz w:val="22"/>
          <w:szCs w:val="22"/>
        </w:rPr>
        <w:t>If exposure</w:t>
      </w:r>
      <w:r w:rsidR="00D1103B">
        <w:rPr>
          <w:rFonts w:ascii="Arial" w:hAnsi="Arial" w:cs="Arial"/>
          <w:sz w:val="22"/>
          <w:szCs w:val="22"/>
        </w:rPr>
        <w:t>s</w:t>
      </w:r>
      <w:r w:rsidR="00221A98">
        <w:rPr>
          <w:rFonts w:ascii="Arial" w:hAnsi="Arial" w:cs="Arial"/>
          <w:sz w:val="22"/>
          <w:szCs w:val="22"/>
        </w:rPr>
        <w:t xml:space="preserve"> </w:t>
      </w:r>
      <w:r w:rsidR="00D1103B">
        <w:rPr>
          <w:rFonts w:ascii="Arial" w:hAnsi="Arial" w:cs="Arial"/>
          <w:sz w:val="22"/>
          <w:szCs w:val="22"/>
        </w:rPr>
        <w:t>were</w:t>
      </w:r>
      <w:r w:rsidR="00221A98">
        <w:rPr>
          <w:rFonts w:ascii="Arial" w:hAnsi="Arial" w:cs="Arial"/>
          <w:sz w:val="22"/>
          <w:szCs w:val="22"/>
        </w:rPr>
        <w:t xml:space="preserve"> tested across multiple methods</w:t>
      </w:r>
      <w:r w:rsidR="00D1103B">
        <w:rPr>
          <w:rFonts w:ascii="Arial" w:hAnsi="Arial" w:cs="Arial"/>
          <w:sz w:val="22"/>
          <w:szCs w:val="22"/>
        </w:rPr>
        <w:t xml:space="preserve"> in the same paper</w:t>
      </w:r>
      <w:r w:rsidR="00221A98">
        <w:rPr>
          <w:rFonts w:ascii="Arial" w:hAnsi="Arial" w:cs="Arial"/>
          <w:sz w:val="22"/>
          <w:szCs w:val="22"/>
        </w:rPr>
        <w:t xml:space="preserve">, however (i.e. self report and </w:t>
      </w:r>
      <w:r w:rsidR="00D1103B">
        <w:rPr>
          <w:rFonts w:ascii="Arial" w:hAnsi="Arial" w:cs="Arial"/>
          <w:sz w:val="22"/>
          <w:szCs w:val="22"/>
        </w:rPr>
        <w:t xml:space="preserve">job-exposure matrix), priority was given to exposures that were examined via job exposure matrix or expert designation. </w:t>
      </w:r>
      <w:r w:rsidR="00E26013">
        <w:rPr>
          <w:rFonts w:ascii="Arial" w:hAnsi="Arial" w:cs="Arial"/>
          <w:sz w:val="22"/>
          <w:szCs w:val="22"/>
        </w:rPr>
        <w:t xml:space="preserve">Similarly, when both unadjusted and adjusted odds ratios were reported, only adjusted odds ratios were extracted. </w:t>
      </w:r>
      <w:r w:rsidRPr="00E5158C">
        <w:rPr>
          <w:rFonts w:ascii="Arial" w:hAnsi="Arial" w:cs="Arial"/>
          <w:sz w:val="22"/>
          <w:szCs w:val="22"/>
        </w:rPr>
        <w:t xml:space="preserve">Effect estimates and 95% </w:t>
      </w:r>
      <w:r>
        <w:rPr>
          <w:rFonts w:ascii="Arial" w:hAnsi="Arial" w:cs="Arial"/>
          <w:sz w:val="22"/>
          <w:szCs w:val="22"/>
        </w:rPr>
        <w:t>c</w:t>
      </w:r>
      <w:r w:rsidRPr="00E5158C">
        <w:rPr>
          <w:rFonts w:ascii="Arial" w:hAnsi="Arial" w:cs="Arial"/>
          <w:sz w:val="22"/>
          <w:szCs w:val="22"/>
        </w:rPr>
        <w:t>onfidence intervals</w:t>
      </w:r>
      <w:r>
        <w:rPr>
          <w:rFonts w:ascii="Arial" w:hAnsi="Arial" w:cs="Arial"/>
          <w:sz w:val="22"/>
          <w:szCs w:val="22"/>
        </w:rPr>
        <w:t xml:space="preserve"> (CIs)</w:t>
      </w:r>
      <w:r w:rsidRPr="00E5158C">
        <w:rPr>
          <w:rFonts w:ascii="Arial" w:hAnsi="Arial" w:cs="Arial"/>
          <w:sz w:val="22"/>
          <w:szCs w:val="22"/>
        </w:rPr>
        <w:t>, their type (e.g., odds ratio</w:t>
      </w:r>
      <w:r>
        <w:rPr>
          <w:rFonts w:ascii="Arial" w:hAnsi="Arial" w:cs="Arial"/>
          <w:sz w:val="22"/>
          <w:szCs w:val="22"/>
        </w:rPr>
        <w:t xml:space="preserve"> (OR)</w:t>
      </w:r>
      <w:r w:rsidRPr="00E5158C">
        <w:rPr>
          <w:rFonts w:ascii="Arial" w:hAnsi="Arial" w:cs="Arial"/>
          <w:sz w:val="22"/>
          <w:szCs w:val="22"/>
        </w:rPr>
        <w:t>, hazard ratio</w:t>
      </w:r>
      <w:r>
        <w:rPr>
          <w:rFonts w:ascii="Arial" w:hAnsi="Arial" w:cs="Arial"/>
          <w:sz w:val="22"/>
          <w:szCs w:val="22"/>
        </w:rPr>
        <w:t xml:space="preserve"> (HR)</w:t>
      </w:r>
      <w:r w:rsidRPr="00E5158C">
        <w:rPr>
          <w:rFonts w:ascii="Arial" w:hAnsi="Arial" w:cs="Arial"/>
          <w:sz w:val="22"/>
          <w:szCs w:val="22"/>
        </w:rPr>
        <w:t xml:space="preserve">), and </w:t>
      </w:r>
      <w:r>
        <w:rPr>
          <w:rFonts w:ascii="Arial" w:hAnsi="Arial" w:cs="Arial"/>
          <w:sz w:val="22"/>
          <w:szCs w:val="22"/>
        </w:rPr>
        <w:t xml:space="preserve">analytic </w:t>
      </w:r>
      <w:r w:rsidRPr="00E5158C">
        <w:rPr>
          <w:rFonts w:ascii="Arial" w:hAnsi="Arial" w:cs="Arial"/>
          <w:sz w:val="22"/>
          <w:szCs w:val="22"/>
        </w:rPr>
        <w:t>covariates</w:t>
      </w:r>
      <w:r>
        <w:rPr>
          <w:rFonts w:ascii="Arial" w:hAnsi="Arial" w:cs="Arial"/>
          <w:sz w:val="22"/>
          <w:szCs w:val="22"/>
        </w:rPr>
        <w:t>,</w:t>
      </w:r>
      <w:r w:rsidRPr="00E5158C">
        <w:rPr>
          <w:rFonts w:ascii="Arial" w:hAnsi="Arial" w:cs="Arial"/>
          <w:sz w:val="22"/>
          <w:szCs w:val="22"/>
        </w:rPr>
        <w:t xml:space="preserve"> </w:t>
      </w:r>
      <w:r>
        <w:rPr>
          <w:rFonts w:ascii="Arial" w:hAnsi="Arial" w:cs="Arial"/>
          <w:sz w:val="22"/>
          <w:szCs w:val="22"/>
        </w:rPr>
        <w:t xml:space="preserve">if reported, </w:t>
      </w:r>
      <w:r w:rsidRPr="00E5158C">
        <w:rPr>
          <w:rFonts w:ascii="Arial" w:hAnsi="Arial" w:cs="Arial"/>
          <w:sz w:val="22"/>
          <w:szCs w:val="22"/>
        </w:rPr>
        <w:t>were also extracted</w:t>
      </w:r>
      <w:r>
        <w:rPr>
          <w:rFonts w:ascii="Arial" w:hAnsi="Arial" w:cs="Arial"/>
          <w:sz w:val="22"/>
          <w:szCs w:val="22"/>
        </w:rPr>
        <w:t xml:space="preserve">, along with </w:t>
      </w:r>
      <w:r w:rsidRPr="00E5158C">
        <w:rPr>
          <w:rFonts w:ascii="Arial" w:hAnsi="Arial" w:cs="Arial"/>
          <w:sz w:val="22"/>
          <w:szCs w:val="22"/>
        </w:rPr>
        <w:t>sex, age</w:t>
      </w:r>
      <w:r>
        <w:rPr>
          <w:rFonts w:ascii="Arial" w:hAnsi="Arial" w:cs="Arial"/>
          <w:sz w:val="22"/>
          <w:szCs w:val="22"/>
        </w:rPr>
        <w:t>,</w:t>
      </w:r>
      <w:r w:rsidRPr="00E5158C">
        <w:rPr>
          <w:rFonts w:ascii="Arial" w:hAnsi="Arial" w:cs="Arial"/>
          <w:sz w:val="22"/>
          <w:szCs w:val="22"/>
        </w:rPr>
        <w:t xml:space="preserve"> and </w:t>
      </w:r>
      <w:r>
        <w:rPr>
          <w:rFonts w:ascii="Arial" w:hAnsi="Arial" w:cs="Arial"/>
          <w:sz w:val="22"/>
          <w:szCs w:val="22"/>
        </w:rPr>
        <w:t>race.</w:t>
      </w:r>
      <w:r w:rsidRPr="00E5158C">
        <w:rPr>
          <w:rFonts w:ascii="Arial" w:hAnsi="Arial" w:cs="Arial"/>
          <w:sz w:val="22"/>
          <w:szCs w:val="22"/>
        </w:rPr>
        <w:t xml:space="preserve"> </w:t>
      </w:r>
      <w:r w:rsidR="001D6C50">
        <w:rPr>
          <w:rFonts w:ascii="Arial" w:hAnsi="Arial" w:cs="Arial"/>
          <w:sz w:val="22"/>
          <w:szCs w:val="22"/>
        </w:rPr>
        <w:t>Studies that did not have this effect estimate but had some description of inhalational exposures in relation to ILD incidence were not meta-analyzed but included in the systematic review.</w:t>
      </w:r>
    </w:p>
    <w:p w14:paraId="44CCDFEB" w14:textId="77777777" w:rsidR="00903B59" w:rsidRPr="00E5158C" w:rsidRDefault="00903B59" w:rsidP="002B6C71">
      <w:pPr>
        <w:spacing w:line="480" w:lineRule="auto"/>
        <w:rPr>
          <w:rFonts w:ascii="Arial" w:hAnsi="Arial" w:cs="Arial"/>
          <w:sz w:val="22"/>
          <w:szCs w:val="22"/>
        </w:rPr>
      </w:pPr>
    </w:p>
    <w:p w14:paraId="58261664" w14:textId="1FB7A622" w:rsidR="00903B59" w:rsidRDefault="00F65065" w:rsidP="002B6C71">
      <w:pPr>
        <w:spacing w:line="480" w:lineRule="auto"/>
        <w:rPr>
          <w:rFonts w:ascii="Arial" w:hAnsi="Arial" w:cs="Arial"/>
          <w:i/>
          <w:sz w:val="22"/>
          <w:szCs w:val="22"/>
        </w:rPr>
      </w:pPr>
      <w:r w:rsidRPr="009C6954">
        <w:rPr>
          <w:rFonts w:ascii="Arial" w:hAnsi="Arial" w:cs="Arial"/>
          <w:i/>
          <w:sz w:val="22"/>
          <w:szCs w:val="22"/>
        </w:rPr>
        <w:lastRenderedPageBreak/>
        <w:t>Study Quality Assessment</w:t>
      </w:r>
    </w:p>
    <w:p w14:paraId="636D1661" w14:textId="77777777" w:rsidR="009C6954" w:rsidRPr="009C6954" w:rsidRDefault="009C6954" w:rsidP="002B6C71">
      <w:pPr>
        <w:spacing w:line="480" w:lineRule="auto"/>
        <w:rPr>
          <w:rFonts w:ascii="Arial" w:hAnsi="Arial" w:cs="Arial"/>
          <w:i/>
          <w:sz w:val="22"/>
          <w:szCs w:val="22"/>
        </w:rPr>
      </w:pPr>
    </w:p>
    <w:p w14:paraId="7BDBC8D7" w14:textId="319A43CC" w:rsidR="00F65065" w:rsidRPr="00E5158C" w:rsidRDefault="00F65065" w:rsidP="002B6C71">
      <w:pPr>
        <w:autoSpaceDE w:val="0"/>
        <w:autoSpaceDN w:val="0"/>
        <w:adjustRightInd w:val="0"/>
        <w:spacing w:line="480" w:lineRule="auto"/>
        <w:rPr>
          <w:rFonts w:ascii="Arial" w:hAnsi="Arial" w:cs="Arial"/>
          <w:sz w:val="22"/>
          <w:szCs w:val="22"/>
        </w:rPr>
      </w:pPr>
      <w:r w:rsidRPr="00E5158C">
        <w:rPr>
          <w:rFonts w:ascii="Arial" w:hAnsi="Arial" w:cs="Arial"/>
          <w:sz w:val="22"/>
          <w:szCs w:val="22"/>
        </w:rPr>
        <w:t>Risk of bias was performed using t</w:t>
      </w:r>
      <w:r w:rsidR="002F4873" w:rsidRPr="00E5158C">
        <w:rPr>
          <w:rFonts w:ascii="Arial" w:hAnsi="Arial" w:cs="Arial"/>
          <w:sz w:val="22"/>
          <w:szCs w:val="22"/>
        </w:rPr>
        <w:t>he Newcastle-Ottawa Quality Assessment Scale.</w:t>
      </w:r>
      <w:r w:rsidR="002F4873" w:rsidRPr="00E5158C">
        <w:rPr>
          <w:rFonts w:ascii="Arial" w:hAnsi="Arial" w:cs="Arial"/>
          <w:sz w:val="22"/>
          <w:szCs w:val="22"/>
        </w:rPr>
        <w:fldChar w:fldCharType="begin"/>
      </w:r>
      <w:r w:rsidR="00A86179">
        <w:rPr>
          <w:rFonts w:ascii="Arial" w:hAnsi="Arial" w:cs="Arial"/>
          <w:sz w:val="22"/>
          <w:szCs w:val="22"/>
        </w:rPr>
        <w:instrText xml:space="preserve"> ADDIN ZOTERO_ITEM CSL_CITATION {"citationID":"mUG5XYOI","properties":{"formattedCitation":"[21]","plainCitation":"[21]","noteIndex":0},"citationItems":[{"id":1121,"uris":["http://zotero.org/users/local/5isXr7c7/items/9Z3BC3UJ"],"itemData":{"id":1121,"type":"webpage","title":"Newcastle-Ottawa Scale - an overview | ScienceDirect Topics","URL":"https://www.sciencedirect.com/topics/nursing-and-health-professions/newcastle-ottawa-scale","accessed":{"date-parts":[["2023",4,10]]}}}],"schema":"https://github.com/citation-style-language/schema/raw/master/csl-citation.json"} </w:instrText>
      </w:r>
      <w:r w:rsidR="002F4873" w:rsidRPr="00E5158C">
        <w:rPr>
          <w:rFonts w:ascii="Arial" w:hAnsi="Arial" w:cs="Arial"/>
          <w:sz w:val="22"/>
          <w:szCs w:val="22"/>
        </w:rPr>
        <w:fldChar w:fldCharType="separate"/>
      </w:r>
      <w:r w:rsidR="00A86179">
        <w:rPr>
          <w:rFonts w:ascii="Arial" w:hAnsi="Arial" w:cs="Arial"/>
          <w:sz w:val="22"/>
        </w:rPr>
        <w:t>[21]</w:t>
      </w:r>
      <w:r w:rsidR="002F4873" w:rsidRPr="00E5158C">
        <w:rPr>
          <w:rFonts w:ascii="Arial" w:hAnsi="Arial" w:cs="Arial"/>
          <w:sz w:val="22"/>
          <w:szCs w:val="22"/>
        </w:rPr>
        <w:fldChar w:fldCharType="end"/>
      </w:r>
      <w:r w:rsidR="002F4873" w:rsidRPr="00FD4502">
        <w:rPr>
          <w:rFonts w:ascii="Arial" w:hAnsi="Arial" w:cs="Arial"/>
          <w:sz w:val="22"/>
          <w:szCs w:val="22"/>
        </w:rPr>
        <w:t xml:space="preserve"> </w:t>
      </w:r>
      <w:r w:rsidR="0036749E">
        <w:rPr>
          <w:rFonts w:ascii="Arial" w:hAnsi="Arial" w:cs="Arial"/>
          <w:sz w:val="22"/>
          <w:szCs w:val="22"/>
        </w:rPr>
        <w:t xml:space="preserve">This assessment was only performed on studies meeting criteria for meta-analysis. </w:t>
      </w:r>
      <w:r w:rsidRPr="00FD4502">
        <w:rPr>
          <w:rFonts w:ascii="Arial" w:hAnsi="Arial" w:cs="Arial"/>
          <w:sz w:val="22"/>
          <w:szCs w:val="22"/>
        </w:rPr>
        <w:t xml:space="preserve">Each included study was assigned a score between </w:t>
      </w:r>
      <w:r w:rsidR="00FD4502">
        <w:rPr>
          <w:rFonts w:ascii="Arial" w:hAnsi="Arial" w:cs="Arial"/>
          <w:sz w:val="22"/>
          <w:szCs w:val="22"/>
        </w:rPr>
        <w:t>0</w:t>
      </w:r>
      <w:r w:rsidRPr="00E5158C">
        <w:rPr>
          <w:rFonts w:ascii="Arial" w:hAnsi="Arial" w:cs="Arial"/>
          <w:sz w:val="22"/>
          <w:szCs w:val="22"/>
        </w:rPr>
        <w:t xml:space="preserve"> and </w:t>
      </w:r>
      <w:r w:rsidR="00FD4502">
        <w:rPr>
          <w:rFonts w:ascii="Arial" w:hAnsi="Arial" w:cs="Arial"/>
          <w:sz w:val="22"/>
          <w:szCs w:val="22"/>
        </w:rPr>
        <w:t>7</w:t>
      </w:r>
      <w:r w:rsidRPr="00E5158C">
        <w:rPr>
          <w:rFonts w:ascii="Arial" w:hAnsi="Arial" w:cs="Arial"/>
          <w:sz w:val="22"/>
          <w:szCs w:val="22"/>
        </w:rPr>
        <w:t xml:space="preserve"> indicating their risk of bias as per the tool’s three quality domains: selection, </w:t>
      </w:r>
      <w:proofErr w:type="spellStart"/>
      <w:r w:rsidRPr="00E5158C">
        <w:rPr>
          <w:rFonts w:ascii="Arial" w:hAnsi="Arial" w:cs="Arial"/>
          <w:sz w:val="22"/>
          <w:szCs w:val="22"/>
        </w:rPr>
        <w:t>comparibility</w:t>
      </w:r>
      <w:proofErr w:type="spellEnd"/>
      <w:r w:rsidR="00FF66A2">
        <w:rPr>
          <w:rFonts w:ascii="Arial" w:hAnsi="Arial" w:cs="Arial"/>
          <w:sz w:val="22"/>
          <w:szCs w:val="22"/>
        </w:rPr>
        <w:t>,</w:t>
      </w:r>
      <w:r w:rsidRPr="00E5158C">
        <w:rPr>
          <w:rFonts w:ascii="Arial" w:hAnsi="Arial" w:cs="Arial"/>
          <w:sz w:val="22"/>
          <w:szCs w:val="22"/>
        </w:rPr>
        <w:t xml:space="preserve"> and outcome. </w:t>
      </w:r>
      <w:r w:rsidR="00961D8C">
        <w:rPr>
          <w:rFonts w:ascii="Arial" w:hAnsi="Arial" w:cs="Arial"/>
          <w:sz w:val="22"/>
          <w:szCs w:val="22"/>
        </w:rPr>
        <w:t xml:space="preserve">We modified this scale in the comparability domain by assigning a </w:t>
      </w:r>
      <w:r w:rsidR="00C77971">
        <w:rPr>
          <w:rFonts w:ascii="Arial" w:hAnsi="Arial" w:cs="Arial"/>
          <w:sz w:val="22"/>
          <w:szCs w:val="22"/>
        </w:rPr>
        <w:t>star</w:t>
      </w:r>
      <w:r w:rsidR="00961D8C">
        <w:rPr>
          <w:rFonts w:ascii="Arial" w:hAnsi="Arial" w:cs="Arial"/>
          <w:sz w:val="22"/>
          <w:szCs w:val="22"/>
        </w:rPr>
        <w:t xml:space="preserve"> if adjustment was made for smoking or any other type of co-exposure. We adjusted the outcome domain by assigning a </w:t>
      </w:r>
      <w:r w:rsidR="00C77971">
        <w:rPr>
          <w:rFonts w:ascii="Arial" w:hAnsi="Arial" w:cs="Arial"/>
          <w:sz w:val="22"/>
          <w:szCs w:val="22"/>
        </w:rPr>
        <w:t>star</w:t>
      </w:r>
      <w:r w:rsidR="00961D8C">
        <w:rPr>
          <w:rFonts w:ascii="Arial" w:hAnsi="Arial" w:cs="Arial"/>
          <w:sz w:val="22"/>
          <w:szCs w:val="22"/>
        </w:rPr>
        <w:t xml:space="preserve"> if multidisciplinary diagnosis of ILD or an administrative diagnosis of ILD using ICD-9 codes was obtained</w:t>
      </w:r>
      <w:r w:rsidR="00463959">
        <w:rPr>
          <w:rFonts w:ascii="Arial" w:hAnsi="Arial" w:cs="Arial"/>
          <w:sz w:val="22"/>
          <w:szCs w:val="22"/>
        </w:rPr>
        <w:t xml:space="preserve">; we also </w:t>
      </w:r>
      <w:r w:rsidR="002B565F">
        <w:rPr>
          <w:rFonts w:ascii="Arial" w:hAnsi="Arial" w:cs="Arial"/>
          <w:sz w:val="22"/>
          <w:szCs w:val="22"/>
        </w:rPr>
        <w:t xml:space="preserve">assigned a </w:t>
      </w:r>
      <w:r w:rsidR="00C77971">
        <w:rPr>
          <w:rFonts w:ascii="Arial" w:hAnsi="Arial" w:cs="Arial"/>
          <w:sz w:val="22"/>
          <w:szCs w:val="22"/>
        </w:rPr>
        <w:t>star</w:t>
      </w:r>
      <w:r w:rsidR="002B565F">
        <w:rPr>
          <w:rFonts w:ascii="Arial" w:hAnsi="Arial" w:cs="Arial"/>
          <w:sz w:val="22"/>
          <w:szCs w:val="22"/>
        </w:rPr>
        <w:t xml:space="preserve"> for follow-up</w:t>
      </w:r>
      <w:r w:rsidR="00463959">
        <w:rPr>
          <w:rFonts w:ascii="Arial" w:hAnsi="Arial" w:cs="Arial"/>
          <w:sz w:val="22"/>
          <w:szCs w:val="22"/>
        </w:rPr>
        <w:t xml:space="preserve"> if the prospective studies had a minimum duration of 10 years of follow-up</w:t>
      </w:r>
      <w:r w:rsidR="002B565F">
        <w:rPr>
          <w:rFonts w:ascii="Arial" w:hAnsi="Arial" w:cs="Arial"/>
          <w:sz w:val="22"/>
          <w:szCs w:val="22"/>
        </w:rPr>
        <w:t xml:space="preserve"> and automatically assigned this </w:t>
      </w:r>
      <w:r w:rsidR="00C77971">
        <w:rPr>
          <w:rFonts w:ascii="Arial" w:hAnsi="Arial" w:cs="Arial"/>
          <w:sz w:val="22"/>
          <w:szCs w:val="22"/>
        </w:rPr>
        <w:t xml:space="preserve">star </w:t>
      </w:r>
      <w:r w:rsidR="002B565F">
        <w:rPr>
          <w:rFonts w:ascii="Arial" w:hAnsi="Arial" w:cs="Arial"/>
          <w:sz w:val="22"/>
          <w:szCs w:val="22"/>
        </w:rPr>
        <w:t>for the retrospective studies</w:t>
      </w:r>
      <w:r w:rsidR="00463959">
        <w:rPr>
          <w:rFonts w:ascii="Arial" w:hAnsi="Arial" w:cs="Arial"/>
          <w:sz w:val="22"/>
          <w:szCs w:val="22"/>
        </w:rPr>
        <w:t xml:space="preserve">. </w:t>
      </w:r>
      <w:r w:rsidR="00ED556D">
        <w:rPr>
          <w:rFonts w:ascii="Arial" w:hAnsi="Arial" w:cs="Arial"/>
          <w:sz w:val="22"/>
          <w:szCs w:val="22"/>
        </w:rPr>
        <w:t xml:space="preserve">Studies were deemed of “good” quality if they were given over five </w:t>
      </w:r>
      <w:r w:rsidR="001E0795">
        <w:rPr>
          <w:rFonts w:ascii="Arial" w:hAnsi="Arial" w:cs="Arial"/>
          <w:sz w:val="22"/>
          <w:szCs w:val="22"/>
        </w:rPr>
        <w:t>stars</w:t>
      </w:r>
      <w:r w:rsidR="00ED556D">
        <w:rPr>
          <w:rFonts w:ascii="Arial" w:hAnsi="Arial" w:cs="Arial"/>
          <w:sz w:val="22"/>
          <w:szCs w:val="22"/>
        </w:rPr>
        <w:t xml:space="preserve">, “fair” quality if between three and five stars, and poor if less than 3 stars. </w:t>
      </w:r>
      <w:r w:rsidR="00AD7773">
        <w:rPr>
          <w:rFonts w:ascii="Arial" w:hAnsi="Arial" w:cs="Arial"/>
          <w:sz w:val="22"/>
          <w:szCs w:val="22"/>
        </w:rPr>
        <w:t>As a sensitivity analysis, A</w:t>
      </w:r>
      <w:r w:rsidR="002D42FD">
        <w:rPr>
          <w:rFonts w:ascii="Arial" w:hAnsi="Arial" w:cs="Arial"/>
          <w:sz w:val="22"/>
          <w:szCs w:val="22"/>
        </w:rPr>
        <w:t>gency for Health Research and Quality (AHRQ) definitions of quality were applied to each study’s Newcastle-Ottawa Assessment score</w:t>
      </w:r>
      <w:r w:rsidR="00915725">
        <w:rPr>
          <w:rFonts w:ascii="Arial" w:hAnsi="Arial" w:cs="Arial"/>
          <w:sz w:val="22"/>
          <w:szCs w:val="22"/>
        </w:rPr>
        <w:t>,</w:t>
      </w:r>
      <w:r w:rsidR="002D42FD">
        <w:rPr>
          <w:rFonts w:ascii="Arial" w:hAnsi="Arial" w:cs="Arial"/>
          <w:sz w:val="22"/>
          <w:szCs w:val="22"/>
        </w:rPr>
        <w:t xml:space="preserve"> </w:t>
      </w:r>
      <w:r w:rsidR="00B24860">
        <w:rPr>
          <w:rFonts w:ascii="Arial" w:hAnsi="Arial" w:cs="Arial"/>
          <w:sz w:val="22"/>
          <w:szCs w:val="22"/>
        </w:rPr>
        <w:t>consistent with other literature</w:t>
      </w:r>
      <w:r w:rsidR="00ED556D">
        <w:rPr>
          <w:rFonts w:ascii="Arial" w:hAnsi="Arial" w:cs="Arial"/>
          <w:sz w:val="22"/>
          <w:szCs w:val="22"/>
        </w:rPr>
        <w:t>.</w:t>
      </w:r>
      <w:r w:rsidR="00886DA7">
        <w:rPr>
          <w:rFonts w:ascii="Arial" w:hAnsi="Arial" w:cs="Arial"/>
          <w:sz w:val="22"/>
          <w:szCs w:val="22"/>
        </w:rPr>
        <w:fldChar w:fldCharType="begin"/>
      </w:r>
      <w:r w:rsidR="00086A29">
        <w:rPr>
          <w:rFonts w:ascii="Arial" w:hAnsi="Arial" w:cs="Arial"/>
          <w:sz w:val="22"/>
          <w:szCs w:val="22"/>
        </w:rPr>
        <w:instrText xml:space="preserve"> ADDIN ZOTERO_ITEM CSL_CITATION {"citationID":"iQBD4PtK","properties":{"formattedCitation":"[22]","plainCitation":"[22]","noteIndex":0},"citationItems":[{"id":"sQPELaEq/E0FI757e","uris":["http://zotero.org/users/local/N7zg5G00/items/6DILXQZJ"],"itemData":{"id":49,"type":"article-journal","abstract":"OBJECTIVE: To assess the variation of effect estimates in the analysis of mortality and length of stay (LOS) in patients with infections caused by extended-spectrum beta-lactamase (ESBL)-producing Enterobacteriaceae.\nDESIGN: Systematic review and meta-analysis METHODS: Literature search for clinical studies from 1 January 1960 to 1 October 2018 was conducted in PubMed. Primary outcomes were risk ratios (RRs) of all-cause and attributable mortality and weighted mean differences (WMDs) in LOS in patients with bloodstream infections (BSIs) and non-invasive infections. Any </w:instrText>
      </w:r>
      <w:r w:rsidR="00086A29">
        <w:rPr>
          <w:rFonts w:ascii="Arial" w:hAnsi="Arial" w:cs="Arial"/>
          <w:sz w:val="22"/>
          <w:szCs w:val="22"/>
        </w:rPr>
        <w:lastRenderedPageBreak/>
        <w:instrText xml:space="preserve">change in the effect estimates was assessed by grouping studies according to design, setting, economy-based country classification, reporting period, microbiological aetiology, infection type and adjustment for appropriateness of empirical treatment. The impact of ESBL production was calculated using random-effect meta-analysis and heterogeneity was evaluated by I2 statistics and metaregression.\nRESULTS: Eighty-four studies including 22 030 patients and 149 outcome measures were included in the meta-analysis. Most studies were retrospective cohorts from high-income countries, providing unadjusted estimates. ESBL production in patients with BSIs (56 studies) increased the RR for all-cause mortality by a factor of 1.70 (95% CI 1.52 to 1.90; p&lt;0.001), attributable mortality (16 studies) by 1.75 (95% CI 1.448 to 2.108; p&lt;0.001) and WMD in the intensive care unit by 3.07 days (95% CI 1.61 to 4.54; p&lt;0.001). WMD in hospital LOS was significantly higher in BSIs (4.41 days; 95% CI 3.37 to 5.46; p&lt;0.001) and non-invasive (2.19 days; 95% CI 1.56 to 2.81; p&lt;0.001). Subgroup analyses showed variation of estimates by study design, population, strain and assessment of appropriateness of empiric treatment. High heterogeneity was observed in all analyses.\nCONCLUSIONS: Current evidence of the clinical burden of infections caused by ESBL-producing bacteria is highly heterogeneous and based mainly on unadjusted estimates derived from retrospective studies. Despite these limitations, ESBL production in strains causing BSIs seems associated with higher all-cause and attributable mortality and longer hospitalisation.","container-title":"BMJ open","DOI":"10.1136/bmjopen-2019-030266","ISSN":"2044-6055","issue":"1","journalAbbreviation":"BMJ Open","language":"eng","note":"PMID: 31964661\nPMCID: PMC7044956","page":"e030266","source":"PubMed","title":"Variation of effect estimates in the analysis of mortality and length of hospital stay in patients with infections caused by bacteria-producing extended-spectrum beta-lactamases: a systematic review and meta-analysis","title-short":"Variation of effect estimates in the analysis of mortality and length of hospital stay in patients with infections caused by bacteria-producing extended-spectrum beta-lactamases","volume":"10","author":[{"family":"Shamsrizi","given":"Parichehr"},{"family":"Gladstone","given":"Beryl Primrose"},{"family":"Carrara","given":"Elena"},{"family":"Luise","given":"Dora"},{"family":"Cona","given":"Andrea"},{"family":"Bovo","given":"Chiara"},{"family":"Tacconelli","given":"Evelina"}],"issued":{"date-parts":[["2020",1,20]]}}}],"schema":"https://github.com/citation-style-language/schema/raw/master/csl-citation.json"} </w:instrText>
      </w:r>
      <w:r w:rsidR="00886DA7">
        <w:rPr>
          <w:rFonts w:ascii="Arial" w:hAnsi="Arial" w:cs="Arial"/>
          <w:sz w:val="22"/>
          <w:szCs w:val="22"/>
        </w:rPr>
        <w:fldChar w:fldCharType="separate"/>
      </w:r>
      <w:r w:rsidR="00A86179">
        <w:rPr>
          <w:rFonts w:ascii="Arial" w:hAnsi="Arial" w:cs="Arial"/>
          <w:sz w:val="22"/>
        </w:rPr>
        <w:t>[22]</w:t>
      </w:r>
      <w:r w:rsidR="00886DA7">
        <w:rPr>
          <w:rFonts w:ascii="Arial" w:hAnsi="Arial" w:cs="Arial"/>
          <w:sz w:val="22"/>
          <w:szCs w:val="22"/>
        </w:rPr>
        <w:fldChar w:fldCharType="end"/>
      </w:r>
    </w:p>
    <w:p w14:paraId="69AC7847" w14:textId="77777777" w:rsidR="00F65065" w:rsidRPr="00E5158C" w:rsidRDefault="00F65065" w:rsidP="002B6C71">
      <w:pPr>
        <w:autoSpaceDE w:val="0"/>
        <w:autoSpaceDN w:val="0"/>
        <w:adjustRightInd w:val="0"/>
        <w:spacing w:line="480" w:lineRule="auto"/>
        <w:rPr>
          <w:rFonts w:ascii="Arial" w:hAnsi="Arial" w:cs="Arial"/>
          <w:sz w:val="22"/>
          <w:szCs w:val="22"/>
        </w:rPr>
      </w:pPr>
    </w:p>
    <w:p w14:paraId="22C0D271" w14:textId="59250117" w:rsidR="00F65065" w:rsidRPr="009C6954" w:rsidRDefault="00F73C71" w:rsidP="002B6C71">
      <w:pPr>
        <w:spacing w:line="480" w:lineRule="auto"/>
        <w:rPr>
          <w:rFonts w:ascii="Arial" w:hAnsi="Arial" w:cs="Arial"/>
          <w:i/>
          <w:sz w:val="22"/>
          <w:szCs w:val="22"/>
        </w:rPr>
      </w:pPr>
      <w:r w:rsidRPr="009C6954">
        <w:rPr>
          <w:rFonts w:ascii="Arial" w:hAnsi="Arial" w:cs="Arial"/>
          <w:i/>
          <w:sz w:val="22"/>
          <w:szCs w:val="22"/>
        </w:rPr>
        <w:t xml:space="preserve">Statistical </w:t>
      </w:r>
      <w:r w:rsidR="00F65065" w:rsidRPr="009C6954">
        <w:rPr>
          <w:rFonts w:ascii="Arial" w:hAnsi="Arial" w:cs="Arial"/>
          <w:i/>
          <w:sz w:val="22"/>
          <w:szCs w:val="22"/>
        </w:rPr>
        <w:t>Analysis</w:t>
      </w:r>
    </w:p>
    <w:p w14:paraId="196CB9D2" w14:textId="77777777" w:rsidR="00F65065" w:rsidRPr="00E5158C" w:rsidRDefault="00F65065" w:rsidP="002B6C71">
      <w:pPr>
        <w:spacing w:line="480" w:lineRule="auto"/>
        <w:rPr>
          <w:rFonts w:ascii="Arial" w:hAnsi="Arial" w:cs="Arial"/>
          <w:sz w:val="22"/>
          <w:szCs w:val="22"/>
        </w:rPr>
      </w:pPr>
    </w:p>
    <w:p w14:paraId="5CBF8BAB" w14:textId="591F4F84" w:rsidR="00BD445D" w:rsidRDefault="00E00684" w:rsidP="002B6C71">
      <w:pPr>
        <w:spacing w:line="480" w:lineRule="auto"/>
        <w:rPr>
          <w:rFonts w:ascii="Arial" w:hAnsi="Arial" w:cs="Arial"/>
          <w:sz w:val="22"/>
          <w:szCs w:val="22"/>
        </w:rPr>
      </w:pPr>
      <w:r w:rsidRPr="00E5158C">
        <w:rPr>
          <w:rFonts w:ascii="Arial" w:hAnsi="Arial" w:cs="Arial"/>
          <w:sz w:val="22"/>
          <w:szCs w:val="22"/>
        </w:rPr>
        <w:t xml:space="preserve">Descriptive statistics were used to characterize the parent studies. </w:t>
      </w:r>
      <w:r w:rsidR="00F65065" w:rsidRPr="00E5158C">
        <w:rPr>
          <w:rFonts w:ascii="Arial" w:hAnsi="Arial" w:cs="Arial"/>
          <w:sz w:val="22"/>
          <w:szCs w:val="22"/>
        </w:rPr>
        <w:t>A qualitative and quan</w:t>
      </w:r>
      <w:r w:rsidR="00FD4502">
        <w:rPr>
          <w:rFonts w:ascii="Arial" w:hAnsi="Arial" w:cs="Arial"/>
          <w:sz w:val="22"/>
          <w:szCs w:val="22"/>
        </w:rPr>
        <w:t>t</w:t>
      </w:r>
      <w:r w:rsidR="00F65065" w:rsidRPr="00E5158C">
        <w:rPr>
          <w:rFonts w:ascii="Arial" w:hAnsi="Arial" w:cs="Arial"/>
          <w:sz w:val="22"/>
          <w:szCs w:val="22"/>
        </w:rPr>
        <w:t>itative synthesis of the association between the various reported exposures and ILD was conducted.</w:t>
      </w:r>
      <w:r w:rsidR="001A3A68" w:rsidRPr="00E5158C">
        <w:rPr>
          <w:rFonts w:ascii="Arial" w:hAnsi="Arial" w:cs="Arial"/>
          <w:sz w:val="22"/>
          <w:szCs w:val="22"/>
          <w:lang w:val="en-GB"/>
        </w:rPr>
        <w:t xml:space="preserve"> </w:t>
      </w:r>
      <w:r w:rsidR="00DB6533" w:rsidRPr="00E5158C">
        <w:rPr>
          <w:rFonts w:ascii="Arial" w:hAnsi="Arial" w:cs="Arial"/>
          <w:sz w:val="22"/>
          <w:szCs w:val="22"/>
          <w:lang w:val="en-GB"/>
        </w:rPr>
        <w:t xml:space="preserve">To </w:t>
      </w:r>
      <w:r w:rsidR="00DB6533">
        <w:rPr>
          <w:rFonts w:ascii="Arial" w:hAnsi="Arial" w:cs="Arial"/>
          <w:sz w:val="22"/>
          <w:szCs w:val="22"/>
          <w:lang w:val="en-GB"/>
        </w:rPr>
        <w:t xml:space="preserve">enable a pooled </w:t>
      </w:r>
      <w:proofErr w:type="gramStart"/>
      <w:r w:rsidR="00DB6533">
        <w:rPr>
          <w:rFonts w:ascii="Arial" w:hAnsi="Arial" w:cs="Arial"/>
          <w:sz w:val="22"/>
          <w:szCs w:val="22"/>
          <w:lang w:val="en-GB"/>
        </w:rPr>
        <w:t>effect</w:t>
      </w:r>
      <w:proofErr w:type="gramEnd"/>
      <w:r w:rsidR="00DB6533">
        <w:rPr>
          <w:rFonts w:ascii="Arial" w:hAnsi="Arial" w:cs="Arial"/>
          <w:sz w:val="22"/>
          <w:szCs w:val="22"/>
          <w:lang w:val="en-GB"/>
        </w:rPr>
        <w:t xml:space="preserve"> estimate for similar exposures that were named differently across studies (e.g., “rock dust” in one study and “cement dust" in another)</w:t>
      </w:r>
      <w:r w:rsidR="00DB6533" w:rsidRPr="00E5158C">
        <w:rPr>
          <w:rFonts w:ascii="Arial" w:hAnsi="Arial" w:cs="Arial"/>
          <w:sz w:val="22"/>
          <w:szCs w:val="22"/>
          <w:lang w:val="en-GB"/>
        </w:rPr>
        <w:t xml:space="preserve">, </w:t>
      </w:r>
      <w:r w:rsidR="00DB6533">
        <w:rPr>
          <w:rFonts w:ascii="Arial" w:hAnsi="Arial" w:cs="Arial"/>
          <w:sz w:val="22"/>
          <w:szCs w:val="22"/>
        </w:rPr>
        <w:t>specific exposures</w:t>
      </w:r>
      <w:r w:rsidR="00DB6533" w:rsidRPr="00E5158C">
        <w:rPr>
          <w:rFonts w:ascii="Arial" w:hAnsi="Arial" w:cs="Arial"/>
          <w:sz w:val="22"/>
          <w:szCs w:val="22"/>
        </w:rPr>
        <w:t xml:space="preserve"> were grouped into the following categories: smoking, air pollution, silica, asbestos, organic exposures, metals,</w:t>
      </w:r>
      <w:r w:rsidR="00DB6533">
        <w:rPr>
          <w:rFonts w:ascii="Arial" w:hAnsi="Arial" w:cs="Arial"/>
          <w:sz w:val="22"/>
          <w:szCs w:val="22"/>
        </w:rPr>
        <w:t xml:space="preserve"> </w:t>
      </w:r>
      <w:r w:rsidR="00DB6533" w:rsidRPr="00E5158C">
        <w:rPr>
          <w:rFonts w:ascii="Arial" w:hAnsi="Arial" w:cs="Arial"/>
          <w:sz w:val="22"/>
          <w:szCs w:val="22"/>
        </w:rPr>
        <w:t>vapors, gases, dusts, fumes</w:t>
      </w:r>
      <w:r w:rsidR="00CD4853">
        <w:rPr>
          <w:rFonts w:ascii="Arial" w:hAnsi="Arial" w:cs="Arial"/>
          <w:sz w:val="22"/>
          <w:szCs w:val="22"/>
        </w:rPr>
        <w:t>, and the latter</w:t>
      </w:r>
      <w:r w:rsidR="00DB6533" w:rsidRPr="00E5158C">
        <w:rPr>
          <w:rFonts w:ascii="Arial" w:hAnsi="Arial" w:cs="Arial"/>
          <w:sz w:val="22"/>
          <w:szCs w:val="22"/>
        </w:rPr>
        <w:t xml:space="preserve"> four </w:t>
      </w:r>
      <w:r w:rsidR="00DB6533">
        <w:rPr>
          <w:rFonts w:ascii="Arial" w:hAnsi="Arial" w:cs="Arial"/>
          <w:sz w:val="22"/>
          <w:szCs w:val="22"/>
        </w:rPr>
        <w:t xml:space="preserve">also </w:t>
      </w:r>
      <w:r w:rsidR="00DB6533" w:rsidRPr="00E5158C">
        <w:rPr>
          <w:rFonts w:ascii="Arial" w:hAnsi="Arial" w:cs="Arial"/>
          <w:sz w:val="22"/>
          <w:szCs w:val="22"/>
        </w:rPr>
        <w:t>grouped into one category</w:t>
      </w:r>
      <w:r w:rsidR="00DB6533">
        <w:rPr>
          <w:rFonts w:ascii="Arial" w:hAnsi="Arial" w:cs="Arial"/>
          <w:sz w:val="22"/>
          <w:szCs w:val="22"/>
        </w:rPr>
        <w:t xml:space="preserve">, </w:t>
      </w:r>
      <w:r w:rsidR="00DB6533" w:rsidRPr="00E5158C">
        <w:rPr>
          <w:rFonts w:ascii="Arial" w:hAnsi="Arial" w:cs="Arial"/>
          <w:sz w:val="22"/>
          <w:szCs w:val="22"/>
        </w:rPr>
        <w:t>VGDF.</w:t>
      </w:r>
      <w:r w:rsidR="00DB6533">
        <w:rPr>
          <w:rFonts w:ascii="Arial" w:hAnsi="Arial" w:cs="Arial"/>
          <w:sz w:val="22"/>
          <w:szCs w:val="22"/>
        </w:rPr>
        <w:t xml:space="preserve"> </w:t>
      </w:r>
      <w:r w:rsidR="00F65065" w:rsidRPr="00E5158C">
        <w:rPr>
          <w:rFonts w:ascii="Arial" w:hAnsi="Arial" w:cs="Arial"/>
          <w:sz w:val="22"/>
          <w:szCs w:val="22"/>
        </w:rPr>
        <w:t xml:space="preserve">Designations into categories were determined via consensus of three authors (CTL, SE, KAJ). </w:t>
      </w:r>
    </w:p>
    <w:p w14:paraId="2DD3675B" w14:textId="29C72D3F" w:rsidR="00E875E1" w:rsidRDefault="00BD445D" w:rsidP="002B6C71">
      <w:pPr>
        <w:spacing w:line="480" w:lineRule="auto"/>
        <w:rPr>
          <w:rFonts w:ascii="Arial" w:hAnsi="Arial" w:cs="Arial"/>
          <w:sz w:val="22"/>
          <w:szCs w:val="22"/>
        </w:rPr>
      </w:pPr>
      <w:r w:rsidRPr="00E5158C">
        <w:rPr>
          <w:rFonts w:ascii="Arial" w:hAnsi="Arial" w:cs="Arial"/>
          <w:sz w:val="22"/>
          <w:szCs w:val="22"/>
        </w:rPr>
        <w:t>Although the majority of estimates were reported as odds ratio</w:t>
      </w:r>
      <w:r>
        <w:rPr>
          <w:rFonts w:ascii="Arial" w:hAnsi="Arial" w:cs="Arial"/>
          <w:sz w:val="22"/>
          <w:szCs w:val="22"/>
        </w:rPr>
        <w:t>s</w:t>
      </w:r>
      <w:r w:rsidRPr="00E5158C">
        <w:rPr>
          <w:rFonts w:ascii="Arial" w:hAnsi="Arial" w:cs="Arial"/>
          <w:sz w:val="22"/>
          <w:szCs w:val="22"/>
        </w:rPr>
        <w:t>, whe</w:t>
      </w:r>
      <w:r>
        <w:rPr>
          <w:rFonts w:ascii="Arial" w:hAnsi="Arial" w:cs="Arial"/>
          <w:sz w:val="22"/>
          <w:szCs w:val="22"/>
        </w:rPr>
        <w:t>n</w:t>
      </w:r>
      <w:r w:rsidRPr="00E5158C">
        <w:rPr>
          <w:rFonts w:ascii="Arial" w:hAnsi="Arial" w:cs="Arial"/>
          <w:sz w:val="22"/>
          <w:szCs w:val="22"/>
        </w:rPr>
        <w:t xml:space="preserve"> different types of effect estimates were reported, risk/hazard ratios and their respective 95%</w:t>
      </w:r>
      <w:r>
        <w:rPr>
          <w:rFonts w:ascii="Arial" w:hAnsi="Arial" w:cs="Arial"/>
          <w:sz w:val="22"/>
          <w:szCs w:val="22"/>
        </w:rPr>
        <w:t xml:space="preserve"> CIs </w:t>
      </w:r>
      <w:r w:rsidRPr="00E5158C">
        <w:rPr>
          <w:rFonts w:ascii="Arial" w:hAnsi="Arial" w:cs="Arial"/>
          <w:sz w:val="22"/>
          <w:szCs w:val="22"/>
        </w:rPr>
        <w:t xml:space="preserve">were converted to odds ratios based on </w:t>
      </w:r>
      <w:r>
        <w:rPr>
          <w:rFonts w:ascii="Arial" w:hAnsi="Arial" w:cs="Arial"/>
          <w:sz w:val="22"/>
          <w:szCs w:val="22"/>
        </w:rPr>
        <w:t xml:space="preserve">accepted </w:t>
      </w:r>
      <w:r w:rsidRPr="00E5158C">
        <w:rPr>
          <w:rFonts w:ascii="Arial" w:hAnsi="Arial" w:cs="Arial"/>
          <w:sz w:val="22"/>
          <w:szCs w:val="22"/>
        </w:rPr>
        <w:t>equation</w:t>
      </w:r>
      <w:r>
        <w:rPr>
          <w:rFonts w:ascii="Arial" w:hAnsi="Arial" w:cs="Arial"/>
          <w:sz w:val="22"/>
          <w:szCs w:val="22"/>
        </w:rPr>
        <w:t>s (Figure E1). Multilevel meta analysis (MLMA) was specified with random effects modelled using restricted maximum likelihood method. Log OR were included as effect estimates and specified along with their standard errors. Due to the grouping of specific exposures into categories, individual studies included multiple estimates. Random effects were specified at the level of individual study specific exposure and the individual study itself. The MLMA model was specified with adjustment for exposure and diagnostic group</w:t>
      </w:r>
      <w:r w:rsidR="00A31A6F">
        <w:rPr>
          <w:rFonts w:ascii="Arial" w:hAnsi="Arial" w:cs="Arial"/>
          <w:sz w:val="22"/>
          <w:szCs w:val="22"/>
        </w:rPr>
        <w:t xml:space="preserve"> (IPF, CTD, OP, and all other diagnoses were classified as other ILD).</w:t>
      </w:r>
      <w:r>
        <w:rPr>
          <w:rFonts w:ascii="Arial" w:hAnsi="Arial" w:cs="Arial"/>
          <w:sz w:val="22"/>
          <w:szCs w:val="22"/>
        </w:rPr>
        <w:t xml:space="preserve"> </w:t>
      </w:r>
      <w:r w:rsidR="00A31A6F">
        <w:rPr>
          <w:rFonts w:ascii="Arial" w:hAnsi="Arial" w:cs="Arial"/>
          <w:sz w:val="22"/>
          <w:szCs w:val="22"/>
        </w:rPr>
        <w:t>M</w:t>
      </w:r>
      <w:r>
        <w:rPr>
          <w:rFonts w:ascii="Arial" w:hAnsi="Arial" w:cs="Arial"/>
          <w:sz w:val="22"/>
          <w:szCs w:val="22"/>
        </w:rPr>
        <w:t>arginal effects were estimated to visuali</w:t>
      </w:r>
      <w:r w:rsidR="00A31A6F">
        <w:rPr>
          <w:rFonts w:ascii="Arial" w:hAnsi="Arial" w:cs="Arial"/>
          <w:sz w:val="22"/>
          <w:szCs w:val="22"/>
        </w:rPr>
        <w:t>z</w:t>
      </w:r>
      <w:r>
        <w:rPr>
          <w:rFonts w:ascii="Arial" w:hAnsi="Arial" w:cs="Arial"/>
          <w:sz w:val="22"/>
          <w:szCs w:val="22"/>
        </w:rPr>
        <w:t>e overall and stratified effect estimates by exposure.</w:t>
      </w:r>
      <w:r w:rsidR="00B95809">
        <w:rPr>
          <w:rFonts w:ascii="Arial" w:hAnsi="Arial" w:cs="Arial"/>
          <w:sz w:val="22"/>
          <w:szCs w:val="22"/>
        </w:rPr>
        <w:t xml:space="preserve"> </w:t>
      </w:r>
      <w:r w:rsidR="00A86179">
        <w:rPr>
          <w:rFonts w:ascii="Arial" w:hAnsi="Arial" w:cs="Arial"/>
          <w:sz w:val="22"/>
          <w:szCs w:val="22"/>
        </w:rPr>
        <w:t xml:space="preserve">As a sensitivity analysis, traditional meta-analysis with pooled effect estimates using Der Simonian and Laird random effects models are included in the supplement. </w:t>
      </w:r>
      <w:proofErr w:type="spellStart"/>
      <w:r w:rsidR="00C92FE4">
        <w:rPr>
          <w:rFonts w:ascii="Arial" w:hAnsi="Arial" w:cs="Arial"/>
          <w:sz w:val="22"/>
          <w:szCs w:val="22"/>
        </w:rPr>
        <w:t>Metaregression</w:t>
      </w:r>
      <w:proofErr w:type="spellEnd"/>
      <w:r w:rsidR="00C92FE4">
        <w:rPr>
          <w:rFonts w:ascii="Arial" w:hAnsi="Arial" w:cs="Arial"/>
          <w:sz w:val="22"/>
          <w:szCs w:val="22"/>
        </w:rPr>
        <w:t xml:space="preserve"> was also performed to assess the effect of study year on the most commonly studied exposure (smoking). </w:t>
      </w:r>
      <w:r w:rsidR="00813EB7" w:rsidRPr="00E5158C">
        <w:rPr>
          <w:rFonts w:ascii="Arial" w:hAnsi="Arial" w:cs="Arial"/>
          <w:sz w:val="22"/>
          <w:szCs w:val="22"/>
          <w:lang w:val="en-GB"/>
        </w:rPr>
        <w:t xml:space="preserve">Heterogeneity was assessed </w:t>
      </w:r>
      <w:r w:rsidR="00B95809">
        <w:rPr>
          <w:rFonts w:ascii="Arial" w:hAnsi="Arial" w:cs="Arial"/>
          <w:sz w:val="22"/>
          <w:szCs w:val="22"/>
          <w:lang w:val="en-GB"/>
        </w:rPr>
        <w:t>according to the</w:t>
      </w:r>
      <w:r w:rsidR="00067346">
        <w:rPr>
          <w:rFonts w:ascii="Arial" w:hAnsi="Arial" w:cs="Arial"/>
          <w:sz w:val="22"/>
          <w:szCs w:val="22"/>
          <w:lang w:val="en-GB"/>
        </w:rPr>
        <w:t xml:space="preserve"> </w:t>
      </w:r>
      <w:proofErr w:type="spellStart"/>
      <w:r w:rsidR="00067346">
        <w:rPr>
          <w:rFonts w:ascii="Arial" w:hAnsi="Arial" w:cs="Arial"/>
          <w:sz w:val="22"/>
          <w:szCs w:val="22"/>
          <w:lang w:val="en-GB"/>
        </w:rPr>
        <w:t>the</w:t>
      </w:r>
      <w:proofErr w:type="spellEnd"/>
      <w:r w:rsidR="00813EB7" w:rsidRPr="00E5158C">
        <w:rPr>
          <w:rFonts w:ascii="Arial" w:hAnsi="Arial" w:cs="Arial"/>
          <w:sz w:val="22"/>
          <w:szCs w:val="22"/>
          <w:lang w:val="en-GB"/>
        </w:rPr>
        <w:t xml:space="preserve"> I</w:t>
      </w:r>
      <w:r w:rsidR="00813EB7" w:rsidRPr="00C17C09">
        <w:rPr>
          <w:rFonts w:ascii="Arial" w:hAnsi="Arial" w:cs="Arial"/>
          <w:sz w:val="22"/>
          <w:szCs w:val="22"/>
          <w:vertAlign w:val="superscript"/>
          <w:lang w:val="en-GB"/>
        </w:rPr>
        <w:t>2</w:t>
      </w:r>
      <w:r w:rsidR="00813EB7" w:rsidRPr="00E5158C">
        <w:rPr>
          <w:rFonts w:ascii="Arial" w:hAnsi="Arial" w:cs="Arial"/>
          <w:sz w:val="22"/>
          <w:szCs w:val="22"/>
          <w:lang w:val="en-GB"/>
        </w:rPr>
        <w:t xml:space="preserve"> statistic</w:t>
      </w:r>
      <w:r w:rsidR="00B95809">
        <w:rPr>
          <w:rFonts w:ascii="Arial" w:hAnsi="Arial" w:cs="Arial"/>
          <w:sz w:val="22"/>
          <w:szCs w:val="22"/>
          <w:lang w:val="en-GB"/>
        </w:rPr>
        <w:t>s at each level, and combined, using the Higgins-Thompson method and Cochran method</w:t>
      </w:r>
      <w:r w:rsidR="00813EB7" w:rsidRPr="00E5158C">
        <w:rPr>
          <w:rFonts w:ascii="Arial" w:hAnsi="Arial" w:cs="Arial"/>
          <w:sz w:val="22"/>
          <w:szCs w:val="22"/>
          <w:lang w:val="en-GB"/>
        </w:rPr>
        <w:t xml:space="preserve">. </w:t>
      </w:r>
      <w:r w:rsidR="001A3A68" w:rsidRPr="00E5158C">
        <w:rPr>
          <w:rFonts w:ascii="Arial" w:hAnsi="Arial" w:cs="Arial"/>
          <w:sz w:val="22"/>
          <w:szCs w:val="22"/>
        </w:rPr>
        <w:t xml:space="preserve">All analyses were performed </w:t>
      </w:r>
      <w:r w:rsidR="00C71955" w:rsidRPr="00E5158C">
        <w:rPr>
          <w:rFonts w:ascii="Arial" w:hAnsi="Arial" w:cs="Arial"/>
          <w:sz w:val="22"/>
          <w:szCs w:val="22"/>
        </w:rPr>
        <w:t>using</w:t>
      </w:r>
      <w:r w:rsidR="001A3A68" w:rsidRPr="00E5158C">
        <w:rPr>
          <w:rFonts w:ascii="Arial" w:hAnsi="Arial" w:cs="Arial"/>
          <w:sz w:val="22"/>
          <w:szCs w:val="22"/>
        </w:rPr>
        <w:t xml:space="preserve"> </w:t>
      </w:r>
      <w:r w:rsidR="0054452F">
        <w:rPr>
          <w:rFonts w:ascii="Arial" w:hAnsi="Arial" w:cs="Arial"/>
          <w:sz w:val="22"/>
          <w:szCs w:val="22"/>
        </w:rPr>
        <w:t>Stata (</w:t>
      </w:r>
      <w:proofErr w:type="spellStart"/>
      <w:r w:rsidR="0054452F">
        <w:rPr>
          <w:rFonts w:ascii="Arial" w:hAnsi="Arial" w:cs="Arial"/>
          <w:sz w:val="22"/>
          <w:szCs w:val="22"/>
        </w:rPr>
        <w:t>StataCorp</w:t>
      </w:r>
      <w:proofErr w:type="spellEnd"/>
      <w:r w:rsidR="0054452F">
        <w:rPr>
          <w:rFonts w:ascii="Arial" w:hAnsi="Arial" w:cs="Arial"/>
          <w:sz w:val="22"/>
          <w:szCs w:val="22"/>
        </w:rPr>
        <w:t>, 2022, Release 18).</w:t>
      </w:r>
    </w:p>
    <w:p w14:paraId="3E034619" w14:textId="77777777" w:rsidR="0054452F" w:rsidRPr="00E5158C" w:rsidRDefault="0054452F" w:rsidP="002B6C71">
      <w:pPr>
        <w:spacing w:line="480" w:lineRule="auto"/>
        <w:rPr>
          <w:rFonts w:ascii="Arial" w:hAnsi="Arial" w:cs="Arial"/>
          <w:sz w:val="22"/>
          <w:szCs w:val="22"/>
        </w:rPr>
      </w:pPr>
    </w:p>
    <w:p w14:paraId="47EA037D" w14:textId="0C8E65C6" w:rsidR="00E875E1" w:rsidRPr="005B1299" w:rsidRDefault="00E875E1" w:rsidP="002B6C71">
      <w:pPr>
        <w:spacing w:line="480" w:lineRule="auto"/>
        <w:rPr>
          <w:rFonts w:ascii="Arial" w:hAnsi="Arial" w:cs="Arial"/>
          <w:b/>
          <w:sz w:val="22"/>
          <w:szCs w:val="22"/>
        </w:rPr>
      </w:pPr>
      <w:r w:rsidRPr="005B1299">
        <w:rPr>
          <w:rFonts w:ascii="Arial" w:hAnsi="Arial" w:cs="Arial"/>
          <w:b/>
          <w:sz w:val="22"/>
          <w:szCs w:val="22"/>
        </w:rPr>
        <w:t>Results</w:t>
      </w:r>
    </w:p>
    <w:p w14:paraId="4DE313B4" w14:textId="1B77B1C4" w:rsidR="00E875E1" w:rsidRPr="00E5158C" w:rsidRDefault="00E875E1" w:rsidP="002B6C71">
      <w:pPr>
        <w:spacing w:line="480" w:lineRule="auto"/>
        <w:rPr>
          <w:rFonts w:ascii="Arial" w:hAnsi="Arial" w:cs="Arial"/>
          <w:sz w:val="22"/>
          <w:szCs w:val="22"/>
        </w:rPr>
      </w:pPr>
    </w:p>
    <w:p w14:paraId="3E2D626B" w14:textId="78917790" w:rsidR="00E875E1" w:rsidRPr="009C6954" w:rsidRDefault="005041F3" w:rsidP="002B6C71">
      <w:pPr>
        <w:spacing w:line="480" w:lineRule="auto"/>
        <w:rPr>
          <w:rFonts w:ascii="Arial" w:hAnsi="Arial" w:cs="Arial"/>
          <w:i/>
          <w:sz w:val="22"/>
          <w:szCs w:val="22"/>
        </w:rPr>
      </w:pPr>
      <w:r w:rsidRPr="009C6954">
        <w:rPr>
          <w:rFonts w:ascii="Arial" w:hAnsi="Arial" w:cs="Arial"/>
          <w:i/>
          <w:sz w:val="22"/>
          <w:szCs w:val="22"/>
        </w:rPr>
        <w:t xml:space="preserve">Search </w:t>
      </w:r>
      <w:r w:rsidR="00E00684" w:rsidRPr="009C6954">
        <w:rPr>
          <w:rFonts w:ascii="Arial" w:hAnsi="Arial" w:cs="Arial"/>
          <w:i/>
          <w:sz w:val="22"/>
          <w:szCs w:val="22"/>
        </w:rPr>
        <w:t>R</w:t>
      </w:r>
      <w:r w:rsidRPr="009C6954">
        <w:rPr>
          <w:rFonts w:ascii="Arial" w:hAnsi="Arial" w:cs="Arial"/>
          <w:i/>
          <w:sz w:val="22"/>
          <w:szCs w:val="22"/>
        </w:rPr>
        <w:t xml:space="preserve">esults </w:t>
      </w:r>
      <w:r w:rsidR="00E00684" w:rsidRPr="009C6954">
        <w:rPr>
          <w:rFonts w:ascii="Arial" w:hAnsi="Arial" w:cs="Arial"/>
          <w:i/>
          <w:sz w:val="22"/>
          <w:szCs w:val="22"/>
        </w:rPr>
        <w:t>and Study Characteristics</w:t>
      </w:r>
    </w:p>
    <w:p w14:paraId="58BF0671" w14:textId="77777777" w:rsidR="005041F3" w:rsidRPr="00E5158C" w:rsidRDefault="005041F3" w:rsidP="002B6C71">
      <w:pPr>
        <w:spacing w:line="480" w:lineRule="auto"/>
        <w:rPr>
          <w:rFonts w:ascii="Arial" w:hAnsi="Arial" w:cs="Arial"/>
          <w:sz w:val="22"/>
          <w:szCs w:val="22"/>
        </w:rPr>
      </w:pPr>
    </w:p>
    <w:p w14:paraId="0345C306" w14:textId="4BA28324" w:rsidR="00F03BF4" w:rsidRDefault="00DB6533" w:rsidP="002B6C71">
      <w:pPr>
        <w:spacing w:line="480" w:lineRule="auto"/>
        <w:rPr>
          <w:rFonts w:ascii="Arial" w:hAnsi="Arial" w:cs="Arial"/>
          <w:sz w:val="22"/>
          <w:szCs w:val="22"/>
        </w:rPr>
      </w:pPr>
      <w:r w:rsidRPr="00E5158C">
        <w:rPr>
          <w:rFonts w:ascii="Arial" w:hAnsi="Arial" w:cs="Arial"/>
          <w:sz w:val="22"/>
          <w:szCs w:val="22"/>
        </w:rPr>
        <w:t xml:space="preserve">The literature search identified </w:t>
      </w:r>
      <w:r w:rsidR="0036749E">
        <w:rPr>
          <w:rFonts w:ascii="Arial" w:hAnsi="Arial" w:cs="Arial"/>
          <w:sz w:val="22"/>
          <w:szCs w:val="22"/>
        </w:rPr>
        <w:t>10100</w:t>
      </w:r>
      <w:r w:rsidRPr="00E5158C">
        <w:rPr>
          <w:rFonts w:ascii="Arial" w:hAnsi="Arial" w:cs="Arial"/>
          <w:sz w:val="22"/>
          <w:szCs w:val="22"/>
        </w:rPr>
        <w:t xml:space="preserve"> studies (</w:t>
      </w:r>
      <w:r w:rsidRPr="001F1EED">
        <w:rPr>
          <w:rFonts w:ascii="Arial" w:hAnsi="Arial" w:cs="Arial"/>
          <w:b/>
          <w:bCs/>
          <w:sz w:val="22"/>
          <w:szCs w:val="22"/>
        </w:rPr>
        <w:t>Figure 1</w:t>
      </w:r>
      <w:r w:rsidRPr="00E5158C">
        <w:rPr>
          <w:rFonts w:ascii="Arial" w:hAnsi="Arial" w:cs="Arial"/>
          <w:sz w:val="22"/>
          <w:szCs w:val="22"/>
        </w:rPr>
        <w:t>)</w:t>
      </w:r>
      <w:r>
        <w:rPr>
          <w:rFonts w:ascii="Arial" w:hAnsi="Arial" w:cs="Arial"/>
          <w:sz w:val="22"/>
          <w:szCs w:val="22"/>
        </w:rPr>
        <w:t>. A</w:t>
      </w:r>
      <w:r w:rsidRPr="00E5158C">
        <w:rPr>
          <w:rFonts w:ascii="Arial" w:hAnsi="Arial" w:cs="Arial"/>
          <w:sz w:val="22"/>
          <w:szCs w:val="22"/>
        </w:rPr>
        <w:t>fter duplicate</w:t>
      </w:r>
      <w:r>
        <w:rPr>
          <w:rFonts w:ascii="Arial" w:hAnsi="Arial" w:cs="Arial"/>
          <w:sz w:val="22"/>
          <w:szCs w:val="22"/>
        </w:rPr>
        <w:t>s</w:t>
      </w:r>
      <w:r w:rsidRPr="00E5158C">
        <w:rPr>
          <w:rFonts w:ascii="Arial" w:hAnsi="Arial" w:cs="Arial"/>
          <w:sz w:val="22"/>
          <w:szCs w:val="22"/>
        </w:rPr>
        <w:t xml:space="preserve"> were removed,</w:t>
      </w:r>
      <w:r w:rsidR="0036749E">
        <w:rPr>
          <w:rFonts w:ascii="Arial" w:hAnsi="Arial" w:cs="Arial"/>
          <w:sz w:val="22"/>
          <w:szCs w:val="22"/>
        </w:rPr>
        <w:t xml:space="preserve"> 8056</w:t>
      </w:r>
      <w:r w:rsidRPr="00E5158C">
        <w:rPr>
          <w:rFonts w:ascii="Arial" w:hAnsi="Arial" w:cs="Arial"/>
          <w:sz w:val="22"/>
          <w:szCs w:val="22"/>
        </w:rPr>
        <w:t xml:space="preserve"> abstracts were screened</w:t>
      </w:r>
      <w:r>
        <w:rPr>
          <w:rFonts w:ascii="Arial" w:hAnsi="Arial" w:cs="Arial"/>
          <w:sz w:val="22"/>
          <w:szCs w:val="22"/>
        </w:rPr>
        <w:t xml:space="preserve"> and </w:t>
      </w:r>
      <w:r w:rsidR="007514F4">
        <w:rPr>
          <w:rFonts w:ascii="Arial" w:hAnsi="Arial" w:cs="Arial"/>
          <w:sz w:val="22"/>
          <w:szCs w:val="22"/>
        </w:rPr>
        <w:t>2</w:t>
      </w:r>
      <w:r w:rsidR="0036749E">
        <w:rPr>
          <w:rFonts w:ascii="Arial" w:hAnsi="Arial" w:cs="Arial"/>
          <w:sz w:val="22"/>
          <w:szCs w:val="22"/>
        </w:rPr>
        <w:t>95</w:t>
      </w:r>
      <w:r>
        <w:rPr>
          <w:rFonts w:ascii="Arial" w:hAnsi="Arial" w:cs="Arial"/>
          <w:sz w:val="22"/>
          <w:szCs w:val="22"/>
        </w:rPr>
        <w:t xml:space="preserve"> studies underwent full-text review</w:t>
      </w:r>
      <w:r w:rsidRPr="00E5158C">
        <w:rPr>
          <w:rFonts w:ascii="Arial" w:hAnsi="Arial" w:cs="Arial"/>
          <w:sz w:val="22"/>
          <w:szCs w:val="22"/>
        </w:rPr>
        <w:t xml:space="preserve">. </w:t>
      </w:r>
      <w:r w:rsidR="007514F4">
        <w:rPr>
          <w:rFonts w:ascii="Arial" w:hAnsi="Arial" w:cs="Arial"/>
          <w:sz w:val="22"/>
          <w:szCs w:val="22"/>
        </w:rPr>
        <w:t>This</w:t>
      </w:r>
      <w:r>
        <w:rPr>
          <w:rFonts w:ascii="Arial" w:hAnsi="Arial" w:cs="Arial"/>
          <w:sz w:val="22"/>
          <w:szCs w:val="22"/>
        </w:rPr>
        <w:t xml:space="preserve"> yielded</w:t>
      </w:r>
      <w:r w:rsidRPr="00E5158C">
        <w:rPr>
          <w:rFonts w:ascii="Arial" w:hAnsi="Arial" w:cs="Arial"/>
          <w:sz w:val="22"/>
          <w:szCs w:val="22"/>
        </w:rPr>
        <w:t xml:space="preserve"> </w:t>
      </w:r>
      <w:r w:rsidR="0036749E">
        <w:rPr>
          <w:rFonts w:ascii="Arial" w:hAnsi="Arial" w:cs="Arial"/>
          <w:sz w:val="22"/>
          <w:szCs w:val="22"/>
        </w:rPr>
        <w:t>96</w:t>
      </w:r>
      <w:r>
        <w:rPr>
          <w:rFonts w:ascii="Arial" w:hAnsi="Arial" w:cs="Arial"/>
          <w:sz w:val="22"/>
          <w:szCs w:val="22"/>
        </w:rPr>
        <w:t xml:space="preserve"> </w:t>
      </w:r>
      <w:r w:rsidRPr="00E5158C">
        <w:rPr>
          <w:rFonts w:ascii="Arial" w:hAnsi="Arial" w:cs="Arial"/>
          <w:sz w:val="22"/>
          <w:szCs w:val="22"/>
        </w:rPr>
        <w:t xml:space="preserve">studies </w:t>
      </w:r>
      <w:r>
        <w:rPr>
          <w:rFonts w:ascii="Arial" w:hAnsi="Arial" w:cs="Arial"/>
          <w:sz w:val="22"/>
          <w:szCs w:val="22"/>
        </w:rPr>
        <w:t>for</w:t>
      </w:r>
      <w:r w:rsidRPr="00E5158C">
        <w:rPr>
          <w:rFonts w:ascii="Arial" w:hAnsi="Arial" w:cs="Arial"/>
          <w:sz w:val="22"/>
          <w:szCs w:val="22"/>
        </w:rPr>
        <w:t xml:space="preserve"> inclu</w:t>
      </w:r>
      <w:r>
        <w:rPr>
          <w:rFonts w:ascii="Arial" w:hAnsi="Arial" w:cs="Arial"/>
          <w:sz w:val="22"/>
          <w:szCs w:val="22"/>
        </w:rPr>
        <w:t>sion in the</w:t>
      </w:r>
      <w:r w:rsidR="007E25E5">
        <w:rPr>
          <w:rFonts w:ascii="Arial" w:hAnsi="Arial" w:cs="Arial"/>
          <w:sz w:val="22"/>
          <w:szCs w:val="22"/>
        </w:rPr>
        <w:t xml:space="preserve"> systematic review</w:t>
      </w:r>
      <w:r w:rsidR="0015796D">
        <w:rPr>
          <w:rFonts w:ascii="Arial" w:hAnsi="Arial" w:cs="Arial"/>
          <w:sz w:val="22"/>
          <w:szCs w:val="22"/>
        </w:rPr>
        <w:t xml:space="preserve"> and/or meta-analysis</w:t>
      </w:r>
      <w:r w:rsidRPr="00E5158C">
        <w:rPr>
          <w:rFonts w:ascii="Arial" w:hAnsi="Arial" w:cs="Arial"/>
          <w:sz w:val="22"/>
          <w:szCs w:val="22"/>
        </w:rPr>
        <w:t xml:space="preserve">, </w:t>
      </w:r>
      <w:r w:rsidR="005041F3" w:rsidRPr="00E5158C">
        <w:rPr>
          <w:rFonts w:ascii="Arial" w:hAnsi="Arial" w:cs="Arial"/>
          <w:sz w:val="22"/>
          <w:szCs w:val="22"/>
        </w:rPr>
        <w:t xml:space="preserve">representing a total of </w:t>
      </w:r>
      <w:r w:rsidR="0036749E">
        <w:rPr>
          <w:rFonts w:ascii="Arial" w:hAnsi="Arial" w:cs="Arial"/>
          <w:sz w:val="22"/>
          <w:szCs w:val="22"/>
        </w:rPr>
        <w:t>40,819,116</w:t>
      </w:r>
      <w:r w:rsidR="005041F3" w:rsidRPr="00E5158C">
        <w:rPr>
          <w:rFonts w:ascii="Arial" w:hAnsi="Arial" w:cs="Arial"/>
          <w:sz w:val="22"/>
          <w:szCs w:val="22"/>
        </w:rPr>
        <w:t xml:space="preserve"> </w:t>
      </w:r>
      <w:r w:rsidR="00D44126">
        <w:rPr>
          <w:rFonts w:ascii="Arial" w:hAnsi="Arial" w:cs="Arial"/>
          <w:sz w:val="22"/>
          <w:szCs w:val="22"/>
        </w:rPr>
        <w:t>subjects</w:t>
      </w:r>
      <w:r w:rsidR="00D44126" w:rsidRPr="00E5158C">
        <w:rPr>
          <w:rFonts w:ascii="Arial" w:hAnsi="Arial" w:cs="Arial"/>
          <w:sz w:val="22"/>
          <w:szCs w:val="22"/>
        </w:rPr>
        <w:t xml:space="preserve"> </w:t>
      </w:r>
      <w:r w:rsidR="005041F3" w:rsidRPr="00E5158C">
        <w:rPr>
          <w:rFonts w:ascii="Arial" w:hAnsi="Arial" w:cs="Arial"/>
          <w:sz w:val="22"/>
          <w:szCs w:val="22"/>
        </w:rPr>
        <w:t>(</w:t>
      </w:r>
      <w:r w:rsidR="005041F3" w:rsidRPr="001F1EED">
        <w:rPr>
          <w:rFonts w:ascii="Arial" w:hAnsi="Arial" w:cs="Arial"/>
          <w:b/>
          <w:bCs/>
          <w:sz w:val="22"/>
          <w:szCs w:val="22"/>
        </w:rPr>
        <w:t xml:space="preserve">Table </w:t>
      </w:r>
      <w:r w:rsidR="00251889">
        <w:rPr>
          <w:rFonts w:ascii="Arial" w:hAnsi="Arial" w:cs="Arial"/>
          <w:b/>
          <w:bCs/>
          <w:sz w:val="22"/>
          <w:szCs w:val="22"/>
        </w:rPr>
        <w:t>E</w:t>
      </w:r>
      <w:r w:rsidR="00AB4BAB">
        <w:rPr>
          <w:rFonts w:ascii="Arial" w:hAnsi="Arial" w:cs="Arial"/>
          <w:b/>
          <w:bCs/>
          <w:sz w:val="22"/>
          <w:szCs w:val="22"/>
        </w:rPr>
        <w:t>4</w:t>
      </w:r>
      <w:r w:rsidR="005041F3" w:rsidRPr="00E5158C">
        <w:rPr>
          <w:rFonts w:ascii="Arial" w:hAnsi="Arial" w:cs="Arial"/>
          <w:sz w:val="22"/>
          <w:szCs w:val="22"/>
        </w:rPr>
        <w:t>).</w:t>
      </w:r>
      <w:r w:rsidR="001512FB">
        <w:rPr>
          <w:rFonts w:ascii="Arial" w:hAnsi="Arial" w:cs="Arial"/>
          <w:sz w:val="22"/>
          <w:szCs w:val="22"/>
        </w:rPr>
        <w:t xml:space="preserve"> </w:t>
      </w:r>
      <w:r w:rsidR="00D44126">
        <w:rPr>
          <w:rFonts w:ascii="Arial" w:hAnsi="Arial" w:cs="Arial"/>
          <w:sz w:val="22"/>
          <w:szCs w:val="22"/>
        </w:rPr>
        <w:t xml:space="preserve">Of these, </w:t>
      </w:r>
      <w:r w:rsidR="005A2FCD">
        <w:rPr>
          <w:rFonts w:ascii="Arial" w:hAnsi="Arial" w:cs="Arial"/>
          <w:sz w:val="22"/>
          <w:szCs w:val="22"/>
        </w:rPr>
        <w:t>2</w:t>
      </w:r>
      <w:r w:rsidR="0036749E">
        <w:rPr>
          <w:rFonts w:ascii="Arial" w:hAnsi="Arial" w:cs="Arial"/>
          <w:sz w:val="22"/>
          <w:szCs w:val="22"/>
        </w:rPr>
        <w:t>95</w:t>
      </w:r>
      <w:r w:rsidR="00E1254D">
        <w:rPr>
          <w:rFonts w:ascii="Arial" w:hAnsi="Arial" w:cs="Arial"/>
          <w:sz w:val="22"/>
          <w:szCs w:val="22"/>
        </w:rPr>
        <w:t>,1</w:t>
      </w:r>
      <w:r w:rsidR="0036749E">
        <w:rPr>
          <w:rFonts w:ascii="Arial" w:hAnsi="Arial" w:cs="Arial"/>
          <w:sz w:val="22"/>
          <w:szCs w:val="22"/>
        </w:rPr>
        <w:t>67</w:t>
      </w:r>
      <w:r w:rsidR="001512FB">
        <w:rPr>
          <w:rFonts w:ascii="Arial" w:hAnsi="Arial" w:cs="Arial"/>
          <w:sz w:val="22"/>
          <w:szCs w:val="22"/>
        </w:rPr>
        <w:t xml:space="preserve"> had </w:t>
      </w:r>
      <w:r w:rsidR="00D44126">
        <w:rPr>
          <w:rFonts w:ascii="Arial" w:hAnsi="Arial" w:cs="Arial"/>
          <w:sz w:val="22"/>
          <w:szCs w:val="22"/>
        </w:rPr>
        <w:t xml:space="preserve">a diagnosis of </w:t>
      </w:r>
      <w:r w:rsidR="001512FB">
        <w:rPr>
          <w:rFonts w:ascii="Arial" w:hAnsi="Arial" w:cs="Arial"/>
          <w:sz w:val="22"/>
          <w:szCs w:val="22"/>
        </w:rPr>
        <w:t xml:space="preserve">ILD, and </w:t>
      </w:r>
      <w:r w:rsidR="0036749E">
        <w:rPr>
          <w:rFonts w:ascii="Arial" w:hAnsi="Arial" w:cs="Arial"/>
          <w:sz w:val="22"/>
          <w:szCs w:val="22"/>
        </w:rPr>
        <w:t>40</w:t>
      </w:r>
      <w:r w:rsidR="00DC7A77">
        <w:rPr>
          <w:rFonts w:ascii="Arial" w:hAnsi="Arial" w:cs="Arial"/>
          <w:sz w:val="22"/>
          <w:szCs w:val="22"/>
        </w:rPr>
        <w:t>,</w:t>
      </w:r>
      <w:r w:rsidR="0036749E">
        <w:rPr>
          <w:rFonts w:ascii="Arial" w:hAnsi="Arial" w:cs="Arial"/>
          <w:sz w:val="22"/>
          <w:szCs w:val="22"/>
        </w:rPr>
        <w:t>523</w:t>
      </w:r>
      <w:r w:rsidR="00E1254D">
        <w:rPr>
          <w:rFonts w:ascii="Arial" w:hAnsi="Arial" w:cs="Arial"/>
          <w:sz w:val="22"/>
          <w:szCs w:val="22"/>
        </w:rPr>
        <w:t>,</w:t>
      </w:r>
      <w:r w:rsidR="0036749E">
        <w:rPr>
          <w:rFonts w:ascii="Arial" w:hAnsi="Arial" w:cs="Arial"/>
          <w:sz w:val="22"/>
          <w:szCs w:val="22"/>
        </w:rPr>
        <w:t>949</w:t>
      </w:r>
      <w:r w:rsidR="001512FB">
        <w:rPr>
          <w:rFonts w:ascii="Arial" w:hAnsi="Arial" w:cs="Arial"/>
          <w:sz w:val="22"/>
          <w:szCs w:val="22"/>
        </w:rPr>
        <w:t xml:space="preserve"> were </w:t>
      </w:r>
      <w:r w:rsidR="00D44126">
        <w:rPr>
          <w:rFonts w:ascii="Arial" w:hAnsi="Arial" w:cs="Arial"/>
          <w:sz w:val="22"/>
          <w:szCs w:val="22"/>
        </w:rPr>
        <w:t xml:space="preserve">non-diseased </w:t>
      </w:r>
      <w:r w:rsidR="00051C47">
        <w:rPr>
          <w:rFonts w:ascii="Arial" w:hAnsi="Arial" w:cs="Arial"/>
          <w:sz w:val="22"/>
          <w:szCs w:val="22"/>
        </w:rPr>
        <w:t>controls.</w:t>
      </w:r>
      <w:r w:rsidR="001512FB">
        <w:rPr>
          <w:rFonts w:ascii="Arial" w:hAnsi="Arial" w:cs="Arial"/>
          <w:sz w:val="22"/>
          <w:szCs w:val="22"/>
        </w:rPr>
        <w:t xml:space="preserve"> </w:t>
      </w:r>
      <w:r w:rsidR="00051C47">
        <w:rPr>
          <w:rFonts w:ascii="Arial" w:hAnsi="Arial" w:cs="Arial"/>
          <w:sz w:val="22"/>
          <w:szCs w:val="22"/>
        </w:rPr>
        <w:t>Thirty-</w:t>
      </w:r>
      <w:r w:rsidR="00FC25A3">
        <w:rPr>
          <w:rFonts w:ascii="Arial" w:hAnsi="Arial" w:cs="Arial"/>
          <w:sz w:val="22"/>
          <w:szCs w:val="22"/>
        </w:rPr>
        <w:t>eight</w:t>
      </w:r>
      <w:r w:rsidR="00051C47">
        <w:rPr>
          <w:rFonts w:ascii="Arial" w:hAnsi="Arial" w:cs="Arial"/>
          <w:sz w:val="22"/>
          <w:szCs w:val="22"/>
        </w:rPr>
        <w:t xml:space="preserve"> studies were from Europe, </w:t>
      </w:r>
      <w:r w:rsidR="0036749E">
        <w:rPr>
          <w:rFonts w:ascii="Arial" w:hAnsi="Arial" w:cs="Arial"/>
          <w:sz w:val="22"/>
          <w:szCs w:val="22"/>
        </w:rPr>
        <w:t>3</w:t>
      </w:r>
      <w:r w:rsidR="00F95337">
        <w:rPr>
          <w:rFonts w:ascii="Arial" w:hAnsi="Arial" w:cs="Arial"/>
          <w:sz w:val="22"/>
          <w:szCs w:val="22"/>
        </w:rPr>
        <w:t>2</w:t>
      </w:r>
      <w:r w:rsidR="00E00684" w:rsidRPr="00E5158C">
        <w:rPr>
          <w:rFonts w:ascii="Arial" w:hAnsi="Arial" w:cs="Arial"/>
          <w:sz w:val="22"/>
          <w:szCs w:val="22"/>
        </w:rPr>
        <w:t xml:space="preserve"> were from N</w:t>
      </w:r>
      <w:r w:rsidR="00051C47">
        <w:rPr>
          <w:rFonts w:ascii="Arial" w:hAnsi="Arial" w:cs="Arial"/>
          <w:sz w:val="22"/>
          <w:szCs w:val="22"/>
        </w:rPr>
        <w:t xml:space="preserve">orth </w:t>
      </w:r>
      <w:r w:rsidR="00E00684" w:rsidRPr="00E5158C">
        <w:rPr>
          <w:rFonts w:ascii="Arial" w:hAnsi="Arial" w:cs="Arial"/>
          <w:sz w:val="22"/>
          <w:szCs w:val="22"/>
        </w:rPr>
        <w:t>America,</w:t>
      </w:r>
      <w:r w:rsidR="00540DF8">
        <w:rPr>
          <w:rFonts w:ascii="Arial" w:hAnsi="Arial" w:cs="Arial"/>
          <w:sz w:val="22"/>
          <w:szCs w:val="22"/>
        </w:rPr>
        <w:t xml:space="preserve"> </w:t>
      </w:r>
      <w:r w:rsidR="00FC25A3">
        <w:rPr>
          <w:rFonts w:ascii="Arial" w:hAnsi="Arial" w:cs="Arial"/>
          <w:sz w:val="22"/>
          <w:szCs w:val="22"/>
        </w:rPr>
        <w:t>20</w:t>
      </w:r>
      <w:r w:rsidR="00051C47">
        <w:rPr>
          <w:rFonts w:ascii="Arial" w:hAnsi="Arial" w:cs="Arial"/>
          <w:sz w:val="22"/>
          <w:szCs w:val="22"/>
        </w:rPr>
        <w:t xml:space="preserve"> were </w:t>
      </w:r>
      <w:r w:rsidR="00E00684" w:rsidRPr="00E5158C">
        <w:rPr>
          <w:rFonts w:ascii="Arial" w:hAnsi="Arial" w:cs="Arial"/>
          <w:sz w:val="22"/>
          <w:szCs w:val="22"/>
        </w:rPr>
        <w:t>from Asia</w:t>
      </w:r>
      <w:r w:rsidR="00540DF8">
        <w:rPr>
          <w:rFonts w:ascii="Arial" w:hAnsi="Arial" w:cs="Arial"/>
          <w:sz w:val="22"/>
          <w:szCs w:val="22"/>
        </w:rPr>
        <w:t xml:space="preserve">, and </w:t>
      </w:r>
      <w:r w:rsidR="0036749E">
        <w:rPr>
          <w:rFonts w:ascii="Arial" w:hAnsi="Arial" w:cs="Arial"/>
          <w:sz w:val="22"/>
          <w:szCs w:val="22"/>
        </w:rPr>
        <w:t>6</w:t>
      </w:r>
      <w:r w:rsidR="00540DF8">
        <w:rPr>
          <w:rFonts w:ascii="Arial" w:hAnsi="Arial" w:cs="Arial"/>
          <w:sz w:val="22"/>
          <w:szCs w:val="22"/>
        </w:rPr>
        <w:t xml:space="preserve"> were from other continents</w:t>
      </w:r>
      <w:r w:rsidR="00051C47">
        <w:rPr>
          <w:rFonts w:ascii="Arial" w:hAnsi="Arial" w:cs="Arial"/>
          <w:sz w:val="22"/>
          <w:szCs w:val="22"/>
        </w:rPr>
        <w:t xml:space="preserve">. Most of the studies </w:t>
      </w:r>
      <w:r w:rsidR="00C11851">
        <w:rPr>
          <w:rFonts w:ascii="Arial" w:hAnsi="Arial" w:cs="Arial"/>
          <w:sz w:val="22"/>
          <w:szCs w:val="22"/>
        </w:rPr>
        <w:t>(n=</w:t>
      </w:r>
      <w:r w:rsidR="0036749E">
        <w:rPr>
          <w:rFonts w:ascii="Arial" w:hAnsi="Arial" w:cs="Arial"/>
          <w:sz w:val="22"/>
          <w:szCs w:val="22"/>
        </w:rPr>
        <w:t>90</w:t>
      </w:r>
      <w:r w:rsidR="00C11851">
        <w:rPr>
          <w:rFonts w:ascii="Arial" w:hAnsi="Arial" w:cs="Arial"/>
          <w:sz w:val="22"/>
          <w:szCs w:val="22"/>
        </w:rPr>
        <w:t xml:space="preserve">) </w:t>
      </w:r>
      <w:r w:rsidR="00051C47">
        <w:rPr>
          <w:rFonts w:ascii="Arial" w:hAnsi="Arial" w:cs="Arial"/>
          <w:sz w:val="22"/>
          <w:szCs w:val="22"/>
        </w:rPr>
        <w:t xml:space="preserve">were </w:t>
      </w:r>
      <w:r w:rsidR="00D44126">
        <w:rPr>
          <w:rFonts w:ascii="Arial" w:hAnsi="Arial" w:cs="Arial"/>
          <w:sz w:val="22"/>
          <w:szCs w:val="22"/>
        </w:rPr>
        <w:t xml:space="preserve">published </w:t>
      </w:r>
      <w:r w:rsidR="00051C47">
        <w:rPr>
          <w:rFonts w:ascii="Arial" w:hAnsi="Arial" w:cs="Arial"/>
          <w:sz w:val="22"/>
          <w:szCs w:val="22"/>
        </w:rPr>
        <w:t xml:space="preserve">after the year 2000. </w:t>
      </w:r>
      <w:r w:rsidR="00454326">
        <w:rPr>
          <w:rFonts w:ascii="Arial" w:hAnsi="Arial" w:cs="Arial"/>
          <w:sz w:val="22"/>
          <w:szCs w:val="22"/>
        </w:rPr>
        <w:t xml:space="preserve">Nearly all studies were </w:t>
      </w:r>
      <w:r w:rsidR="00D44126">
        <w:rPr>
          <w:rFonts w:ascii="Arial" w:hAnsi="Arial" w:cs="Arial"/>
          <w:sz w:val="22"/>
          <w:szCs w:val="22"/>
        </w:rPr>
        <w:t xml:space="preserve">of </w:t>
      </w:r>
      <w:r w:rsidR="00454326">
        <w:rPr>
          <w:rFonts w:ascii="Arial" w:hAnsi="Arial" w:cs="Arial"/>
          <w:sz w:val="22"/>
          <w:szCs w:val="22"/>
        </w:rPr>
        <w:t xml:space="preserve">retrospective design: </w:t>
      </w:r>
      <w:r w:rsidR="00FC25A3">
        <w:rPr>
          <w:rFonts w:ascii="Arial" w:hAnsi="Arial" w:cs="Arial"/>
          <w:sz w:val="22"/>
          <w:szCs w:val="22"/>
        </w:rPr>
        <w:t>49</w:t>
      </w:r>
      <w:r w:rsidR="00454326">
        <w:rPr>
          <w:rFonts w:ascii="Arial" w:hAnsi="Arial" w:cs="Arial"/>
          <w:sz w:val="22"/>
          <w:szCs w:val="22"/>
        </w:rPr>
        <w:t xml:space="preserve"> studied retrospective cohort</w:t>
      </w:r>
      <w:r w:rsidR="00D44126">
        <w:rPr>
          <w:rFonts w:ascii="Arial" w:hAnsi="Arial" w:cs="Arial"/>
          <w:sz w:val="22"/>
          <w:szCs w:val="22"/>
        </w:rPr>
        <w:t>s</w:t>
      </w:r>
      <w:r w:rsidR="00454326">
        <w:rPr>
          <w:rFonts w:ascii="Arial" w:hAnsi="Arial" w:cs="Arial"/>
          <w:sz w:val="22"/>
          <w:szCs w:val="22"/>
        </w:rPr>
        <w:t>, 3</w:t>
      </w:r>
      <w:r w:rsidR="00FC25A3">
        <w:rPr>
          <w:rFonts w:ascii="Arial" w:hAnsi="Arial" w:cs="Arial"/>
          <w:sz w:val="22"/>
          <w:szCs w:val="22"/>
        </w:rPr>
        <w:t>6</w:t>
      </w:r>
      <w:r w:rsidR="00454326">
        <w:rPr>
          <w:rFonts w:ascii="Arial" w:hAnsi="Arial" w:cs="Arial"/>
          <w:sz w:val="22"/>
          <w:szCs w:val="22"/>
        </w:rPr>
        <w:t xml:space="preserve"> were case-control</w:t>
      </w:r>
      <w:r w:rsidR="00D44126">
        <w:rPr>
          <w:rFonts w:ascii="Arial" w:hAnsi="Arial" w:cs="Arial"/>
          <w:sz w:val="22"/>
          <w:szCs w:val="22"/>
        </w:rPr>
        <w:t>s</w:t>
      </w:r>
      <w:r w:rsidR="00454326">
        <w:rPr>
          <w:rFonts w:ascii="Arial" w:hAnsi="Arial" w:cs="Arial"/>
          <w:sz w:val="22"/>
          <w:szCs w:val="22"/>
        </w:rPr>
        <w:t xml:space="preserve">, and five were cross-sectional. </w:t>
      </w:r>
      <w:r w:rsidR="00FC25A3">
        <w:rPr>
          <w:rFonts w:ascii="Arial" w:hAnsi="Arial" w:cs="Arial"/>
          <w:sz w:val="22"/>
          <w:szCs w:val="22"/>
        </w:rPr>
        <w:t>Six</w:t>
      </w:r>
      <w:r w:rsidR="00454326">
        <w:rPr>
          <w:rFonts w:ascii="Arial" w:hAnsi="Arial" w:cs="Arial"/>
          <w:sz w:val="22"/>
          <w:szCs w:val="22"/>
        </w:rPr>
        <w:t xml:space="preserve"> studies examined a prospectively collected cohort. </w:t>
      </w:r>
      <w:r w:rsidR="00FC25A3">
        <w:rPr>
          <w:rFonts w:ascii="Arial" w:hAnsi="Arial" w:cs="Arial"/>
          <w:sz w:val="22"/>
          <w:szCs w:val="22"/>
        </w:rPr>
        <w:t xml:space="preserve">Fifty-four </w:t>
      </w:r>
      <w:r w:rsidR="009D6AA9">
        <w:rPr>
          <w:rFonts w:ascii="Arial" w:hAnsi="Arial" w:cs="Arial"/>
          <w:sz w:val="22"/>
          <w:szCs w:val="22"/>
        </w:rPr>
        <w:t xml:space="preserve">studies had effect estimates of exposure on </w:t>
      </w:r>
      <w:r w:rsidR="00D44126">
        <w:rPr>
          <w:rFonts w:ascii="Arial" w:hAnsi="Arial" w:cs="Arial"/>
          <w:sz w:val="22"/>
          <w:szCs w:val="22"/>
        </w:rPr>
        <w:t xml:space="preserve">risk </w:t>
      </w:r>
      <w:r w:rsidR="009D6AA9">
        <w:rPr>
          <w:rFonts w:ascii="Arial" w:hAnsi="Arial" w:cs="Arial"/>
          <w:sz w:val="22"/>
          <w:szCs w:val="22"/>
        </w:rPr>
        <w:t xml:space="preserve">of ILD </w:t>
      </w:r>
      <w:r w:rsidR="00D44126">
        <w:rPr>
          <w:rFonts w:ascii="Arial" w:hAnsi="Arial" w:cs="Arial"/>
          <w:sz w:val="22"/>
          <w:szCs w:val="22"/>
        </w:rPr>
        <w:t xml:space="preserve">diagnosis </w:t>
      </w:r>
      <w:r w:rsidR="009D6AA9">
        <w:rPr>
          <w:rFonts w:ascii="Arial" w:hAnsi="Arial" w:cs="Arial"/>
          <w:sz w:val="22"/>
          <w:szCs w:val="22"/>
        </w:rPr>
        <w:t>and were thus included in the meta-analysis</w:t>
      </w:r>
      <w:r w:rsidR="00D44126">
        <w:rPr>
          <w:rFonts w:ascii="Arial" w:hAnsi="Arial" w:cs="Arial"/>
          <w:sz w:val="22"/>
          <w:szCs w:val="22"/>
        </w:rPr>
        <w:t>;</w:t>
      </w:r>
      <w:r w:rsidR="0074398E">
        <w:rPr>
          <w:rFonts w:ascii="Arial" w:hAnsi="Arial" w:cs="Arial"/>
          <w:sz w:val="22"/>
          <w:szCs w:val="22"/>
        </w:rPr>
        <w:t xml:space="preserve"> </w:t>
      </w:r>
      <w:r w:rsidR="003D412E">
        <w:rPr>
          <w:rFonts w:ascii="Arial" w:hAnsi="Arial" w:cs="Arial"/>
          <w:sz w:val="22"/>
          <w:szCs w:val="22"/>
        </w:rPr>
        <w:t>forty-two</w:t>
      </w:r>
      <w:r w:rsidR="009D6AA9">
        <w:rPr>
          <w:rFonts w:ascii="Arial" w:hAnsi="Arial" w:cs="Arial"/>
          <w:sz w:val="22"/>
          <w:szCs w:val="22"/>
        </w:rPr>
        <w:t xml:space="preserve"> studies did </w:t>
      </w:r>
      <w:r w:rsidR="0061087D">
        <w:rPr>
          <w:rFonts w:ascii="Arial" w:hAnsi="Arial" w:cs="Arial"/>
          <w:sz w:val="22"/>
          <w:szCs w:val="22"/>
        </w:rPr>
        <w:t>not meet meta-analysis criteria but were</w:t>
      </w:r>
      <w:r w:rsidR="00BD4B27">
        <w:rPr>
          <w:rFonts w:ascii="Arial" w:hAnsi="Arial" w:cs="Arial"/>
          <w:sz w:val="22"/>
          <w:szCs w:val="22"/>
        </w:rPr>
        <w:t xml:space="preserve"> included in the systematic review.</w:t>
      </w:r>
      <w:r w:rsidR="005812E1">
        <w:rPr>
          <w:rFonts w:ascii="Arial" w:hAnsi="Arial" w:cs="Arial"/>
          <w:sz w:val="22"/>
          <w:szCs w:val="22"/>
        </w:rPr>
        <w:t xml:space="preserve"> Of the studies included in the meta-analysis, </w:t>
      </w:r>
      <w:r w:rsidR="00BC29D4">
        <w:rPr>
          <w:rFonts w:ascii="Arial" w:hAnsi="Arial" w:cs="Arial"/>
          <w:sz w:val="22"/>
          <w:szCs w:val="22"/>
        </w:rPr>
        <w:t>22</w:t>
      </w:r>
      <w:r w:rsidR="00491A55">
        <w:rPr>
          <w:rFonts w:ascii="Arial" w:hAnsi="Arial" w:cs="Arial"/>
          <w:sz w:val="22"/>
          <w:szCs w:val="22"/>
        </w:rPr>
        <w:t xml:space="preserve"> studied retrospective cohorts, 2</w:t>
      </w:r>
      <w:r w:rsidR="00BC29D4">
        <w:rPr>
          <w:rFonts w:ascii="Arial" w:hAnsi="Arial" w:cs="Arial"/>
          <w:sz w:val="22"/>
          <w:szCs w:val="22"/>
        </w:rPr>
        <w:t>9</w:t>
      </w:r>
      <w:r w:rsidR="00491A55">
        <w:rPr>
          <w:rFonts w:ascii="Arial" w:hAnsi="Arial" w:cs="Arial"/>
          <w:sz w:val="22"/>
          <w:szCs w:val="22"/>
        </w:rPr>
        <w:t xml:space="preserve"> were case-control studies, one was cross-sectional, and </w:t>
      </w:r>
      <w:r w:rsidR="00BC29D4">
        <w:rPr>
          <w:rFonts w:ascii="Arial" w:hAnsi="Arial" w:cs="Arial"/>
          <w:sz w:val="22"/>
          <w:szCs w:val="22"/>
        </w:rPr>
        <w:t>three</w:t>
      </w:r>
      <w:r w:rsidR="00491A55">
        <w:rPr>
          <w:rFonts w:ascii="Arial" w:hAnsi="Arial" w:cs="Arial"/>
          <w:sz w:val="22"/>
          <w:szCs w:val="22"/>
        </w:rPr>
        <w:t xml:space="preserve"> studied a prospectively collected cohort.</w:t>
      </w:r>
    </w:p>
    <w:p w14:paraId="2FE765A6" w14:textId="77777777" w:rsidR="00454326" w:rsidRPr="00E5158C" w:rsidRDefault="00454326" w:rsidP="002B6C71">
      <w:pPr>
        <w:spacing w:line="480" w:lineRule="auto"/>
        <w:rPr>
          <w:rFonts w:ascii="Arial" w:hAnsi="Arial" w:cs="Arial"/>
          <w:sz w:val="22"/>
          <w:szCs w:val="22"/>
        </w:rPr>
      </w:pPr>
    </w:p>
    <w:p w14:paraId="1849B7A6" w14:textId="3A2C9982" w:rsidR="00A17E14" w:rsidRPr="00E5158C" w:rsidRDefault="008F1CA0" w:rsidP="002B6C71">
      <w:pPr>
        <w:spacing w:line="480" w:lineRule="auto"/>
        <w:rPr>
          <w:rFonts w:ascii="Arial" w:hAnsi="Arial" w:cs="Arial"/>
          <w:sz w:val="22"/>
          <w:szCs w:val="22"/>
        </w:rPr>
      </w:pPr>
      <w:r>
        <w:rPr>
          <w:rFonts w:ascii="Arial" w:hAnsi="Arial" w:cs="Arial"/>
          <w:sz w:val="22"/>
          <w:szCs w:val="22"/>
        </w:rPr>
        <w:t>Using star number as criteria, study quality was</w:t>
      </w:r>
      <w:r w:rsidR="00A17E14" w:rsidRPr="00E5158C">
        <w:rPr>
          <w:rFonts w:ascii="Arial" w:hAnsi="Arial" w:cs="Arial"/>
          <w:sz w:val="22"/>
          <w:szCs w:val="22"/>
        </w:rPr>
        <w:t xml:space="preserve"> good in </w:t>
      </w:r>
      <w:r w:rsidR="00B22758">
        <w:rPr>
          <w:rFonts w:ascii="Arial" w:hAnsi="Arial" w:cs="Arial"/>
          <w:sz w:val="22"/>
          <w:szCs w:val="22"/>
        </w:rPr>
        <w:t>11</w:t>
      </w:r>
      <w:r w:rsidR="00A17E14" w:rsidRPr="00E5158C">
        <w:rPr>
          <w:rFonts w:ascii="Arial" w:hAnsi="Arial" w:cs="Arial"/>
          <w:sz w:val="22"/>
          <w:szCs w:val="22"/>
        </w:rPr>
        <w:t xml:space="preserve"> studies, fair in </w:t>
      </w:r>
      <w:r w:rsidR="002E55A5">
        <w:rPr>
          <w:rFonts w:ascii="Arial" w:hAnsi="Arial" w:cs="Arial"/>
          <w:sz w:val="22"/>
          <w:szCs w:val="22"/>
        </w:rPr>
        <w:t>39</w:t>
      </w:r>
      <w:r w:rsidR="00A17E14" w:rsidRPr="00E5158C">
        <w:rPr>
          <w:rFonts w:ascii="Arial" w:hAnsi="Arial" w:cs="Arial"/>
          <w:sz w:val="22"/>
          <w:szCs w:val="22"/>
        </w:rPr>
        <w:t xml:space="preserve">, and poor in </w:t>
      </w:r>
      <w:r w:rsidR="00243A44">
        <w:rPr>
          <w:rFonts w:ascii="Arial" w:hAnsi="Arial" w:cs="Arial"/>
          <w:sz w:val="22"/>
          <w:szCs w:val="22"/>
        </w:rPr>
        <w:t>four</w:t>
      </w:r>
      <w:r w:rsidR="00961D8C">
        <w:rPr>
          <w:rFonts w:ascii="Arial" w:hAnsi="Arial" w:cs="Arial"/>
          <w:sz w:val="22"/>
          <w:szCs w:val="22"/>
        </w:rPr>
        <w:t xml:space="preserve"> studies</w:t>
      </w:r>
      <w:r w:rsidR="003B036A">
        <w:rPr>
          <w:rFonts w:ascii="Arial" w:hAnsi="Arial" w:cs="Arial"/>
          <w:sz w:val="22"/>
          <w:szCs w:val="22"/>
        </w:rPr>
        <w:t xml:space="preserve"> (</w:t>
      </w:r>
      <w:r w:rsidR="003B036A">
        <w:rPr>
          <w:rFonts w:ascii="Arial" w:hAnsi="Arial" w:cs="Arial"/>
          <w:b/>
          <w:sz w:val="22"/>
          <w:szCs w:val="22"/>
        </w:rPr>
        <w:t xml:space="preserve">Table </w:t>
      </w:r>
      <w:r w:rsidR="005A044B">
        <w:rPr>
          <w:rFonts w:ascii="Arial" w:hAnsi="Arial" w:cs="Arial"/>
          <w:b/>
          <w:sz w:val="22"/>
          <w:szCs w:val="22"/>
        </w:rPr>
        <w:t>1</w:t>
      </w:r>
      <w:r w:rsidR="003B036A">
        <w:rPr>
          <w:rFonts w:ascii="Arial" w:hAnsi="Arial" w:cs="Arial"/>
          <w:sz w:val="22"/>
          <w:szCs w:val="22"/>
        </w:rPr>
        <w:t>)</w:t>
      </w:r>
      <w:r w:rsidR="00A17E14" w:rsidRPr="00E5158C">
        <w:rPr>
          <w:rFonts w:ascii="Arial" w:hAnsi="Arial" w:cs="Arial"/>
          <w:sz w:val="22"/>
          <w:szCs w:val="22"/>
        </w:rPr>
        <w:t xml:space="preserve">. </w:t>
      </w:r>
      <w:r>
        <w:rPr>
          <w:rFonts w:ascii="Arial" w:hAnsi="Arial" w:cs="Arial"/>
          <w:sz w:val="22"/>
          <w:szCs w:val="22"/>
        </w:rPr>
        <w:t xml:space="preserve">Using the more stringent AHRQ criteria, </w:t>
      </w:r>
      <w:r w:rsidR="0041487F">
        <w:rPr>
          <w:rFonts w:ascii="Arial" w:hAnsi="Arial" w:cs="Arial"/>
          <w:sz w:val="22"/>
          <w:szCs w:val="22"/>
        </w:rPr>
        <w:t xml:space="preserve">study quality was good in </w:t>
      </w:r>
      <w:r w:rsidR="00B22758">
        <w:rPr>
          <w:rFonts w:ascii="Arial" w:hAnsi="Arial" w:cs="Arial"/>
          <w:sz w:val="22"/>
          <w:szCs w:val="22"/>
        </w:rPr>
        <w:t>11</w:t>
      </w:r>
      <w:r w:rsidR="0041487F">
        <w:rPr>
          <w:rFonts w:ascii="Arial" w:hAnsi="Arial" w:cs="Arial"/>
          <w:sz w:val="22"/>
          <w:szCs w:val="22"/>
        </w:rPr>
        <w:t xml:space="preserve"> studies, fair in</w:t>
      </w:r>
      <w:r w:rsidR="00A15863">
        <w:rPr>
          <w:rFonts w:ascii="Arial" w:hAnsi="Arial" w:cs="Arial"/>
          <w:sz w:val="22"/>
          <w:szCs w:val="22"/>
        </w:rPr>
        <w:t xml:space="preserve"> </w:t>
      </w:r>
      <w:r w:rsidR="00B22758">
        <w:rPr>
          <w:rFonts w:ascii="Arial" w:hAnsi="Arial" w:cs="Arial"/>
          <w:sz w:val="22"/>
          <w:szCs w:val="22"/>
        </w:rPr>
        <w:t>1</w:t>
      </w:r>
      <w:r w:rsidR="002E55A5">
        <w:rPr>
          <w:rFonts w:ascii="Arial" w:hAnsi="Arial" w:cs="Arial"/>
          <w:sz w:val="22"/>
          <w:szCs w:val="22"/>
        </w:rPr>
        <w:t>2</w:t>
      </w:r>
      <w:r w:rsidR="0041487F">
        <w:rPr>
          <w:rFonts w:ascii="Arial" w:hAnsi="Arial" w:cs="Arial"/>
          <w:sz w:val="22"/>
          <w:szCs w:val="22"/>
        </w:rPr>
        <w:t xml:space="preserve">, and poor in </w:t>
      </w:r>
      <w:r w:rsidR="00B22758">
        <w:rPr>
          <w:rFonts w:ascii="Arial" w:hAnsi="Arial" w:cs="Arial"/>
          <w:sz w:val="22"/>
          <w:szCs w:val="22"/>
        </w:rPr>
        <w:t>31</w:t>
      </w:r>
      <w:r w:rsidR="0041487F">
        <w:rPr>
          <w:rFonts w:ascii="Arial" w:hAnsi="Arial" w:cs="Arial"/>
          <w:sz w:val="22"/>
          <w:szCs w:val="22"/>
        </w:rPr>
        <w:t xml:space="preserve"> studies.</w:t>
      </w:r>
      <w:r w:rsidR="00D44126">
        <w:rPr>
          <w:rFonts w:ascii="Arial" w:hAnsi="Arial" w:cs="Arial"/>
          <w:sz w:val="22"/>
          <w:szCs w:val="22"/>
        </w:rPr>
        <w:t xml:space="preserve"> </w:t>
      </w:r>
    </w:p>
    <w:p w14:paraId="792B8425" w14:textId="77777777" w:rsidR="00E00684" w:rsidRPr="00E5158C" w:rsidRDefault="00E00684" w:rsidP="002B6C71">
      <w:pPr>
        <w:spacing w:line="480" w:lineRule="auto"/>
        <w:rPr>
          <w:rFonts w:ascii="Arial" w:hAnsi="Arial" w:cs="Arial"/>
          <w:sz w:val="22"/>
          <w:szCs w:val="22"/>
        </w:rPr>
      </w:pPr>
    </w:p>
    <w:p w14:paraId="7A335155" w14:textId="66C0035A" w:rsidR="00C71955" w:rsidRPr="009C6954" w:rsidRDefault="00C71955" w:rsidP="002B6C71">
      <w:pPr>
        <w:spacing w:line="480" w:lineRule="auto"/>
        <w:rPr>
          <w:rFonts w:ascii="Arial" w:hAnsi="Arial" w:cs="Arial"/>
          <w:i/>
          <w:sz w:val="22"/>
          <w:szCs w:val="22"/>
        </w:rPr>
      </w:pPr>
      <w:r w:rsidRPr="009C6954">
        <w:rPr>
          <w:rFonts w:ascii="Arial" w:hAnsi="Arial" w:cs="Arial"/>
          <w:i/>
          <w:sz w:val="22"/>
          <w:szCs w:val="22"/>
        </w:rPr>
        <w:t>Exposures and Associations with ILD Diagnosis</w:t>
      </w:r>
      <w:r w:rsidR="00BC29D4">
        <w:rPr>
          <w:rFonts w:ascii="Arial" w:hAnsi="Arial" w:cs="Arial"/>
          <w:i/>
          <w:sz w:val="22"/>
          <w:szCs w:val="22"/>
        </w:rPr>
        <w:t>: Systematic Review</w:t>
      </w:r>
    </w:p>
    <w:p w14:paraId="5A4A135A" w14:textId="77777777" w:rsidR="00C71955" w:rsidRPr="00E5158C" w:rsidRDefault="00C71955" w:rsidP="002B6C71">
      <w:pPr>
        <w:spacing w:line="480" w:lineRule="auto"/>
        <w:rPr>
          <w:rFonts w:ascii="Arial" w:hAnsi="Arial" w:cs="Arial"/>
          <w:sz w:val="22"/>
          <w:szCs w:val="22"/>
        </w:rPr>
      </w:pPr>
    </w:p>
    <w:p w14:paraId="110A924C" w14:textId="3C77C1E1" w:rsidR="00E00684" w:rsidRDefault="00BD4B27" w:rsidP="002B6C71">
      <w:pPr>
        <w:spacing w:line="480" w:lineRule="auto"/>
        <w:rPr>
          <w:rFonts w:ascii="Arial" w:hAnsi="Arial" w:cs="Arial"/>
          <w:sz w:val="22"/>
          <w:szCs w:val="22"/>
        </w:rPr>
      </w:pPr>
      <w:r>
        <w:rPr>
          <w:rFonts w:ascii="Arial" w:hAnsi="Arial" w:cs="Arial"/>
          <w:sz w:val="22"/>
          <w:szCs w:val="22"/>
        </w:rPr>
        <w:t>Smoking was the most common exposure reported</w:t>
      </w:r>
      <w:r w:rsidR="00D44126">
        <w:rPr>
          <w:rFonts w:ascii="Arial" w:hAnsi="Arial" w:cs="Arial"/>
          <w:sz w:val="22"/>
          <w:szCs w:val="22"/>
        </w:rPr>
        <w:t xml:space="preserve">, </w:t>
      </w:r>
      <w:r>
        <w:rPr>
          <w:rFonts w:ascii="Arial" w:hAnsi="Arial" w:cs="Arial"/>
          <w:sz w:val="22"/>
          <w:szCs w:val="22"/>
        </w:rPr>
        <w:t>assessed in 6</w:t>
      </w:r>
      <w:r w:rsidR="00623AA8">
        <w:rPr>
          <w:rFonts w:ascii="Arial" w:hAnsi="Arial" w:cs="Arial"/>
          <w:sz w:val="22"/>
          <w:szCs w:val="22"/>
        </w:rPr>
        <w:t>9</w:t>
      </w:r>
      <w:r>
        <w:rPr>
          <w:rFonts w:ascii="Arial" w:hAnsi="Arial" w:cs="Arial"/>
          <w:sz w:val="22"/>
          <w:szCs w:val="22"/>
        </w:rPr>
        <w:t xml:space="preserve"> studies</w:t>
      </w:r>
      <w:r w:rsidR="00DB6533">
        <w:rPr>
          <w:rFonts w:ascii="Arial" w:hAnsi="Arial" w:cs="Arial"/>
          <w:sz w:val="22"/>
          <w:szCs w:val="22"/>
        </w:rPr>
        <w:t xml:space="preserve"> </w:t>
      </w:r>
      <w:r w:rsidR="00875729">
        <w:rPr>
          <w:rFonts w:ascii="Arial" w:hAnsi="Arial" w:cs="Arial"/>
          <w:sz w:val="22"/>
          <w:szCs w:val="22"/>
        </w:rPr>
        <w:t>(25,98</w:t>
      </w:r>
      <w:r w:rsidR="00623AA8">
        <w:rPr>
          <w:rFonts w:ascii="Arial" w:hAnsi="Arial" w:cs="Arial"/>
          <w:sz w:val="22"/>
          <w:szCs w:val="22"/>
        </w:rPr>
        <w:t>4</w:t>
      </w:r>
      <w:r w:rsidR="00875729">
        <w:rPr>
          <w:rFonts w:ascii="Arial" w:hAnsi="Arial" w:cs="Arial"/>
          <w:sz w:val="22"/>
          <w:szCs w:val="22"/>
        </w:rPr>
        <w:t>,</w:t>
      </w:r>
      <w:r w:rsidR="00623AA8">
        <w:rPr>
          <w:rFonts w:ascii="Arial" w:hAnsi="Arial" w:cs="Arial"/>
          <w:sz w:val="22"/>
          <w:szCs w:val="22"/>
        </w:rPr>
        <w:t>237</w:t>
      </w:r>
      <w:r w:rsidR="00DB6533">
        <w:rPr>
          <w:rFonts w:ascii="Arial" w:hAnsi="Arial" w:cs="Arial"/>
          <w:sz w:val="22"/>
          <w:szCs w:val="22"/>
        </w:rPr>
        <w:t xml:space="preserve"> total subjects)</w:t>
      </w:r>
      <w:r>
        <w:rPr>
          <w:rFonts w:ascii="Arial" w:hAnsi="Arial" w:cs="Arial"/>
          <w:sz w:val="22"/>
          <w:szCs w:val="22"/>
        </w:rPr>
        <w:t xml:space="preserve">. </w:t>
      </w:r>
      <w:r w:rsidR="006339F3">
        <w:rPr>
          <w:rFonts w:ascii="Arial" w:hAnsi="Arial" w:cs="Arial"/>
          <w:sz w:val="22"/>
          <w:szCs w:val="22"/>
        </w:rPr>
        <w:t>Various ILDs</w:t>
      </w:r>
      <w:r>
        <w:rPr>
          <w:rFonts w:ascii="Arial" w:hAnsi="Arial" w:cs="Arial"/>
          <w:sz w:val="22"/>
          <w:szCs w:val="22"/>
        </w:rPr>
        <w:t xml:space="preserve"> were associated with smoking</w:t>
      </w:r>
      <w:r w:rsidR="00E76725">
        <w:rPr>
          <w:rFonts w:ascii="Arial" w:hAnsi="Arial" w:cs="Arial"/>
          <w:sz w:val="22"/>
          <w:szCs w:val="22"/>
        </w:rPr>
        <w:t xml:space="preserve"> in these studies</w:t>
      </w:r>
      <w:r>
        <w:rPr>
          <w:rFonts w:ascii="Arial" w:hAnsi="Arial" w:cs="Arial"/>
          <w:sz w:val="22"/>
          <w:szCs w:val="22"/>
        </w:rPr>
        <w:t xml:space="preserve">, including </w:t>
      </w:r>
      <w:r w:rsidR="00E76725">
        <w:rPr>
          <w:rFonts w:ascii="Arial" w:hAnsi="Arial" w:cs="Arial"/>
          <w:sz w:val="22"/>
          <w:szCs w:val="22"/>
        </w:rPr>
        <w:t>IPF (</w:t>
      </w:r>
      <w:r w:rsidR="0064392F">
        <w:rPr>
          <w:rFonts w:ascii="Arial" w:hAnsi="Arial" w:cs="Arial"/>
          <w:sz w:val="22"/>
          <w:szCs w:val="22"/>
        </w:rPr>
        <w:t>22</w:t>
      </w:r>
      <w:r w:rsidR="00E76725">
        <w:rPr>
          <w:rFonts w:ascii="Arial" w:hAnsi="Arial" w:cs="Arial"/>
          <w:sz w:val="22"/>
          <w:szCs w:val="22"/>
        </w:rPr>
        <w:t xml:space="preserve"> studies), RA-ILD (</w:t>
      </w:r>
      <w:r w:rsidR="0064392F">
        <w:rPr>
          <w:rFonts w:ascii="Arial" w:hAnsi="Arial" w:cs="Arial"/>
          <w:sz w:val="22"/>
          <w:szCs w:val="22"/>
        </w:rPr>
        <w:t>22</w:t>
      </w:r>
      <w:r w:rsidR="00E76725">
        <w:rPr>
          <w:rFonts w:ascii="Arial" w:hAnsi="Arial" w:cs="Arial"/>
          <w:sz w:val="22"/>
          <w:szCs w:val="22"/>
        </w:rPr>
        <w:t xml:space="preserve"> studies), other CTD-ILDs (</w:t>
      </w:r>
      <w:r w:rsidR="0064392F">
        <w:rPr>
          <w:rFonts w:ascii="Arial" w:hAnsi="Arial" w:cs="Arial"/>
          <w:sz w:val="22"/>
          <w:szCs w:val="22"/>
        </w:rPr>
        <w:t>six</w:t>
      </w:r>
      <w:r w:rsidR="00E76725">
        <w:rPr>
          <w:rFonts w:ascii="Arial" w:hAnsi="Arial" w:cs="Arial"/>
          <w:sz w:val="22"/>
          <w:szCs w:val="22"/>
        </w:rPr>
        <w:t xml:space="preserve"> studies), and </w:t>
      </w:r>
      <w:r w:rsidR="0064392F">
        <w:rPr>
          <w:rFonts w:ascii="Arial" w:hAnsi="Arial" w:cs="Arial"/>
          <w:sz w:val="22"/>
          <w:szCs w:val="22"/>
        </w:rPr>
        <w:t>other</w:t>
      </w:r>
      <w:r w:rsidR="00D44126">
        <w:rPr>
          <w:rFonts w:ascii="Arial" w:hAnsi="Arial" w:cs="Arial"/>
          <w:sz w:val="22"/>
          <w:szCs w:val="22"/>
        </w:rPr>
        <w:t xml:space="preserve"> </w:t>
      </w:r>
      <w:r w:rsidR="00E76725">
        <w:rPr>
          <w:rFonts w:ascii="Arial" w:hAnsi="Arial" w:cs="Arial"/>
          <w:sz w:val="22"/>
          <w:szCs w:val="22"/>
        </w:rPr>
        <w:t>ILD</w:t>
      </w:r>
      <w:r w:rsidR="0064392F">
        <w:rPr>
          <w:rFonts w:ascii="Arial" w:hAnsi="Arial" w:cs="Arial"/>
          <w:sz w:val="22"/>
          <w:szCs w:val="22"/>
        </w:rPr>
        <w:t>s</w:t>
      </w:r>
      <w:r w:rsidR="00D44126">
        <w:rPr>
          <w:rFonts w:ascii="Arial" w:hAnsi="Arial" w:cs="Arial"/>
          <w:sz w:val="22"/>
          <w:szCs w:val="22"/>
        </w:rPr>
        <w:t xml:space="preserve"> </w:t>
      </w:r>
      <w:r w:rsidR="00E76725">
        <w:rPr>
          <w:rFonts w:ascii="Arial" w:hAnsi="Arial" w:cs="Arial"/>
          <w:sz w:val="22"/>
          <w:szCs w:val="22"/>
        </w:rPr>
        <w:t>(1</w:t>
      </w:r>
      <w:r w:rsidR="0064392F">
        <w:rPr>
          <w:rFonts w:ascii="Arial" w:hAnsi="Arial" w:cs="Arial"/>
          <w:sz w:val="22"/>
          <w:szCs w:val="22"/>
        </w:rPr>
        <w:t>9</w:t>
      </w:r>
      <w:r w:rsidR="00E76725">
        <w:rPr>
          <w:rFonts w:ascii="Arial" w:hAnsi="Arial" w:cs="Arial"/>
          <w:sz w:val="22"/>
          <w:szCs w:val="22"/>
        </w:rPr>
        <w:t xml:space="preserve"> studies). </w:t>
      </w:r>
      <w:r w:rsidR="00A451A7">
        <w:rPr>
          <w:rFonts w:ascii="Arial" w:hAnsi="Arial" w:cs="Arial"/>
          <w:sz w:val="22"/>
          <w:szCs w:val="22"/>
        </w:rPr>
        <w:t xml:space="preserve">Air pollution and its constitutive elements were </w:t>
      </w:r>
      <w:r w:rsidR="00FD6FBB">
        <w:rPr>
          <w:rFonts w:ascii="Arial" w:hAnsi="Arial" w:cs="Arial"/>
          <w:sz w:val="22"/>
          <w:szCs w:val="22"/>
        </w:rPr>
        <w:t>investigated</w:t>
      </w:r>
      <w:r w:rsidR="00A451A7">
        <w:rPr>
          <w:rFonts w:ascii="Arial" w:hAnsi="Arial" w:cs="Arial"/>
          <w:sz w:val="22"/>
          <w:szCs w:val="22"/>
        </w:rPr>
        <w:t xml:space="preserve"> </w:t>
      </w:r>
      <w:r w:rsidR="00542B27">
        <w:rPr>
          <w:rFonts w:ascii="Arial" w:hAnsi="Arial" w:cs="Arial"/>
          <w:sz w:val="22"/>
          <w:szCs w:val="22"/>
        </w:rPr>
        <w:t>for</w:t>
      </w:r>
      <w:r w:rsidR="00A451A7">
        <w:rPr>
          <w:rFonts w:ascii="Arial" w:hAnsi="Arial" w:cs="Arial"/>
          <w:sz w:val="22"/>
          <w:szCs w:val="22"/>
        </w:rPr>
        <w:t xml:space="preserve"> ILD</w:t>
      </w:r>
      <w:r w:rsidR="00542B27">
        <w:rPr>
          <w:rFonts w:ascii="Arial" w:hAnsi="Arial" w:cs="Arial"/>
          <w:sz w:val="22"/>
          <w:szCs w:val="22"/>
        </w:rPr>
        <w:t xml:space="preserve"> associations</w:t>
      </w:r>
      <w:r w:rsidR="00A451A7">
        <w:rPr>
          <w:rFonts w:ascii="Arial" w:hAnsi="Arial" w:cs="Arial"/>
          <w:sz w:val="22"/>
          <w:szCs w:val="22"/>
        </w:rPr>
        <w:t xml:space="preserve"> in </w:t>
      </w:r>
      <w:r w:rsidR="0064392F">
        <w:rPr>
          <w:rFonts w:ascii="Arial" w:hAnsi="Arial" w:cs="Arial"/>
          <w:sz w:val="22"/>
          <w:szCs w:val="22"/>
        </w:rPr>
        <w:t>five</w:t>
      </w:r>
      <w:r w:rsidR="00A451A7">
        <w:rPr>
          <w:rFonts w:ascii="Arial" w:hAnsi="Arial" w:cs="Arial"/>
          <w:sz w:val="22"/>
          <w:szCs w:val="22"/>
        </w:rPr>
        <w:t xml:space="preserve"> studies, </w:t>
      </w:r>
      <w:r w:rsidR="00D44126">
        <w:rPr>
          <w:rFonts w:ascii="Arial" w:hAnsi="Arial" w:cs="Arial"/>
          <w:sz w:val="22"/>
          <w:szCs w:val="22"/>
        </w:rPr>
        <w:t>two</w:t>
      </w:r>
      <w:r w:rsidR="00A451A7">
        <w:rPr>
          <w:rFonts w:ascii="Arial" w:hAnsi="Arial" w:cs="Arial"/>
          <w:sz w:val="22"/>
          <w:szCs w:val="22"/>
        </w:rPr>
        <w:t xml:space="preserve"> in CTD-ILD, and </w:t>
      </w:r>
      <w:r w:rsidR="0064392F">
        <w:rPr>
          <w:rFonts w:ascii="Arial" w:hAnsi="Arial" w:cs="Arial"/>
          <w:sz w:val="22"/>
          <w:szCs w:val="22"/>
        </w:rPr>
        <w:t>three</w:t>
      </w:r>
      <w:r w:rsidR="00A451A7">
        <w:rPr>
          <w:rFonts w:ascii="Arial" w:hAnsi="Arial" w:cs="Arial"/>
          <w:sz w:val="22"/>
          <w:szCs w:val="22"/>
        </w:rPr>
        <w:t xml:space="preserve"> in IPF. </w:t>
      </w:r>
      <w:r w:rsidR="00D73D2F">
        <w:rPr>
          <w:rFonts w:ascii="Arial" w:hAnsi="Arial" w:cs="Arial"/>
          <w:sz w:val="22"/>
          <w:szCs w:val="22"/>
        </w:rPr>
        <w:t xml:space="preserve">Asbestos exposure was examined in </w:t>
      </w:r>
      <w:r w:rsidR="0064392F">
        <w:rPr>
          <w:rFonts w:ascii="Arial" w:hAnsi="Arial" w:cs="Arial"/>
          <w:sz w:val="22"/>
          <w:szCs w:val="22"/>
        </w:rPr>
        <w:t>six</w:t>
      </w:r>
      <w:r w:rsidR="00D73D2F">
        <w:rPr>
          <w:rFonts w:ascii="Arial" w:hAnsi="Arial" w:cs="Arial"/>
          <w:sz w:val="22"/>
          <w:szCs w:val="22"/>
        </w:rPr>
        <w:t xml:space="preserve"> studies, </w:t>
      </w:r>
      <w:r w:rsidR="00D44126">
        <w:rPr>
          <w:rFonts w:ascii="Arial" w:hAnsi="Arial" w:cs="Arial"/>
          <w:sz w:val="22"/>
          <w:szCs w:val="22"/>
        </w:rPr>
        <w:t>t</w:t>
      </w:r>
      <w:r w:rsidR="0064392F">
        <w:rPr>
          <w:rFonts w:ascii="Arial" w:hAnsi="Arial" w:cs="Arial"/>
          <w:sz w:val="22"/>
          <w:szCs w:val="22"/>
        </w:rPr>
        <w:t>hree</w:t>
      </w:r>
      <w:r w:rsidR="00B30E98">
        <w:rPr>
          <w:rFonts w:ascii="Arial" w:hAnsi="Arial" w:cs="Arial"/>
          <w:sz w:val="22"/>
          <w:szCs w:val="22"/>
        </w:rPr>
        <w:t xml:space="preserve"> with the outcome of IPF, one with the outcome of cryptogenic fibrosing alveolitis (CFA), and </w:t>
      </w:r>
      <w:r w:rsidR="00D44126">
        <w:rPr>
          <w:rFonts w:ascii="Arial" w:hAnsi="Arial" w:cs="Arial"/>
          <w:sz w:val="22"/>
          <w:szCs w:val="22"/>
        </w:rPr>
        <w:t>two</w:t>
      </w:r>
      <w:r w:rsidR="00B30E98">
        <w:rPr>
          <w:rFonts w:ascii="Arial" w:hAnsi="Arial" w:cs="Arial"/>
          <w:sz w:val="22"/>
          <w:szCs w:val="22"/>
        </w:rPr>
        <w:t xml:space="preserve"> with the outcome of </w:t>
      </w:r>
      <w:r w:rsidR="0064392F">
        <w:rPr>
          <w:rFonts w:ascii="Arial" w:hAnsi="Arial" w:cs="Arial"/>
          <w:sz w:val="22"/>
          <w:szCs w:val="22"/>
        </w:rPr>
        <w:t xml:space="preserve">other </w:t>
      </w:r>
      <w:r w:rsidR="00B30E98">
        <w:rPr>
          <w:rFonts w:ascii="Arial" w:hAnsi="Arial" w:cs="Arial"/>
          <w:sz w:val="22"/>
          <w:szCs w:val="22"/>
        </w:rPr>
        <w:t>ILD</w:t>
      </w:r>
      <w:r w:rsidR="0064392F">
        <w:rPr>
          <w:rFonts w:ascii="Arial" w:hAnsi="Arial" w:cs="Arial"/>
          <w:sz w:val="22"/>
          <w:szCs w:val="22"/>
        </w:rPr>
        <w:t>s</w:t>
      </w:r>
      <w:r w:rsidR="00B30E98">
        <w:rPr>
          <w:rFonts w:ascii="Arial" w:hAnsi="Arial" w:cs="Arial"/>
          <w:sz w:val="22"/>
          <w:szCs w:val="22"/>
        </w:rPr>
        <w:t xml:space="preserve">. Silica was associated with non-pneumoconiosis ILD in </w:t>
      </w:r>
      <w:r w:rsidR="00D44126">
        <w:rPr>
          <w:rFonts w:ascii="Arial" w:hAnsi="Arial" w:cs="Arial"/>
          <w:sz w:val="22"/>
          <w:szCs w:val="22"/>
        </w:rPr>
        <w:t>four</w:t>
      </w:r>
      <w:r w:rsidR="00B30E98">
        <w:rPr>
          <w:rFonts w:ascii="Arial" w:hAnsi="Arial" w:cs="Arial"/>
          <w:sz w:val="22"/>
          <w:szCs w:val="22"/>
        </w:rPr>
        <w:t xml:space="preserve"> studies</w:t>
      </w:r>
      <w:r w:rsidR="00FF66A2">
        <w:rPr>
          <w:rFonts w:ascii="Arial" w:hAnsi="Arial" w:cs="Arial"/>
          <w:sz w:val="22"/>
          <w:szCs w:val="22"/>
        </w:rPr>
        <w:t>;</w:t>
      </w:r>
      <w:r w:rsidR="00B30E98">
        <w:rPr>
          <w:rFonts w:ascii="Arial" w:hAnsi="Arial" w:cs="Arial"/>
          <w:sz w:val="22"/>
          <w:szCs w:val="22"/>
        </w:rPr>
        <w:t xml:space="preserve"> </w:t>
      </w:r>
      <w:r w:rsidR="0064392F">
        <w:rPr>
          <w:rFonts w:ascii="Arial" w:hAnsi="Arial" w:cs="Arial"/>
          <w:sz w:val="22"/>
          <w:szCs w:val="22"/>
        </w:rPr>
        <w:t>two</w:t>
      </w:r>
      <w:r w:rsidR="00B30E98">
        <w:rPr>
          <w:rFonts w:ascii="Arial" w:hAnsi="Arial" w:cs="Arial"/>
          <w:sz w:val="22"/>
          <w:szCs w:val="22"/>
        </w:rPr>
        <w:t xml:space="preserve"> examining scleroderma-ILD, another with the outcome of IPF, one study with the outcome of organizing pneumonia, and </w:t>
      </w:r>
      <w:r w:rsidR="0064392F">
        <w:rPr>
          <w:rFonts w:ascii="Arial" w:hAnsi="Arial" w:cs="Arial"/>
          <w:sz w:val="22"/>
          <w:szCs w:val="22"/>
        </w:rPr>
        <w:t>two</w:t>
      </w:r>
      <w:r w:rsidR="00B30E98">
        <w:rPr>
          <w:rFonts w:ascii="Arial" w:hAnsi="Arial" w:cs="Arial"/>
          <w:sz w:val="22"/>
          <w:szCs w:val="22"/>
        </w:rPr>
        <w:t xml:space="preserve"> </w:t>
      </w:r>
      <w:r w:rsidR="0064392F">
        <w:rPr>
          <w:rFonts w:ascii="Arial" w:hAnsi="Arial" w:cs="Arial"/>
          <w:sz w:val="22"/>
          <w:szCs w:val="22"/>
        </w:rPr>
        <w:t>with other ILDs</w:t>
      </w:r>
      <w:r w:rsidR="00B30E98">
        <w:rPr>
          <w:rFonts w:ascii="Arial" w:hAnsi="Arial" w:cs="Arial"/>
          <w:sz w:val="22"/>
          <w:szCs w:val="22"/>
        </w:rPr>
        <w:t xml:space="preserve">. Additional </w:t>
      </w:r>
      <w:r w:rsidR="006D1BCA">
        <w:rPr>
          <w:rFonts w:ascii="Arial" w:hAnsi="Arial" w:cs="Arial"/>
          <w:sz w:val="22"/>
          <w:szCs w:val="22"/>
        </w:rPr>
        <w:t>studies that investigated specific occupational exposures</w:t>
      </w:r>
      <w:r w:rsidR="00B30E98">
        <w:rPr>
          <w:rFonts w:ascii="Arial" w:hAnsi="Arial" w:cs="Arial"/>
          <w:sz w:val="22"/>
          <w:szCs w:val="22"/>
        </w:rPr>
        <w:t xml:space="preserve"> but did not reach the standards required for </w:t>
      </w:r>
      <w:r w:rsidR="00D44126">
        <w:rPr>
          <w:rFonts w:ascii="Arial" w:hAnsi="Arial" w:cs="Arial"/>
          <w:sz w:val="22"/>
          <w:szCs w:val="22"/>
        </w:rPr>
        <w:t xml:space="preserve">the </w:t>
      </w:r>
      <w:r w:rsidR="00B30E98">
        <w:rPr>
          <w:rFonts w:ascii="Arial" w:hAnsi="Arial" w:cs="Arial"/>
          <w:sz w:val="22"/>
          <w:szCs w:val="22"/>
        </w:rPr>
        <w:t xml:space="preserve">meta-analysis </w:t>
      </w:r>
      <w:r w:rsidR="006D1BCA">
        <w:rPr>
          <w:rFonts w:ascii="Arial" w:hAnsi="Arial" w:cs="Arial"/>
          <w:sz w:val="22"/>
          <w:szCs w:val="22"/>
        </w:rPr>
        <w:t xml:space="preserve">described associations with </w:t>
      </w:r>
      <w:r w:rsidR="006D1BCA">
        <w:rPr>
          <w:rFonts w:ascii="Arial" w:hAnsi="Arial" w:cs="Arial"/>
          <w:sz w:val="22"/>
          <w:szCs w:val="22"/>
        </w:rPr>
        <w:lastRenderedPageBreak/>
        <w:t xml:space="preserve">firefighting, </w:t>
      </w:r>
      <w:r w:rsidR="006F3183">
        <w:rPr>
          <w:rFonts w:ascii="Arial" w:hAnsi="Arial" w:cs="Arial"/>
          <w:sz w:val="22"/>
          <w:szCs w:val="22"/>
        </w:rPr>
        <w:t xml:space="preserve">hairdressing, </w:t>
      </w:r>
      <w:r w:rsidR="006D1BCA">
        <w:rPr>
          <w:rFonts w:ascii="Arial" w:hAnsi="Arial" w:cs="Arial"/>
          <w:sz w:val="22"/>
          <w:szCs w:val="22"/>
        </w:rPr>
        <w:t xml:space="preserve">World Trade Center dust exposure, cement dust exposure, textile dye printing, and oil impregnation. </w:t>
      </w:r>
    </w:p>
    <w:p w14:paraId="1DD45990" w14:textId="77777777" w:rsidR="00F107A6" w:rsidRDefault="00F107A6" w:rsidP="002B6C71">
      <w:pPr>
        <w:spacing w:line="480" w:lineRule="auto"/>
        <w:rPr>
          <w:rFonts w:ascii="Arial" w:hAnsi="Arial" w:cs="Arial"/>
          <w:sz w:val="22"/>
          <w:szCs w:val="22"/>
        </w:rPr>
      </w:pPr>
    </w:p>
    <w:p w14:paraId="12A9FF32" w14:textId="56C851A6" w:rsidR="00F107A6" w:rsidRDefault="00F107A6" w:rsidP="002B6C71">
      <w:pPr>
        <w:spacing w:line="480" w:lineRule="auto"/>
        <w:rPr>
          <w:rFonts w:ascii="Arial" w:hAnsi="Arial" w:cs="Arial"/>
          <w:sz w:val="22"/>
          <w:szCs w:val="22"/>
        </w:rPr>
      </w:pPr>
      <w:r w:rsidRPr="006B3610">
        <w:rPr>
          <w:rFonts w:ascii="Arial" w:eastAsia="Times New Roman" w:hAnsi="Arial" w:cs="Arial"/>
          <w:color w:val="000000"/>
          <w:sz w:val="22"/>
          <w:szCs w:val="22"/>
        </w:rPr>
        <w:t xml:space="preserve">While </w:t>
      </w:r>
      <w:r w:rsidR="004558C6">
        <w:rPr>
          <w:rFonts w:ascii="Arial" w:eastAsia="Times New Roman" w:hAnsi="Arial" w:cs="Arial"/>
          <w:color w:val="000000"/>
          <w:sz w:val="22"/>
          <w:szCs w:val="22"/>
        </w:rPr>
        <w:t>84</w:t>
      </w:r>
      <w:r w:rsidRPr="006B3610">
        <w:rPr>
          <w:rFonts w:ascii="Arial" w:eastAsia="Times New Roman" w:hAnsi="Arial" w:cs="Arial"/>
          <w:color w:val="000000"/>
          <w:sz w:val="22"/>
          <w:szCs w:val="22"/>
        </w:rPr>
        <w:t xml:space="preserve"> studies </w:t>
      </w:r>
      <w:r>
        <w:rPr>
          <w:rFonts w:ascii="Arial" w:eastAsia="Times New Roman" w:hAnsi="Arial" w:cs="Arial"/>
          <w:color w:val="000000"/>
          <w:sz w:val="22"/>
          <w:szCs w:val="22"/>
        </w:rPr>
        <w:t>included</w:t>
      </w:r>
      <w:r w:rsidRPr="006B3610">
        <w:rPr>
          <w:rFonts w:ascii="Arial" w:eastAsia="Times New Roman" w:hAnsi="Arial" w:cs="Arial"/>
          <w:color w:val="000000"/>
          <w:sz w:val="22"/>
          <w:szCs w:val="22"/>
        </w:rPr>
        <w:t xml:space="preserve"> self-reported exposures,</w:t>
      </w:r>
      <w:r>
        <w:rPr>
          <w:rFonts w:ascii="Arial" w:eastAsia="Times New Roman" w:hAnsi="Arial" w:cs="Arial"/>
          <w:color w:val="000000"/>
          <w:sz w:val="22"/>
          <w:szCs w:val="22"/>
        </w:rPr>
        <w:t xml:space="preserve"> </w:t>
      </w:r>
      <w:r w:rsidR="005B6488">
        <w:rPr>
          <w:rFonts w:ascii="Arial" w:eastAsia="Times New Roman" w:hAnsi="Arial" w:cs="Arial"/>
          <w:color w:val="000000"/>
          <w:sz w:val="22"/>
          <w:szCs w:val="22"/>
        </w:rPr>
        <w:t>eight</w:t>
      </w:r>
      <w:r>
        <w:rPr>
          <w:rFonts w:ascii="Arial" w:eastAsia="Times New Roman" w:hAnsi="Arial" w:cs="Arial"/>
          <w:color w:val="000000"/>
          <w:sz w:val="22"/>
          <w:szCs w:val="22"/>
        </w:rPr>
        <w:t xml:space="preserve"> </w:t>
      </w:r>
      <w:r w:rsidRPr="006B3610">
        <w:rPr>
          <w:rFonts w:ascii="Arial" w:eastAsia="Times New Roman" w:hAnsi="Arial" w:cs="Arial"/>
          <w:color w:val="000000"/>
          <w:sz w:val="22"/>
          <w:szCs w:val="22"/>
        </w:rPr>
        <w:t xml:space="preserve">had </w:t>
      </w:r>
      <w:r>
        <w:rPr>
          <w:rFonts w:ascii="Arial" w:eastAsia="Times New Roman" w:hAnsi="Arial" w:cs="Arial"/>
          <w:color w:val="000000"/>
          <w:sz w:val="22"/>
          <w:szCs w:val="22"/>
        </w:rPr>
        <w:t xml:space="preserve">a </w:t>
      </w:r>
      <w:r w:rsidRPr="006B3610">
        <w:rPr>
          <w:rFonts w:ascii="Arial" w:eastAsia="Times New Roman" w:hAnsi="Arial" w:cs="Arial"/>
          <w:color w:val="000000"/>
          <w:sz w:val="22"/>
          <w:szCs w:val="22"/>
        </w:rPr>
        <w:t xml:space="preserve">job-exposure matrix or other validation of exposure via an occupational medicine specialist. Additionally, </w:t>
      </w:r>
      <w:r w:rsidR="005B6488">
        <w:rPr>
          <w:rFonts w:ascii="Arial" w:eastAsia="Times New Roman" w:hAnsi="Arial" w:cs="Arial"/>
          <w:color w:val="000000"/>
          <w:sz w:val="22"/>
          <w:szCs w:val="22"/>
        </w:rPr>
        <w:t>four</w:t>
      </w:r>
      <w:r>
        <w:rPr>
          <w:rFonts w:ascii="Arial" w:eastAsia="Times New Roman" w:hAnsi="Arial" w:cs="Arial"/>
          <w:color w:val="000000"/>
          <w:sz w:val="22"/>
          <w:szCs w:val="22"/>
        </w:rPr>
        <w:t xml:space="preserve"> </w:t>
      </w:r>
      <w:r w:rsidRPr="006B3610">
        <w:rPr>
          <w:rFonts w:ascii="Arial" w:eastAsia="Times New Roman" w:hAnsi="Arial" w:cs="Arial"/>
          <w:color w:val="000000"/>
          <w:sz w:val="22"/>
          <w:szCs w:val="22"/>
        </w:rPr>
        <w:t>studies of air pollution used geocoded residential addresses linked to ambient pollution measurement stations</w:t>
      </w:r>
      <w:r>
        <w:rPr>
          <w:rFonts w:ascii="Arial" w:eastAsia="Times New Roman" w:hAnsi="Arial" w:cs="Arial"/>
          <w:color w:val="000000"/>
          <w:sz w:val="22"/>
          <w:szCs w:val="22"/>
        </w:rPr>
        <w:t>, and four studies used either serologic or pathologic identification of specific particulates in patient serum or tissue respectively.</w:t>
      </w:r>
    </w:p>
    <w:p w14:paraId="41280077" w14:textId="77777777" w:rsidR="007E25E5" w:rsidRPr="00E5158C" w:rsidRDefault="007E25E5" w:rsidP="002B6C71">
      <w:pPr>
        <w:spacing w:line="480" w:lineRule="auto"/>
        <w:rPr>
          <w:rFonts w:ascii="Arial" w:hAnsi="Arial" w:cs="Arial"/>
          <w:sz w:val="22"/>
          <w:szCs w:val="22"/>
        </w:rPr>
      </w:pPr>
    </w:p>
    <w:p w14:paraId="168BF770" w14:textId="743B9844" w:rsidR="005041F3" w:rsidRPr="009C6954" w:rsidRDefault="00615D3F" w:rsidP="002B6C71">
      <w:pPr>
        <w:spacing w:line="480" w:lineRule="auto"/>
        <w:rPr>
          <w:rFonts w:ascii="Arial" w:hAnsi="Arial" w:cs="Arial"/>
          <w:i/>
          <w:sz w:val="22"/>
          <w:szCs w:val="22"/>
        </w:rPr>
      </w:pPr>
      <w:r>
        <w:rPr>
          <w:rFonts w:ascii="Arial" w:hAnsi="Arial" w:cs="Arial"/>
          <w:i/>
          <w:sz w:val="22"/>
          <w:szCs w:val="22"/>
        </w:rPr>
        <w:t>MLMA Analysis of</w:t>
      </w:r>
      <w:r w:rsidR="00E00684" w:rsidRPr="009C6954">
        <w:rPr>
          <w:rFonts w:ascii="Arial" w:hAnsi="Arial" w:cs="Arial"/>
          <w:i/>
          <w:sz w:val="22"/>
          <w:szCs w:val="22"/>
        </w:rPr>
        <w:t xml:space="preserve"> ILD Diagnosis by Exposure</w:t>
      </w:r>
    </w:p>
    <w:p w14:paraId="20F57BD7" w14:textId="21A79792" w:rsidR="00E875E1" w:rsidRPr="00E5158C" w:rsidRDefault="00D22823" w:rsidP="002B6C71">
      <w:pPr>
        <w:spacing w:line="480" w:lineRule="auto"/>
        <w:rPr>
          <w:rFonts w:ascii="Arial" w:hAnsi="Arial" w:cs="Arial"/>
          <w:sz w:val="22"/>
          <w:szCs w:val="22"/>
        </w:rPr>
      </w:pPr>
      <w:r>
        <w:rPr>
          <w:rFonts w:ascii="Arial" w:hAnsi="Arial" w:cs="Arial"/>
          <w:sz w:val="22"/>
          <w:szCs w:val="22"/>
        </w:rPr>
        <w:t>Fifty-four studies were included in the meta-analysis (</w:t>
      </w:r>
      <w:r w:rsidR="00FB56DC">
        <w:rPr>
          <w:rFonts w:ascii="Arial" w:hAnsi="Arial" w:cs="Arial"/>
          <w:sz w:val="22"/>
          <w:szCs w:val="22"/>
        </w:rPr>
        <w:t>40,490,793</w:t>
      </w:r>
      <w:r>
        <w:rPr>
          <w:rFonts w:ascii="Arial" w:hAnsi="Arial" w:cs="Arial"/>
          <w:sz w:val="22"/>
          <w:szCs w:val="22"/>
        </w:rPr>
        <w:t xml:space="preserve"> subjects: </w:t>
      </w:r>
      <w:r w:rsidR="000A6605">
        <w:rPr>
          <w:rFonts w:ascii="Arial" w:hAnsi="Arial" w:cs="Arial"/>
          <w:sz w:val="22"/>
          <w:szCs w:val="22"/>
        </w:rPr>
        <w:t>273,899</w:t>
      </w:r>
      <w:r>
        <w:rPr>
          <w:rFonts w:ascii="Arial" w:hAnsi="Arial" w:cs="Arial"/>
          <w:sz w:val="22"/>
          <w:szCs w:val="22"/>
        </w:rPr>
        <w:t xml:space="preserve"> ILD,</w:t>
      </w:r>
      <w:r w:rsidR="00FB56DC">
        <w:rPr>
          <w:rFonts w:ascii="Arial" w:hAnsi="Arial" w:cs="Arial"/>
          <w:sz w:val="22"/>
          <w:szCs w:val="22"/>
        </w:rPr>
        <w:t xml:space="preserve"> 40,523,949 </w:t>
      </w:r>
      <w:r>
        <w:rPr>
          <w:rFonts w:ascii="Arial" w:hAnsi="Arial" w:cs="Arial"/>
          <w:sz w:val="22"/>
          <w:szCs w:val="22"/>
        </w:rPr>
        <w:t xml:space="preserve">controls). </w:t>
      </w:r>
      <w:r w:rsidR="00D2495C" w:rsidRPr="00E5158C">
        <w:rPr>
          <w:rFonts w:ascii="Arial" w:hAnsi="Arial" w:cs="Arial"/>
          <w:sz w:val="22"/>
          <w:szCs w:val="22"/>
        </w:rPr>
        <w:t xml:space="preserve">The exposure groupings associated with a significantly increased risk of ILD </w:t>
      </w:r>
      <w:r w:rsidR="00D2495C">
        <w:rPr>
          <w:rFonts w:ascii="Arial" w:hAnsi="Arial" w:cs="Arial"/>
          <w:sz w:val="22"/>
          <w:szCs w:val="22"/>
        </w:rPr>
        <w:t xml:space="preserve">overall </w:t>
      </w:r>
      <w:r w:rsidR="00D2495C" w:rsidRPr="00E5158C">
        <w:rPr>
          <w:rFonts w:ascii="Arial" w:hAnsi="Arial" w:cs="Arial"/>
          <w:sz w:val="22"/>
          <w:szCs w:val="22"/>
        </w:rPr>
        <w:t xml:space="preserve">were </w:t>
      </w:r>
      <w:r w:rsidR="003C39F6" w:rsidRPr="00E5158C">
        <w:rPr>
          <w:rFonts w:ascii="Arial" w:hAnsi="Arial" w:cs="Arial"/>
          <w:sz w:val="22"/>
          <w:szCs w:val="22"/>
        </w:rPr>
        <w:t>smoking (OR 1.</w:t>
      </w:r>
      <w:r w:rsidR="003C39F6">
        <w:rPr>
          <w:rFonts w:ascii="Arial" w:hAnsi="Arial" w:cs="Arial"/>
          <w:sz w:val="22"/>
          <w:szCs w:val="22"/>
        </w:rPr>
        <w:t>69</w:t>
      </w:r>
      <w:r w:rsidR="003C39F6" w:rsidRPr="00E5158C">
        <w:rPr>
          <w:rFonts w:ascii="Arial" w:hAnsi="Arial" w:cs="Arial"/>
          <w:sz w:val="22"/>
          <w:szCs w:val="22"/>
        </w:rPr>
        <w:t>, 95% CI 1.</w:t>
      </w:r>
      <w:r w:rsidR="003C39F6">
        <w:rPr>
          <w:rFonts w:ascii="Arial" w:hAnsi="Arial" w:cs="Arial"/>
          <w:sz w:val="22"/>
          <w:szCs w:val="22"/>
        </w:rPr>
        <w:t>47-</w:t>
      </w:r>
      <w:r w:rsidR="003C39F6" w:rsidRPr="00E5158C">
        <w:rPr>
          <w:rFonts w:ascii="Arial" w:hAnsi="Arial" w:cs="Arial"/>
          <w:sz w:val="22"/>
          <w:szCs w:val="22"/>
        </w:rPr>
        <w:t>1</w:t>
      </w:r>
      <w:r w:rsidR="003C39F6">
        <w:rPr>
          <w:rFonts w:ascii="Arial" w:hAnsi="Arial" w:cs="Arial"/>
          <w:sz w:val="22"/>
          <w:szCs w:val="22"/>
        </w:rPr>
        <w:t>.94</w:t>
      </w:r>
      <w:r w:rsidR="003C39F6" w:rsidRPr="00E5158C">
        <w:rPr>
          <w:rFonts w:ascii="Arial" w:hAnsi="Arial" w:cs="Arial"/>
          <w:sz w:val="22"/>
          <w:szCs w:val="22"/>
        </w:rPr>
        <w:t xml:space="preserve">), </w:t>
      </w:r>
      <w:r w:rsidR="00BE0E84" w:rsidRPr="00E5158C">
        <w:rPr>
          <w:rFonts w:ascii="Arial" w:hAnsi="Arial" w:cs="Arial"/>
          <w:sz w:val="22"/>
          <w:szCs w:val="22"/>
        </w:rPr>
        <w:t>organic exposures (OR 1.5</w:t>
      </w:r>
      <w:r w:rsidR="00F540B6">
        <w:rPr>
          <w:rFonts w:ascii="Arial" w:hAnsi="Arial" w:cs="Arial"/>
          <w:sz w:val="22"/>
          <w:szCs w:val="22"/>
        </w:rPr>
        <w:t>6</w:t>
      </w:r>
      <w:r w:rsidR="00BE0E84" w:rsidRPr="00E5158C">
        <w:rPr>
          <w:rFonts w:ascii="Arial" w:hAnsi="Arial" w:cs="Arial"/>
          <w:sz w:val="22"/>
          <w:szCs w:val="22"/>
        </w:rPr>
        <w:t>, 95% CI 1.</w:t>
      </w:r>
      <w:r w:rsidR="00F540B6">
        <w:rPr>
          <w:rFonts w:ascii="Arial" w:hAnsi="Arial" w:cs="Arial"/>
          <w:sz w:val="22"/>
          <w:szCs w:val="22"/>
        </w:rPr>
        <w:t>12</w:t>
      </w:r>
      <w:r w:rsidR="00BE0E84" w:rsidRPr="00E5158C">
        <w:rPr>
          <w:rFonts w:ascii="Arial" w:hAnsi="Arial" w:cs="Arial"/>
          <w:sz w:val="22"/>
          <w:szCs w:val="22"/>
        </w:rPr>
        <w:t>-</w:t>
      </w:r>
      <w:r w:rsidR="00F540B6">
        <w:rPr>
          <w:rFonts w:ascii="Arial" w:hAnsi="Arial" w:cs="Arial"/>
          <w:sz w:val="22"/>
          <w:szCs w:val="22"/>
        </w:rPr>
        <w:t>2.16</w:t>
      </w:r>
      <w:r w:rsidR="00BE0E84" w:rsidRPr="00E5158C">
        <w:rPr>
          <w:rFonts w:ascii="Arial" w:hAnsi="Arial" w:cs="Arial"/>
          <w:sz w:val="22"/>
          <w:szCs w:val="22"/>
        </w:rPr>
        <w:t xml:space="preserve">), </w:t>
      </w:r>
      <w:r w:rsidR="00F540B6" w:rsidRPr="00E5158C">
        <w:rPr>
          <w:rFonts w:ascii="Arial" w:hAnsi="Arial" w:cs="Arial"/>
          <w:sz w:val="22"/>
          <w:szCs w:val="22"/>
        </w:rPr>
        <w:t>metal</w:t>
      </w:r>
      <w:r w:rsidR="00F540B6">
        <w:rPr>
          <w:rFonts w:ascii="Arial" w:hAnsi="Arial" w:cs="Arial"/>
          <w:sz w:val="22"/>
          <w:szCs w:val="22"/>
        </w:rPr>
        <w:t>s</w:t>
      </w:r>
      <w:r w:rsidR="00F540B6" w:rsidRPr="00E5158C">
        <w:rPr>
          <w:rFonts w:ascii="Arial" w:hAnsi="Arial" w:cs="Arial"/>
          <w:sz w:val="22"/>
          <w:szCs w:val="22"/>
        </w:rPr>
        <w:t xml:space="preserve"> (OR 1.</w:t>
      </w:r>
      <w:r w:rsidR="00F540B6">
        <w:rPr>
          <w:rFonts w:ascii="Arial" w:hAnsi="Arial" w:cs="Arial"/>
          <w:sz w:val="22"/>
          <w:szCs w:val="22"/>
        </w:rPr>
        <w:t>5</w:t>
      </w:r>
      <w:r w:rsidR="00F540B6" w:rsidRPr="00E5158C">
        <w:rPr>
          <w:rFonts w:ascii="Arial" w:hAnsi="Arial" w:cs="Arial"/>
          <w:sz w:val="22"/>
          <w:szCs w:val="22"/>
        </w:rPr>
        <w:t>2, 95% CI 1.0</w:t>
      </w:r>
      <w:r w:rsidR="00F540B6">
        <w:rPr>
          <w:rFonts w:ascii="Arial" w:hAnsi="Arial" w:cs="Arial"/>
          <w:sz w:val="22"/>
          <w:szCs w:val="22"/>
        </w:rPr>
        <w:t xml:space="preserve">7-2.16), </w:t>
      </w:r>
      <w:r w:rsidR="00E95D93" w:rsidRPr="00E5158C">
        <w:rPr>
          <w:rFonts w:ascii="Arial" w:hAnsi="Arial" w:cs="Arial"/>
          <w:sz w:val="22"/>
          <w:szCs w:val="22"/>
        </w:rPr>
        <w:t xml:space="preserve">dust </w:t>
      </w:r>
      <w:r w:rsidR="00F540B6">
        <w:rPr>
          <w:rFonts w:ascii="Arial" w:hAnsi="Arial" w:cs="Arial"/>
          <w:sz w:val="22"/>
          <w:szCs w:val="22"/>
        </w:rPr>
        <w:t>(</w:t>
      </w:r>
      <w:r w:rsidR="00E95D93" w:rsidRPr="00E5158C">
        <w:rPr>
          <w:rFonts w:ascii="Arial" w:hAnsi="Arial" w:cs="Arial"/>
          <w:sz w:val="22"/>
          <w:szCs w:val="22"/>
        </w:rPr>
        <w:t>OR 1.</w:t>
      </w:r>
      <w:r w:rsidR="00F540B6">
        <w:rPr>
          <w:rFonts w:ascii="Arial" w:hAnsi="Arial" w:cs="Arial"/>
          <w:sz w:val="22"/>
          <w:szCs w:val="22"/>
        </w:rPr>
        <w:t>4</w:t>
      </w:r>
      <w:r w:rsidR="005D297C">
        <w:rPr>
          <w:rFonts w:ascii="Arial" w:hAnsi="Arial" w:cs="Arial"/>
          <w:sz w:val="22"/>
          <w:szCs w:val="22"/>
        </w:rPr>
        <w:t>5</w:t>
      </w:r>
      <w:r w:rsidR="00E95D93" w:rsidRPr="00E5158C">
        <w:rPr>
          <w:rFonts w:ascii="Arial" w:hAnsi="Arial" w:cs="Arial"/>
          <w:sz w:val="22"/>
          <w:szCs w:val="22"/>
        </w:rPr>
        <w:t>, 95% CI 1.</w:t>
      </w:r>
      <w:r w:rsidR="00F540B6">
        <w:rPr>
          <w:rFonts w:ascii="Arial" w:hAnsi="Arial" w:cs="Arial"/>
          <w:sz w:val="22"/>
          <w:szCs w:val="22"/>
        </w:rPr>
        <w:t>20</w:t>
      </w:r>
      <w:r w:rsidR="00E95D93">
        <w:rPr>
          <w:rFonts w:ascii="Arial" w:hAnsi="Arial" w:cs="Arial"/>
          <w:sz w:val="22"/>
          <w:szCs w:val="22"/>
        </w:rPr>
        <w:t>-</w:t>
      </w:r>
      <w:r w:rsidR="00E95D93" w:rsidRPr="00E5158C">
        <w:rPr>
          <w:rFonts w:ascii="Arial" w:hAnsi="Arial" w:cs="Arial"/>
          <w:sz w:val="22"/>
          <w:szCs w:val="22"/>
        </w:rPr>
        <w:t>1.</w:t>
      </w:r>
      <w:r w:rsidR="00F540B6">
        <w:rPr>
          <w:rFonts w:ascii="Arial" w:hAnsi="Arial" w:cs="Arial"/>
          <w:sz w:val="22"/>
          <w:szCs w:val="22"/>
        </w:rPr>
        <w:t>76</w:t>
      </w:r>
      <w:r w:rsidR="00E95D93" w:rsidRPr="00E5158C">
        <w:rPr>
          <w:rFonts w:ascii="Arial" w:hAnsi="Arial" w:cs="Arial"/>
          <w:sz w:val="22"/>
          <w:szCs w:val="22"/>
        </w:rPr>
        <w:t xml:space="preserve">), </w:t>
      </w:r>
      <w:r w:rsidR="00F540B6">
        <w:rPr>
          <w:rFonts w:ascii="Arial" w:hAnsi="Arial" w:cs="Arial"/>
          <w:sz w:val="22"/>
          <w:szCs w:val="22"/>
        </w:rPr>
        <w:t>and asbestos (OR 1.53, 95% CI 1.08-2.15)</w:t>
      </w:r>
      <w:r w:rsidR="0052251B">
        <w:rPr>
          <w:rFonts w:ascii="Arial" w:hAnsi="Arial" w:cs="Arial"/>
          <w:sz w:val="22"/>
          <w:szCs w:val="22"/>
        </w:rPr>
        <w:t xml:space="preserve">, </w:t>
      </w:r>
      <w:r w:rsidR="00D2495C" w:rsidRPr="001F1EED">
        <w:rPr>
          <w:rFonts w:ascii="Arial" w:hAnsi="Arial" w:cs="Arial"/>
          <w:b/>
          <w:bCs/>
          <w:sz w:val="22"/>
          <w:szCs w:val="22"/>
        </w:rPr>
        <w:t>Figur</w:t>
      </w:r>
      <w:r w:rsidR="0052251B">
        <w:rPr>
          <w:rFonts w:ascii="Arial" w:hAnsi="Arial" w:cs="Arial"/>
          <w:b/>
          <w:bCs/>
          <w:sz w:val="22"/>
          <w:szCs w:val="22"/>
        </w:rPr>
        <w:t>e</w:t>
      </w:r>
      <w:r w:rsidR="00FD29C2">
        <w:rPr>
          <w:rFonts w:ascii="Arial" w:hAnsi="Arial" w:cs="Arial"/>
          <w:b/>
          <w:bCs/>
          <w:sz w:val="22"/>
          <w:szCs w:val="22"/>
        </w:rPr>
        <w:t xml:space="preserve"> 2</w:t>
      </w:r>
      <w:r w:rsidR="00D2495C">
        <w:rPr>
          <w:rFonts w:ascii="Arial" w:hAnsi="Arial" w:cs="Arial"/>
          <w:sz w:val="22"/>
          <w:szCs w:val="22"/>
        </w:rPr>
        <w:t>)</w:t>
      </w:r>
      <w:r w:rsidR="00D2495C" w:rsidRPr="00E5158C">
        <w:rPr>
          <w:rFonts w:ascii="Arial" w:hAnsi="Arial" w:cs="Arial"/>
          <w:sz w:val="22"/>
          <w:szCs w:val="22"/>
        </w:rPr>
        <w:t xml:space="preserve">. </w:t>
      </w:r>
      <w:r w:rsidR="00DE6412" w:rsidRPr="00E5158C">
        <w:rPr>
          <w:rFonts w:ascii="Arial" w:hAnsi="Arial" w:cs="Arial"/>
          <w:sz w:val="22"/>
          <w:szCs w:val="22"/>
        </w:rPr>
        <w:t>Notably, air pollution</w:t>
      </w:r>
      <w:r w:rsidR="00067346">
        <w:rPr>
          <w:rFonts w:ascii="Arial" w:hAnsi="Arial" w:cs="Arial"/>
          <w:sz w:val="22"/>
          <w:szCs w:val="22"/>
        </w:rPr>
        <w:t xml:space="preserve"> and</w:t>
      </w:r>
      <w:r w:rsidR="00DE6412" w:rsidRPr="00E5158C">
        <w:rPr>
          <w:rFonts w:ascii="Arial" w:hAnsi="Arial" w:cs="Arial"/>
          <w:sz w:val="22"/>
          <w:szCs w:val="22"/>
        </w:rPr>
        <w:t xml:space="preserve"> gas</w:t>
      </w:r>
      <w:r w:rsidR="00940A04">
        <w:rPr>
          <w:rFonts w:ascii="Arial" w:hAnsi="Arial" w:cs="Arial"/>
          <w:sz w:val="22"/>
          <w:szCs w:val="22"/>
        </w:rPr>
        <w:t>es</w:t>
      </w:r>
      <w:r w:rsidR="00C71955" w:rsidRPr="00E5158C">
        <w:rPr>
          <w:rFonts w:ascii="Arial" w:hAnsi="Arial" w:cs="Arial"/>
          <w:sz w:val="22"/>
          <w:szCs w:val="22"/>
        </w:rPr>
        <w:t xml:space="preserve"> </w:t>
      </w:r>
      <w:r w:rsidR="00DE6412" w:rsidRPr="00E5158C">
        <w:rPr>
          <w:rFonts w:ascii="Arial" w:hAnsi="Arial" w:cs="Arial"/>
          <w:sz w:val="22"/>
          <w:szCs w:val="22"/>
        </w:rPr>
        <w:t>were not associated with</w:t>
      </w:r>
      <w:r w:rsidR="00067346">
        <w:rPr>
          <w:rFonts w:ascii="Arial" w:hAnsi="Arial" w:cs="Arial"/>
          <w:sz w:val="22"/>
          <w:szCs w:val="22"/>
        </w:rPr>
        <w:t xml:space="preserve"> increased</w:t>
      </w:r>
      <w:r w:rsidR="00DE6412" w:rsidRPr="00E5158C">
        <w:rPr>
          <w:rFonts w:ascii="Arial" w:hAnsi="Arial" w:cs="Arial"/>
          <w:sz w:val="22"/>
          <w:szCs w:val="22"/>
        </w:rPr>
        <w:t xml:space="preserve"> odds of ILD</w:t>
      </w:r>
      <w:r w:rsidR="001A0705">
        <w:rPr>
          <w:rFonts w:ascii="Arial" w:hAnsi="Arial" w:cs="Arial"/>
          <w:sz w:val="22"/>
          <w:szCs w:val="22"/>
        </w:rPr>
        <w:t xml:space="preserve"> in this meta-</w:t>
      </w:r>
      <w:r w:rsidR="00F540B6">
        <w:rPr>
          <w:rFonts w:ascii="Arial" w:hAnsi="Arial" w:cs="Arial"/>
          <w:sz w:val="22"/>
          <w:szCs w:val="22"/>
        </w:rPr>
        <w:t xml:space="preserve">analysis, while silica and fumes had odds ratios that trended toward </w:t>
      </w:r>
      <w:r w:rsidR="0052251B">
        <w:rPr>
          <w:rFonts w:ascii="Arial" w:hAnsi="Arial" w:cs="Arial"/>
          <w:sz w:val="22"/>
          <w:szCs w:val="22"/>
        </w:rPr>
        <w:t>significance</w:t>
      </w:r>
      <w:r w:rsidR="00F540B6">
        <w:rPr>
          <w:rFonts w:ascii="Arial" w:hAnsi="Arial" w:cs="Arial"/>
          <w:sz w:val="22"/>
          <w:szCs w:val="22"/>
        </w:rPr>
        <w:t>.</w:t>
      </w:r>
      <w:r w:rsidR="00FF66A2">
        <w:rPr>
          <w:rFonts w:ascii="Arial" w:hAnsi="Arial" w:cs="Arial"/>
          <w:sz w:val="22"/>
          <w:szCs w:val="22"/>
        </w:rPr>
        <w:t xml:space="preserve"> </w:t>
      </w:r>
      <w:r w:rsidR="00AB4BAB">
        <w:rPr>
          <w:rFonts w:ascii="Arial" w:hAnsi="Arial" w:cs="Arial"/>
          <w:sz w:val="22"/>
          <w:szCs w:val="22"/>
        </w:rPr>
        <w:t>Results were not substantially different in the traditional meta-analysis performed as a sensitivity analysis (Table E</w:t>
      </w:r>
      <w:r w:rsidR="00B624AB">
        <w:rPr>
          <w:rFonts w:ascii="Arial" w:hAnsi="Arial" w:cs="Arial"/>
          <w:sz w:val="22"/>
          <w:szCs w:val="22"/>
        </w:rPr>
        <w:t>5</w:t>
      </w:r>
      <w:r w:rsidR="00AB4BAB">
        <w:rPr>
          <w:rFonts w:ascii="Arial" w:hAnsi="Arial" w:cs="Arial"/>
          <w:sz w:val="22"/>
          <w:szCs w:val="22"/>
        </w:rPr>
        <w:t>).</w:t>
      </w:r>
      <w:r w:rsidR="00571B7B" w:rsidRPr="00571B7B">
        <w:rPr>
          <w:rFonts w:ascii="Arial" w:hAnsi="Arial" w:cs="Arial"/>
          <w:sz w:val="22"/>
          <w:szCs w:val="22"/>
        </w:rPr>
        <w:t xml:space="preserve"> </w:t>
      </w:r>
      <w:r w:rsidR="00571B7B">
        <w:rPr>
          <w:rFonts w:ascii="Arial" w:hAnsi="Arial" w:cs="Arial"/>
          <w:sz w:val="22"/>
          <w:szCs w:val="22"/>
        </w:rPr>
        <w:t>In an additional sensitivity analysis excluding the nine studies that did not report any adjusted effect estimates, all in the smoking subgroup, the risk of ILD with smoking was identical (OR 1.69, 95% CI 1.47-1.94).</w:t>
      </w:r>
    </w:p>
    <w:p w14:paraId="471BF9E8" w14:textId="174F026A" w:rsidR="00DE6412" w:rsidRPr="00E5158C" w:rsidRDefault="00DE6412" w:rsidP="002B6C71">
      <w:pPr>
        <w:spacing w:line="480" w:lineRule="auto"/>
        <w:rPr>
          <w:rFonts w:ascii="Arial" w:hAnsi="Arial" w:cs="Arial"/>
          <w:sz w:val="22"/>
          <w:szCs w:val="22"/>
        </w:rPr>
      </w:pPr>
    </w:p>
    <w:p w14:paraId="62C39E89" w14:textId="0846C5E9" w:rsidR="005B5D18" w:rsidRPr="005B5D18" w:rsidRDefault="00A31A6F" w:rsidP="005B5D18">
      <w:pPr>
        <w:spacing w:line="480" w:lineRule="auto"/>
        <w:rPr>
          <w:rFonts w:ascii="Arial" w:hAnsi="Arial" w:cs="Arial"/>
          <w:sz w:val="22"/>
          <w:szCs w:val="22"/>
          <w:lang w:val="en-US"/>
        </w:rPr>
      </w:pPr>
      <w:r>
        <w:rPr>
          <w:rFonts w:ascii="Arial" w:hAnsi="Arial" w:cs="Arial"/>
          <w:sz w:val="22"/>
          <w:szCs w:val="22"/>
        </w:rPr>
        <w:t>When stratified by ILD diagnosis,</w:t>
      </w:r>
      <w:r w:rsidR="00E81996" w:rsidRPr="00E5158C">
        <w:rPr>
          <w:rFonts w:ascii="Arial" w:hAnsi="Arial" w:cs="Arial"/>
          <w:sz w:val="22"/>
          <w:szCs w:val="22"/>
        </w:rPr>
        <w:t xml:space="preserve"> smoking was associated with </w:t>
      </w:r>
      <w:r w:rsidR="00DD282B">
        <w:rPr>
          <w:rFonts w:ascii="Arial" w:hAnsi="Arial" w:cs="Arial"/>
          <w:sz w:val="22"/>
          <w:szCs w:val="22"/>
        </w:rPr>
        <w:t>increased</w:t>
      </w:r>
      <w:r w:rsidR="00E81996" w:rsidRPr="00E5158C">
        <w:rPr>
          <w:rFonts w:ascii="Arial" w:hAnsi="Arial" w:cs="Arial"/>
          <w:sz w:val="22"/>
          <w:szCs w:val="22"/>
        </w:rPr>
        <w:t xml:space="preserve"> odds of IPF (OR </w:t>
      </w:r>
      <w:r>
        <w:rPr>
          <w:rFonts w:ascii="Arial" w:hAnsi="Arial" w:cs="Arial"/>
          <w:sz w:val="22"/>
          <w:szCs w:val="22"/>
        </w:rPr>
        <w:t>1.65</w:t>
      </w:r>
      <w:r w:rsidR="00E81996" w:rsidRPr="00E5158C">
        <w:rPr>
          <w:rFonts w:ascii="Arial" w:hAnsi="Arial" w:cs="Arial"/>
          <w:sz w:val="22"/>
          <w:szCs w:val="22"/>
        </w:rPr>
        <w:t xml:space="preserve">, 95% CI </w:t>
      </w:r>
      <w:r>
        <w:rPr>
          <w:rFonts w:ascii="Arial" w:hAnsi="Arial" w:cs="Arial"/>
          <w:sz w:val="22"/>
          <w:szCs w:val="22"/>
        </w:rPr>
        <w:t>1.38</w:t>
      </w:r>
      <w:r w:rsidR="001A3A32">
        <w:rPr>
          <w:rFonts w:ascii="Arial" w:hAnsi="Arial" w:cs="Arial"/>
          <w:sz w:val="22"/>
          <w:szCs w:val="22"/>
        </w:rPr>
        <w:t>-</w:t>
      </w:r>
      <w:r>
        <w:rPr>
          <w:rFonts w:ascii="Arial" w:hAnsi="Arial" w:cs="Arial"/>
          <w:sz w:val="22"/>
          <w:szCs w:val="22"/>
        </w:rPr>
        <w:t>1.98</w:t>
      </w:r>
      <w:r w:rsidR="00E81996" w:rsidRPr="00E5158C">
        <w:rPr>
          <w:rFonts w:ascii="Arial" w:hAnsi="Arial" w:cs="Arial"/>
          <w:sz w:val="22"/>
          <w:szCs w:val="22"/>
        </w:rPr>
        <w:t>)</w:t>
      </w:r>
      <w:r>
        <w:rPr>
          <w:rFonts w:ascii="Arial" w:hAnsi="Arial" w:cs="Arial"/>
          <w:sz w:val="22"/>
          <w:szCs w:val="22"/>
        </w:rPr>
        <w:t xml:space="preserve">, CTD-ILD (OR 1.74, 95% CI 1.33-2.26), </w:t>
      </w:r>
      <w:r w:rsidR="00DD282B">
        <w:rPr>
          <w:rFonts w:ascii="Arial" w:hAnsi="Arial" w:cs="Arial"/>
          <w:sz w:val="22"/>
          <w:szCs w:val="22"/>
        </w:rPr>
        <w:t>and</w:t>
      </w:r>
      <w:r w:rsidR="00E81996" w:rsidRPr="00E5158C">
        <w:rPr>
          <w:rFonts w:ascii="Arial" w:hAnsi="Arial" w:cs="Arial"/>
          <w:sz w:val="22"/>
          <w:szCs w:val="22"/>
        </w:rPr>
        <w:t xml:space="preserve"> </w:t>
      </w:r>
      <w:r>
        <w:rPr>
          <w:rFonts w:ascii="Arial" w:hAnsi="Arial" w:cs="Arial"/>
          <w:sz w:val="22"/>
          <w:szCs w:val="22"/>
        </w:rPr>
        <w:t>other</w:t>
      </w:r>
      <w:r w:rsidR="00E81996" w:rsidRPr="00E5158C">
        <w:rPr>
          <w:rFonts w:ascii="Arial" w:hAnsi="Arial" w:cs="Arial"/>
          <w:sz w:val="22"/>
          <w:szCs w:val="22"/>
        </w:rPr>
        <w:t xml:space="preserve"> ILD </w:t>
      </w:r>
      <w:r>
        <w:rPr>
          <w:rFonts w:ascii="Arial" w:hAnsi="Arial" w:cs="Arial"/>
          <w:sz w:val="22"/>
          <w:szCs w:val="22"/>
        </w:rPr>
        <w:t>(</w:t>
      </w:r>
      <w:r w:rsidR="00E81996" w:rsidRPr="00E5158C">
        <w:rPr>
          <w:rFonts w:ascii="Arial" w:hAnsi="Arial" w:cs="Arial"/>
          <w:sz w:val="22"/>
          <w:szCs w:val="22"/>
        </w:rPr>
        <w:t>OR 1.</w:t>
      </w:r>
      <w:r>
        <w:rPr>
          <w:rFonts w:ascii="Arial" w:hAnsi="Arial" w:cs="Arial"/>
          <w:sz w:val="22"/>
          <w:szCs w:val="22"/>
        </w:rPr>
        <w:t>72</w:t>
      </w:r>
      <w:r w:rsidR="00E81996" w:rsidRPr="00E5158C">
        <w:rPr>
          <w:rFonts w:ascii="Arial" w:hAnsi="Arial" w:cs="Arial"/>
          <w:sz w:val="22"/>
          <w:szCs w:val="22"/>
        </w:rPr>
        <w:t>, 95% CI 1.</w:t>
      </w:r>
      <w:r>
        <w:rPr>
          <w:rFonts w:ascii="Arial" w:hAnsi="Arial" w:cs="Arial"/>
          <w:sz w:val="22"/>
          <w:szCs w:val="22"/>
        </w:rPr>
        <w:t>37</w:t>
      </w:r>
      <w:r w:rsidR="001A3A32">
        <w:rPr>
          <w:rFonts w:ascii="Arial" w:hAnsi="Arial" w:cs="Arial"/>
          <w:sz w:val="22"/>
          <w:szCs w:val="22"/>
        </w:rPr>
        <w:t>-</w:t>
      </w:r>
      <w:r>
        <w:rPr>
          <w:rFonts w:ascii="Arial" w:hAnsi="Arial" w:cs="Arial"/>
          <w:sz w:val="22"/>
          <w:szCs w:val="22"/>
        </w:rPr>
        <w:t>2.14</w:t>
      </w:r>
      <w:r w:rsidR="00E81996" w:rsidRPr="00E5158C">
        <w:rPr>
          <w:rFonts w:ascii="Arial" w:hAnsi="Arial" w:cs="Arial"/>
          <w:sz w:val="22"/>
          <w:szCs w:val="22"/>
        </w:rPr>
        <w:t>)</w:t>
      </w:r>
      <w:r w:rsidR="00DD282B">
        <w:rPr>
          <w:rFonts w:ascii="Arial" w:hAnsi="Arial" w:cs="Arial"/>
          <w:sz w:val="22"/>
          <w:szCs w:val="22"/>
        </w:rPr>
        <w:t xml:space="preserve"> </w:t>
      </w:r>
      <w:r w:rsidR="00F41B2A">
        <w:rPr>
          <w:rFonts w:ascii="Arial" w:hAnsi="Arial" w:cs="Arial"/>
          <w:sz w:val="22"/>
          <w:szCs w:val="22"/>
        </w:rPr>
        <w:t>(</w:t>
      </w:r>
      <w:r w:rsidR="00F41B2A" w:rsidRPr="001F1EED">
        <w:rPr>
          <w:rFonts w:ascii="Arial" w:hAnsi="Arial" w:cs="Arial"/>
          <w:b/>
          <w:bCs/>
          <w:sz w:val="22"/>
          <w:szCs w:val="22"/>
        </w:rPr>
        <w:t xml:space="preserve">Figure </w:t>
      </w:r>
      <w:r w:rsidR="00F84773">
        <w:rPr>
          <w:rFonts w:ascii="Arial" w:hAnsi="Arial" w:cs="Arial"/>
          <w:b/>
          <w:bCs/>
          <w:sz w:val="22"/>
          <w:szCs w:val="22"/>
        </w:rPr>
        <w:t>3</w:t>
      </w:r>
      <w:r w:rsidR="00F41B2A">
        <w:rPr>
          <w:rFonts w:ascii="Arial" w:hAnsi="Arial" w:cs="Arial"/>
          <w:sz w:val="22"/>
          <w:szCs w:val="22"/>
        </w:rPr>
        <w:t>)</w:t>
      </w:r>
      <w:r w:rsidR="00E81996" w:rsidRPr="00E5158C">
        <w:rPr>
          <w:rFonts w:ascii="Arial" w:hAnsi="Arial" w:cs="Arial"/>
          <w:sz w:val="22"/>
          <w:szCs w:val="22"/>
        </w:rPr>
        <w:t xml:space="preserve">. </w:t>
      </w:r>
      <w:r>
        <w:rPr>
          <w:rFonts w:ascii="Arial" w:hAnsi="Arial" w:cs="Arial"/>
          <w:sz w:val="22"/>
          <w:szCs w:val="22"/>
        </w:rPr>
        <w:t xml:space="preserve">Silica was associated with increased odds of other ILD (OR 1.61, 95% CI 1.01-2.50), although its relationship to both IPF and CTD trended toward significance. </w:t>
      </w:r>
      <w:r w:rsidR="008C3637">
        <w:rPr>
          <w:rFonts w:ascii="Arial" w:hAnsi="Arial" w:cs="Arial"/>
          <w:sz w:val="22"/>
          <w:szCs w:val="22"/>
        </w:rPr>
        <w:t xml:space="preserve">Organic exposure was associated with increased odds of both IPF (OR 1.54, 95% CI 1.09-2.18) and other ILD (OR 1.60, 95% CI 1.13-2.27), and </w:t>
      </w:r>
      <w:r w:rsidR="00047270">
        <w:rPr>
          <w:rFonts w:ascii="Arial" w:hAnsi="Arial" w:cs="Arial"/>
          <w:sz w:val="22"/>
          <w:szCs w:val="22"/>
        </w:rPr>
        <w:t>exposure to metals was associated with increased odds of IPF (OR 1.50, 95% CI 1.03-2.19) and other ILD (OR 1.56, 95% CI 1.08-2.26). Exposure to fumes was associated with IPF (OR 1.50, 95% CI 1.05-2.14) and other ILD (OR 1.56, 95% CI 1.08-2.25), and d</w:t>
      </w:r>
      <w:r w:rsidR="00E81996" w:rsidRPr="00E5158C">
        <w:rPr>
          <w:rFonts w:ascii="Arial" w:hAnsi="Arial" w:cs="Arial"/>
          <w:sz w:val="22"/>
          <w:szCs w:val="22"/>
        </w:rPr>
        <w:t xml:space="preserve">ust </w:t>
      </w:r>
      <w:r w:rsidR="00F73C71" w:rsidRPr="00E5158C">
        <w:rPr>
          <w:rFonts w:ascii="Arial" w:hAnsi="Arial" w:cs="Arial"/>
          <w:sz w:val="22"/>
          <w:szCs w:val="22"/>
        </w:rPr>
        <w:t xml:space="preserve">exposure </w:t>
      </w:r>
      <w:r w:rsidR="00E81996" w:rsidRPr="00E5158C">
        <w:rPr>
          <w:rFonts w:ascii="Arial" w:hAnsi="Arial" w:cs="Arial"/>
          <w:sz w:val="22"/>
          <w:szCs w:val="22"/>
        </w:rPr>
        <w:t xml:space="preserve">was associated with </w:t>
      </w:r>
      <w:r w:rsidR="008E6283">
        <w:rPr>
          <w:rFonts w:ascii="Arial" w:hAnsi="Arial" w:cs="Arial"/>
          <w:sz w:val="22"/>
          <w:szCs w:val="22"/>
        </w:rPr>
        <w:t>increased</w:t>
      </w:r>
      <w:r w:rsidR="00E81996" w:rsidRPr="00E5158C">
        <w:rPr>
          <w:rFonts w:ascii="Arial" w:hAnsi="Arial" w:cs="Arial"/>
          <w:sz w:val="22"/>
          <w:szCs w:val="22"/>
        </w:rPr>
        <w:t xml:space="preserve"> odds of IPF (OR 1.</w:t>
      </w:r>
      <w:r w:rsidR="001A3A32">
        <w:rPr>
          <w:rFonts w:ascii="Arial" w:hAnsi="Arial" w:cs="Arial"/>
          <w:sz w:val="22"/>
          <w:szCs w:val="22"/>
        </w:rPr>
        <w:t>4</w:t>
      </w:r>
      <w:r w:rsidR="00047270">
        <w:rPr>
          <w:rFonts w:ascii="Arial" w:hAnsi="Arial" w:cs="Arial"/>
          <w:sz w:val="22"/>
          <w:szCs w:val="22"/>
        </w:rPr>
        <w:t>4</w:t>
      </w:r>
      <w:r w:rsidR="00E81996" w:rsidRPr="00E5158C">
        <w:rPr>
          <w:rFonts w:ascii="Arial" w:hAnsi="Arial" w:cs="Arial"/>
          <w:sz w:val="22"/>
          <w:szCs w:val="22"/>
        </w:rPr>
        <w:t>, 95% CI 1</w:t>
      </w:r>
      <w:r w:rsidR="00047270">
        <w:rPr>
          <w:rFonts w:ascii="Arial" w:hAnsi="Arial" w:cs="Arial"/>
          <w:sz w:val="22"/>
          <w:szCs w:val="22"/>
        </w:rPr>
        <w:t>.16</w:t>
      </w:r>
      <w:r w:rsidR="001A3A32">
        <w:rPr>
          <w:rFonts w:ascii="Arial" w:hAnsi="Arial" w:cs="Arial"/>
          <w:sz w:val="22"/>
          <w:szCs w:val="22"/>
        </w:rPr>
        <w:t>-</w:t>
      </w:r>
      <w:r w:rsidR="00E81996" w:rsidRPr="00E5158C">
        <w:rPr>
          <w:rFonts w:ascii="Arial" w:hAnsi="Arial" w:cs="Arial"/>
          <w:sz w:val="22"/>
          <w:szCs w:val="22"/>
        </w:rPr>
        <w:t>1.</w:t>
      </w:r>
      <w:r w:rsidR="00047270">
        <w:rPr>
          <w:rFonts w:ascii="Arial" w:hAnsi="Arial" w:cs="Arial"/>
          <w:sz w:val="22"/>
          <w:szCs w:val="22"/>
        </w:rPr>
        <w:t>7</w:t>
      </w:r>
      <w:r w:rsidR="001A3A32">
        <w:rPr>
          <w:rFonts w:ascii="Arial" w:hAnsi="Arial" w:cs="Arial"/>
          <w:sz w:val="22"/>
          <w:szCs w:val="22"/>
        </w:rPr>
        <w:t>9</w:t>
      </w:r>
      <w:r w:rsidR="00E81996" w:rsidRPr="00E5158C">
        <w:rPr>
          <w:rFonts w:ascii="Arial" w:hAnsi="Arial" w:cs="Arial"/>
          <w:sz w:val="22"/>
          <w:szCs w:val="22"/>
        </w:rPr>
        <w:t xml:space="preserve">) </w:t>
      </w:r>
      <w:r w:rsidR="00967188">
        <w:rPr>
          <w:rFonts w:ascii="Arial" w:hAnsi="Arial" w:cs="Arial"/>
          <w:sz w:val="22"/>
          <w:szCs w:val="22"/>
        </w:rPr>
        <w:t xml:space="preserve">and </w:t>
      </w:r>
      <w:r w:rsidR="00047270">
        <w:rPr>
          <w:rFonts w:ascii="Arial" w:hAnsi="Arial" w:cs="Arial"/>
          <w:sz w:val="22"/>
          <w:szCs w:val="22"/>
        </w:rPr>
        <w:t>other ILD</w:t>
      </w:r>
      <w:r w:rsidR="00967188">
        <w:rPr>
          <w:rFonts w:ascii="Arial" w:hAnsi="Arial" w:cs="Arial"/>
          <w:sz w:val="22"/>
          <w:szCs w:val="22"/>
        </w:rPr>
        <w:t xml:space="preserve"> (pooled OR 1.</w:t>
      </w:r>
      <w:r w:rsidR="00047270">
        <w:rPr>
          <w:rFonts w:ascii="Arial" w:hAnsi="Arial" w:cs="Arial"/>
          <w:sz w:val="22"/>
          <w:szCs w:val="22"/>
        </w:rPr>
        <w:t>50</w:t>
      </w:r>
      <w:r w:rsidR="00967188">
        <w:rPr>
          <w:rFonts w:ascii="Arial" w:hAnsi="Arial" w:cs="Arial"/>
          <w:sz w:val="22"/>
          <w:szCs w:val="22"/>
        </w:rPr>
        <w:t xml:space="preserve">, 95% CI </w:t>
      </w:r>
      <w:r w:rsidR="00943EEA">
        <w:rPr>
          <w:rFonts w:ascii="Arial" w:hAnsi="Arial" w:cs="Arial"/>
          <w:sz w:val="22"/>
          <w:szCs w:val="22"/>
        </w:rPr>
        <w:t>1.</w:t>
      </w:r>
      <w:r w:rsidR="00047270">
        <w:rPr>
          <w:rFonts w:ascii="Arial" w:hAnsi="Arial" w:cs="Arial"/>
          <w:sz w:val="22"/>
          <w:szCs w:val="22"/>
        </w:rPr>
        <w:t>17</w:t>
      </w:r>
      <w:r w:rsidR="00967188">
        <w:rPr>
          <w:rFonts w:ascii="Arial" w:hAnsi="Arial" w:cs="Arial"/>
          <w:sz w:val="22"/>
          <w:szCs w:val="22"/>
        </w:rPr>
        <w:t>-1.</w:t>
      </w:r>
      <w:r w:rsidR="00047270">
        <w:rPr>
          <w:rFonts w:ascii="Arial" w:hAnsi="Arial" w:cs="Arial"/>
          <w:sz w:val="22"/>
          <w:szCs w:val="22"/>
        </w:rPr>
        <w:t>92</w:t>
      </w:r>
      <w:r w:rsidR="00967188">
        <w:rPr>
          <w:rFonts w:ascii="Arial" w:hAnsi="Arial" w:cs="Arial"/>
          <w:sz w:val="22"/>
          <w:szCs w:val="22"/>
        </w:rPr>
        <w:t>)</w:t>
      </w:r>
      <w:r w:rsidR="00E81996" w:rsidRPr="00E5158C">
        <w:rPr>
          <w:rFonts w:ascii="Arial" w:hAnsi="Arial" w:cs="Arial"/>
          <w:sz w:val="22"/>
          <w:szCs w:val="22"/>
        </w:rPr>
        <w:t xml:space="preserve">. </w:t>
      </w:r>
      <w:r w:rsidR="00047270">
        <w:rPr>
          <w:rFonts w:ascii="Arial" w:hAnsi="Arial" w:cs="Arial"/>
          <w:sz w:val="22"/>
          <w:szCs w:val="22"/>
        </w:rPr>
        <w:t xml:space="preserve">Asbestos was significantly associated </w:t>
      </w:r>
      <w:proofErr w:type="gramStart"/>
      <w:r w:rsidR="00047270">
        <w:rPr>
          <w:rFonts w:ascii="Arial" w:hAnsi="Arial" w:cs="Arial"/>
          <w:sz w:val="22"/>
          <w:szCs w:val="22"/>
        </w:rPr>
        <w:t>with</w:t>
      </w:r>
      <w:r w:rsidR="00AD5119">
        <w:rPr>
          <w:rFonts w:ascii="Arial" w:hAnsi="Arial" w:cs="Arial"/>
          <w:sz w:val="22"/>
          <w:szCs w:val="22"/>
        </w:rPr>
        <w:t xml:space="preserve"> </w:t>
      </w:r>
      <w:r w:rsidR="00047270">
        <w:rPr>
          <w:rFonts w:ascii="Arial" w:hAnsi="Arial" w:cs="Arial"/>
          <w:sz w:val="22"/>
          <w:szCs w:val="22"/>
        </w:rPr>
        <w:t xml:space="preserve"> IPF</w:t>
      </w:r>
      <w:proofErr w:type="gramEnd"/>
      <w:r w:rsidR="00047270">
        <w:rPr>
          <w:rFonts w:ascii="Arial" w:hAnsi="Arial" w:cs="Arial"/>
          <w:sz w:val="22"/>
          <w:szCs w:val="22"/>
        </w:rPr>
        <w:t xml:space="preserve"> (OR 1.50, 95% </w:t>
      </w:r>
      <w:r w:rsidR="00047270">
        <w:rPr>
          <w:rFonts w:ascii="Arial" w:hAnsi="Arial" w:cs="Arial"/>
          <w:sz w:val="22"/>
          <w:szCs w:val="22"/>
        </w:rPr>
        <w:lastRenderedPageBreak/>
        <w:t>CI 1.04-2.16) and other ILD (OR 1.56, 95% CI 1.08-2.26).</w:t>
      </w:r>
      <w:r w:rsidR="000219B1">
        <w:rPr>
          <w:rFonts w:ascii="Arial" w:hAnsi="Arial" w:cs="Arial"/>
          <w:sz w:val="22"/>
          <w:szCs w:val="22"/>
        </w:rPr>
        <w:t xml:space="preserve"> </w:t>
      </w:r>
      <w:proofErr w:type="spellStart"/>
      <w:r w:rsidR="00F71AB8">
        <w:rPr>
          <w:rFonts w:ascii="Arial" w:hAnsi="Arial" w:cs="Arial"/>
          <w:sz w:val="22"/>
          <w:szCs w:val="22"/>
        </w:rPr>
        <w:t>Metaregression</w:t>
      </w:r>
      <w:proofErr w:type="spellEnd"/>
      <w:r w:rsidR="00F71AB8">
        <w:rPr>
          <w:rFonts w:ascii="Arial" w:hAnsi="Arial" w:cs="Arial"/>
          <w:sz w:val="22"/>
          <w:szCs w:val="22"/>
        </w:rPr>
        <w:t xml:space="preserve"> did not demonstrate any significant effect of study year on odds of ILD (Table</w:t>
      </w:r>
      <w:r w:rsidR="00D22318">
        <w:rPr>
          <w:rFonts w:ascii="Arial" w:hAnsi="Arial" w:cs="Arial"/>
          <w:sz w:val="22"/>
          <w:szCs w:val="22"/>
        </w:rPr>
        <w:t xml:space="preserve"> </w:t>
      </w:r>
      <w:r w:rsidR="00D05601">
        <w:rPr>
          <w:rFonts w:ascii="Arial" w:hAnsi="Arial" w:cs="Arial"/>
          <w:sz w:val="22"/>
          <w:szCs w:val="22"/>
        </w:rPr>
        <w:t>E</w:t>
      </w:r>
      <w:r w:rsidR="00D22318">
        <w:rPr>
          <w:rFonts w:ascii="Arial" w:hAnsi="Arial" w:cs="Arial"/>
          <w:sz w:val="22"/>
          <w:szCs w:val="22"/>
        </w:rPr>
        <w:t>6</w:t>
      </w:r>
      <w:r w:rsidR="00F71AB8">
        <w:rPr>
          <w:rFonts w:ascii="Arial" w:hAnsi="Arial" w:cs="Arial"/>
          <w:sz w:val="22"/>
          <w:szCs w:val="22"/>
        </w:rPr>
        <w:t>).</w:t>
      </w:r>
      <w:r w:rsidR="00D22318">
        <w:rPr>
          <w:rFonts w:ascii="Arial" w:hAnsi="Arial" w:cs="Arial"/>
          <w:sz w:val="22"/>
          <w:szCs w:val="22"/>
        </w:rPr>
        <w:t xml:space="preserve"> Total study heterogeneity was high</w:t>
      </w:r>
      <w:r w:rsidR="00A4352E" w:rsidRPr="00E5158C">
        <w:rPr>
          <w:rFonts w:ascii="Arial" w:hAnsi="Arial" w:cs="Arial"/>
          <w:sz w:val="22"/>
          <w:szCs w:val="22"/>
        </w:rPr>
        <w:t xml:space="preserve"> (I</w:t>
      </w:r>
      <w:r w:rsidR="00A4352E" w:rsidRPr="00E5158C">
        <w:rPr>
          <w:rFonts w:ascii="Arial" w:hAnsi="Arial" w:cs="Arial"/>
          <w:sz w:val="22"/>
          <w:szCs w:val="22"/>
          <w:vertAlign w:val="superscript"/>
        </w:rPr>
        <w:t>2</w:t>
      </w:r>
      <w:r w:rsidR="00A4352E" w:rsidRPr="00E5158C">
        <w:rPr>
          <w:rFonts w:ascii="Arial" w:hAnsi="Arial" w:cs="Arial"/>
          <w:sz w:val="22"/>
          <w:szCs w:val="22"/>
        </w:rPr>
        <w:t xml:space="preserve">&gt;50%) in </w:t>
      </w:r>
      <w:r w:rsidR="00F21365">
        <w:rPr>
          <w:rFonts w:ascii="Arial" w:hAnsi="Arial" w:cs="Arial"/>
          <w:sz w:val="22"/>
          <w:szCs w:val="22"/>
        </w:rPr>
        <w:t>all estimates</w:t>
      </w:r>
      <w:r w:rsidR="00D22318">
        <w:rPr>
          <w:rFonts w:ascii="Arial" w:hAnsi="Arial" w:cs="Arial"/>
          <w:sz w:val="22"/>
          <w:szCs w:val="22"/>
        </w:rPr>
        <w:t xml:space="preserve"> via the Higg</w:t>
      </w:r>
      <w:r w:rsidR="00ED1205">
        <w:rPr>
          <w:rFonts w:ascii="Arial" w:hAnsi="Arial" w:cs="Arial"/>
          <w:sz w:val="22"/>
          <w:szCs w:val="22"/>
        </w:rPr>
        <w:t>i</w:t>
      </w:r>
      <w:r w:rsidR="00D22318">
        <w:rPr>
          <w:rFonts w:ascii="Arial" w:hAnsi="Arial" w:cs="Arial"/>
          <w:sz w:val="22"/>
          <w:szCs w:val="22"/>
        </w:rPr>
        <w:t>ns-Thompson method and high in all except fumes and metals in the Cochran method</w:t>
      </w:r>
      <w:r w:rsidR="00F21365">
        <w:rPr>
          <w:rFonts w:ascii="Arial" w:hAnsi="Arial" w:cs="Arial"/>
          <w:sz w:val="22"/>
          <w:szCs w:val="22"/>
        </w:rPr>
        <w:t xml:space="preserve"> (Tabl</w:t>
      </w:r>
      <w:r w:rsidR="00FB48C3">
        <w:rPr>
          <w:rFonts w:ascii="Arial" w:hAnsi="Arial" w:cs="Arial"/>
          <w:sz w:val="22"/>
          <w:szCs w:val="22"/>
        </w:rPr>
        <w:t>e E</w:t>
      </w:r>
      <w:r w:rsidR="008F32A1">
        <w:rPr>
          <w:rFonts w:ascii="Arial" w:hAnsi="Arial" w:cs="Arial"/>
          <w:sz w:val="22"/>
          <w:szCs w:val="22"/>
        </w:rPr>
        <w:t>6</w:t>
      </w:r>
      <w:r w:rsidR="00F21365">
        <w:rPr>
          <w:rFonts w:ascii="Arial" w:hAnsi="Arial" w:cs="Arial"/>
          <w:sz w:val="22"/>
          <w:szCs w:val="22"/>
        </w:rPr>
        <w:t>).</w:t>
      </w:r>
      <w:r w:rsidR="00D22318">
        <w:rPr>
          <w:rFonts w:ascii="Arial" w:hAnsi="Arial" w:cs="Arial"/>
          <w:sz w:val="22"/>
          <w:szCs w:val="22"/>
        </w:rPr>
        <w:t xml:space="preserve"> </w:t>
      </w:r>
    </w:p>
    <w:p w14:paraId="2B9BA696" w14:textId="5B44E4FF" w:rsidR="00A4352E" w:rsidRPr="00AE6D28" w:rsidRDefault="005B5D18" w:rsidP="005B5D18">
      <w:pPr>
        <w:spacing w:line="480" w:lineRule="auto"/>
        <w:rPr>
          <w:rFonts w:ascii="Arial" w:hAnsi="Arial" w:cs="Arial"/>
          <w:sz w:val="22"/>
          <w:szCs w:val="22"/>
          <w:lang w:val="en-US"/>
        </w:rPr>
      </w:pPr>
      <w:r w:rsidRPr="005B5D18">
        <w:rPr>
          <w:rFonts w:ascii="Arial" w:hAnsi="Arial" w:cs="Arial"/>
          <w:sz w:val="22"/>
          <w:szCs w:val="22"/>
          <w:lang w:val="en-US"/>
        </w:rPr>
        <w:t>Between-study heterogeneity was higher than within-study heterogeneity</w:t>
      </w:r>
      <w:r>
        <w:rPr>
          <w:rFonts w:ascii="Arial" w:hAnsi="Arial" w:cs="Arial"/>
          <w:sz w:val="22"/>
          <w:szCs w:val="22"/>
          <w:lang w:val="en-US"/>
        </w:rPr>
        <w:t xml:space="preserve"> for most estimates</w:t>
      </w:r>
      <w:r w:rsidRPr="005B5D18">
        <w:rPr>
          <w:rFonts w:ascii="Arial" w:hAnsi="Arial" w:cs="Arial"/>
          <w:sz w:val="22"/>
          <w:szCs w:val="22"/>
          <w:lang w:val="en-US"/>
        </w:rPr>
        <w:t>, with I</w:t>
      </w:r>
      <w:r>
        <w:rPr>
          <w:rFonts w:ascii="Arial" w:hAnsi="Arial" w:cs="Arial"/>
          <w:sz w:val="22"/>
          <w:szCs w:val="22"/>
          <w:vertAlign w:val="superscript"/>
          <w:lang w:val="en-US"/>
        </w:rPr>
        <w:t>2</w:t>
      </w:r>
      <w:r w:rsidRPr="005B5D18">
        <w:rPr>
          <w:rFonts w:ascii="Arial" w:hAnsi="Arial" w:cs="Arial"/>
          <w:sz w:val="22"/>
          <w:szCs w:val="22"/>
          <w:lang w:val="en-US"/>
        </w:rPr>
        <w:t xml:space="preserve"> of </w:t>
      </w:r>
      <w:r>
        <w:rPr>
          <w:rFonts w:ascii="Arial" w:hAnsi="Arial" w:cs="Arial"/>
          <w:sz w:val="22"/>
          <w:szCs w:val="22"/>
          <w:lang w:val="en-US"/>
        </w:rPr>
        <w:t>96.5 (between)</w:t>
      </w:r>
      <w:r w:rsidRPr="005B5D18">
        <w:rPr>
          <w:rFonts w:ascii="Arial" w:hAnsi="Arial" w:cs="Arial"/>
          <w:sz w:val="22"/>
          <w:szCs w:val="22"/>
          <w:lang w:val="en-US"/>
        </w:rPr>
        <w:t xml:space="preserve"> and</w:t>
      </w:r>
      <w:r>
        <w:rPr>
          <w:rFonts w:ascii="Arial" w:hAnsi="Arial" w:cs="Arial"/>
          <w:sz w:val="22"/>
          <w:szCs w:val="22"/>
          <w:lang w:val="en-US"/>
        </w:rPr>
        <w:t xml:space="preserve"> 1.</w:t>
      </w:r>
      <w:r w:rsidR="00EB56E4">
        <w:rPr>
          <w:rFonts w:ascii="Arial" w:hAnsi="Arial" w:cs="Arial"/>
          <w:sz w:val="22"/>
          <w:szCs w:val="22"/>
          <w:lang w:val="en-US"/>
        </w:rPr>
        <w:t>7</w:t>
      </w:r>
      <w:r>
        <w:rPr>
          <w:rFonts w:ascii="Arial" w:hAnsi="Arial" w:cs="Arial"/>
          <w:sz w:val="22"/>
          <w:szCs w:val="22"/>
          <w:lang w:val="en-US"/>
        </w:rPr>
        <w:t xml:space="preserve"> (within)</w:t>
      </w:r>
      <w:r w:rsidRPr="005B5D18">
        <w:rPr>
          <w:rFonts w:ascii="Arial" w:hAnsi="Arial" w:cs="Arial"/>
          <w:sz w:val="22"/>
          <w:szCs w:val="22"/>
          <w:lang w:val="en-US"/>
        </w:rPr>
        <w:t xml:space="preserve"> for air pollution, </w:t>
      </w:r>
      <w:r>
        <w:rPr>
          <w:rFonts w:ascii="Arial" w:hAnsi="Arial" w:cs="Arial"/>
          <w:sz w:val="22"/>
          <w:szCs w:val="22"/>
          <w:lang w:val="en-US"/>
        </w:rPr>
        <w:t>59.</w:t>
      </w:r>
      <w:r w:rsidR="00EB56E4">
        <w:rPr>
          <w:rFonts w:ascii="Arial" w:hAnsi="Arial" w:cs="Arial"/>
          <w:sz w:val="22"/>
          <w:szCs w:val="22"/>
          <w:lang w:val="en-US"/>
        </w:rPr>
        <w:t>4</w:t>
      </w:r>
      <w:r>
        <w:rPr>
          <w:rFonts w:ascii="Arial" w:hAnsi="Arial" w:cs="Arial"/>
          <w:sz w:val="22"/>
          <w:szCs w:val="22"/>
          <w:lang w:val="en-US"/>
        </w:rPr>
        <w:t xml:space="preserve"> (between) and 10.8 (within) for dust, 61.5 (between) and 0 (within) for fumes, 98.8 (between) and 0.7 (within) for metals, </w:t>
      </w:r>
      <w:r w:rsidR="003F76C6">
        <w:rPr>
          <w:rFonts w:ascii="Arial" w:hAnsi="Arial" w:cs="Arial"/>
          <w:sz w:val="22"/>
          <w:szCs w:val="22"/>
          <w:lang w:val="en-US"/>
        </w:rPr>
        <w:t xml:space="preserve">and </w:t>
      </w:r>
      <w:r>
        <w:rPr>
          <w:rFonts w:ascii="Arial" w:hAnsi="Arial" w:cs="Arial"/>
          <w:sz w:val="22"/>
          <w:szCs w:val="22"/>
          <w:lang w:val="en-US"/>
        </w:rPr>
        <w:t>56.</w:t>
      </w:r>
      <w:r w:rsidR="00EB56E4">
        <w:rPr>
          <w:rFonts w:ascii="Arial" w:hAnsi="Arial" w:cs="Arial"/>
          <w:sz w:val="22"/>
          <w:szCs w:val="22"/>
          <w:lang w:val="en-US"/>
        </w:rPr>
        <w:t>8</w:t>
      </w:r>
      <w:r>
        <w:rPr>
          <w:rFonts w:ascii="Arial" w:hAnsi="Arial" w:cs="Arial"/>
          <w:sz w:val="22"/>
          <w:szCs w:val="22"/>
          <w:lang w:val="en-US"/>
        </w:rPr>
        <w:t xml:space="preserve"> (between) and 0 (within) for organic </w:t>
      </w:r>
      <w:proofErr w:type="gramStart"/>
      <w:r>
        <w:rPr>
          <w:rFonts w:ascii="Arial" w:hAnsi="Arial" w:cs="Arial"/>
          <w:sz w:val="22"/>
          <w:szCs w:val="22"/>
          <w:lang w:val="en-US"/>
        </w:rPr>
        <w:t>subgroups</w:t>
      </w:r>
      <w:r w:rsidRPr="005B5D18">
        <w:rPr>
          <w:rFonts w:ascii="Arial" w:hAnsi="Arial" w:cs="Arial"/>
          <w:sz w:val="22"/>
          <w:szCs w:val="22"/>
          <w:lang w:val="en-US"/>
        </w:rPr>
        <w:t>.</w:t>
      </w:r>
      <w:r w:rsidR="000827D1">
        <w:rPr>
          <w:rFonts w:ascii="Arial" w:hAnsi="Arial" w:cs="Arial"/>
          <w:sz w:val="22"/>
          <w:szCs w:val="22"/>
        </w:rPr>
        <w:t>(</w:t>
      </w:r>
      <w:proofErr w:type="gramEnd"/>
      <w:r w:rsidR="000827D1">
        <w:rPr>
          <w:rFonts w:ascii="Arial" w:hAnsi="Arial" w:cs="Arial"/>
          <w:sz w:val="22"/>
          <w:szCs w:val="22"/>
        </w:rPr>
        <w:t>Table E6)</w:t>
      </w:r>
      <w:r w:rsidR="00C50699">
        <w:rPr>
          <w:rFonts w:ascii="Arial" w:hAnsi="Arial" w:cs="Arial"/>
          <w:sz w:val="22"/>
          <w:szCs w:val="22"/>
        </w:rPr>
        <w:t>.</w:t>
      </w:r>
      <w:r w:rsidR="00D22318">
        <w:rPr>
          <w:rFonts w:ascii="Arial" w:hAnsi="Arial" w:cs="Arial"/>
          <w:sz w:val="22"/>
          <w:szCs w:val="22"/>
        </w:rPr>
        <w:t xml:space="preserve"> </w:t>
      </w:r>
    </w:p>
    <w:p w14:paraId="7A84622A" w14:textId="77777777" w:rsidR="00A17E14" w:rsidRPr="005B1299" w:rsidRDefault="00A17E14" w:rsidP="002B6C71">
      <w:pPr>
        <w:spacing w:line="480" w:lineRule="auto"/>
        <w:rPr>
          <w:rFonts w:ascii="Arial" w:hAnsi="Arial" w:cs="Arial"/>
          <w:b/>
          <w:sz w:val="22"/>
          <w:szCs w:val="22"/>
        </w:rPr>
      </w:pPr>
    </w:p>
    <w:p w14:paraId="34E7E069" w14:textId="2C64EECB" w:rsidR="008918E3" w:rsidRDefault="00E875E1" w:rsidP="002B6C71">
      <w:pPr>
        <w:spacing w:line="480" w:lineRule="auto"/>
        <w:rPr>
          <w:rFonts w:ascii="Arial" w:hAnsi="Arial" w:cs="Arial"/>
          <w:b/>
          <w:sz w:val="22"/>
          <w:szCs w:val="22"/>
        </w:rPr>
      </w:pPr>
      <w:r w:rsidRPr="005B1299">
        <w:rPr>
          <w:rFonts w:ascii="Arial" w:hAnsi="Arial" w:cs="Arial"/>
          <w:b/>
          <w:sz w:val="22"/>
          <w:szCs w:val="22"/>
        </w:rPr>
        <w:t>Discussion</w:t>
      </w:r>
    </w:p>
    <w:p w14:paraId="3729B84A" w14:textId="77777777" w:rsidR="00411E27" w:rsidRPr="00411E27" w:rsidRDefault="00411E27" w:rsidP="002B6C71">
      <w:pPr>
        <w:spacing w:line="480" w:lineRule="auto"/>
        <w:rPr>
          <w:rFonts w:ascii="Arial" w:hAnsi="Arial" w:cs="Arial"/>
          <w:b/>
          <w:sz w:val="22"/>
          <w:szCs w:val="22"/>
        </w:rPr>
      </w:pPr>
    </w:p>
    <w:p w14:paraId="0A3828F4" w14:textId="601EA90F" w:rsidR="003F5D58" w:rsidRDefault="008918E3" w:rsidP="002B6C71">
      <w:pPr>
        <w:spacing w:line="480" w:lineRule="auto"/>
        <w:rPr>
          <w:rFonts w:ascii="Arial" w:hAnsi="Arial" w:cs="Arial"/>
          <w:sz w:val="22"/>
          <w:szCs w:val="22"/>
        </w:rPr>
      </w:pPr>
      <w:r w:rsidRPr="00E5158C">
        <w:rPr>
          <w:rFonts w:ascii="Arial" w:hAnsi="Arial" w:cs="Arial"/>
          <w:sz w:val="22"/>
          <w:szCs w:val="22"/>
        </w:rPr>
        <w:t xml:space="preserve">This systematic review and meta-analysis </w:t>
      </w:r>
      <w:proofErr w:type="gramStart"/>
      <w:r w:rsidRPr="00E5158C">
        <w:rPr>
          <w:rFonts w:ascii="Arial" w:hAnsi="Arial" w:cs="Arial"/>
          <w:sz w:val="22"/>
          <w:szCs w:val="22"/>
        </w:rPr>
        <w:t>is</w:t>
      </w:r>
      <w:proofErr w:type="gramEnd"/>
      <w:r w:rsidRPr="00E5158C">
        <w:rPr>
          <w:rFonts w:ascii="Arial" w:hAnsi="Arial" w:cs="Arial"/>
          <w:sz w:val="22"/>
          <w:szCs w:val="22"/>
        </w:rPr>
        <w:t xml:space="preserve"> the first to comprehensively assess the effect of inhalational exposures </w:t>
      </w:r>
      <w:r w:rsidR="009A7FB4" w:rsidRPr="00E5158C">
        <w:rPr>
          <w:rFonts w:ascii="Arial" w:hAnsi="Arial" w:cs="Arial"/>
          <w:sz w:val="22"/>
          <w:szCs w:val="22"/>
        </w:rPr>
        <w:t xml:space="preserve">on </w:t>
      </w:r>
      <w:r w:rsidR="00C71955" w:rsidRPr="00E5158C">
        <w:rPr>
          <w:rFonts w:ascii="Arial" w:hAnsi="Arial" w:cs="Arial"/>
          <w:sz w:val="22"/>
          <w:szCs w:val="22"/>
        </w:rPr>
        <w:t>risk of ILD as a broad category of lung disease</w:t>
      </w:r>
      <w:r w:rsidR="009A7FB4" w:rsidRPr="00E5158C">
        <w:rPr>
          <w:rFonts w:ascii="Arial" w:hAnsi="Arial" w:cs="Arial"/>
          <w:sz w:val="22"/>
          <w:szCs w:val="22"/>
        </w:rPr>
        <w:t xml:space="preserve">. We found multiple exposures </w:t>
      </w:r>
      <w:r w:rsidR="00C71955" w:rsidRPr="00E5158C">
        <w:rPr>
          <w:rFonts w:ascii="Arial" w:hAnsi="Arial" w:cs="Arial"/>
          <w:sz w:val="22"/>
          <w:szCs w:val="22"/>
        </w:rPr>
        <w:t>were consistently associated with</w:t>
      </w:r>
      <w:r w:rsidR="009A7FB4" w:rsidRPr="00E5158C">
        <w:rPr>
          <w:rFonts w:ascii="Arial" w:hAnsi="Arial" w:cs="Arial"/>
          <w:sz w:val="22"/>
          <w:szCs w:val="22"/>
        </w:rPr>
        <w:t xml:space="preserve"> increased odds of ILD diagnosis, including smoking</w:t>
      </w:r>
      <w:r w:rsidR="00071CB5">
        <w:rPr>
          <w:rFonts w:ascii="Arial" w:hAnsi="Arial" w:cs="Arial"/>
          <w:sz w:val="22"/>
          <w:szCs w:val="22"/>
        </w:rPr>
        <w:t xml:space="preserve"> and dust</w:t>
      </w:r>
      <w:r w:rsidR="009A7FB4" w:rsidRPr="00E5158C">
        <w:rPr>
          <w:rFonts w:ascii="Arial" w:hAnsi="Arial" w:cs="Arial"/>
          <w:sz w:val="22"/>
          <w:szCs w:val="22"/>
        </w:rPr>
        <w:t>, and workplace exposures</w:t>
      </w:r>
      <w:r w:rsidR="00C71955" w:rsidRPr="00E5158C">
        <w:rPr>
          <w:rFonts w:ascii="Arial" w:hAnsi="Arial" w:cs="Arial"/>
          <w:sz w:val="22"/>
          <w:szCs w:val="22"/>
        </w:rPr>
        <w:t xml:space="preserve"> such as </w:t>
      </w:r>
      <w:r w:rsidR="00071CB5">
        <w:rPr>
          <w:rFonts w:ascii="Arial" w:hAnsi="Arial" w:cs="Arial"/>
          <w:sz w:val="22"/>
          <w:szCs w:val="22"/>
        </w:rPr>
        <w:t>asbestos, metal, and potentially silica</w:t>
      </w:r>
      <w:r w:rsidR="009A7FB4" w:rsidRPr="00E5158C">
        <w:rPr>
          <w:rFonts w:ascii="Arial" w:hAnsi="Arial" w:cs="Arial"/>
          <w:sz w:val="22"/>
          <w:szCs w:val="22"/>
        </w:rPr>
        <w:t xml:space="preserve">. </w:t>
      </w:r>
      <w:r w:rsidR="00C71955" w:rsidRPr="00E5158C">
        <w:rPr>
          <w:rFonts w:ascii="Arial" w:hAnsi="Arial" w:cs="Arial"/>
          <w:sz w:val="22"/>
          <w:szCs w:val="22"/>
        </w:rPr>
        <w:t xml:space="preserve">These </w:t>
      </w:r>
      <w:r w:rsidR="009A7FB4" w:rsidRPr="00E5158C">
        <w:rPr>
          <w:rFonts w:ascii="Arial" w:hAnsi="Arial" w:cs="Arial"/>
          <w:sz w:val="22"/>
          <w:szCs w:val="22"/>
        </w:rPr>
        <w:t xml:space="preserve">associations were </w:t>
      </w:r>
      <w:r w:rsidR="00800A5A">
        <w:rPr>
          <w:rFonts w:ascii="Arial" w:hAnsi="Arial" w:cs="Arial"/>
          <w:sz w:val="22"/>
          <w:szCs w:val="22"/>
        </w:rPr>
        <w:t>consistent across ILD subtypes</w:t>
      </w:r>
      <w:r w:rsidR="00BA211A">
        <w:rPr>
          <w:rFonts w:ascii="Arial" w:hAnsi="Arial" w:cs="Arial"/>
          <w:sz w:val="22"/>
          <w:szCs w:val="22"/>
        </w:rPr>
        <w:t xml:space="preserve">, </w:t>
      </w:r>
      <w:r w:rsidR="009A7FB4" w:rsidRPr="00E5158C">
        <w:rPr>
          <w:rFonts w:ascii="Arial" w:hAnsi="Arial" w:cs="Arial"/>
          <w:sz w:val="22"/>
          <w:szCs w:val="22"/>
        </w:rPr>
        <w:t>emphasizing the</w:t>
      </w:r>
      <w:r w:rsidR="00800A5A">
        <w:rPr>
          <w:rFonts w:ascii="Arial" w:hAnsi="Arial" w:cs="Arial"/>
          <w:sz w:val="22"/>
          <w:szCs w:val="22"/>
        </w:rPr>
        <w:t xml:space="preserve"> </w:t>
      </w:r>
      <w:r w:rsidR="00CF130A">
        <w:rPr>
          <w:rFonts w:ascii="Arial" w:hAnsi="Arial" w:cs="Arial"/>
          <w:sz w:val="22"/>
          <w:szCs w:val="22"/>
        </w:rPr>
        <w:t>effects</w:t>
      </w:r>
      <w:r w:rsidR="009A7FB4" w:rsidRPr="00E5158C">
        <w:rPr>
          <w:rFonts w:ascii="Arial" w:hAnsi="Arial" w:cs="Arial"/>
          <w:sz w:val="22"/>
          <w:szCs w:val="22"/>
        </w:rPr>
        <w:t xml:space="preserve"> </w:t>
      </w:r>
      <w:r w:rsidR="00800A5A">
        <w:rPr>
          <w:rFonts w:ascii="Arial" w:hAnsi="Arial" w:cs="Arial"/>
          <w:sz w:val="22"/>
          <w:szCs w:val="22"/>
        </w:rPr>
        <w:t>of</w:t>
      </w:r>
      <w:r w:rsidR="00800A5A" w:rsidRPr="00E5158C">
        <w:rPr>
          <w:rFonts w:ascii="Arial" w:hAnsi="Arial" w:cs="Arial"/>
          <w:sz w:val="22"/>
          <w:szCs w:val="22"/>
        </w:rPr>
        <w:t xml:space="preserve"> </w:t>
      </w:r>
      <w:r w:rsidR="00800A5A">
        <w:rPr>
          <w:rFonts w:ascii="Arial" w:hAnsi="Arial" w:cs="Arial"/>
          <w:sz w:val="22"/>
          <w:szCs w:val="22"/>
        </w:rPr>
        <w:t xml:space="preserve">inhalational </w:t>
      </w:r>
      <w:r w:rsidR="009A7FB4" w:rsidRPr="00E5158C">
        <w:rPr>
          <w:rFonts w:ascii="Arial" w:hAnsi="Arial" w:cs="Arial"/>
          <w:sz w:val="22"/>
          <w:szCs w:val="22"/>
        </w:rPr>
        <w:t xml:space="preserve">exposures across all </w:t>
      </w:r>
      <w:r w:rsidR="00800A5A">
        <w:rPr>
          <w:rFonts w:ascii="Arial" w:hAnsi="Arial" w:cs="Arial"/>
          <w:sz w:val="22"/>
          <w:szCs w:val="22"/>
        </w:rPr>
        <w:t xml:space="preserve">forms of </w:t>
      </w:r>
      <w:r w:rsidR="009A7FB4" w:rsidRPr="00E5158C">
        <w:rPr>
          <w:rFonts w:ascii="Arial" w:hAnsi="Arial" w:cs="Arial"/>
          <w:sz w:val="22"/>
          <w:szCs w:val="22"/>
        </w:rPr>
        <w:t xml:space="preserve">ILD. </w:t>
      </w:r>
      <w:r w:rsidR="00C71955" w:rsidRPr="00E5158C">
        <w:rPr>
          <w:rFonts w:ascii="Arial" w:hAnsi="Arial" w:cs="Arial"/>
          <w:sz w:val="22"/>
          <w:szCs w:val="22"/>
        </w:rPr>
        <w:t>These findings</w:t>
      </w:r>
      <w:r w:rsidR="00201CF1" w:rsidRPr="00E5158C">
        <w:rPr>
          <w:rFonts w:ascii="Arial" w:hAnsi="Arial" w:cs="Arial"/>
          <w:sz w:val="22"/>
          <w:szCs w:val="22"/>
        </w:rPr>
        <w:t xml:space="preserve"> </w:t>
      </w:r>
      <w:r w:rsidR="00C71955" w:rsidRPr="00E5158C">
        <w:rPr>
          <w:rFonts w:ascii="Arial" w:hAnsi="Arial" w:cs="Arial"/>
          <w:sz w:val="22"/>
          <w:szCs w:val="22"/>
        </w:rPr>
        <w:t xml:space="preserve">highlight </w:t>
      </w:r>
      <w:r w:rsidR="00201CF1" w:rsidRPr="00E5158C">
        <w:rPr>
          <w:rFonts w:ascii="Arial" w:hAnsi="Arial" w:cs="Arial"/>
          <w:sz w:val="22"/>
          <w:szCs w:val="22"/>
        </w:rPr>
        <w:t xml:space="preserve">the importance of exposure </w:t>
      </w:r>
      <w:r w:rsidR="00C71955" w:rsidRPr="00E5158C">
        <w:rPr>
          <w:rFonts w:ascii="Arial" w:hAnsi="Arial" w:cs="Arial"/>
          <w:sz w:val="22"/>
          <w:szCs w:val="22"/>
        </w:rPr>
        <w:t xml:space="preserve">ascertainment </w:t>
      </w:r>
      <w:r w:rsidR="00CF130A">
        <w:rPr>
          <w:rFonts w:ascii="Arial" w:hAnsi="Arial" w:cs="Arial"/>
          <w:sz w:val="22"/>
          <w:szCs w:val="22"/>
        </w:rPr>
        <w:t>for</w:t>
      </w:r>
      <w:r w:rsidR="00C71955" w:rsidRPr="00E5158C">
        <w:rPr>
          <w:rFonts w:ascii="Arial" w:hAnsi="Arial" w:cs="Arial"/>
          <w:sz w:val="22"/>
          <w:szCs w:val="22"/>
        </w:rPr>
        <w:t xml:space="preserve"> all</w:t>
      </w:r>
      <w:r w:rsidR="00201CF1" w:rsidRPr="00E5158C">
        <w:rPr>
          <w:rFonts w:ascii="Arial" w:hAnsi="Arial" w:cs="Arial"/>
          <w:sz w:val="22"/>
          <w:szCs w:val="22"/>
        </w:rPr>
        <w:t xml:space="preserve"> ILD patients and the need for </w:t>
      </w:r>
      <w:r w:rsidR="003D0ED1">
        <w:rPr>
          <w:rFonts w:ascii="Arial" w:hAnsi="Arial" w:cs="Arial"/>
          <w:sz w:val="22"/>
          <w:szCs w:val="22"/>
        </w:rPr>
        <w:t xml:space="preserve">improved </w:t>
      </w:r>
      <w:r w:rsidR="00C71955" w:rsidRPr="00E5158C">
        <w:rPr>
          <w:rFonts w:ascii="Arial" w:hAnsi="Arial" w:cs="Arial"/>
          <w:sz w:val="22"/>
          <w:szCs w:val="22"/>
        </w:rPr>
        <w:t>characteriz</w:t>
      </w:r>
      <w:r w:rsidR="00800A5A">
        <w:rPr>
          <w:rFonts w:ascii="Arial" w:hAnsi="Arial" w:cs="Arial"/>
          <w:sz w:val="22"/>
          <w:szCs w:val="22"/>
        </w:rPr>
        <w:t>ation of</w:t>
      </w:r>
      <w:r w:rsidR="00201CF1" w:rsidRPr="00E5158C">
        <w:rPr>
          <w:rFonts w:ascii="Arial" w:hAnsi="Arial" w:cs="Arial"/>
          <w:sz w:val="22"/>
          <w:szCs w:val="22"/>
        </w:rPr>
        <w:t xml:space="preserve"> inhalational </w:t>
      </w:r>
      <w:r w:rsidR="00C71955" w:rsidRPr="00E5158C">
        <w:rPr>
          <w:rFonts w:ascii="Arial" w:hAnsi="Arial" w:cs="Arial"/>
          <w:sz w:val="22"/>
          <w:szCs w:val="22"/>
        </w:rPr>
        <w:t xml:space="preserve">risk and impact of </w:t>
      </w:r>
      <w:r w:rsidR="00201CF1" w:rsidRPr="00E5158C">
        <w:rPr>
          <w:rFonts w:ascii="Arial" w:hAnsi="Arial" w:cs="Arial"/>
          <w:sz w:val="22"/>
          <w:szCs w:val="22"/>
        </w:rPr>
        <w:t>mitigation.</w:t>
      </w:r>
      <w:r w:rsidR="0001705C">
        <w:rPr>
          <w:rFonts w:ascii="Arial" w:hAnsi="Arial" w:cs="Arial"/>
          <w:sz w:val="22"/>
          <w:szCs w:val="22"/>
        </w:rPr>
        <w:t xml:space="preserve"> </w:t>
      </w:r>
      <w:r w:rsidR="009E1771">
        <w:rPr>
          <w:rFonts w:ascii="Arial" w:hAnsi="Arial" w:cs="Arial"/>
          <w:sz w:val="22"/>
          <w:szCs w:val="22"/>
        </w:rPr>
        <w:t>Other</w:t>
      </w:r>
      <w:r w:rsidR="003F5D58">
        <w:rPr>
          <w:rFonts w:ascii="Arial" w:hAnsi="Arial" w:cs="Arial"/>
          <w:sz w:val="22"/>
          <w:szCs w:val="22"/>
        </w:rPr>
        <w:t xml:space="preserve"> systematic reviews and meta-analyses have focused on subsets of exposures, such as occupational exposures or air pollution</w:t>
      </w:r>
      <w:r w:rsidR="009E1771">
        <w:rPr>
          <w:rFonts w:ascii="Arial" w:hAnsi="Arial" w:cs="Arial"/>
          <w:sz w:val="22"/>
          <w:szCs w:val="22"/>
        </w:rPr>
        <w:t xml:space="preserve">, </w:t>
      </w:r>
      <w:r w:rsidR="00114822">
        <w:rPr>
          <w:rFonts w:ascii="Arial" w:hAnsi="Arial" w:cs="Arial"/>
          <w:sz w:val="22"/>
          <w:szCs w:val="22"/>
        </w:rPr>
        <w:t>or</w:t>
      </w:r>
      <w:r w:rsidR="003F5D58">
        <w:rPr>
          <w:rFonts w:ascii="Arial" w:hAnsi="Arial" w:cs="Arial"/>
          <w:sz w:val="22"/>
          <w:szCs w:val="22"/>
        </w:rPr>
        <w:t xml:space="preserve"> subsets of disease, such as IPF</w:t>
      </w:r>
      <w:r w:rsidR="009E1771">
        <w:rPr>
          <w:rFonts w:ascii="Arial" w:hAnsi="Arial" w:cs="Arial"/>
          <w:sz w:val="22"/>
          <w:szCs w:val="22"/>
        </w:rPr>
        <w:t>.</w:t>
      </w:r>
      <w:r w:rsidR="00886DA7">
        <w:rPr>
          <w:rFonts w:ascii="Arial" w:hAnsi="Arial" w:cs="Arial"/>
          <w:sz w:val="22"/>
          <w:szCs w:val="22"/>
        </w:rPr>
        <w:fldChar w:fldCharType="begin"/>
      </w:r>
      <w:r w:rsidR="00086A29">
        <w:rPr>
          <w:rFonts w:ascii="Arial" w:hAnsi="Arial" w:cs="Arial"/>
          <w:sz w:val="22"/>
          <w:szCs w:val="22"/>
        </w:rPr>
        <w:instrText xml:space="preserve"> ADDIN ZOTERO_ITEM CSL_CITATION {"citationID":"fmqwec4C","properties":{"formattedCitation":"[23], [24], [25]","plainCitation":"[23], [24], [25]","noteIndex":0},"citationItems":[{"id":"sQPELaEq/xsyPob6L","uris":["http://zotero.org/users/local/N7zg5G00/items/J3DRRQXN"],"itemData":{"id":52,"type":"article-journal","abstract":"INTRODUCTION: There is a growing body of evidence suggesting a causal relationship between interstitial lung disease (ILD) and air pollution, both for the development of the disease, and driving disease progression. We aim to provide a comprehensive literature review of the association between air pollution, and ILD, including idiopathic pulmonary fibrosis (IPF).\nMETHODS: We systematically searched from six online database. Two independent authors (DL and CF) selected studies and critically appraised the risk of bias using the Newcastle-Ottawa Scale (NOS). Findings are presented through a narrative synthesis and meta-analysis. Meta-analyses were performed </w:instrText>
      </w:r>
      <w:r w:rsidR="00086A29">
        <w:rPr>
          <w:rFonts w:ascii="Arial" w:hAnsi="Arial" w:cs="Arial"/>
          <w:sz w:val="22"/>
          <w:szCs w:val="22"/>
        </w:rPr>
        <w:lastRenderedPageBreak/>
        <w:instrText xml:space="preserve">exclusively when there was a minimum of three studies examining identical pollutant-health outcome pairs, all evaluating equivalent increments in pollutant concentration, using a random effects model.\nRESULTS: 24 observational studies conducted in 13 countries or regions were identified. Pollutants under investigation encompassed ozone (O3), nitrogen dioxide (NO2), Particulate matter with diameters of 10 micrometers or less (PM10) and 2.5 micrometers or less (PM2.5), sulfur dioxide (SO2), carbon monoxide (CO), nitric oxide (NO) and nitrogen oxides (NOx). We conducted meta-analyses to assess the estimated Risk Ratios (RRs) for acute exacerbations (AE)-IPF in relation to exposure to every 10 μg/m3 increment in air pollutant concentrations, including O3, NO2, PM10, and PM2.5. The meta-analysis revealed a significant association between the increased risk of AE-IPF in PM2.5, yielding RR 1.94 (95% CI 1.30-2.90; p = 0.001). Findings across all the included studies suggest that increased exposure to air pollutants may be linked to a range of health issues in individuals with ILDs.\nCONCLUSION: A scarcity of available studies on the air pollutants and ILD relationship underscores the imperative for further comprehensive research in this domain. The available data suggest that reducing levels of PM2.5 in the atmosphere could potentially reduce AE frequency and severity in ILD patients.","container-title":"Frontiers in Medicine","DOI":"10.3389/fmed.2023.1321038","ISSN":"2296-858X","journalAbbreviation":"Front Med (Lausanne)","language":"eng","note":"PMID: 38298511\nPMCID: PMC10827982","page":"1321038","source":"PubMed","title":"The impact of air pollution on interstitial lung disease: a systematic review and meta-analysis","title-short":"The impact of air pollution on interstitial lung disease","volume":"10","author":[{"family":"Lan","given":"Doris"},{"family":"Fermoyle","given":"Caitlin C."},{"family":"Troy","given":"Lauren K."},{"family":"Knibbs","given":"Luke D."},{"family":"Corte","given":"Tamera J."}],"issued":{"date-parts":[["2023"]]}}},{"id":"sQPELaEq/2bCNQWwZ","uris":["http://zotero.org/users/local/N7zg5G00/items/F25EQUDW"],"itemData":{"id":55,"type":"article-journal","abstract":"Rationale Idiopathic pulmonary fibrosis (IPF) is a progressive fibrotic pulmonary disorder of unknown etiology, characterized by a usual interstitial pneumonia (UIP) pattern. Previous meta-analyses have reported associations between occupational exposures and IPF, but higher-quality studies have been published in recent years, doubling the number of studied patients. Objective To provide a contemporary and comprehensive assessment of the relationship between occupational exposures and IPF. Study Design and Methods We searched Pubmed, Embase, and Web of Science through July 2023 to identify all publications on occupational exposure and IPF. We conducted a </w:instrText>
      </w:r>
      <w:r w:rsidR="00086A29">
        <w:rPr>
          <w:rFonts w:ascii="Arial" w:hAnsi="Arial" w:cs="Arial"/>
          <w:sz w:val="22"/>
          <w:szCs w:val="22"/>
        </w:rPr>
        <w:lastRenderedPageBreak/>
        <w:instrText>meta-analysis of the occupational burden, odds ratio (OR), and population attributable fraction (PAF) of exposures. Five exposure categories were analyzed: VGDF (vapors, gas, dust, and fumes), metal dust, wood dust, silica dust, and agricultural dust. A comprehensive bias assessment was performed. The study protocol was registered to the International Prospective Register of Systematic Reviews (ID: CRD42021267808). Results Our search identified 23,942 publications. Sixteen publications contained relative risks needed to calculate pooled ORs and PAFs, and 12 additional publications reported an occupational burden within a case series. The proportion of cases with occupational exposures to VGDF was 44% [95% confidence interval (CI), 36-53], with a range of 8-17% within more specific exposure categories. The pooled OR was elevated for VGDF at 1.8 (CI, 1.3-2.4), with a pooled PAF of 21% (CI, 15-28). The OR and PAF were respectively found to be 1.6 and 7% (metal dust), 1.6 and 3% (wood dust), 1.8 and 14% (agricultural dust), and 1.8 and 4% (silica dust). The pooled OR and PAF within specific exposure categories ranged from 1.6-1.8 and 4-14%, respectively. We identified some publication bias, though it was not sufficient to diminish the association between occupational exposures and IPF based on sensitivity analysis and bias assessment. Conclusions Our findings indicate that 21% (or approximately 1 in 5) IPF cases could be prevented by removal of occupational exposure (alongside a pooled OR of 1.8). Additionally, 44% of patients with IPF report occupational exposure to VGDF. This meta-analysis suggests that a considerable number of cases of IPF are attributable to inhaled occupational exposures and warrant increased consideration in the clinical care of patients and future prevention efforts. Clinical Trials Registration International Prospective Register of Systematic Reviews (ID: CRD42021267808).","container-title":"Annals of the American Thoracic Society","DOI":"10.1513/AnnalsATS.202305-402OC","ISSN":"2325-6621","journalAbbreviation":"Ann Am Thorac Soc","language":"eng","note":"PMID: 38096107","source":"PubMed","title":"The Impact of Occupational Exposures on the Risk of Idiopathic Pulmonary Fibrosis: A Systematic Review and Meta-Analysis","title-short":"The Impact of Occupational Exposures on the Risk of Idiopathic Pulmonary Fibrosis","author":[{"family":"Gandhi","given":"Sheiphali A."},{"family":"Min","given":"Bohyung"},{"family":"Fazio","given":"Jane C."},{"family":"Johannson","given":"Kerri A."},{"family":"Steinmaus","given":"Craig"},{"family":"Reynolds","given":"Carl J."},{"family":"Cummings","given":"Kristin J."}],"issued":{"date-parts":[["2023",12,14]]}}},{"id":"sQPELaEq/jm4JiEYH","uris":["http://zotero.org/users/local/N7zg5G00/items/3V2</w:instrText>
      </w:r>
      <w:r w:rsidR="00086A29">
        <w:rPr>
          <w:rFonts w:ascii="Arial" w:hAnsi="Arial" w:cs="Arial"/>
          <w:sz w:val="22"/>
          <w:szCs w:val="22"/>
        </w:rPr>
        <w:lastRenderedPageBreak/>
        <w:instrText xml:space="preserve">3CQ45"],"itemData":{"id":57,"type":"article-journal","abstract":"Idiopathic pulmonary fibrosis (IPF) is a chronic, progressive, fibrosing interstitial lung disease of unknown cause. It has a high risk of rapid progression and mortality. We conducted a systematic review and meta-analysis to evaluate the risk factor of IPF. We searched Medline, Embase, and the Cochrane library from the earliest record to March, 2020. Case-control studies on occupational and environmental risk factors or on jobs with a risk of IPF were searched for. From 2490 relevant records, 12 studies were included. Any occupational or environmental exposure to metal dust (OR 1.83, 95% CI 1.15-2.91, I2 = 54%), wood dust (OR 1.62 5% CI 1.04-2.53, I2 = 5%) and pesticide (OR 2.07, 95% CI 1.24-3.45, I2 = 0%) were associated with an increased risk of IPF. Farming or agricultural work (OR 1.88, 95% CI 1.17-3.04, I2 = 67%) was also associated with an increased risk of IPF. Moreover, smoking increased IPF risk with an odds ratio of 1.39 (95% CI 1.01-1.91, I2 = 29%). In conclusion, metal dust, wood dust, pesticide, occupational history of farming or agriculture and ever smoking increased the risk of IPF.","container-title":"Scientific Reports","DOI":"10.1038/s41598-021-81591-z","ISSN":"2045-2322","issue":"1","journalAbbreviation":"Sci Rep","language":"eng","note":"PMID: 33654111\nPMCID: PMC7925580","page":"4318","source":"PubMed","title":"Occupational and environmental risk factors of idiopathic pulmonary fibrosis: a systematic review and meta-analyses","title-short":"Occupational and environmental risk factors of idiopathic pulmonary fibrosis","volume":"11","author":[{"family":"Park","given":"Yeonkyung"},{"family":"Ahn","given":"Chiwon"},{"family":"Kim","given":"Tae-Hyung"}],"issued":{"date-parts":[["2021",3,2]]}}}],"schema":"https://github.com/citation-style-language/schema/raw/master/csl-citation.json"} </w:instrText>
      </w:r>
      <w:r w:rsidR="00886DA7">
        <w:rPr>
          <w:rFonts w:ascii="Arial" w:hAnsi="Arial" w:cs="Arial"/>
          <w:sz w:val="22"/>
          <w:szCs w:val="22"/>
        </w:rPr>
        <w:fldChar w:fldCharType="separate"/>
      </w:r>
      <w:r w:rsidR="00086A29">
        <w:rPr>
          <w:rFonts w:ascii="Arial" w:hAnsi="Arial" w:cs="Arial"/>
          <w:sz w:val="22"/>
        </w:rPr>
        <w:t>[23], [24], [25]</w:t>
      </w:r>
      <w:r w:rsidR="00886DA7">
        <w:rPr>
          <w:rFonts w:ascii="Arial" w:hAnsi="Arial" w:cs="Arial"/>
          <w:sz w:val="22"/>
          <w:szCs w:val="22"/>
        </w:rPr>
        <w:fldChar w:fldCharType="end"/>
      </w:r>
      <w:r w:rsidR="009E1771">
        <w:rPr>
          <w:rFonts w:ascii="Arial" w:hAnsi="Arial" w:cs="Arial"/>
          <w:sz w:val="22"/>
          <w:szCs w:val="22"/>
        </w:rPr>
        <w:t xml:space="preserve"> T</w:t>
      </w:r>
      <w:r w:rsidR="003F5D58">
        <w:rPr>
          <w:rFonts w:ascii="Arial" w:hAnsi="Arial" w:cs="Arial"/>
          <w:sz w:val="22"/>
          <w:szCs w:val="22"/>
        </w:rPr>
        <w:t xml:space="preserve">his is the first </w:t>
      </w:r>
      <w:r w:rsidR="00114822">
        <w:rPr>
          <w:rFonts w:ascii="Arial" w:hAnsi="Arial" w:cs="Arial"/>
          <w:sz w:val="22"/>
          <w:szCs w:val="22"/>
        </w:rPr>
        <w:t>analysis of all known exposures in conjunction with</w:t>
      </w:r>
      <w:r w:rsidR="009E1771">
        <w:rPr>
          <w:rFonts w:ascii="Arial" w:hAnsi="Arial" w:cs="Arial"/>
          <w:sz w:val="22"/>
          <w:szCs w:val="22"/>
        </w:rPr>
        <w:t xml:space="preserve"> </w:t>
      </w:r>
      <w:r w:rsidR="00F3017F">
        <w:rPr>
          <w:rFonts w:ascii="Arial" w:hAnsi="Arial" w:cs="Arial"/>
          <w:sz w:val="22"/>
          <w:szCs w:val="22"/>
        </w:rPr>
        <w:t>risk</w:t>
      </w:r>
      <w:r w:rsidR="009E1771">
        <w:rPr>
          <w:rFonts w:ascii="Arial" w:hAnsi="Arial" w:cs="Arial"/>
          <w:sz w:val="22"/>
          <w:szCs w:val="22"/>
        </w:rPr>
        <w:t xml:space="preserve"> of</w:t>
      </w:r>
      <w:r w:rsidR="00F3017F">
        <w:rPr>
          <w:rFonts w:ascii="Arial" w:hAnsi="Arial" w:cs="Arial"/>
          <w:sz w:val="22"/>
          <w:szCs w:val="22"/>
        </w:rPr>
        <w:t xml:space="preserve"> a broad range of ILD diagnoses. This work addresses an important knowledge gap, particularly given the evolving recognition of shared biology across</w:t>
      </w:r>
      <w:r w:rsidR="00481A16">
        <w:rPr>
          <w:rFonts w:ascii="Arial" w:hAnsi="Arial" w:cs="Arial"/>
          <w:sz w:val="22"/>
          <w:szCs w:val="22"/>
        </w:rPr>
        <w:t xml:space="preserve"> ILD subtypes.</w:t>
      </w:r>
      <w:r w:rsidR="00886DA7">
        <w:rPr>
          <w:rFonts w:ascii="Arial" w:hAnsi="Arial" w:cs="Arial"/>
          <w:sz w:val="22"/>
          <w:szCs w:val="22"/>
        </w:rPr>
        <w:fldChar w:fldCharType="begin"/>
      </w:r>
      <w:r w:rsidR="00086A29">
        <w:rPr>
          <w:rFonts w:ascii="Arial" w:hAnsi="Arial" w:cs="Arial"/>
          <w:sz w:val="22"/>
          <w:szCs w:val="22"/>
        </w:rPr>
        <w:instrText xml:space="preserve"> ADDIN ZOTERO_ITEM CSL_CITATION {"citationID":"3T4tfmpm","properties":{"formattedCitation":"[26]","plainCitation":"[26]","noteIndex":0},"citationItems":[{"id":"sQPELaEq/LMbjnebg","uris":["http://zotero.org/users/local/N7zg5G00/items/QJYRR5UY"],"itemData":{"id":60,"type":"article-journal","abstract":"Idiopathic pulmonary fibrosis (IPF) remains a truly idiopathic fibrotic disease, with a modest genetic predilection and candidate triggers but no overall explanation for the development of disease in non-familial cases. Agreement on terminology has contributed to major clinical and translational advances since the millennium. It is likely that the entity currently captured by the term \"IPF\" will </w:instrText>
      </w:r>
      <w:r w:rsidR="00086A29">
        <w:rPr>
          <w:rFonts w:ascii="Arial" w:hAnsi="Arial" w:cs="Arial"/>
          <w:sz w:val="22"/>
          <w:szCs w:val="22"/>
        </w:rPr>
        <w:lastRenderedPageBreak/>
        <w:instrText xml:space="preserve">be radically reclassified over the next decade, either through \"splitting\" (into IPF subgroups responding selectively to individual disease-modifying agents) or through \"lumping\" of IPF with other forms of progressive fibrotic lung disease (with shared pathogenetic mechanisms and IPF-like disease behaviour). In this perspective, we summarise the clinical and pathogenetic justification for a focus on \"the progressive fibrotic phenotype\" in future clinical and translational research. By this means, we can hope to address the needs of non-IPF patients with inexorably progressive fibrotic disease, currently disenfranchised by lack of access to agents that are efficacious in IPF. In this regard, ongoing trials of anti-fibrotic therapies in non-IPF patients with progressive fibrosis may be highly influential. Future revision of IPF nomenclature may be warranted if there are major conceptual changes but without compelling justification, the benefits of renaming IPF are likely to be outweighed by the resulting confusion.","container-title":"The European Respiratory Journal","DOI":"10.1183/13993003.00692-2018","ISSN":"1399-3003","issue":"5","journalAbbreviation":"Eur Respir J","language":"eng","note":"PMID: 29773608","page":"1800692","source":"PubMed","title":"What's in a name? That which we call IPF, by any other name would act the same","title-short":"What's in a name?","volume":"51","author":[{"family":"Wells","given":"Athol U."},{"family":"Brown","given":"Kevin K."},{"family":"Flaherty","given":"Kevin R."},{"family":"Kolb","given":"Martin"},{"family":"Thannickal","given":"Victor J."},{"literal":"IPF Consensus Working Group"}],"issued":{"date-parts":[["2018",5]]}}}],"schema":"https://github.com/citation-style-language/schema/raw/master/csl-citation.json"} </w:instrText>
      </w:r>
      <w:r w:rsidR="00886DA7">
        <w:rPr>
          <w:rFonts w:ascii="Arial" w:hAnsi="Arial" w:cs="Arial"/>
          <w:sz w:val="22"/>
          <w:szCs w:val="22"/>
        </w:rPr>
        <w:fldChar w:fldCharType="separate"/>
      </w:r>
      <w:r w:rsidR="00086A29">
        <w:rPr>
          <w:rFonts w:ascii="Arial" w:hAnsi="Arial" w:cs="Arial"/>
          <w:sz w:val="22"/>
        </w:rPr>
        <w:t>[26]</w:t>
      </w:r>
      <w:r w:rsidR="00886DA7">
        <w:rPr>
          <w:rFonts w:ascii="Arial" w:hAnsi="Arial" w:cs="Arial"/>
          <w:sz w:val="22"/>
          <w:szCs w:val="22"/>
        </w:rPr>
        <w:fldChar w:fldCharType="end"/>
      </w:r>
    </w:p>
    <w:p w14:paraId="12767F4A" w14:textId="77777777" w:rsidR="00481A16" w:rsidRDefault="00481A16" w:rsidP="002B6C71">
      <w:pPr>
        <w:spacing w:line="480" w:lineRule="auto"/>
        <w:rPr>
          <w:rFonts w:ascii="Arial" w:hAnsi="Arial" w:cs="Arial"/>
          <w:sz w:val="22"/>
          <w:szCs w:val="22"/>
        </w:rPr>
      </w:pPr>
    </w:p>
    <w:p w14:paraId="469D5D99" w14:textId="78F3CCBA" w:rsidR="0093202C" w:rsidRPr="005812E1" w:rsidRDefault="00A85446" w:rsidP="002B6C71">
      <w:pPr>
        <w:spacing w:line="480" w:lineRule="auto"/>
        <w:rPr>
          <w:rFonts w:ascii="Arial" w:hAnsi="Arial" w:cs="Arial"/>
          <w:sz w:val="22"/>
          <w:szCs w:val="22"/>
          <w:lang w:val="en-US"/>
        </w:rPr>
      </w:pPr>
      <w:r>
        <w:rPr>
          <w:rFonts w:ascii="Arial" w:hAnsi="Arial" w:cs="Arial"/>
          <w:sz w:val="22"/>
          <w:szCs w:val="22"/>
        </w:rPr>
        <w:t xml:space="preserve">When comparing the strength of associations between exposures and ILDs, </w:t>
      </w:r>
      <w:r w:rsidR="00071CB5">
        <w:rPr>
          <w:rFonts w:ascii="Arial" w:hAnsi="Arial" w:cs="Arial"/>
          <w:sz w:val="22"/>
          <w:szCs w:val="22"/>
        </w:rPr>
        <w:t>smoking and organic exposures</w:t>
      </w:r>
      <w:r>
        <w:rPr>
          <w:rFonts w:ascii="Arial" w:hAnsi="Arial" w:cs="Arial"/>
          <w:sz w:val="22"/>
          <w:szCs w:val="22"/>
        </w:rPr>
        <w:t xml:space="preserve"> had the highest pooled odds ratio of </w:t>
      </w:r>
      <w:r w:rsidR="000A0D55">
        <w:rPr>
          <w:rFonts w:ascii="Arial" w:hAnsi="Arial" w:cs="Arial"/>
          <w:sz w:val="22"/>
          <w:szCs w:val="22"/>
        </w:rPr>
        <w:t>ILD</w:t>
      </w:r>
      <w:r>
        <w:rPr>
          <w:rFonts w:ascii="Arial" w:hAnsi="Arial" w:cs="Arial"/>
          <w:sz w:val="22"/>
          <w:szCs w:val="22"/>
        </w:rPr>
        <w:t xml:space="preserve">, followed by </w:t>
      </w:r>
      <w:r w:rsidR="00071CB5">
        <w:rPr>
          <w:rFonts w:ascii="Arial" w:hAnsi="Arial" w:cs="Arial"/>
          <w:sz w:val="22"/>
          <w:szCs w:val="22"/>
        </w:rPr>
        <w:t>metals, dust, and asbestos, with silica and fumes trending toward significance.</w:t>
      </w:r>
      <w:r>
        <w:rPr>
          <w:rFonts w:ascii="Arial" w:hAnsi="Arial" w:cs="Arial"/>
          <w:sz w:val="22"/>
          <w:szCs w:val="22"/>
        </w:rPr>
        <w:t xml:space="preserve"> </w:t>
      </w:r>
      <w:r w:rsidR="009A29FB">
        <w:rPr>
          <w:rFonts w:ascii="Arial" w:hAnsi="Arial" w:cs="Arial"/>
          <w:sz w:val="22"/>
          <w:szCs w:val="22"/>
        </w:rPr>
        <w:t>Misclassification could have occurred (</w:t>
      </w:r>
      <w:r w:rsidR="00A5779C">
        <w:rPr>
          <w:rFonts w:ascii="Arial" w:hAnsi="Arial" w:cs="Arial"/>
          <w:sz w:val="22"/>
          <w:szCs w:val="22"/>
        </w:rPr>
        <w:t>e.g</w:t>
      </w:r>
      <w:r w:rsidR="009A29FB">
        <w:rPr>
          <w:rFonts w:ascii="Arial" w:hAnsi="Arial" w:cs="Arial"/>
          <w:sz w:val="22"/>
          <w:szCs w:val="22"/>
        </w:rPr>
        <w:t xml:space="preserve">. silicosis </w:t>
      </w:r>
      <w:r w:rsidR="00250877">
        <w:rPr>
          <w:rFonts w:ascii="Arial" w:hAnsi="Arial" w:cs="Arial"/>
          <w:sz w:val="22"/>
          <w:szCs w:val="22"/>
        </w:rPr>
        <w:t>and asbestosis mistakenly diagnosed as other ILDs</w:t>
      </w:r>
      <w:r w:rsidR="009A29FB">
        <w:rPr>
          <w:rFonts w:ascii="Arial" w:hAnsi="Arial" w:cs="Arial"/>
          <w:sz w:val="22"/>
          <w:szCs w:val="22"/>
        </w:rPr>
        <w:t>),</w:t>
      </w:r>
      <w:r w:rsidR="00221505">
        <w:rPr>
          <w:rFonts w:ascii="Arial" w:hAnsi="Arial" w:cs="Arial"/>
          <w:sz w:val="22"/>
          <w:szCs w:val="22"/>
        </w:rPr>
        <w:t xml:space="preserve"> especially as asbestosis and IPF can be indistinguishable</w:t>
      </w:r>
      <w:r w:rsidR="009A29FB">
        <w:rPr>
          <w:rFonts w:ascii="Arial" w:hAnsi="Arial" w:cs="Arial"/>
          <w:sz w:val="22"/>
          <w:szCs w:val="22"/>
        </w:rPr>
        <w:t>.</w:t>
      </w:r>
      <w:r w:rsidR="00221505">
        <w:rPr>
          <w:rFonts w:ascii="Arial" w:hAnsi="Arial" w:cs="Arial"/>
          <w:sz w:val="22"/>
          <w:szCs w:val="22"/>
        </w:rPr>
        <w:t xml:space="preserve"> However, </w:t>
      </w:r>
      <w:r w:rsidR="00EB29EB">
        <w:rPr>
          <w:rFonts w:ascii="Arial" w:hAnsi="Arial" w:cs="Arial"/>
          <w:sz w:val="22"/>
          <w:szCs w:val="22"/>
        </w:rPr>
        <w:t xml:space="preserve">as myriad radiologic patterns can arise from the same inhalational exposure, </w:t>
      </w:r>
      <w:r w:rsidR="00605CB0">
        <w:rPr>
          <w:rFonts w:ascii="Arial" w:hAnsi="Arial" w:cs="Arial"/>
          <w:sz w:val="22"/>
          <w:szCs w:val="22"/>
        </w:rPr>
        <w:t>association</w:t>
      </w:r>
      <w:r w:rsidR="00EB29EB">
        <w:rPr>
          <w:rFonts w:ascii="Arial" w:hAnsi="Arial" w:cs="Arial"/>
          <w:sz w:val="22"/>
          <w:szCs w:val="22"/>
        </w:rPr>
        <w:t xml:space="preserve"> between these exposures and </w:t>
      </w:r>
      <w:r w:rsidR="0001705C">
        <w:rPr>
          <w:rFonts w:ascii="Arial" w:hAnsi="Arial" w:cs="Arial"/>
          <w:sz w:val="22"/>
          <w:szCs w:val="22"/>
        </w:rPr>
        <w:t xml:space="preserve">other </w:t>
      </w:r>
      <w:r w:rsidR="00F3017F">
        <w:rPr>
          <w:rFonts w:ascii="Arial" w:hAnsi="Arial" w:cs="Arial"/>
          <w:sz w:val="22"/>
          <w:szCs w:val="22"/>
        </w:rPr>
        <w:t>I</w:t>
      </w:r>
      <w:r w:rsidR="00EB29EB">
        <w:rPr>
          <w:rFonts w:ascii="Arial" w:hAnsi="Arial" w:cs="Arial"/>
          <w:sz w:val="22"/>
          <w:szCs w:val="22"/>
        </w:rPr>
        <w:t>LDs remains plausible</w:t>
      </w:r>
      <w:r w:rsidR="00886DA7">
        <w:rPr>
          <w:rFonts w:ascii="Arial" w:hAnsi="Arial" w:cs="Arial"/>
          <w:sz w:val="22"/>
          <w:szCs w:val="22"/>
        </w:rPr>
        <w:t>.</w:t>
      </w:r>
      <w:r w:rsidR="00886DA7">
        <w:rPr>
          <w:rFonts w:ascii="Arial" w:hAnsi="Arial" w:cs="Arial"/>
          <w:sz w:val="22"/>
          <w:szCs w:val="22"/>
        </w:rPr>
        <w:fldChar w:fldCharType="begin"/>
      </w:r>
      <w:r w:rsidR="00DA2A1A">
        <w:rPr>
          <w:rFonts w:ascii="Arial" w:hAnsi="Arial" w:cs="Arial"/>
          <w:sz w:val="22"/>
          <w:szCs w:val="22"/>
        </w:rPr>
        <w:instrText xml:space="preserve"> ADDIN ZOTERO_ITEM CSL_CITATION {"citationID":"ib1g1nMM","properties":{"formattedCitation":"[27]","plainCitation":"[27]","noteIndex":0},"citationItems":[{"id":"sQPELaEq/cVjnxioR","uris":["http://zotero.org/users/local/N7zg5G00/items/FR7W423V"],"itemData":{"id":62,"type":"article-journal","abstract":"Imaging of occupational lung disease, often perceived as a static </w:instrText>
      </w:r>
      <w:r w:rsidR="00DA2A1A">
        <w:rPr>
          <w:rFonts w:ascii="Arial" w:hAnsi="Arial" w:cs="Arial"/>
          <w:sz w:val="22"/>
          <w:szCs w:val="22"/>
        </w:rPr>
        <w:lastRenderedPageBreak/>
        <w:instrText xml:space="preserve">discipline, continues to evolve with changes in industry and imaging technology. The challenge of accurately identifying an occupational exposure as the cause of lung disease demands a team approach, requiring integration of imaging features with exposure type, time course, and severity. Increasing use of computed tomography has demonstrated that specific occupational exposures can result in a variety of patterns of lung injury. The radiologist must understand the spectrum of expected imaging patterns related to known occupational exposures and must also recognize newly described occupational exposure risks, often related to recent changes in industrial practices.","container-title":"Radiology","DOI":"10.1148/radiol.13121415","ISSN":"1527-1315","issue":"3","journalAbbreviation":"Radiology","language":"eng","note":"PMID: 24568704","page":"681-696","source":"PubMed","title":"State of the art: Imaging of occupational lung disease","title-short":"State of the art","volume":"270","author":[{"family":"Cox","given":"Christian W."},{"family":"Rose","given":"Cecile S."},{"family":"Lynch","given":"David A."}],"issued":{"date-parts":[["2014",3]]}}}],"schema":"https://github.com/citation-style-language/schema/raw/master/csl-citation.json"} </w:instrText>
      </w:r>
      <w:r w:rsidR="00886DA7">
        <w:rPr>
          <w:rFonts w:ascii="Arial" w:hAnsi="Arial" w:cs="Arial"/>
          <w:sz w:val="22"/>
          <w:szCs w:val="22"/>
        </w:rPr>
        <w:fldChar w:fldCharType="separate"/>
      </w:r>
      <w:r w:rsidR="00DA2A1A">
        <w:rPr>
          <w:rFonts w:ascii="Arial" w:hAnsi="Arial" w:cs="Arial"/>
          <w:sz w:val="22"/>
        </w:rPr>
        <w:t>[27]</w:t>
      </w:r>
      <w:r w:rsidR="00886DA7">
        <w:rPr>
          <w:rFonts w:ascii="Arial" w:hAnsi="Arial" w:cs="Arial"/>
          <w:sz w:val="22"/>
          <w:szCs w:val="22"/>
        </w:rPr>
        <w:fldChar w:fldCharType="end"/>
      </w:r>
      <w:r w:rsidR="00EB29EB">
        <w:rPr>
          <w:rFonts w:ascii="Arial" w:hAnsi="Arial" w:cs="Arial"/>
          <w:sz w:val="22"/>
          <w:szCs w:val="22"/>
        </w:rPr>
        <w:t xml:space="preserve"> </w:t>
      </w:r>
      <w:r w:rsidR="00071CB5">
        <w:rPr>
          <w:rFonts w:ascii="Arial" w:hAnsi="Arial" w:cs="Arial"/>
          <w:sz w:val="22"/>
          <w:szCs w:val="22"/>
        </w:rPr>
        <w:t>While silica is well known to cause silicosis, a form of pneumoconiosis that was excluded from this analysis, its association with scleroderma is also well described.</w:t>
      </w:r>
      <w:r w:rsidR="00071CB5">
        <w:rPr>
          <w:rFonts w:ascii="Arial" w:hAnsi="Arial" w:cs="Arial"/>
          <w:sz w:val="22"/>
          <w:szCs w:val="22"/>
        </w:rPr>
        <w:fldChar w:fldCharType="begin"/>
      </w:r>
      <w:r w:rsidR="00DA2A1A">
        <w:rPr>
          <w:rFonts w:ascii="Arial" w:hAnsi="Arial" w:cs="Arial"/>
          <w:sz w:val="22"/>
          <w:szCs w:val="22"/>
        </w:rPr>
        <w:instrText xml:space="preserve"> ADDIN ZOTERO_ITEM CSL_CITATION {"citationID":"QyqOdtjp","properties":{"formattedCitation":"[28]","plainCitation":"[28]","noteIndex":0},"citationItems":[{"id":1489,"uris":["http://zotero.org/users/local/5isXr7c7/items/25V82I75"],"itemData":{"id":1489,"type":"article-journal","abstract":"Objective\nThere are few data regarding the existence of clinical differences between patients with systemic sclerosis (scleroderma) exposed to silica (SSc-si) and “idiopathic” cases (SSc-id). Our goal is to describe the clinical characteristics of patients with SSc-si and see if they differ from the SSc-id cases.\nMethods\nWe performed a systematic review of the literature by searching the MEDLINE, EMBASE and Web of Science databases. We also included our own series of patients diagnosed with SSc-si and SSc-id controls at the “Complejo Hospitalario Universitario de Vigo (CHUVI)” from 1985 to January 2013.\nResults\nThe review of the literature disclosed 32 published series, with clinical data of 254 SSc-si patients (96% males). SSc-si represented 37.5–86% of the scleroderma males and 0–2.7% of the scleroderma females. Globally, more than expected proportion of diffuse forms (61%) and interstitial lung disease (81%) were observed in exposed patients. In the present series, the diagnosis of SSc exposure to silica was recorded in nine patients (9.5%), showing predominance of the diffuse form (77%, p = 0.001), positivity for anti-Scl70 </w:instrText>
      </w:r>
      <w:r w:rsidR="00DA2A1A">
        <w:rPr>
          <w:rFonts w:ascii="Arial" w:hAnsi="Arial" w:cs="Arial"/>
          <w:sz w:val="22"/>
          <w:szCs w:val="22"/>
        </w:rPr>
        <w:lastRenderedPageBreak/>
        <w:instrText xml:space="preserve">(55%, p = 0.001), presence of ILD (78%, p = 0.048) and lower survival (9.2 versus 15.1, p = 0.023). Diffuse variant remained more prevalent analysing exposed versus non-exposed women (50% versus 8%, p = 0,000) and exposed versus non-exposed men (85.8% versus 50%, p = 0,000).\nConclusion\nSilica exposure is a predominant risk factor in male SSc populations. The review of the literature is consistent with an association of SSc-si and diffuse scleroderma. A trend toward lower survival was observed in our series in SSc-si group.","container-title":"Seminars in Arthritis and Rheumatism","DOI":"10.1016/j.semarthrit.2015.06.004","ISSN":"0049-0172","issue":"3","journalAbbreviation":"Seminars in Arthritis and Rheumatism","page":"294-300","source":"ScienceDirect","title":"Clinical peculiarities of patients with scleroderma exposed to silica: A systematic review of the literature","title-short":"Clinical peculiarities of patients with scleroderma exposed to silica","volume":"45","author":[{"family":"Freire","given":"Mayka"},{"family":"Alonso","given":"María"},{"family":"Rivera","given":"Alberto"},{"family":"Sousa","given":"Adrián"},{"family":"Soto","given":"Adriana"},{"family":"Gómez-Sousa","given":"Jose Manuel"},{"family":"Baroja","given":"Aida"},{"family":"Vázquez-Triñanes","given":"Caritina"},{"family":"Sopeña","given":"Bernardo"}],"issued":{"date-parts":[["2015",12,1]]}}}],"schema":"https://github.com/citation-style-language/schema/raw/master/csl-citation.json"} </w:instrText>
      </w:r>
      <w:r w:rsidR="00071CB5">
        <w:rPr>
          <w:rFonts w:ascii="Arial" w:hAnsi="Arial" w:cs="Arial"/>
          <w:sz w:val="22"/>
          <w:szCs w:val="22"/>
        </w:rPr>
        <w:fldChar w:fldCharType="separate"/>
      </w:r>
      <w:r w:rsidR="00DA2A1A">
        <w:rPr>
          <w:rFonts w:ascii="Arial" w:hAnsi="Arial" w:cs="Arial"/>
          <w:sz w:val="22"/>
        </w:rPr>
        <w:t>[28]</w:t>
      </w:r>
      <w:r w:rsidR="00071CB5">
        <w:rPr>
          <w:rFonts w:ascii="Arial" w:hAnsi="Arial" w:cs="Arial"/>
          <w:sz w:val="22"/>
          <w:szCs w:val="22"/>
        </w:rPr>
        <w:fldChar w:fldCharType="end"/>
      </w:r>
      <w:r w:rsidR="00071CB5">
        <w:rPr>
          <w:rFonts w:ascii="Arial" w:hAnsi="Arial" w:cs="Arial"/>
          <w:sz w:val="22"/>
          <w:szCs w:val="22"/>
        </w:rPr>
        <w:t xml:space="preserve">. Asbestos and silica </w:t>
      </w:r>
      <w:r w:rsidR="00250877">
        <w:rPr>
          <w:rFonts w:ascii="Arial" w:hAnsi="Arial" w:cs="Arial"/>
          <w:sz w:val="22"/>
          <w:szCs w:val="22"/>
        </w:rPr>
        <w:t>are</w:t>
      </w:r>
      <w:r>
        <w:rPr>
          <w:rFonts w:ascii="Arial" w:hAnsi="Arial" w:cs="Arial"/>
          <w:sz w:val="22"/>
          <w:szCs w:val="22"/>
        </w:rPr>
        <w:t xml:space="preserve"> </w:t>
      </w:r>
      <w:r w:rsidR="009A29FB">
        <w:rPr>
          <w:rFonts w:ascii="Arial" w:hAnsi="Arial" w:cs="Arial"/>
          <w:sz w:val="22"/>
          <w:szCs w:val="22"/>
        </w:rPr>
        <w:t>predominantly</w:t>
      </w:r>
      <w:r w:rsidR="00250877">
        <w:rPr>
          <w:rFonts w:ascii="Arial" w:hAnsi="Arial" w:cs="Arial"/>
          <w:sz w:val="22"/>
          <w:szCs w:val="22"/>
        </w:rPr>
        <w:t xml:space="preserve"> </w:t>
      </w:r>
      <w:r>
        <w:rPr>
          <w:rFonts w:ascii="Arial" w:hAnsi="Arial" w:cs="Arial"/>
          <w:sz w:val="22"/>
          <w:szCs w:val="22"/>
        </w:rPr>
        <w:t>occupational exposure</w:t>
      </w:r>
      <w:r w:rsidR="00250877">
        <w:rPr>
          <w:rFonts w:ascii="Arial" w:hAnsi="Arial" w:cs="Arial"/>
          <w:sz w:val="22"/>
          <w:szCs w:val="22"/>
        </w:rPr>
        <w:t>s</w:t>
      </w:r>
      <w:r>
        <w:rPr>
          <w:rFonts w:ascii="Arial" w:hAnsi="Arial" w:cs="Arial"/>
          <w:sz w:val="22"/>
          <w:szCs w:val="22"/>
        </w:rPr>
        <w:t xml:space="preserve">, </w:t>
      </w:r>
      <w:r w:rsidR="009A29FB">
        <w:rPr>
          <w:rFonts w:ascii="Arial" w:hAnsi="Arial" w:cs="Arial"/>
          <w:sz w:val="22"/>
          <w:szCs w:val="22"/>
        </w:rPr>
        <w:t>and thus</w:t>
      </w:r>
      <w:r w:rsidR="00250877">
        <w:rPr>
          <w:rFonts w:ascii="Arial" w:hAnsi="Arial" w:cs="Arial"/>
          <w:sz w:val="22"/>
          <w:szCs w:val="22"/>
        </w:rPr>
        <w:t xml:space="preserve"> our</w:t>
      </w:r>
      <w:r w:rsidR="009A29FB">
        <w:rPr>
          <w:rFonts w:ascii="Arial" w:hAnsi="Arial" w:cs="Arial"/>
          <w:sz w:val="22"/>
          <w:szCs w:val="22"/>
        </w:rPr>
        <w:t xml:space="preserve"> </w:t>
      </w:r>
      <w:r>
        <w:rPr>
          <w:rFonts w:ascii="Arial" w:hAnsi="Arial" w:cs="Arial"/>
          <w:sz w:val="22"/>
          <w:szCs w:val="22"/>
        </w:rPr>
        <w:t>data suggest that clinicians should prioritize the occupational history and potential attendant exposures when assessing patients for risk of ILD.</w:t>
      </w:r>
      <w:r w:rsidR="00E53298">
        <w:rPr>
          <w:rFonts w:ascii="Arial" w:hAnsi="Arial" w:cs="Arial"/>
          <w:sz w:val="22"/>
          <w:szCs w:val="22"/>
        </w:rPr>
        <w:t xml:space="preserve"> Furthermore, these findings emphasize the importance of assessing for inorganic exposures </w:t>
      </w:r>
      <w:r w:rsidR="00A711EA">
        <w:rPr>
          <w:rFonts w:ascii="Arial" w:hAnsi="Arial" w:cs="Arial"/>
          <w:sz w:val="22"/>
          <w:szCs w:val="22"/>
        </w:rPr>
        <w:t>in the clinical assessment ILD risk, not merely the organic exposures that are classically associated with HP.</w:t>
      </w:r>
    </w:p>
    <w:p w14:paraId="03B2FB96" w14:textId="77777777" w:rsidR="00C71955" w:rsidRPr="00E5158C" w:rsidRDefault="00C71955" w:rsidP="002B6C71">
      <w:pPr>
        <w:spacing w:line="480" w:lineRule="auto"/>
        <w:rPr>
          <w:rFonts w:ascii="Arial" w:hAnsi="Arial" w:cs="Arial"/>
          <w:sz w:val="22"/>
          <w:szCs w:val="22"/>
        </w:rPr>
      </w:pPr>
    </w:p>
    <w:p w14:paraId="1F067C87" w14:textId="2B7F8015" w:rsidR="00201CF1" w:rsidRPr="00E5158C" w:rsidRDefault="00201CF1" w:rsidP="002B6C71">
      <w:pPr>
        <w:spacing w:line="480" w:lineRule="auto"/>
        <w:rPr>
          <w:rFonts w:ascii="Arial" w:hAnsi="Arial" w:cs="Arial"/>
          <w:sz w:val="22"/>
          <w:szCs w:val="22"/>
        </w:rPr>
      </w:pPr>
      <w:r w:rsidRPr="00E5158C">
        <w:rPr>
          <w:rFonts w:ascii="Arial" w:hAnsi="Arial" w:cs="Arial"/>
          <w:sz w:val="22"/>
          <w:szCs w:val="22"/>
        </w:rPr>
        <w:t>The relationship between smoking and ILD, particularly smoking and IPF, is well established and underscored by our study findings.</w:t>
      </w:r>
      <w:r w:rsidR="00C0376D" w:rsidRPr="00E5158C">
        <w:rPr>
          <w:rFonts w:ascii="Arial" w:hAnsi="Arial" w:cs="Arial"/>
          <w:sz w:val="22"/>
          <w:szCs w:val="22"/>
        </w:rPr>
        <w:fldChar w:fldCharType="begin"/>
      </w:r>
      <w:r w:rsidR="00086A29">
        <w:rPr>
          <w:rFonts w:ascii="Arial" w:hAnsi="Arial" w:cs="Arial"/>
          <w:sz w:val="22"/>
          <w:szCs w:val="22"/>
        </w:rPr>
        <w:instrText xml:space="preserve"> ADDIN ZOTERO_ITEM CSL_CITATION {"citationID":"MYrCs0pC","properties":{"formattedCitation":"[29]","plainCitation":"[29]","noteIndex":0},"citationItems":[{"id":924,"uris":["http://zotero.org/users/local/5isXr7c7/items/K7TUUNXU"],"itemData":{"id":924,"type":"article-journal","abstract":"Idiopathic pulmonary fibrosis (IPF) is a chronic, progressive, fibrosing interstitial lung disease of unknown cause. It has a high risk of rapid progression and mortality. We conducted a systematic review and meta-analysis to evaluate the risk factor of IPF. We searched Medline, Embase, and the Cochrane library from the earliest record to March, 2020. Case–control studies on occupational and environmental risk </w:instrText>
      </w:r>
      <w:r w:rsidR="00086A29">
        <w:rPr>
          <w:rFonts w:ascii="Arial" w:hAnsi="Arial" w:cs="Arial"/>
          <w:sz w:val="22"/>
          <w:szCs w:val="22"/>
        </w:rPr>
        <w:lastRenderedPageBreak/>
        <w:instrText xml:space="preserve">factors or on jobs with a risk of IPF were searched for. From 2490 relevant records, 12 studies were included. Any occupational or environmental exposure to metal dust (OR 1.83, 95% CI 1.15–2.91, I2 = 54%), wood dust (OR 1.62 5% CI 1.04–2.53, I2 = 5%) and pesticide (OR 2.07, 95% CI 1.24–3.45, I2 = 0%) were associated with an increased risk of IPF. Farming or agricultural work (OR 1.88, 95% CI 1.17–3.04, I2 = 67%) was also associated with an increased risk of IPF. Moreover, smoking increased IPF risk with an odds ratio of 1.39 (95% CI 1.01–1.91, I2 = 29%). In conclusion, metal dust, wood dust, pesticide, occupational history of farming or agriculture and ever smoking increased the risk of IPF.","container-title":"Scientific Reports","DOI":"10.1038/s41598-021-81591-z","ISSN":"2045-2322","issue":"1","journalAbbreviation":"Sci Rep","language":"en","license":"2021 The Author(s)","note":"number: 1\npublisher: Nature Publishing Group","page":"4318","source":"www.nature.com","title":"Occupational and environmental risk factors of idiopathic pulmonary fibrosis: a systematic review and meta-analyses","title-short":"Occupational and environmental risk factors of idiopathic pulmonary fibrosis","volume":"11","author":[{"family":"Park","given":"Yeonkyung"},{"family":"Ahn","given":"Chiwon"},{"family":"Kim","given":"Tae-Hyung"}],"issued":{"date-parts":[["2021",3,2]]}}}],"schema":"https://github.com/citation-style-language/schema/raw/master/csl-citation.json"} </w:instrText>
      </w:r>
      <w:r w:rsidR="00C0376D" w:rsidRPr="00E5158C">
        <w:rPr>
          <w:rFonts w:ascii="Arial" w:hAnsi="Arial" w:cs="Arial"/>
          <w:sz w:val="22"/>
          <w:szCs w:val="22"/>
        </w:rPr>
        <w:fldChar w:fldCharType="separate"/>
      </w:r>
      <w:r w:rsidR="00086A29">
        <w:rPr>
          <w:rFonts w:ascii="Arial" w:hAnsi="Arial" w:cs="Arial"/>
          <w:sz w:val="22"/>
        </w:rPr>
        <w:t>[29]</w:t>
      </w:r>
      <w:r w:rsidR="00C0376D" w:rsidRPr="00E5158C">
        <w:rPr>
          <w:rFonts w:ascii="Arial" w:hAnsi="Arial" w:cs="Arial"/>
          <w:sz w:val="22"/>
          <w:szCs w:val="22"/>
        </w:rPr>
        <w:fldChar w:fldCharType="end"/>
      </w:r>
      <w:r w:rsidRPr="00E5158C">
        <w:rPr>
          <w:rFonts w:ascii="Arial" w:hAnsi="Arial" w:cs="Arial"/>
          <w:sz w:val="22"/>
          <w:szCs w:val="22"/>
        </w:rPr>
        <w:t xml:space="preserve"> While the mechanism underpinning this relationship is not entirely understood, cigarette </w:t>
      </w:r>
      <w:r w:rsidR="007E31F2" w:rsidRPr="00E5158C">
        <w:rPr>
          <w:rFonts w:ascii="Arial" w:hAnsi="Arial" w:cs="Arial"/>
          <w:sz w:val="22"/>
          <w:szCs w:val="22"/>
        </w:rPr>
        <w:t>smoke has been found to activate collagen synthesis and fibroblast proliferation via TGF-</w:t>
      </w:r>
      <w:r w:rsidR="007E31F2" w:rsidRPr="00E5158C">
        <w:rPr>
          <w:rFonts w:ascii="Arial" w:hAnsi="Arial" w:cs="Arial"/>
          <w:sz w:val="22"/>
          <w:szCs w:val="22"/>
        </w:rPr>
        <w:sym w:font="Symbol" w:char="F062"/>
      </w:r>
      <w:r w:rsidR="007E31F2" w:rsidRPr="00E5158C">
        <w:rPr>
          <w:rFonts w:ascii="Arial" w:hAnsi="Arial" w:cs="Arial"/>
          <w:sz w:val="22"/>
          <w:szCs w:val="22"/>
        </w:rPr>
        <w:t>1 signaling in mouse models of pulmonary fibrosis.</w:t>
      </w:r>
      <w:r w:rsidR="007E31F2" w:rsidRPr="00E5158C">
        <w:rPr>
          <w:rFonts w:ascii="Arial" w:hAnsi="Arial" w:cs="Arial"/>
          <w:sz w:val="22"/>
          <w:szCs w:val="22"/>
        </w:rPr>
        <w:fldChar w:fldCharType="begin"/>
      </w:r>
      <w:r w:rsidR="00086A29">
        <w:rPr>
          <w:rFonts w:ascii="Arial" w:hAnsi="Arial" w:cs="Arial"/>
          <w:sz w:val="22"/>
          <w:szCs w:val="22"/>
        </w:rPr>
        <w:instrText xml:space="preserve"> ADDIN ZOTERO_ITEM CSL_CITATION {"citationID":"9j47zz3z","properties":{"formattedCitation":"[30]","plainCitation":"[30]","noteIndex":0},"citationItems":[{"id":1388,"uris":["http://zotero.org/users/local/5isXr7c7/items/VSCNIT7N"],"itemData":{"id":1388,"type":"article-journal","abstract":"Idiopathic pulmonary fibrosis (IPF) is a chronic progressive lung disease that typically leads to respiratory failure and death. The cause of IPF is poorly understood. Although several environmental and occupational factors are considered as risk factors in IPF, cigarette smoking seems to be the most strongly associated risk factor. Here firstly, we treated mice with cigarette (16 mg tar, 1.0 mg nicotine in each cigarette) smoking and tried to explore the role of cigarette smoking in pulmonary fibrosis. Mice were continuously subjected to smoke for about 1 h each day (12 cigarettes per day, 5 days per week) during 40 days. Bleomycin was administrated by intraperitoneal injection at a dose of 40 mg/kg on days 1, 5, 8, 11 and 15. We found bleomycin induced pulmonary fibrosis in mice, and cigarette smoking augmented bleomycin-induced fibrosis </w:instrText>
      </w:r>
      <w:r w:rsidR="00086A29">
        <w:rPr>
          <w:rFonts w:ascii="Arial" w:hAnsi="Arial" w:cs="Arial"/>
          <w:sz w:val="22"/>
          <w:szCs w:val="22"/>
        </w:rPr>
        <w:lastRenderedPageBreak/>
        <w:instrText xml:space="preserve">reflected by both in fibrotic area and percentages of collagen in the lungs. Then we prepared and employed cigarette smoke extract (CSE) in cell models and found that CSE could induce the activation of p-Smad2/3 and p-Akt, as well as collagen-I synthesis and cell proliferation in lung fibroblasts and pleural mesothelial cells (PMCs). TGF-β1 signaling mediated CSE-induced PMCs migration. Moreover, in vitro studies revealed that CSE had superimposed effect on bleomycin-induced activation of TGF-β-Smad2/3 and -Akt signaling. TGF-β-Smad2/3 and -Akt signaling were further augmented by cigarette smoking in the lung of bleomycin-treated mice. Taken together, these findings represent the first evidence that cigarette smoking aggravated bleomycin-induced pulmonary fibrosis via TGF-β1 signaling.","container-title":"Toxicology Letters","DOI":"10.1016/j.toxlet.2018.12.008","ISSN":"1879-3169","journalAbbreviation":"Toxicol Lett","language":"eng","note":"PMID: 30572104","page":"1-8","source":"PubMed","title":"Cigarette smoking aggravates bleomycin-induced experimental pulmonary fibrosis","volume":"303","author":[{"family":"Zhou","given":"Li-Ling"},{"family":"Wang","given":"Meng"},{"family":"Liu","given":"Fei"},{"family":"Lu","given":"Yu-Zhi"},{"family":"Song","given":"Lin-Jie"},{"family":"Xiong","given":"Liang"},{"family":"Xiang","given":"Fei"},{"family":"He","given":"Xin-Liang"},{"family":"Shuai","given":"Shi-Yuan"},{"family":"Xin","given":"Jian-Bao"},{"family":"Ye","given":"Hong"},{"family":"Yu","given":"Fan"},{"family":"Ma","given":"Wan-Li"}],"issued":{"date-parts":[["2019",3,15]]}}}],"schema":"https://github.com/citation-style-language/schema/raw/master/csl-citation.json"} </w:instrText>
      </w:r>
      <w:r w:rsidR="007E31F2" w:rsidRPr="00E5158C">
        <w:rPr>
          <w:rFonts w:ascii="Arial" w:hAnsi="Arial" w:cs="Arial"/>
          <w:sz w:val="22"/>
          <w:szCs w:val="22"/>
        </w:rPr>
        <w:fldChar w:fldCharType="separate"/>
      </w:r>
      <w:r w:rsidR="00086A29">
        <w:rPr>
          <w:rFonts w:ascii="Arial" w:hAnsi="Arial" w:cs="Arial"/>
          <w:sz w:val="22"/>
        </w:rPr>
        <w:t>[30]</w:t>
      </w:r>
      <w:r w:rsidR="007E31F2" w:rsidRPr="00E5158C">
        <w:rPr>
          <w:rFonts w:ascii="Arial" w:hAnsi="Arial" w:cs="Arial"/>
          <w:sz w:val="22"/>
          <w:szCs w:val="22"/>
        </w:rPr>
        <w:fldChar w:fldCharType="end"/>
      </w:r>
      <w:r w:rsidR="007E31F2" w:rsidRPr="00E5158C">
        <w:rPr>
          <w:rFonts w:ascii="Arial" w:hAnsi="Arial" w:cs="Arial"/>
          <w:sz w:val="22"/>
          <w:szCs w:val="22"/>
        </w:rPr>
        <w:t xml:space="preserve"> We found this effect of smoking on ILD incidence was </w:t>
      </w:r>
      <w:r w:rsidR="00071CB5">
        <w:rPr>
          <w:rFonts w:ascii="Arial" w:hAnsi="Arial" w:cs="Arial"/>
          <w:sz w:val="22"/>
          <w:szCs w:val="22"/>
        </w:rPr>
        <w:t>present in both IPF and</w:t>
      </w:r>
      <w:r w:rsidR="007E31F2" w:rsidRPr="00E5158C">
        <w:rPr>
          <w:rFonts w:ascii="Arial" w:hAnsi="Arial" w:cs="Arial"/>
          <w:sz w:val="22"/>
          <w:szCs w:val="22"/>
        </w:rPr>
        <w:t xml:space="preserve"> non-IPF ILDs</w:t>
      </w:r>
      <w:r w:rsidR="00FF66A2">
        <w:rPr>
          <w:rFonts w:ascii="Arial" w:hAnsi="Arial" w:cs="Arial"/>
          <w:sz w:val="22"/>
          <w:szCs w:val="22"/>
        </w:rPr>
        <w:t>, which is relatively novel and historically under-appreciated outside of the smoking-related ILDs</w:t>
      </w:r>
      <w:r w:rsidR="007E31F2" w:rsidRPr="00E5158C">
        <w:rPr>
          <w:rFonts w:ascii="Arial" w:hAnsi="Arial" w:cs="Arial"/>
          <w:sz w:val="22"/>
          <w:szCs w:val="22"/>
        </w:rPr>
        <w:t xml:space="preserve">. </w:t>
      </w:r>
      <w:r w:rsidR="005E3D34">
        <w:rPr>
          <w:rFonts w:ascii="Arial" w:hAnsi="Arial" w:cs="Arial"/>
          <w:sz w:val="22"/>
          <w:szCs w:val="22"/>
        </w:rPr>
        <w:t xml:space="preserve">This finding illustrates </w:t>
      </w:r>
      <w:r w:rsidR="00C71955" w:rsidRPr="00E5158C">
        <w:rPr>
          <w:rFonts w:ascii="Arial" w:hAnsi="Arial" w:cs="Arial"/>
          <w:sz w:val="22"/>
          <w:szCs w:val="22"/>
        </w:rPr>
        <w:t xml:space="preserve">the need to refine exposure assessment tools, even for those </w:t>
      </w:r>
      <w:r w:rsidR="005E3D34">
        <w:rPr>
          <w:rFonts w:ascii="Arial" w:hAnsi="Arial" w:cs="Arial"/>
          <w:sz w:val="22"/>
          <w:szCs w:val="22"/>
        </w:rPr>
        <w:t xml:space="preserve">with </w:t>
      </w:r>
      <w:r w:rsidR="00071CB5">
        <w:rPr>
          <w:rFonts w:ascii="Arial" w:hAnsi="Arial" w:cs="Arial"/>
          <w:sz w:val="22"/>
          <w:szCs w:val="22"/>
        </w:rPr>
        <w:t>other causes for ILD like connective tissue disease</w:t>
      </w:r>
      <w:r w:rsidR="005E3D34">
        <w:rPr>
          <w:rFonts w:ascii="Arial" w:hAnsi="Arial" w:cs="Arial"/>
          <w:sz w:val="22"/>
          <w:szCs w:val="22"/>
        </w:rPr>
        <w:t>.</w:t>
      </w:r>
      <w:r w:rsidR="00C71955" w:rsidRPr="00E5158C">
        <w:rPr>
          <w:rFonts w:ascii="Arial" w:hAnsi="Arial" w:cs="Arial"/>
          <w:sz w:val="22"/>
          <w:szCs w:val="22"/>
        </w:rPr>
        <w:t xml:space="preserve"> </w:t>
      </w:r>
    </w:p>
    <w:p w14:paraId="29C715CD" w14:textId="559C2AFE" w:rsidR="009A7FB4" w:rsidRPr="00E5158C" w:rsidRDefault="009A7FB4" w:rsidP="002B6C71">
      <w:pPr>
        <w:spacing w:line="480" w:lineRule="auto"/>
        <w:rPr>
          <w:rFonts w:ascii="Arial" w:hAnsi="Arial" w:cs="Arial"/>
          <w:sz w:val="22"/>
          <w:szCs w:val="22"/>
        </w:rPr>
      </w:pPr>
    </w:p>
    <w:p w14:paraId="22A60AC5" w14:textId="3BB1DF89" w:rsidR="001A47F1" w:rsidRDefault="00CC58C0" w:rsidP="002B6C71">
      <w:pPr>
        <w:spacing w:line="480" w:lineRule="auto"/>
        <w:rPr>
          <w:rFonts w:ascii="Arial" w:hAnsi="Arial" w:cs="Arial"/>
          <w:sz w:val="22"/>
          <w:szCs w:val="22"/>
        </w:rPr>
      </w:pPr>
      <w:r w:rsidRPr="00E5158C">
        <w:rPr>
          <w:rFonts w:ascii="Arial" w:hAnsi="Arial" w:cs="Arial"/>
          <w:sz w:val="22"/>
          <w:szCs w:val="22"/>
        </w:rPr>
        <w:t>VGDF</w:t>
      </w:r>
      <w:r w:rsidR="00071CB5">
        <w:rPr>
          <w:rFonts w:ascii="Arial" w:hAnsi="Arial" w:cs="Arial"/>
          <w:sz w:val="22"/>
          <w:szCs w:val="22"/>
        </w:rPr>
        <w:t xml:space="preserve"> (vapors, gases, dusts, and fumes)</w:t>
      </w:r>
      <w:r w:rsidRPr="00E5158C">
        <w:rPr>
          <w:rFonts w:ascii="Arial" w:hAnsi="Arial" w:cs="Arial"/>
          <w:sz w:val="22"/>
          <w:szCs w:val="22"/>
        </w:rPr>
        <w:t xml:space="preserve">, </w:t>
      </w:r>
      <w:r w:rsidR="00EC42CC" w:rsidRPr="00E5158C">
        <w:rPr>
          <w:rFonts w:ascii="Arial" w:hAnsi="Arial" w:cs="Arial"/>
          <w:sz w:val="22"/>
          <w:szCs w:val="22"/>
        </w:rPr>
        <w:t xml:space="preserve">a well-described entity encompassing exposure risk in COPD patients, </w:t>
      </w:r>
      <w:r w:rsidR="00097132" w:rsidRPr="00E5158C">
        <w:rPr>
          <w:rFonts w:ascii="Arial" w:hAnsi="Arial" w:cs="Arial"/>
          <w:sz w:val="22"/>
          <w:szCs w:val="22"/>
        </w:rPr>
        <w:t>is receiving increased attention in the ILD literature. Most notably, a systematic review found high population attributable fractions of occupational VGDF in common ILDs, including IPF, HP, and sarcoidosis.</w:t>
      </w:r>
      <w:r w:rsidR="00097132" w:rsidRPr="00E5158C">
        <w:rPr>
          <w:rFonts w:ascii="Arial" w:hAnsi="Arial" w:cs="Arial"/>
          <w:sz w:val="22"/>
          <w:szCs w:val="22"/>
        </w:rPr>
        <w:fldChar w:fldCharType="begin"/>
      </w:r>
      <w:r w:rsidR="00A86179">
        <w:rPr>
          <w:rFonts w:ascii="Arial" w:hAnsi="Arial" w:cs="Arial"/>
          <w:sz w:val="22"/>
          <w:szCs w:val="22"/>
        </w:rPr>
        <w:instrText xml:space="preserve"> ADDIN ZOTERO_ITEM CSL_CITATION {"citationID":"9C3kiQWt","properties":{"formattedCitation":"[4]","plainCitation":"[4]","noteIndex":0},"citationItems"</w:instrText>
      </w:r>
      <w:r w:rsidR="00A86179">
        <w:rPr>
          <w:rFonts w:ascii="Arial" w:hAnsi="Arial" w:cs="Arial"/>
          <w:sz w:val="22"/>
          <w:szCs w:val="22"/>
        </w:rPr>
        <w:lastRenderedPageBreak/>
        <w:instrText>:[{"id":46,"uris":["http://zotero.org/users/local/5isXr7c7/items/AW4NNJTI"],"itemData":{"id":46,"type":"article-journal","abstract":"Rationale: Workplace inhalational hazards remain common worldwide, even though they are ameliorable. Previous American Thoracic Society documents have assessed the contribution of workplace exposures to asthma and chronic obstructive pulmonary disease on a population level, but not to other chronic respiratory diseases. The goal of this document is to report an in-depth literature review and data synthesis of the occupational contribution to the burden of the major nonmalignant respiratory diseases, including airway diseases; interstitial fibrosis; hypersensitivity pneumonitis; other noninfectious granulomatous lung diseases, including sarcoidosis; and selected respiratory infections. Methods: Relevant literature was identified for each respiratory condition. The occupational population attributable fraction (PAF) was estimated for those conditions for which there were sufficient population-based studies to allow pooled estimates. For the other conditions, the occupational burden of disease was estimated on the basis of attribution in case series, incidence rate ratios, or attributable fraction within an exposed group. Results: Workplace exposures contribute substantially to the burden of multiple chronic respiratory diseases, including asthma (PAF, 16%); chronic obstructive pulmonary disease (PAF, 14%); chronic bronchitis (PAF, 13%); idiopathic pulmonary fibrosis (PAF, 26%); hypersensitivity pneumonitis (occupational burden, 19%); other granulomatous diseases, including sarcoidosis (occupational burden, 30%); pulmonary alveolar proteinosis (occupational burden, 29%); tuberculosis (occupational burden, 2.3% in silica-exposed workers and 1% in healthcare workers); and community-acquired pneumonia in working-age adults (PAF, 10%). Conclusions: Workplace exposures contribute to the burden of disease across a range of nonmalignant lung conditions in adults (in addition to the 100% burden for the classic occupational pneumoconioses). This burden has important clinical, research, and policy implications. There is a pressing need to improve clinical recognition and public health awareness of the contribution of occupational factors across a range of nonmalignant respiratory diseases.","container-title":"American Journal of Respiratory and Critical Care Medicine","DOI":"10.1164/rccm.201904-0717ST","ISSN":"1535-4970","issue":"11","journalAbbreviation":"Am J Respir Crit Care Med","language":"eng","note":"PMID: 31149852\nPMCID: PMC6543721","page":"1312-1334","source":"PubMed","title":"The Occupational Burden of Nonmalignant Respiratory Diseases. An Official American Thoracic Society and European Respiratory Society Statement","volume":"199","author":[{"family":"Blanc","given":"Paul D."},{"family":"Annesi-</w:instrText>
      </w:r>
      <w:r w:rsidR="00A86179">
        <w:rPr>
          <w:rFonts w:ascii="Arial" w:hAnsi="Arial" w:cs="Arial"/>
          <w:sz w:val="22"/>
          <w:szCs w:val="22"/>
        </w:rPr>
        <w:lastRenderedPageBreak/>
        <w:instrText xml:space="preserve">Maesano","given":"Isabella"},{"family":"Balmes","given":"John R."},{"family":"Cummings","given":"Kristin J."},{"family":"Fishwick","given":"David"},{"family":"Miedinger","given":"David"},{"family":"Murgia","given":"Nicola"},{"family":"Naidoo","given":"Rajen N."},{"family":"Reynolds","given":"Carl J."},{"family":"Sigsgaard","given":"Torben"},{"family":"Torén","given":"Kjell"},{"family":"Vinnikov","given":"Denis"},{"family":"Redlich","given":"Carrie A."}],"issued":{"date-parts":[["2019",6,1]]}}}],"schema":"https://github.com/citation-style-language/schema/raw/master/csl-citation.json"} </w:instrText>
      </w:r>
      <w:r w:rsidR="00097132" w:rsidRPr="00E5158C">
        <w:rPr>
          <w:rFonts w:ascii="Arial" w:hAnsi="Arial" w:cs="Arial"/>
          <w:sz w:val="22"/>
          <w:szCs w:val="22"/>
        </w:rPr>
        <w:fldChar w:fldCharType="separate"/>
      </w:r>
      <w:r w:rsidR="00A86179">
        <w:rPr>
          <w:rFonts w:ascii="Arial" w:hAnsi="Arial" w:cs="Arial"/>
          <w:sz w:val="22"/>
        </w:rPr>
        <w:t>[4]</w:t>
      </w:r>
      <w:r w:rsidR="00097132" w:rsidRPr="00E5158C">
        <w:rPr>
          <w:rFonts w:ascii="Arial" w:hAnsi="Arial" w:cs="Arial"/>
          <w:sz w:val="22"/>
          <w:szCs w:val="22"/>
        </w:rPr>
        <w:fldChar w:fldCharType="end"/>
      </w:r>
      <w:r w:rsidR="00097132" w:rsidRPr="00E5158C">
        <w:rPr>
          <w:rFonts w:ascii="Arial" w:hAnsi="Arial" w:cs="Arial"/>
          <w:sz w:val="22"/>
          <w:szCs w:val="22"/>
        </w:rPr>
        <w:t xml:space="preserve"> </w:t>
      </w:r>
      <w:r w:rsidR="006D37D5">
        <w:rPr>
          <w:rFonts w:ascii="Arial" w:hAnsi="Arial" w:cs="Arial"/>
          <w:sz w:val="22"/>
          <w:szCs w:val="22"/>
        </w:rPr>
        <w:t xml:space="preserve">However, </w:t>
      </w:r>
      <w:r w:rsidR="00F2719C" w:rsidRPr="00E5158C">
        <w:rPr>
          <w:rFonts w:ascii="Arial" w:hAnsi="Arial" w:cs="Arial"/>
          <w:sz w:val="22"/>
          <w:szCs w:val="22"/>
        </w:rPr>
        <w:t xml:space="preserve">VGDF is relatively nonspecific, and our meta-analysis found differential ILD risk based on its constituent components. While no studies </w:t>
      </w:r>
      <w:r w:rsidR="00C71955" w:rsidRPr="00E5158C">
        <w:rPr>
          <w:rFonts w:ascii="Arial" w:hAnsi="Arial" w:cs="Arial"/>
          <w:sz w:val="22"/>
          <w:szCs w:val="22"/>
        </w:rPr>
        <w:t>included herein</w:t>
      </w:r>
      <w:r w:rsidR="00F2719C" w:rsidRPr="00E5158C">
        <w:rPr>
          <w:rFonts w:ascii="Arial" w:hAnsi="Arial" w:cs="Arial"/>
          <w:sz w:val="22"/>
          <w:szCs w:val="22"/>
        </w:rPr>
        <w:t xml:space="preserve"> analyzed vapors individually, dusts were </w:t>
      </w:r>
      <w:r w:rsidR="00C71955" w:rsidRPr="00E5158C">
        <w:rPr>
          <w:rFonts w:ascii="Arial" w:hAnsi="Arial" w:cs="Arial"/>
          <w:sz w:val="22"/>
          <w:szCs w:val="22"/>
        </w:rPr>
        <w:t xml:space="preserve">consistently </w:t>
      </w:r>
      <w:r w:rsidR="00F2719C" w:rsidRPr="00E5158C">
        <w:rPr>
          <w:rFonts w:ascii="Arial" w:hAnsi="Arial" w:cs="Arial"/>
          <w:sz w:val="22"/>
          <w:szCs w:val="22"/>
        </w:rPr>
        <w:t xml:space="preserve">associated with ILD </w:t>
      </w:r>
      <w:r w:rsidR="00C71955" w:rsidRPr="00E5158C">
        <w:rPr>
          <w:rFonts w:ascii="Arial" w:hAnsi="Arial" w:cs="Arial"/>
          <w:sz w:val="22"/>
          <w:szCs w:val="22"/>
        </w:rPr>
        <w:t>risk</w:t>
      </w:r>
      <w:r w:rsidR="00F2719C" w:rsidRPr="00E5158C">
        <w:rPr>
          <w:rFonts w:ascii="Arial" w:hAnsi="Arial" w:cs="Arial"/>
          <w:sz w:val="22"/>
          <w:szCs w:val="22"/>
        </w:rPr>
        <w:t>,</w:t>
      </w:r>
      <w:r w:rsidR="00071CB5">
        <w:rPr>
          <w:rFonts w:ascii="Arial" w:hAnsi="Arial" w:cs="Arial"/>
          <w:sz w:val="22"/>
          <w:szCs w:val="22"/>
        </w:rPr>
        <w:t xml:space="preserve"> fumes had borderline significance, and</w:t>
      </w:r>
      <w:r w:rsidR="00F2719C" w:rsidRPr="00E5158C">
        <w:rPr>
          <w:rFonts w:ascii="Arial" w:hAnsi="Arial" w:cs="Arial"/>
          <w:sz w:val="22"/>
          <w:szCs w:val="22"/>
        </w:rPr>
        <w:t xml:space="preserve"> gases </w:t>
      </w:r>
      <w:r w:rsidR="00071CB5">
        <w:rPr>
          <w:rFonts w:ascii="Arial" w:hAnsi="Arial" w:cs="Arial"/>
          <w:sz w:val="22"/>
          <w:szCs w:val="22"/>
        </w:rPr>
        <w:t>showed no significant relationship.</w:t>
      </w:r>
      <w:r w:rsidR="00F2719C" w:rsidRPr="00E5158C">
        <w:rPr>
          <w:rFonts w:ascii="Arial" w:hAnsi="Arial" w:cs="Arial"/>
          <w:sz w:val="22"/>
          <w:szCs w:val="22"/>
        </w:rPr>
        <w:t xml:space="preserve"> These differences may be due to </w:t>
      </w:r>
      <w:r w:rsidR="005F7FB5" w:rsidRPr="00E5158C">
        <w:rPr>
          <w:rFonts w:ascii="Arial" w:hAnsi="Arial" w:cs="Arial"/>
          <w:sz w:val="22"/>
          <w:szCs w:val="22"/>
        </w:rPr>
        <w:t>variation</w:t>
      </w:r>
      <w:r w:rsidR="00F2719C" w:rsidRPr="00E5158C">
        <w:rPr>
          <w:rFonts w:ascii="Arial" w:hAnsi="Arial" w:cs="Arial"/>
          <w:sz w:val="22"/>
          <w:szCs w:val="22"/>
        </w:rPr>
        <w:t xml:space="preserve"> in size of particulates, as smaller diameter </w:t>
      </w:r>
      <w:r w:rsidR="005F7FB5" w:rsidRPr="00E5158C">
        <w:rPr>
          <w:rFonts w:ascii="Arial" w:hAnsi="Arial" w:cs="Arial"/>
          <w:sz w:val="22"/>
          <w:szCs w:val="22"/>
        </w:rPr>
        <w:t>particles are more likely to be deposited in the lung parenchyma.</w:t>
      </w:r>
      <w:r w:rsidR="005F7FB5" w:rsidRPr="00E5158C">
        <w:rPr>
          <w:rFonts w:ascii="Arial" w:hAnsi="Arial" w:cs="Arial"/>
          <w:sz w:val="22"/>
          <w:szCs w:val="22"/>
        </w:rPr>
        <w:fldChar w:fldCharType="begin"/>
      </w:r>
      <w:r w:rsidR="00DA2A1A">
        <w:rPr>
          <w:rFonts w:ascii="Arial" w:hAnsi="Arial" w:cs="Arial"/>
          <w:sz w:val="22"/>
          <w:szCs w:val="22"/>
        </w:rPr>
        <w:instrText xml:space="preserve"> ADDIN ZOTERO_ITEM CSL_CITATION {"citationID":"Q1fyrAnS","properties":{"formattedCitation":"[31]","plainCitation":"[31]","noteIndex":0},"citationItems":[{"id":1392,"uris":["http://zotero.org/users/local/5isXr7c7/items/5GW32QKF"],"itemData":{"id":1392,"type":"chapter","abstract":"Published in the series Occupational Toxicants, Vol. 12 (1999) The article contains sections titled:","container-title":"The MAK-Collection for Occupational Health and Safety","ISBN":"978-3-527-60041-0","language":"en","license":"Copyright © 2011 Wiley-VCH Verlag GmbH &amp; Co. KGaA","note":"_eprint: https://onlinelibrary.wiley.com/doi/pdf/10.1002/3527600418.mb0aeroaere0012\nDOI: 10.1002/3527600418.mb0aeroaere0012","page":"272-292","publisher":"John Wiley &amp; Sons, Ltd","source":"Wiley Online Library","title":"Aerosols – Dusts, Fumes and Mists [MAK Value Documentation, 1999]","URL":"https://onlinelibrary.wiley.com/doi/abs/10.1002/3527600418.mb0aeroaere0012","accessed":{"date-parts":[["2023",7,26]]},"issued":{"date-parts":[["2012"]]}}}],"schema":"https://github.com/citation-style-language/schema/raw/master/csl-citation.json"} </w:instrText>
      </w:r>
      <w:r w:rsidR="005F7FB5" w:rsidRPr="00E5158C">
        <w:rPr>
          <w:rFonts w:ascii="Arial" w:hAnsi="Arial" w:cs="Arial"/>
          <w:sz w:val="22"/>
          <w:szCs w:val="22"/>
        </w:rPr>
        <w:fldChar w:fldCharType="separate"/>
      </w:r>
      <w:r w:rsidR="00DA2A1A">
        <w:rPr>
          <w:rFonts w:ascii="Arial" w:hAnsi="Arial" w:cs="Arial"/>
          <w:sz w:val="22"/>
        </w:rPr>
        <w:t>[31]</w:t>
      </w:r>
      <w:r w:rsidR="005F7FB5" w:rsidRPr="00E5158C">
        <w:rPr>
          <w:rFonts w:ascii="Arial" w:hAnsi="Arial" w:cs="Arial"/>
          <w:sz w:val="22"/>
          <w:szCs w:val="22"/>
        </w:rPr>
        <w:fldChar w:fldCharType="end"/>
      </w:r>
      <w:r w:rsidR="00E809DD" w:rsidRPr="00E5158C">
        <w:rPr>
          <w:rFonts w:ascii="Arial" w:hAnsi="Arial" w:cs="Arial"/>
          <w:sz w:val="22"/>
          <w:szCs w:val="22"/>
        </w:rPr>
        <w:t xml:space="preserve"> Interestingly, </w:t>
      </w:r>
      <w:r w:rsidR="00B85719">
        <w:rPr>
          <w:rFonts w:ascii="Arial" w:hAnsi="Arial" w:cs="Arial"/>
          <w:sz w:val="22"/>
          <w:szCs w:val="22"/>
        </w:rPr>
        <w:t xml:space="preserve">when stratified by diagnosis, </w:t>
      </w:r>
      <w:r w:rsidR="00E809DD" w:rsidRPr="00E5158C">
        <w:rPr>
          <w:rFonts w:ascii="Arial" w:hAnsi="Arial" w:cs="Arial"/>
          <w:sz w:val="22"/>
          <w:szCs w:val="22"/>
        </w:rPr>
        <w:t xml:space="preserve">dust </w:t>
      </w:r>
      <w:r w:rsidR="00B85719">
        <w:rPr>
          <w:rFonts w:ascii="Arial" w:hAnsi="Arial" w:cs="Arial"/>
          <w:sz w:val="22"/>
          <w:szCs w:val="22"/>
        </w:rPr>
        <w:t>was significantly associated with IPF as well as other ILDs</w:t>
      </w:r>
      <w:r w:rsidR="00E809DD" w:rsidRPr="00E5158C">
        <w:rPr>
          <w:rFonts w:ascii="Arial" w:hAnsi="Arial" w:cs="Arial"/>
          <w:sz w:val="22"/>
          <w:szCs w:val="22"/>
        </w:rPr>
        <w:t xml:space="preserve">. This finding </w:t>
      </w:r>
      <w:r w:rsidR="00C71955" w:rsidRPr="00E5158C">
        <w:rPr>
          <w:rFonts w:ascii="Arial" w:hAnsi="Arial" w:cs="Arial"/>
          <w:sz w:val="22"/>
          <w:szCs w:val="22"/>
        </w:rPr>
        <w:t>is consistent with prev</w:t>
      </w:r>
      <w:r w:rsidR="005E3D34">
        <w:rPr>
          <w:rFonts w:ascii="Arial" w:hAnsi="Arial" w:cs="Arial"/>
          <w:sz w:val="22"/>
          <w:szCs w:val="22"/>
        </w:rPr>
        <w:t>i</w:t>
      </w:r>
      <w:r w:rsidR="00C71955" w:rsidRPr="00E5158C">
        <w:rPr>
          <w:rFonts w:ascii="Arial" w:hAnsi="Arial" w:cs="Arial"/>
          <w:sz w:val="22"/>
          <w:szCs w:val="22"/>
        </w:rPr>
        <w:t>ous reports suggesting that</w:t>
      </w:r>
      <w:r w:rsidR="00E809DD" w:rsidRPr="00E5158C">
        <w:rPr>
          <w:rFonts w:ascii="Arial" w:hAnsi="Arial" w:cs="Arial"/>
          <w:sz w:val="22"/>
          <w:szCs w:val="22"/>
        </w:rPr>
        <w:t xml:space="preserve"> inhalational </w:t>
      </w:r>
      <w:r w:rsidR="00C71955" w:rsidRPr="00E5158C">
        <w:rPr>
          <w:rFonts w:ascii="Arial" w:hAnsi="Arial" w:cs="Arial"/>
          <w:sz w:val="22"/>
          <w:szCs w:val="22"/>
        </w:rPr>
        <w:t>exposures can trigger ILDs considered to be of</w:t>
      </w:r>
      <w:r w:rsidR="00E809DD" w:rsidRPr="00E5158C">
        <w:rPr>
          <w:rFonts w:ascii="Arial" w:hAnsi="Arial" w:cs="Arial"/>
          <w:sz w:val="22"/>
          <w:szCs w:val="22"/>
        </w:rPr>
        <w:t xml:space="preserve"> known etiology.</w:t>
      </w:r>
      <w:r w:rsidR="00E809DD" w:rsidRPr="00E5158C">
        <w:rPr>
          <w:rFonts w:ascii="Arial" w:hAnsi="Arial" w:cs="Arial"/>
          <w:sz w:val="22"/>
          <w:szCs w:val="22"/>
        </w:rPr>
        <w:fldChar w:fldCharType="begin"/>
      </w:r>
      <w:r w:rsidR="00DA2A1A">
        <w:rPr>
          <w:rFonts w:ascii="Arial" w:hAnsi="Arial" w:cs="Arial"/>
          <w:sz w:val="22"/>
          <w:szCs w:val="22"/>
        </w:rPr>
        <w:instrText xml:space="preserve"> ADDIN ZOTERO_ITEM CSL_CITATION {"citationID":"p8X6Lw18","properties":{"formattedCitation":"[32]","plainCitation":"[32]","noteIndex":0},"citationItems":[{"id":111,"uris":["http://zotero.org/users/local/5isXr7c7/items/SJT5AS6E"],"itemData":{"id":111,"type":"article-journal","abstract":"Objective Autoimmune disease is an emerging condition among persons exposed to the </w:instrText>
      </w:r>
      <w:r w:rsidR="00DA2A1A">
        <w:rPr>
          <w:rFonts w:ascii="Arial" w:hAnsi="Arial" w:cs="Arial"/>
          <w:sz w:val="22"/>
          <w:szCs w:val="22"/>
        </w:rPr>
        <w:lastRenderedPageBreak/>
        <w:instrText xml:space="preserve">September 11, 2001 attack on the World Trade Center (WTC). Components of the dust cloud resulting from the collapse of the WTC have been associated with development of a systemic autoimmune disease, as has posttraumatic stress disorder (PTSD). We undertook this study to determine whether dust exposure and PTSD were associated with an increased risk of systemic autoimmune disease in a 9/11-exposed cohort. Methods Among 43,133 WTC Health Registry enrollees, 2,786 self-reported having a post-9/11 systemic autoimmune disease. We obtained informed consent to review medical records to validate systemic autoimmune disease diagnoses for 1,041 enrollees. Diagnoses of systemic autoimmune diseases were confirmed by classification criteria, rheumatologist diagnosis, or having been prescribed systemic autoimmune disease medication. Controls were enrollees who denied having an autoimmune disease diagnosis (n = 37,017). We used multivariable log-binomial regression to examine the association between multiple 9/11 exposures and risk of post-9/11 systemic autoimmune disease, stratifying by responders (rescue, recovery, and clean-up workers) and community members (e.g., residents, area workers). Results We identified 118 persons with systemic autoimmune disease. Rheumatoid arthritis was most frequent (n = 71), followed by Sjӧgren's syndrome (n = 22), systemic lupus erythematosus (n = 20), myositis (n = 9), mixed connective tissue disease (n = 7), and scleroderma (n = 4). Among 9/11 responders, those with intense dust cloud exposure had almost twice the risk of systemic autoimmune disease (adjusted risk ratio 1.86 [95% confidence interval 1.02–3.40]). Community members with PTSD had a nearly 3-fold increased risk of systemic autoimmune disease. Conclusion Intense dust cloud exposure among responders and PTSD among community members were associated with a statistically significant increased risk of new-onset systemic autoimmune disease. Clinicians treating 9/11 survivors should be aware of the potential increased risk of systemic autoimmune disease in this population.","container-title":"Arthritis &amp; Rheumatology","DOI":"10.1002/art.41175","ISSN":"2326-5205","issue":"5","language":"en","note":"_eprint: https://onlinelibrary.wiley.com/doi/pdf/10.1002/art.41175","page":"849-859","source":"Wiley Online Library","title":"Systemic Autoimmune Disease Among Adults Exposed to the September 11, 2001 Terrorist Attack","volume":"72","author":[{"family":"Miller-Archie","given":"Sara A."},{"family":"Izmirly","given":"Peter M."},{"family":"Berman","given":"Jessica R."},{"family":"Brite","given":"Jennifer"},{"family":"Walker","given":"Deborah J."},{"family":"Dasilva","given":"Renato C."},{"family":"Petrsoric","given":"Lysa </w:instrText>
      </w:r>
      <w:r w:rsidR="00DA2A1A">
        <w:rPr>
          <w:rFonts w:ascii="Arial" w:hAnsi="Arial" w:cs="Arial"/>
          <w:sz w:val="22"/>
          <w:szCs w:val="22"/>
        </w:rPr>
        <w:lastRenderedPageBreak/>
        <w:instrText xml:space="preserve">J."},{"family":"Cone","given":"James E."}],"issued":{"date-parts":[["2020"]]}}}],"schema":"https://github.com/citation-style-language/schema/raw/master/csl-citation.json"} </w:instrText>
      </w:r>
      <w:r w:rsidR="00E809DD" w:rsidRPr="00E5158C">
        <w:rPr>
          <w:rFonts w:ascii="Arial" w:hAnsi="Arial" w:cs="Arial"/>
          <w:sz w:val="22"/>
          <w:szCs w:val="22"/>
        </w:rPr>
        <w:fldChar w:fldCharType="separate"/>
      </w:r>
      <w:r w:rsidR="00DA2A1A">
        <w:rPr>
          <w:rFonts w:ascii="Arial" w:hAnsi="Arial" w:cs="Arial"/>
          <w:sz w:val="22"/>
        </w:rPr>
        <w:t>[32]</w:t>
      </w:r>
      <w:r w:rsidR="00E809DD" w:rsidRPr="00E5158C">
        <w:rPr>
          <w:rFonts w:ascii="Arial" w:hAnsi="Arial" w:cs="Arial"/>
          <w:sz w:val="22"/>
          <w:szCs w:val="22"/>
        </w:rPr>
        <w:fldChar w:fldCharType="end"/>
      </w:r>
      <w:r w:rsidR="00DB6533">
        <w:rPr>
          <w:rFonts w:ascii="Arial" w:hAnsi="Arial" w:cs="Arial"/>
          <w:sz w:val="22"/>
          <w:szCs w:val="22"/>
        </w:rPr>
        <w:t xml:space="preserve"> </w:t>
      </w:r>
      <w:r w:rsidR="000E1606">
        <w:rPr>
          <w:rFonts w:ascii="Arial" w:hAnsi="Arial" w:cs="Arial"/>
          <w:sz w:val="22"/>
          <w:szCs w:val="22"/>
        </w:rPr>
        <w:t xml:space="preserve">Future studies should </w:t>
      </w:r>
      <w:r w:rsidR="003F3B49">
        <w:rPr>
          <w:rFonts w:ascii="Arial" w:hAnsi="Arial" w:cs="Arial"/>
          <w:sz w:val="22"/>
          <w:szCs w:val="22"/>
        </w:rPr>
        <w:t>clarify</w:t>
      </w:r>
      <w:r w:rsidR="000E1606">
        <w:rPr>
          <w:rFonts w:ascii="Arial" w:hAnsi="Arial" w:cs="Arial"/>
          <w:sz w:val="22"/>
          <w:szCs w:val="22"/>
        </w:rPr>
        <w:t xml:space="preserve"> if the relationship between dusts and non-IPF ILD is universal or found </w:t>
      </w:r>
      <w:r w:rsidR="003F3B49">
        <w:rPr>
          <w:rFonts w:ascii="Arial" w:hAnsi="Arial" w:cs="Arial"/>
          <w:sz w:val="22"/>
          <w:szCs w:val="22"/>
        </w:rPr>
        <w:t>only with</w:t>
      </w:r>
      <w:r w:rsidR="000E1606">
        <w:rPr>
          <w:rFonts w:ascii="Arial" w:hAnsi="Arial" w:cs="Arial"/>
          <w:sz w:val="22"/>
          <w:szCs w:val="22"/>
        </w:rPr>
        <w:t>in specific disease subtypes.</w:t>
      </w:r>
    </w:p>
    <w:p w14:paraId="023591A6" w14:textId="77777777" w:rsidR="001A47F1" w:rsidRDefault="001A47F1" w:rsidP="002B6C71">
      <w:pPr>
        <w:spacing w:line="480" w:lineRule="auto"/>
        <w:rPr>
          <w:rFonts w:ascii="Arial" w:hAnsi="Arial" w:cs="Arial"/>
          <w:sz w:val="22"/>
          <w:szCs w:val="22"/>
        </w:rPr>
      </w:pPr>
    </w:p>
    <w:p w14:paraId="632A4416" w14:textId="04A6E7E9" w:rsidR="009A7FB4" w:rsidRPr="00E5158C" w:rsidRDefault="00DB6533" w:rsidP="002B6C71">
      <w:pPr>
        <w:spacing w:line="480" w:lineRule="auto"/>
        <w:rPr>
          <w:rFonts w:ascii="Arial" w:hAnsi="Arial" w:cs="Arial"/>
          <w:sz w:val="22"/>
          <w:szCs w:val="22"/>
        </w:rPr>
      </w:pPr>
      <w:r>
        <w:rPr>
          <w:rFonts w:ascii="Arial" w:hAnsi="Arial" w:cs="Arial"/>
          <w:sz w:val="22"/>
          <w:szCs w:val="22"/>
        </w:rPr>
        <w:t xml:space="preserve">The lack of association between air pollution exposure and ILD risk in </w:t>
      </w:r>
      <w:r w:rsidR="00913E59">
        <w:rPr>
          <w:rFonts w:ascii="Arial" w:hAnsi="Arial" w:cs="Arial"/>
          <w:sz w:val="22"/>
          <w:szCs w:val="22"/>
        </w:rPr>
        <w:t>our</w:t>
      </w:r>
      <w:r>
        <w:rPr>
          <w:rFonts w:ascii="Arial" w:hAnsi="Arial" w:cs="Arial"/>
          <w:sz w:val="22"/>
          <w:szCs w:val="22"/>
        </w:rPr>
        <w:t xml:space="preserve"> study </w:t>
      </w:r>
      <w:r w:rsidR="00913E59">
        <w:rPr>
          <w:rFonts w:ascii="Arial" w:hAnsi="Arial" w:cs="Arial"/>
          <w:sz w:val="22"/>
          <w:szCs w:val="22"/>
        </w:rPr>
        <w:t>may be</w:t>
      </w:r>
      <w:r>
        <w:rPr>
          <w:rFonts w:ascii="Arial" w:hAnsi="Arial" w:cs="Arial"/>
          <w:sz w:val="22"/>
          <w:szCs w:val="22"/>
        </w:rPr>
        <w:t xml:space="preserve"> reflective of </w:t>
      </w:r>
      <w:r w:rsidR="00913E59">
        <w:rPr>
          <w:rFonts w:ascii="Arial" w:hAnsi="Arial" w:cs="Arial"/>
          <w:sz w:val="22"/>
          <w:szCs w:val="22"/>
        </w:rPr>
        <w:t>the heterogeneous impacts of air pollution and its constitutive components</w:t>
      </w:r>
      <w:r w:rsidR="00F5579C">
        <w:rPr>
          <w:rFonts w:ascii="Arial" w:hAnsi="Arial" w:cs="Arial"/>
          <w:sz w:val="22"/>
          <w:szCs w:val="22"/>
        </w:rPr>
        <w:t>; our meta-analysis did not contain enough effect estimates of individual pollutants to warrant meta-analysis by specific pollutant type</w:t>
      </w:r>
      <w:r w:rsidR="00913E59">
        <w:rPr>
          <w:rFonts w:ascii="Arial" w:hAnsi="Arial" w:cs="Arial"/>
          <w:sz w:val="22"/>
          <w:szCs w:val="22"/>
        </w:rPr>
        <w:t xml:space="preserve">. </w:t>
      </w:r>
      <w:r w:rsidR="002C2CCB">
        <w:rPr>
          <w:rFonts w:ascii="Arial" w:hAnsi="Arial" w:cs="Arial"/>
          <w:sz w:val="22"/>
          <w:szCs w:val="22"/>
        </w:rPr>
        <w:t xml:space="preserve">Additionally, the </w:t>
      </w:r>
      <w:r w:rsidR="004C7A2E">
        <w:rPr>
          <w:rFonts w:ascii="Arial" w:hAnsi="Arial" w:cs="Arial"/>
          <w:sz w:val="22"/>
          <w:szCs w:val="22"/>
        </w:rPr>
        <w:t xml:space="preserve">long </w:t>
      </w:r>
      <w:r w:rsidR="002C2CCB">
        <w:rPr>
          <w:rFonts w:ascii="Arial" w:hAnsi="Arial" w:cs="Arial"/>
          <w:sz w:val="22"/>
          <w:szCs w:val="22"/>
        </w:rPr>
        <w:t>laten</w:t>
      </w:r>
      <w:r w:rsidR="004C7A2E">
        <w:rPr>
          <w:rFonts w:ascii="Arial" w:hAnsi="Arial" w:cs="Arial"/>
          <w:sz w:val="22"/>
          <w:szCs w:val="22"/>
        </w:rPr>
        <w:t xml:space="preserve">cy </w:t>
      </w:r>
      <w:r w:rsidR="002C2CCB">
        <w:rPr>
          <w:rFonts w:ascii="Arial" w:hAnsi="Arial" w:cs="Arial"/>
          <w:sz w:val="22"/>
          <w:szCs w:val="22"/>
        </w:rPr>
        <w:t xml:space="preserve">period between exposure and disease incidence in ILD </w:t>
      </w:r>
      <w:r w:rsidR="00573E9F">
        <w:rPr>
          <w:rFonts w:ascii="Arial" w:hAnsi="Arial" w:cs="Arial"/>
          <w:sz w:val="22"/>
          <w:szCs w:val="22"/>
        </w:rPr>
        <w:t xml:space="preserve">make any </w:t>
      </w:r>
      <w:r w:rsidR="000F632C">
        <w:rPr>
          <w:rFonts w:ascii="Arial" w:hAnsi="Arial" w:cs="Arial"/>
          <w:sz w:val="22"/>
          <w:szCs w:val="22"/>
        </w:rPr>
        <w:t xml:space="preserve">causative </w:t>
      </w:r>
      <w:r w:rsidR="00500939">
        <w:rPr>
          <w:rFonts w:ascii="Arial" w:hAnsi="Arial" w:cs="Arial"/>
          <w:sz w:val="22"/>
          <w:szCs w:val="22"/>
        </w:rPr>
        <w:t>associations with remote pollution exposure difficult to determine,</w:t>
      </w:r>
      <w:r w:rsidR="002C2CCB">
        <w:rPr>
          <w:rFonts w:ascii="Arial" w:hAnsi="Arial" w:cs="Arial"/>
          <w:sz w:val="22"/>
          <w:szCs w:val="22"/>
        </w:rPr>
        <w:t xml:space="preserve"> while temporally closer outcomes such as ILD progression</w:t>
      </w:r>
      <w:r w:rsidR="004C7A2E">
        <w:rPr>
          <w:rFonts w:ascii="Arial" w:hAnsi="Arial" w:cs="Arial"/>
          <w:sz w:val="22"/>
          <w:szCs w:val="22"/>
        </w:rPr>
        <w:t xml:space="preserve"> or near-term lung function abnormalities</w:t>
      </w:r>
      <w:r w:rsidR="002C2CCB">
        <w:rPr>
          <w:rFonts w:ascii="Arial" w:hAnsi="Arial" w:cs="Arial"/>
          <w:sz w:val="22"/>
          <w:szCs w:val="22"/>
        </w:rPr>
        <w:t xml:space="preserve"> have </w:t>
      </w:r>
      <w:r w:rsidR="008A7372">
        <w:rPr>
          <w:rFonts w:ascii="Arial" w:hAnsi="Arial" w:cs="Arial"/>
          <w:sz w:val="22"/>
          <w:szCs w:val="22"/>
        </w:rPr>
        <w:t xml:space="preserve">consistently </w:t>
      </w:r>
      <w:r w:rsidR="002C2CCB">
        <w:rPr>
          <w:rFonts w:ascii="Arial" w:hAnsi="Arial" w:cs="Arial"/>
          <w:sz w:val="22"/>
          <w:szCs w:val="22"/>
        </w:rPr>
        <w:t xml:space="preserve">been </w:t>
      </w:r>
      <w:r w:rsidR="00AC50D3">
        <w:rPr>
          <w:rFonts w:ascii="Arial" w:hAnsi="Arial" w:cs="Arial"/>
          <w:sz w:val="22"/>
          <w:szCs w:val="22"/>
        </w:rPr>
        <w:t>tied to</w:t>
      </w:r>
      <w:r w:rsidR="002C2CCB">
        <w:rPr>
          <w:rFonts w:ascii="Arial" w:hAnsi="Arial" w:cs="Arial"/>
          <w:sz w:val="22"/>
          <w:szCs w:val="22"/>
        </w:rPr>
        <w:t xml:space="preserve"> </w:t>
      </w:r>
      <w:r w:rsidR="000459C9">
        <w:rPr>
          <w:rFonts w:ascii="Arial" w:hAnsi="Arial" w:cs="Arial"/>
          <w:sz w:val="22"/>
          <w:szCs w:val="22"/>
        </w:rPr>
        <w:t xml:space="preserve">increases in </w:t>
      </w:r>
      <w:r w:rsidR="002C2CCB">
        <w:rPr>
          <w:rFonts w:ascii="Arial" w:hAnsi="Arial" w:cs="Arial"/>
          <w:sz w:val="22"/>
          <w:szCs w:val="22"/>
        </w:rPr>
        <w:t>air pollution</w:t>
      </w:r>
      <w:r w:rsidR="006779FB">
        <w:rPr>
          <w:rFonts w:ascii="Arial" w:hAnsi="Arial" w:cs="Arial"/>
          <w:sz w:val="22"/>
          <w:szCs w:val="22"/>
        </w:rPr>
        <w:t>.</w:t>
      </w:r>
      <w:r w:rsidR="002C2CCB">
        <w:rPr>
          <w:rFonts w:ascii="Arial" w:hAnsi="Arial" w:cs="Arial"/>
          <w:sz w:val="22"/>
          <w:szCs w:val="22"/>
        </w:rPr>
        <w:fldChar w:fldCharType="begin"/>
      </w:r>
      <w:r w:rsidR="00DA2A1A">
        <w:rPr>
          <w:rFonts w:ascii="Arial" w:hAnsi="Arial" w:cs="Arial"/>
          <w:sz w:val="22"/>
          <w:szCs w:val="22"/>
        </w:rPr>
        <w:instrText xml:space="preserve"> ADDIN ZOTERO_ITEM CSL_CITATION {"citationID":"DnaRlDO9","properties":{"formattedCitation":"[33]","plainCitation":"[33]","noteIndex":0},"citationItems":[{"id":19,"uris":["http://zotero.org/users/local/5isXr7c7/items/5RU9LPXD"],"itemData":{"id":19,"type":"article-journal","abstract":"BACKGROUND: Idiopathic pulmonary fibrosis (IPF), a progressive disease with an unknown pathogenesis, may be due in part to an abnormal response to injurious stimuli by alveolar epithelial cells. Air pollution and particulate inhalation of matter evoke a wide variety of pulmonary and systemic inflammatory diseases. We therefore hypothesized that increased average ambient particulate matter (PM) concentrations would be associated with an accelerated rate of decline in FVC in IPF.\nMETHODS: We identified a cohort of subjects seen at a single university referral center from 2007 to 2013. Average concentrations of particulate matter &lt; 10 and &lt; 2.5 μg/m3 (PM10 and PM2.5, respectively) were assigned to each patient based on geocoded residential addresses. A linear multivariable mixed-effects model determined the association between the rate of decline in FVC and average PM concentration, controlling for baseline FVC at first measurement and other covariates.\nRESULTS: One hundred thirty-five subjects were included in the final analysis after exclusion of subjects missing repeated spirometry measurements and those for whom exposure data were not available. There was a significant association between PM10 levels and the rate of decline in FVC during the study period, with each μg/m3 increase in PM10 corresponding with an additional 46 cc/y decline in FVC (P = .008).\nCONCLUSIONS: Ambient air pollution, as measured by average PM10 </w:instrText>
      </w:r>
      <w:r w:rsidR="00DA2A1A">
        <w:rPr>
          <w:rFonts w:ascii="Arial" w:hAnsi="Arial" w:cs="Arial"/>
          <w:sz w:val="22"/>
          <w:szCs w:val="22"/>
        </w:rPr>
        <w:lastRenderedPageBreak/>
        <w:instrText xml:space="preserve">concentration, is associated with an increase in the rate of decline of FVC in IPF, suggesting a potential mechanistic role for air pollution in the progression of disease.","container-title":"Chest","DOI":"10.1016/j.chest.2017.07.034","ISSN":"1931-3543","issue":"5","journalAbbreviation":"Chest","language":"eng","note":"PMID: 28802694\nPMCID: PMC6026290","page":"1221-1228","source":"PubMed","title":"Exposure to Ambient Particulate Matter Is Associated With Accelerated Functional Decline in Idiopathic Pulmonary Fibrosis","volume":"153","author":[{"family":"Winterbottom","given":"Christopher J."},{"family":"Shah","given":"Rupal J."},{"family":"Patterson","given":"Karen C."},{"family":"Kreider","given":"Maryl E."},{"family":"Panettieri","given":"Reynold A."},{"family":"Rivera-Lebron","given":"Belinda"},{"family":"Miller","given":"Wallace T."},{"family":"Litzky","given":"Leslie A."},{"family":"Penning","given":"Trevor M."},{"family":"Heinlen","given":"Krista"},{"family":"Jackson","given":"Tara"},{"family":"Localio","given":"A. Russell"},{"family":"Christie","given":"Jason D."}],"issued":{"date-parts":[["2018",5]]}}}],"schema":"https://github.com/citation-style-language/schema/raw/master/csl-citation.json"} </w:instrText>
      </w:r>
      <w:r w:rsidR="002C2CCB">
        <w:rPr>
          <w:rFonts w:ascii="Arial" w:hAnsi="Arial" w:cs="Arial"/>
          <w:sz w:val="22"/>
          <w:szCs w:val="22"/>
        </w:rPr>
        <w:fldChar w:fldCharType="separate"/>
      </w:r>
      <w:r w:rsidR="00DA2A1A">
        <w:rPr>
          <w:rFonts w:ascii="Arial" w:hAnsi="Arial" w:cs="Arial"/>
          <w:sz w:val="22"/>
        </w:rPr>
        <w:t>[33]</w:t>
      </w:r>
      <w:r w:rsidR="002C2CCB">
        <w:rPr>
          <w:rFonts w:ascii="Arial" w:hAnsi="Arial" w:cs="Arial"/>
          <w:sz w:val="22"/>
          <w:szCs w:val="22"/>
        </w:rPr>
        <w:fldChar w:fldCharType="end"/>
      </w:r>
      <w:r w:rsidR="00913E59">
        <w:rPr>
          <w:rFonts w:ascii="Arial" w:hAnsi="Arial" w:cs="Arial"/>
          <w:sz w:val="22"/>
          <w:szCs w:val="22"/>
        </w:rPr>
        <w:t xml:space="preserve"> </w:t>
      </w:r>
      <w:r w:rsidR="005A251A">
        <w:rPr>
          <w:rFonts w:ascii="Arial" w:hAnsi="Arial" w:cs="Arial"/>
          <w:sz w:val="22"/>
          <w:szCs w:val="22"/>
        </w:rPr>
        <w:t xml:space="preserve">Finally, one study of RA patients did show an association with air pollution and ILD, but this study was unable to be meta-analyzed due to </w:t>
      </w:r>
      <w:r w:rsidR="00FF4293">
        <w:rPr>
          <w:rFonts w:ascii="Arial" w:hAnsi="Arial" w:cs="Arial"/>
          <w:sz w:val="22"/>
          <w:szCs w:val="22"/>
        </w:rPr>
        <w:t>a lack of sufficient reported data to convert hazard ratios to odds ratios.</w:t>
      </w:r>
      <w:r w:rsidR="007C5B71">
        <w:rPr>
          <w:rFonts w:ascii="Arial" w:hAnsi="Arial" w:cs="Arial"/>
          <w:sz w:val="22"/>
          <w:szCs w:val="22"/>
        </w:rPr>
        <w:fldChar w:fldCharType="begin"/>
      </w:r>
      <w:r w:rsidR="00DA2A1A">
        <w:rPr>
          <w:rFonts w:ascii="Arial" w:hAnsi="Arial" w:cs="Arial"/>
          <w:sz w:val="22"/>
          <w:szCs w:val="22"/>
        </w:rPr>
        <w:instrText xml:space="preserve"> ADDIN ZOTERO_ITEM CSL_CITATION {"citationID":"2CB2GymH","properties":{"formattedCitation":"[34]","plainCitation":"[34]","noteIndex":0},"citationItems":[{"id":1635,"uris":["http://zotero.org/users/local/5isXr7c7/items/FYUZ7W6A"],"itemData":{"id":1635,"type":"article-journal","abstract":"Background Exposure to ambient fine particulate matter with an aerodynamic diameter &lt;2.5 μg·m−3 (PM2.5) is a risk factor for pulmonary and systemic autoimmune diseases; however, evidence on which PM2.5 chemical components are more harmful is still scant. Our goal is to investigate potential associations between major PM2.5 components and interstitial lung disease (ILD) onset in rheumatoid arthritis (RA).\nMethods New-onset RA subjects identified from a US healthcare insurance database (MarketScan) were followed for new onset of RA-associated ILD (RA-ILD) from 2011 to 2018. Annual concentrations of ambient PM2.5 chemical components (i.e. sulfate, nitrate, ammonium, organic matter, black carbon, mineral dust and sea salt) were estimated by combining satellite retrievals with chemical transport modelling and refined by geographically weighted regression. Exposures from 2006 up to 1 year before ILD </w:instrText>
      </w:r>
      <w:r w:rsidR="00DA2A1A">
        <w:rPr>
          <w:rFonts w:ascii="Arial" w:hAnsi="Arial" w:cs="Arial"/>
          <w:sz w:val="22"/>
          <w:szCs w:val="22"/>
        </w:rPr>
        <w:lastRenderedPageBreak/>
        <w:instrText xml:space="preserve">onset or end of study were assigned to subjects based on their core-based statistical area or metropolitan division codes. A novel time-to-event quantile-based g (generalised)-computation approach was used to estimate potential associations between RA-ILD onset and the exposure mixture of all seven PM2.5 chemical components adjusting for age, sex and prior chronic obstructive pulmonary disease (as a proxy for smoking).\nResults We followed 280 516 new-onset RA patients and detected 2194 RA-ILD cases across 1 394 385 person-years. The adjusted hazard ratio for RA-ILD onset was 1.54 (95% CI 1.47–1.63) per every decile increase in all seven exposures. Ammonium, mineral dust and black carbon contributed more to ILD risk than the other PM2.5 components.\nConclusion Exposure to components of PM2.5, particularly ammonium, increases ILD risk in RA. Introduction Rheumatoid arthritis (RA) is a potentially disabling systemic autoimmune disorder that affects up to 80 million people worldwide [1]. Interstitial lung disease (ILD) is a severe extra-articular RA manifestation that contributes greatly to morbidity and mortality [2, 3]. Although it is increasingly recognised that fine particulate matter with an aerodynamic diameter &lt;2.5 μg·m−3 (PM2.5) in air pollution is an environmental risk factor associated with some pulmonary and systemic autoimmune diseases [4, 5], knowledge about a potential association between ambient PM2.5 and ILD in RA (RA-ILD) is scant. Ambient PM2.5 is composed of different chemical components (e.g. organic matter, black carbon, mineral dust and mineral salt) [6]. A few studies suggested that individual chemical components of PM2.5 may be more closely related to adverse health effects than aggregated PM2.5 [7, 8]. Ambient air pollution has been linked to","container-title":"European Respiratory Journal","DOI":"10.1183/13993003.02149-2021","ISSN":"0903-1936, 1399-3003","issue":"1","journalAbbreviation":"Eur Respir J","language":"en","page":"2102149","source":"DOI.org (Crossref)","title":"Fine particulate matter components and interstitial lung disease in rheumatoid arthritis","volume":"60","author":[{"family":"Zhao","given":"Naizhuo"},{"family":"Al-Aly","given":"Ziyad"},{"family":"Zheng","given":"Boyang"},{"family":"Van Donkelaar","given":"Aaron"},{"family":"Martin","given":"Randall V."},{"family":"Pineau","given":"Christian A."},{"family":"Bernatsky","given":"Sasha"}],"issued":{"date-parts":[["2022",7]]}}}],"schema":"https://github.com/citation-style-language/schema/raw/master/csl-citation.json"} </w:instrText>
      </w:r>
      <w:r w:rsidR="007C5B71">
        <w:rPr>
          <w:rFonts w:ascii="Arial" w:hAnsi="Arial" w:cs="Arial"/>
          <w:sz w:val="22"/>
          <w:szCs w:val="22"/>
        </w:rPr>
        <w:fldChar w:fldCharType="separate"/>
      </w:r>
      <w:r w:rsidR="00DA2A1A">
        <w:rPr>
          <w:rFonts w:ascii="Arial" w:hAnsi="Arial" w:cs="Arial"/>
          <w:sz w:val="22"/>
        </w:rPr>
        <w:t>[34]</w:t>
      </w:r>
      <w:r w:rsidR="007C5B71">
        <w:rPr>
          <w:rFonts w:ascii="Arial" w:hAnsi="Arial" w:cs="Arial"/>
          <w:sz w:val="22"/>
          <w:szCs w:val="22"/>
        </w:rPr>
        <w:fldChar w:fldCharType="end"/>
      </w:r>
      <w:r w:rsidR="005A251A">
        <w:rPr>
          <w:rFonts w:ascii="Arial" w:hAnsi="Arial" w:cs="Arial"/>
          <w:sz w:val="22"/>
          <w:szCs w:val="22"/>
        </w:rPr>
        <w:t xml:space="preserve"> </w:t>
      </w:r>
      <w:r w:rsidR="00D22F78">
        <w:rPr>
          <w:rFonts w:ascii="Arial" w:hAnsi="Arial" w:cs="Arial"/>
          <w:sz w:val="22"/>
          <w:szCs w:val="22"/>
        </w:rPr>
        <w:t>Our</w:t>
      </w:r>
      <w:r w:rsidR="00522ECC">
        <w:rPr>
          <w:rFonts w:ascii="Arial" w:hAnsi="Arial" w:cs="Arial"/>
          <w:sz w:val="22"/>
          <w:szCs w:val="22"/>
        </w:rPr>
        <w:t xml:space="preserve"> </w:t>
      </w:r>
      <w:r w:rsidR="007C5B71">
        <w:rPr>
          <w:rFonts w:ascii="Arial" w:hAnsi="Arial" w:cs="Arial"/>
          <w:sz w:val="22"/>
          <w:szCs w:val="22"/>
        </w:rPr>
        <w:t xml:space="preserve">overall </w:t>
      </w:r>
      <w:r w:rsidR="00522ECC">
        <w:rPr>
          <w:rFonts w:ascii="Arial" w:hAnsi="Arial" w:cs="Arial"/>
          <w:sz w:val="22"/>
          <w:szCs w:val="22"/>
        </w:rPr>
        <w:t xml:space="preserve">findings are </w:t>
      </w:r>
      <w:r w:rsidR="004C7A2E">
        <w:rPr>
          <w:rFonts w:ascii="Arial" w:hAnsi="Arial" w:cs="Arial"/>
          <w:sz w:val="22"/>
          <w:szCs w:val="22"/>
        </w:rPr>
        <w:t>not unexpected given an</w:t>
      </w:r>
      <w:r w:rsidR="00913E59">
        <w:rPr>
          <w:rFonts w:ascii="Arial" w:hAnsi="Arial" w:cs="Arial"/>
          <w:sz w:val="22"/>
          <w:szCs w:val="22"/>
        </w:rPr>
        <w:t xml:space="preserve"> anti</w:t>
      </w:r>
      <w:r w:rsidR="00390AAA">
        <w:rPr>
          <w:rFonts w:ascii="Arial" w:hAnsi="Arial" w:cs="Arial"/>
          <w:sz w:val="22"/>
          <w:szCs w:val="22"/>
        </w:rPr>
        <w:t>cip</w:t>
      </w:r>
      <w:r w:rsidR="00913E59">
        <w:rPr>
          <w:rFonts w:ascii="Arial" w:hAnsi="Arial" w:cs="Arial"/>
          <w:sz w:val="22"/>
          <w:szCs w:val="22"/>
        </w:rPr>
        <w:t xml:space="preserve">ated bias towards the null when air pollution is considered as </w:t>
      </w:r>
      <w:r w:rsidR="00390AAA">
        <w:rPr>
          <w:rFonts w:ascii="Arial" w:hAnsi="Arial" w:cs="Arial"/>
          <w:sz w:val="22"/>
          <w:szCs w:val="22"/>
        </w:rPr>
        <w:t xml:space="preserve">a single </w:t>
      </w:r>
      <w:r w:rsidR="00913E59">
        <w:rPr>
          <w:rFonts w:ascii="Arial" w:hAnsi="Arial" w:cs="Arial"/>
          <w:sz w:val="22"/>
          <w:szCs w:val="22"/>
        </w:rPr>
        <w:t>e</w:t>
      </w:r>
      <w:r w:rsidR="00390AAA">
        <w:rPr>
          <w:rFonts w:ascii="Arial" w:hAnsi="Arial" w:cs="Arial"/>
          <w:sz w:val="22"/>
          <w:szCs w:val="22"/>
        </w:rPr>
        <w:t>xposure</w:t>
      </w:r>
      <w:r w:rsidR="00913E59">
        <w:rPr>
          <w:rFonts w:ascii="Arial" w:hAnsi="Arial" w:cs="Arial"/>
          <w:sz w:val="22"/>
          <w:szCs w:val="22"/>
        </w:rPr>
        <w:t xml:space="preserve">. Ongoing work in this field is focused on the most </w:t>
      </w:r>
      <w:r w:rsidR="00390AAA">
        <w:rPr>
          <w:rFonts w:ascii="Arial" w:hAnsi="Arial" w:cs="Arial"/>
          <w:sz w:val="22"/>
          <w:szCs w:val="22"/>
        </w:rPr>
        <w:t>impactful</w:t>
      </w:r>
      <w:r w:rsidR="00913E59">
        <w:rPr>
          <w:rFonts w:ascii="Arial" w:hAnsi="Arial" w:cs="Arial"/>
          <w:sz w:val="22"/>
          <w:szCs w:val="22"/>
        </w:rPr>
        <w:t xml:space="preserve"> </w:t>
      </w:r>
      <w:r w:rsidR="00913E59">
        <w:rPr>
          <w:rFonts w:ascii="Arial" w:hAnsi="Arial" w:cs="Arial"/>
          <w:sz w:val="22"/>
          <w:szCs w:val="22"/>
        </w:rPr>
        <w:lastRenderedPageBreak/>
        <w:t>components, namely PM</w:t>
      </w:r>
      <w:r w:rsidR="00913E59" w:rsidRPr="003B7BF4">
        <w:rPr>
          <w:rFonts w:ascii="Arial" w:hAnsi="Arial" w:cs="Arial"/>
          <w:sz w:val="22"/>
          <w:szCs w:val="22"/>
          <w:vertAlign w:val="subscript"/>
        </w:rPr>
        <w:t>2.5</w:t>
      </w:r>
      <w:r w:rsidR="00913E59">
        <w:rPr>
          <w:rFonts w:ascii="Arial" w:hAnsi="Arial" w:cs="Arial"/>
          <w:sz w:val="22"/>
          <w:szCs w:val="22"/>
        </w:rPr>
        <w:t xml:space="preserve"> and ultrafine particulates</w:t>
      </w:r>
      <w:r w:rsidR="004C7A2E">
        <w:rPr>
          <w:rFonts w:ascii="Arial" w:hAnsi="Arial" w:cs="Arial"/>
          <w:sz w:val="22"/>
          <w:szCs w:val="22"/>
        </w:rPr>
        <w:t xml:space="preserve">, </w:t>
      </w:r>
      <w:r w:rsidR="00390AAA">
        <w:rPr>
          <w:rFonts w:ascii="Arial" w:hAnsi="Arial" w:cs="Arial"/>
          <w:sz w:val="22"/>
          <w:szCs w:val="22"/>
        </w:rPr>
        <w:t>which will continue to inform pathobiology and risk.</w:t>
      </w:r>
      <w:r w:rsidR="004C7A2E">
        <w:rPr>
          <w:rFonts w:ascii="Arial" w:hAnsi="Arial" w:cs="Arial"/>
          <w:sz w:val="22"/>
          <w:szCs w:val="22"/>
        </w:rPr>
        <w:fldChar w:fldCharType="begin"/>
      </w:r>
      <w:r w:rsidR="00DA2A1A">
        <w:rPr>
          <w:rFonts w:ascii="Arial" w:hAnsi="Arial" w:cs="Arial"/>
          <w:sz w:val="22"/>
          <w:szCs w:val="22"/>
        </w:rPr>
        <w:instrText xml:space="preserve"> ADDIN ZOTERO_ITEM CSL_CITATION {"citationID":"C0zzWRAv","properties":{"formattedCitation":"[35]","plainCitation":"[35]","noteIndex":0},"citationItems":[{"id":1593,"uris":["http://zotero.org/users/local/5isXr7c7/items/HSCXCE3G"],"itemData":{"id":1593,"type":"article-journal","abstract":"RATIONALE: Particulate matter ≤2.5μm (PM2.5) is associated with adverse outcomes in fibrotic interstitial lung disease (fILD), but the impact of ultrafine particulates (UFPs; aerodynamic diameter ≤100nm) remains unknown.\nOBJECTIVE: To evaluate UFP associations with clinical outcomes in fILD.\nMETHODS: Multicenter, prospective cohort study enrolling patients with fILD from the University of Pittsburgh Simmons Center and Pulmonary Fibrosis Foundation Patient Registry (PFF-PR). Using a national-scale UFP model, we linked exposures using three approaches in Simmons (residential address geocoordinates, zip centroid geocoordinates, zip average) and two in PFF-PR where only 5-digit zip code was available (zip centroid, zip average). We tested UFP associations with transplant-free survival using multivariable Cox, baseline percent predicted forced vital capacity (FVC) and diffusion capacity of the lung (DLCO) using multivariable linear regressions, and decline in FVC and DLCO using linear mixed models, adjusting for age, sex, smoking, race, socioeconomic status, site, PM2.5, and nitrogen dioxide.\nRESULTS: Annual mean outdoor UFP levels for 2017 were estimated for 1416 Simmons and 1919 PFF-PR patients. Increased UFP level was associated with transplant-free survival in fully-adjusted Simmons residential address models (HR=1.08 per 1000 particles/cm3, 95%CI 1.01-1.15, p=0.02), but not PFF-PR models, which used less precise linkage approaches. Higher UFP was associated with lower baseline FVC and more rapid FVC decline in Simmons.\nCONCLUSIONS: Increased UFP exposure was associated with transplant-free survival and lung function in the cohort with precise residential location linkage. This work highlights the need for more robust regulatory networks to study the health effects of UFPs nationwide.","container-title":"American Journal of Respiratory and Critical Care Medicine","DOI":"10.1164/rccm.202307-1275OC","ISSN":"1535-4970","journalAbbreviation":"Am J Respir Crit Care Med","language":"eng","note":"PMID: 38019094","source":"PubMed","title":"Ambient Ultrafine Particulate Matter and Clinical Outcomes in Fibrotic Interstitial Lung Disease","author":[{"family":"Goobie","given":"Gillian C."},{"family":"Saha","given":"Provat K."},{"family":"Carlsten","given":"Christopher"},{"family":"Gibson","given":"Kevin F."},{"family":"Johannson","given":"Kerri A."},{"family":"Kass","given":"Daniel </w:instrText>
      </w:r>
      <w:r w:rsidR="00DA2A1A">
        <w:rPr>
          <w:rFonts w:ascii="Arial" w:hAnsi="Arial" w:cs="Arial"/>
          <w:sz w:val="22"/>
          <w:szCs w:val="22"/>
        </w:rPr>
        <w:lastRenderedPageBreak/>
        <w:instrText xml:space="preserve">J."},{"family":"Ryerson","given":"Christopher J."},{"family":"Zhang","given":"Yingze"},{"family":"Robinson","given":"Allen L."},{"family":"Presto","given":"Albert A."},{"family":"Nouraie","given":"S. Mehdi"}],"issued":{"date-parts":[["2023",11,29]]}}}],"schema":"https://github.com/citation-style-language/schema/raw/master/csl-citation.json"} </w:instrText>
      </w:r>
      <w:r w:rsidR="004C7A2E">
        <w:rPr>
          <w:rFonts w:ascii="Arial" w:hAnsi="Arial" w:cs="Arial"/>
          <w:sz w:val="22"/>
          <w:szCs w:val="22"/>
        </w:rPr>
        <w:fldChar w:fldCharType="separate"/>
      </w:r>
      <w:r w:rsidR="00DA2A1A">
        <w:rPr>
          <w:rFonts w:ascii="Arial" w:hAnsi="Arial" w:cs="Arial"/>
          <w:sz w:val="22"/>
        </w:rPr>
        <w:t>[35]</w:t>
      </w:r>
      <w:r w:rsidR="004C7A2E">
        <w:rPr>
          <w:rFonts w:ascii="Arial" w:hAnsi="Arial" w:cs="Arial"/>
          <w:sz w:val="22"/>
          <w:szCs w:val="22"/>
        </w:rPr>
        <w:fldChar w:fldCharType="end"/>
      </w:r>
      <w:r w:rsidR="00390AAA">
        <w:rPr>
          <w:rFonts w:ascii="Arial" w:hAnsi="Arial" w:cs="Arial"/>
          <w:sz w:val="22"/>
          <w:szCs w:val="22"/>
        </w:rPr>
        <w:t xml:space="preserve"> </w:t>
      </w:r>
    </w:p>
    <w:p w14:paraId="3BA5E249" w14:textId="65E6EE66" w:rsidR="009A7FB4" w:rsidRPr="00E5158C" w:rsidRDefault="009A7FB4" w:rsidP="002B6C71">
      <w:pPr>
        <w:spacing w:line="480" w:lineRule="auto"/>
        <w:rPr>
          <w:rFonts w:ascii="Arial" w:hAnsi="Arial" w:cs="Arial"/>
          <w:sz w:val="22"/>
          <w:szCs w:val="22"/>
        </w:rPr>
      </w:pPr>
    </w:p>
    <w:p w14:paraId="369495FA" w14:textId="6B01752F" w:rsidR="001E2FFD" w:rsidRDefault="003819FD" w:rsidP="002B6C71">
      <w:pPr>
        <w:spacing w:line="480" w:lineRule="auto"/>
        <w:rPr>
          <w:rFonts w:ascii="Arial" w:hAnsi="Arial" w:cs="Arial"/>
          <w:sz w:val="22"/>
          <w:szCs w:val="22"/>
        </w:rPr>
      </w:pPr>
      <w:r w:rsidRPr="00E5158C">
        <w:rPr>
          <w:rFonts w:ascii="Arial" w:hAnsi="Arial" w:cs="Arial"/>
          <w:sz w:val="22"/>
          <w:szCs w:val="22"/>
        </w:rPr>
        <w:t>Strengths of this study include it</w:t>
      </w:r>
      <w:r w:rsidR="00C0376D" w:rsidRPr="00E5158C">
        <w:rPr>
          <w:rFonts w:ascii="Arial" w:hAnsi="Arial" w:cs="Arial"/>
          <w:sz w:val="22"/>
          <w:szCs w:val="22"/>
        </w:rPr>
        <w:t xml:space="preserve">s search across multiple databases, double review to mitigate bias, and </w:t>
      </w:r>
      <w:r w:rsidRPr="00E5158C">
        <w:rPr>
          <w:rFonts w:ascii="Arial" w:hAnsi="Arial" w:cs="Arial"/>
          <w:sz w:val="22"/>
          <w:szCs w:val="22"/>
        </w:rPr>
        <w:t xml:space="preserve">comprehensive assessment </w:t>
      </w:r>
      <w:r w:rsidR="00C71955" w:rsidRPr="00E5158C">
        <w:rPr>
          <w:rFonts w:ascii="Arial" w:hAnsi="Arial" w:cs="Arial"/>
          <w:sz w:val="22"/>
          <w:szCs w:val="22"/>
        </w:rPr>
        <w:t xml:space="preserve">of most categories of </w:t>
      </w:r>
      <w:r w:rsidRPr="00E5158C">
        <w:rPr>
          <w:rFonts w:ascii="Arial" w:hAnsi="Arial" w:cs="Arial"/>
          <w:sz w:val="22"/>
          <w:szCs w:val="22"/>
        </w:rPr>
        <w:t xml:space="preserve">ILDs without limitation to one individual subtype. This is especially important as </w:t>
      </w:r>
      <w:r w:rsidR="00C71955" w:rsidRPr="00E5158C">
        <w:rPr>
          <w:rFonts w:ascii="Arial" w:hAnsi="Arial" w:cs="Arial"/>
          <w:sz w:val="22"/>
          <w:szCs w:val="22"/>
        </w:rPr>
        <w:t xml:space="preserve">the field shifts from a historical </w:t>
      </w:r>
      <w:r w:rsidRPr="00E5158C">
        <w:rPr>
          <w:rFonts w:ascii="Arial" w:hAnsi="Arial" w:cs="Arial"/>
          <w:sz w:val="22"/>
          <w:szCs w:val="22"/>
        </w:rPr>
        <w:t>paradigm of subtype-guided ILD diagnosis</w:t>
      </w:r>
      <w:r w:rsidR="00C71955" w:rsidRPr="00E5158C">
        <w:rPr>
          <w:rFonts w:ascii="Arial" w:hAnsi="Arial" w:cs="Arial"/>
          <w:sz w:val="22"/>
          <w:szCs w:val="22"/>
        </w:rPr>
        <w:t xml:space="preserve"> towards grouping by disease behaviours, including the phenotypes and endotypes</w:t>
      </w:r>
      <w:r w:rsidR="009C2212" w:rsidRPr="00E5158C">
        <w:rPr>
          <w:rFonts w:ascii="Arial" w:hAnsi="Arial" w:cs="Arial"/>
          <w:sz w:val="22"/>
          <w:szCs w:val="22"/>
        </w:rPr>
        <w:t xml:space="preserve"> shared by progressive, fibrotic disease.</w:t>
      </w:r>
      <w:r w:rsidR="009C2212" w:rsidRPr="00E5158C">
        <w:rPr>
          <w:rFonts w:ascii="Arial" w:hAnsi="Arial" w:cs="Arial"/>
          <w:sz w:val="22"/>
          <w:szCs w:val="22"/>
        </w:rPr>
        <w:fldChar w:fldCharType="begin"/>
      </w:r>
      <w:r w:rsidR="00DA2A1A">
        <w:rPr>
          <w:rFonts w:ascii="Arial" w:hAnsi="Arial" w:cs="Arial"/>
          <w:sz w:val="22"/>
          <w:szCs w:val="22"/>
        </w:rPr>
        <w:instrText xml:space="preserve"> ADDIN ZOTERO_ITEM CSL_CITATION {"citationID":"xhhFdRE2","properties":{"formattedCitation":"[36]","plainCitation":"[36]","noteIndex":0},"citationItems":[{"id":1228,"uris":["http://zotero.org/users/local/5isXr7c7/items/4P55WEPR"],"itemData":{"id":1228,"type":"article-journal","abstract":"Background: This American Thoracic Society, European Respiratory Society, Japanese Respiratory Society, and Asociación Latinoamericana de Tórax guideline updates prior idiopathic pulmonary fibrosis (IPF) guidelines and addresses the progression of pulmonary fibrosis in patients with interstitial lung diseases (ILDs) other than IPF.\n\nMethods: A committee was composed of multidisciplinary experts in ILD, methodologists, and patient representatives. 1) Update of IPF: Radiological and histopathological criteria for IPF were updated by consensus. Questions about transbronchial lung cryobiopsy, genomic classifier testing, antacid medication, and antireflux surgery were informed by systematic reviews and answered with evidence-based recommendations using the Grading of Recommendations, Assessment, Development and Evaluation (GRADE) approach. 2) Progressive pulmonary fibrosis (PPF): PPF was defined, and then radiological and physiological criteria for PPF were determined by consensus. Questions about pirfenidone and nintedanib were informed by systematic reviews and answered with evidence-based recommendations using the GRADE approach.\n\nResults: 1) Update of IPF: A conditional recommendation was made to regard transbronchial lung cryobiopsy as an acceptable alternative to surgical lung biopsy in centers with appropriate expertise. No recommendation was made for or against genomic classifier testing. Conditional recommendations were made against antacid medication and antireflux surgery for the treatment </w:instrText>
      </w:r>
      <w:r w:rsidR="00DA2A1A">
        <w:rPr>
          <w:rFonts w:ascii="Arial" w:hAnsi="Arial" w:cs="Arial"/>
          <w:sz w:val="22"/>
          <w:szCs w:val="22"/>
        </w:rPr>
        <w:lastRenderedPageBreak/>
        <w:instrText>of IPF. 2) PPF: PPF was defined as at least two of three criteria (worsening symptoms, radiological progression, and physiological progression) occurring within the past year with no alternative explanation in a patient with an ILD other than IPF. A conditional recommendation was made for nintedanib, and additional research into pirfenidone was recommended.\n\nConclusions: The conditional recommendations in this guideline are intended to provide the basis for rational, informed decisions by clinicians.","container-title":"American Journal of Respiratory and Critical Care Medicine","DOI":"10.1164/rccm.202202-0399ST","ISSN":"1073-449X","issue":"9","journalAbbreviation":"Am J Respir Crit Care Med","note":"publisher: American Thoracic Society - AJRCCM","page":"e18-e47","source":"atsjournals.org (Atypon)","title":"Idiopathic Pulmonary Fibrosis (an Update) and Progressive Pulmonary Fibrosis in Adults: An Official ATS/ERS/JRS/ALAT Clinical Practice Guideline","title-short":"Idiopathic Pulmonary Fibrosis (an Update) and Progressive Pulmonary Fibrosis in Adults","volume":"205","author":[{"family":"Raghu","given":"Ganesh"},{"family":"Remy-Jardin","given":"Martine"},{"family":"Richeldi","given":"Luca"},{"family":"Thomson","given":"Carey C."},{"family":"Inoue","given":"Yoshikazu"},{"family":"Johkoh","given":"Takeshi"},{"family":"Kreuter","given":"Michael"},{"family":"Lynch","given":"David A."},{"family":"Maher","given":"Toby M."},{"family":"Martinez","given":"Fernando J."},{"family":"Molina-Molina","given":"Maria"},{"family":"Myers","given":"Jeffrey L."},{"family":"Nicholson","given":"Andrew G."},{"family":"Ryerson","given":"Christopher J."},{"family":"Strek","given":"Mary E."},{"family":"Troy","given":"Lauren K."},{"family":"Wijsenbeek","given":"Marlies"},{"family":"Mammen","given":"Manoj J."},{"family":"Hossain","given":"Tanzib"},{"family":"Bissell","given":"Brittany D."},{"family":"Herman","given":"Derrick D."},{"family":"Hon","given":"Stephanie M."},{"family":"Kheir","given":"Fayez"},{"family":"Khor","given":"Yet H."},{"family":"Macrea","given":"Madalina"},{"family":"Antoniou","given":"Katerina M."},{"family":"Bouros","given":"Demosthenes"},{"family":"Buendia-Roldan","given":"Ivette"},{"family":"Caro","given":"Fabian"},{"family":"Crestani","given":"Bruno"},{"family":"Ho","given":"Lawrence"},{"family":"Morisset","given":"Julie"},{"family":"Olson","given":"Amy L."},{"family":"Podolanczuk","given":"Anna"},{"family":"Poletti","given":"Venerino"},{"family":"Selman","given":"M</w:instrText>
      </w:r>
      <w:r w:rsidR="00DA2A1A">
        <w:rPr>
          <w:rFonts w:ascii="Arial" w:hAnsi="Arial" w:cs="Arial"/>
          <w:sz w:val="22"/>
          <w:szCs w:val="22"/>
        </w:rPr>
        <w:lastRenderedPageBreak/>
        <w:instrText xml:space="preserve">oisés"},{"family":"Ewing","given":"Thomas"},{"family":"Jones","given":"Stephen"},{"family":"Knight","given":"Shandra L."},{"family":"Ghazipura","given":"Marya"},{"family":"Wilson","given":"Kevin C."}],"issued":{"date-parts":[["2022",5]]}}}],"schema":"https://github.com/citation-style-language/schema/raw/master/csl-citation.json"} </w:instrText>
      </w:r>
      <w:r w:rsidR="009C2212" w:rsidRPr="00E5158C">
        <w:rPr>
          <w:rFonts w:ascii="Arial" w:hAnsi="Arial" w:cs="Arial"/>
          <w:sz w:val="22"/>
          <w:szCs w:val="22"/>
        </w:rPr>
        <w:fldChar w:fldCharType="separate"/>
      </w:r>
      <w:r w:rsidR="00DA2A1A">
        <w:rPr>
          <w:rFonts w:ascii="Arial" w:hAnsi="Arial" w:cs="Arial"/>
          <w:sz w:val="22"/>
        </w:rPr>
        <w:t>[36]</w:t>
      </w:r>
      <w:r w:rsidR="009C2212" w:rsidRPr="00E5158C">
        <w:rPr>
          <w:rFonts w:ascii="Arial" w:hAnsi="Arial" w:cs="Arial"/>
          <w:sz w:val="22"/>
          <w:szCs w:val="22"/>
        </w:rPr>
        <w:fldChar w:fldCharType="end"/>
      </w:r>
      <w:r w:rsidR="009C2212" w:rsidRPr="00E5158C">
        <w:rPr>
          <w:rFonts w:ascii="Arial" w:hAnsi="Arial" w:cs="Arial"/>
          <w:sz w:val="22"/>
          <w:szCs w:val="22"/>
        </w:rPr>
        <w:t xml:space="preserve"> </w:t>
      </w:r>
      <w:r w:rsidR="001E2FFD" w:rsidRPr="00E5158C">
        <w:rPr>
          <w:rFonts w:ascii="Arial" w:hAnsi="Arial" w:cs="Arial"/>
          <w:sz w:val="22"/>
          <w:szCs w:val="22"/>
        </w:rPr>
        <w:t>Limitations include high heterogeneity for many of the estimates</w:t>
      </w:r>
      <w:r w:rsidR="00F5579C">
        <w:rPr>
          <w:rFonts w:ascii="Arial" w:hAnsi="Arial" w:cs="Arial"/>
          <w:sz w:val="22"/>
          <w:szCs w:val="22"/>
        </w:rPr>
        <w:t>, imperfect grouping of individual exposure types into groups,</w:t>
      </w:r>
      <w:r w:rsidR="001E2FFD" w:rsidRPr="00E5158C">
        <w:rPr>
          <w:rFonts w:ascii="Arial" w:hAnsi="Arial" w:cs="Arial"/>
          <w:sz w:val="22"/>
          <w:szCs w:val="22"/>
        </w:rPr>
        <w:t xml:space="preserve"> </w:t>
      </w:r>
      <w:r w:rsidR="00F5579C">
        <w:rPr>
          <w:rFonts w:ascii="Arial" w:hAnsi="Arial" w:cs="Arial"/>
          <w:sz w:val="22"/>
          <w:szCs w:val="22"/>
        </w:rPr>
        <w:t xml:space="preserve">and </w:t>
      </w:r>
      <w:r w:rsidR="001E2FFD" w:rsidRPr="00E5158C">
        <w:rPr>
          <w:rFonts w:ascii="Arial" w:hAnsi="Arial" w:cs="Arial"/>
          <w:sz w:val="22"/>
          <w:szCs w:val="22"/>
        </w:rPr>
        <w:t>high risk of bias for many studies, which is inherent given no validated measure of exposure exists along with the long latency of disease.</w:t>
      </w:r>
      <w:r w:rsidR="003C4E25">
        <w:rPr>
          <w:rFonts w:ascii="Arial" w:hAnsi="Arial" w:cs="Arial"/>
          <w:sz w:val="22"/>
          <w:szCs w:val="22"/>
        </w:rPr>
        <w:t xml:space="preserve"> </w:t>
      </w:r>
      <w:r w:rsidR="00086A29">
        <w:rPr>
          <w:rFonts w:ascii="Arial" w:hAnsi="Arial" w:cs="Arial"/>
          <w:sz w:val="22"/>
          <w:szCs w:val="22"/>
        </w:rPr>
        <w:t>A potential additional limitation contributed by case-control studies is healthy participant bias, by which differential participation by cases and controls in a study can skew effect estimates.</w:t>
      </w:r>
      <w:r w:rsidR="00086A29">
        <w:rPr>
          <w:rFonts w:ascii="Arial" w:hAnsi="Arial" w:cs="Arial"/>
          <w:sz w:val="22"/>
          <w:szCs w:val="22"/>
        </w:rPr>
        <w:fldChar w:fldCharType="begin"/>
      </w:r>
      <w:r w:rsidR="00DA2A1A">
        <w:rPr>
          <w:rFonts w:ascii="Arial" w:hAnsi="Arial" w:cs="Arial"/>
          <w:sz w:val="22"/>
          <w:szCs w:val="22"/>
        </w:rPr>
        <w:instrText xml:space="preserve"> ADDIN ZOTERO_ITEM CSL_CITATION {"citationID":"xEO05FVO","properties":{"formattedCitation":"[37], [38]","plainCitation":"[37], [38]","noteIndex":0},"citationItems":[{"id":1977,"uris":["http://zotero.org/users/local/5isXr7c7/items/8WF7MUGW"],"itemData":{"id":1977,"type":"article-journal","abstract":"Agreement to participate in case–control studies has become low. Healthy participant bias resulting from differential response proportions in cases and controls can distort results; however, the magnitude of bias is difficult to assess. We investigated the effect in a large population-based case–control study on breast cancer, with a participation rate of 43.4% and 64.1% for controls and cases, respectively. We performed a mortality follow-up in 2020 for 3813 cases and 7335 controls recruited during 2002-2005. Standardized mortality ratios (SMRs) for overall mortality and selected causes of death were estimated. The mean age at recruitment was 63.1 years. The overall mortality for controls was 0.66 times lower (95% CI, 0.62–0.69) than for the reference population. For causes of death other than breast cancer, SMRs were similar in cases and controls (0.70 and 0.64). Higher education was associated with lower SMRs in both cases and controls. Options for adjusting the healthy participant bias are limited if the true risk factor distribution in the underlying population is unknown. However, a relevant bias in this particular case–control study is considered unlikely since a similar healthy participant effect was observed for both controls and cases.","container-title":"American Journal of Epidemiology","DOI":"10.1093/aje/kwae155","ISSN":"0002-9262","journalAbbreviation":"American Journal of Epidemiology","page":"kwae155","source":"Silverchair","title":"The healthy participant effect: insights and results from a population-based case–control study on breast cancer","title-short":"The healthy participant effect","author":[{"family":"Maldonado-Cañón","given":"Kevin"},{"family":"Möhl","given":"Annika"},{"family":"Obi","given":"Nadia"},{"family":"Behrens","g</w:instrText>
      </w:r>
      <w:r w:rsidR="00DA2A1A">
        <w:rPr>
          <w:rFonts w:ascii="Arial" w:hAnsi="Arial" w:cs="Arial"/>
          <w:sz w:val="22"/>
          <w:szCs w:val="22"/>
        </w:rPr>
        <w:lastRenderedPageBreak/>
        <w:instrText xml:space="preserve">iven":"Sabine"},{"family":"Flaßkamp","given":"Fabian"},{"family":"Seibold","given":"Petra"},{"family":"Chang-Claude","given":"Jenny"},{"family":"Becher","given":"Heiko"}],"issued":{"date-parts":[["2024",6,24]]}}},{"id":1975,"uris":["http://zotero.org/users/local/5isXr7c7/items/RW8VVXUN"],"itemData":{"id":1975,"type":"article-journal","container-title":"American Journal of Respiratory and Critical Care Medicine","DOI":"10.1164/ajrccm.185.1.104a","ISSN":"1073-449X","issue":"1","journalAbbreviation":"Am J Respir Crit Care Med","note":"publisher: American Thoracic Society - AJRCCM","page":"104-106","source":"atsjournals.org (Atypon)","title":"The Impact of Selection Bias Due to Increasing Response Rates among Population Controls in Occupational Case-Control Studies","volume":"185","author":[{"family":"Möhner","given":"Matthias"}],"issued":{"date-parts":[["2012",1]]}}}],"schema":"https://github.com/citation-style-language/schema/raw/master/csl-citation.json"} </w:instrText>
      </w:r>
      <w:r w:rsidR="00086A29">
        <w:rPr>
          <w:rFonts w:ascii="Arial" w:hAnsi="Arial" w:cs="Arial"/>
          <w:sz w:val="22"/>
          <w:szCs w:val="22"/>
        </w:rPr>
        <w:fldChar w:fldCharType="separate"/>
      </w:r>
      <w:r w:rsidR="00DA2A1A">
        <w:rPr>
          <w:rFonts w:ascii="Arial" w:hAnsi="Arial" w:cs="Arial"/>
          <w:noProof/>
          <w:sz w:val="22"/>
          <w:szCs w:val="22"/>
        </w:rPr>
        <w:t>[37], [38]</w:t>
      </w:r>
      <w:r w:rsidR="00086A29">
        <w:rPr>
          <w:rFonts w:ascii="Arial" w:hAnsi="Arial" w:cs="Arial"/>
          <w:sz w:val="22"/>
          <w:szCs w:val="22"/>
        </w:rPr>
        <w:fldChar w:fldCharType="end"/>
      </w:r>
      <w:r w:rsidR="00086A29">
        <w:rPr>
          <w:rFonts w:ascii="Arial" w:hAnsi="Arial" w:cs="Arial"/>
          <w:sz w:val="22"/>
          <w:szCs w:val="22"/>
        </w:rPr>
        <w:t xml:space="preserve">  </w:t>
      </w:r>
      <w:r w:rsidR="009C1214">
        <w:rPr>
          <w:rFonts w:ascii="Arial" w:hAnsi="Arial" w:cs="Arial"/>
          <w:sz w:val="22"/>
          <w:szCs w:val="22"/>
        </w:rPr>
        <w:t>As all studies included were observational in nature</w:t>
      </w:r>
      <w:r w:rsidR="003F6062">
        <w:rPr>
          <w:rFonts w:ascii="Arial" w:hAnsi="Arial" w:cs="Arial"/>
          <w:sz w:val="22"/>
          <w:szCs w:val="22"/>
        </w:rPr>
        <w:t xml:space="preserve">, </w:t>
      </w:r>
      <w:r w:rsidR="009C1214">
        <w:rPr>
          <w:rFonts w:ascii="Arial" w:hAnsi="Arial" w:cs="Arial"/>
          <w:sz w:val="22"/>
          <w:szCs w:val="22"/>
        </w:rPr>
        <w:t xml:space="preserve">the amplitude of individual effect estimates should be interpreted with caution. </w:t>
      </w:r>
      <w:r w:rsidR="0001705C">
        <w:rPr>
          <w:rFonts w:ascii="Arial" w:hAnsi="Arial" w:cs="Arial"/>
          <w:sz w:val="22"/>
          <w:szCs w:val="22"/>
        </w:rPr>
        <w:t xml:space="preserve">The self-reported nature of many of these exposures, while somewhat unavoidable, is an additional source of </w:t>
      </w:r>
      <w:r w:rsidR="00F3017F">
        <w:rPr>
          <w:rFonts w:ascii="Arial" w:hAnsi="Arial" w:cs="Arial"/>
          <w:sz w:val="22"/>
          <w:szCs w:val="22"/>
        </w:rPr>
        <w:t xml:space="preserve">potential </w:t>
      </w:r>
      <w:r w:rsidR="0001705C">
        <w:rPr>
          <w:rFonts w:ascii="Arial" w:hAnsi="Arial" w:cs="Arial"/>
          <w:sz w:val="22"/>
          <w:szCs w:val="22"/>
        </w:rPr>
        <w:t xml:space="preserve">bias. </w:t>
      </w:r>
      <w:r w:rsidR="00E5158C">
        <w:rPr>
          <w:rFonts w:ascii="Arial" w:hAnsi="Arial" w:cs="Arial"/>
          <w:sz w:val="22"/>
          <w:szCs w:val="22"/>
        </w:rPr>
        <w:t xml:space="preserve">We excluded the </w:t>
      </w:r>
      <w:proofErr w:type="spellStart"/>
      <w:r w:rsidR="00E5158C">
        <w:rPr>
          <w:rFonts w:ascii="Arial" w:hAnsi="Arial" w:cs="Arial"/>
          <w:sz w:val="22"/>
          <w:szCs w:val="22"/>
        </w:rPr>
        <w:t>pneumonoconioses</w:t>
      </w:r>
      <w:proofErr w:type="spellEnd"/>
      <w:r w:rsidR="00E5158C">
        <w:rPr>
          <w:rFonts w:ascii="Arial" w:hAnsi="Arial" w:cs="Arial"/>
          <w:sz w:val="22"/>
          <w:szCs w:val="22"/>
        </w:rPr>
        <w:t xml:space="preserve"> and HP from this analysis due to the clear causal relationship between exposure and disease. We also excluded sarcoidosis due to the sheer volume of data in this field as well as heterogeneity of pulmonary presentations not always clearly defined as ILD. The</w:t>
      </w:r>
      <w:r w:rsidR="00F3017F">
        <w:rPr>
          <w:rFonts w:ascii="Arial" w:hAnsi="Arial" w:cs="Arial"/>
          <w:sz w:val="22"/>
          <w:szCs w:val="22"/>
        </w:rPr>
        <w:t xml:space="preserve"> objective of this study was to characterize relationships between exposures and ILD subtypes not already clearly associated with inhalational exposures, however the</w:t>
      </w:r>
      <w:r w:rsidR="00E5158C">
        <w:rPr>
          <w:rFonts w:ascii="Arial" w:hAnsi="Arial" w:cs="Arial"/>
          <w:sz w:val="22"/>
          <w:szCs w:val="22"/>
        </w:rPr>
        <w:t>se exclusions</w:t>
      </w:r>
      <w:r w:rsidR="00C05DC7">
        <w:rPr>
          <w:rFonts w:ascii="Arial" w:hAnsi="Arial" w:cs="Arial"/>
          <w:sz w:val="22"/>
          <w:szCs w:val="22"/>
        </w:rPr>
        <w:t xml:space="preserve"> </w:t>
      </w:r>
      <w:r w:rsidR="00E5158C">
        <w:rPr>
          <w:rFonts w:ascii="Arial" w:hAnsi="Arial" w:cs="Arial"/>
          <w:sz w:val="22"/>
          <w:szCs w:val="22"/>
        </w:rPr>
        <w:t>may limit the scope of our findings</w:t>
      </w:r>
      <w:r w:rsidR="00F3017F">
        <w:rPr>
          <w:rFonts w:ascii="Arial" w:hAnsi="Arial" w:cs="Arial"/>
          <w:sz w:val="22"/>
          <w:szCs w:val="22"/>
        </w:rPr>
        <w:t>.</w:t>
      </w:r>
    </w:p>
    <w:p w14:paraId="541C1003" w14:textId="77777777" w:rsidR="00E5158C" w:rsidRPr="00E5158C" w:rsidRDefault="00E5158C" w:rsidP="002B6C71">
      <w:pPr>
        <w:spacing w:line="480" w:lineRule="auto"/>
        <w:rPr>
          <w:rFonts w:ascii="Arial" w:hAnsi="Arial" w:cs="Arial"/>
          <w:sz w:val="22"/>
          <w:szCs w:val="22"/>
        </w:rPr>
      </w:pPr>
    </w:p>
    <w:p w14:paraId="066B21ED" w14:textId="1F2F90C4" w:rsidR="00BA0A62" w:rsidRPr="003710AA" w:rsidRDefault="0051025F" w:rsidP="00BA0A62">
      <w:pPr>
        <w:spacing w:line="480" w:lineRule="auto"/>
        <w:rPr>
          <w:rFonts w:ascii="Arial" w:hAnsi="Arial" w:cs="Arial"/>
          <w:sz w:val="22"/>
          <w:szCs w:val="22"/>
        </w:rPr>
      </w:pPr>
      <w:r w:rsidRPr="00E5158C">
        <w:rPr>
          <w:rFonts w:ascii="Arial" w:hAnsi="Arial" w:cs="Arial"/>
          <w:sz w:val="22"/>
          <w:szCs w:val="22"/>
        </w:rPr>
        <w:t xml:space="preserve">In conclusion, this systematic review and meta-analysis found many inhalational exposures associated with disease </w:t>
      </w:r>
      <w:r w:rsidR="00C71955" w:rsidRPr="00E5158C">
        <w:rPr>
          <w:rFonts w:ascii="Arial" w:hAnsi="Arial" w:cs="Arial"/>
          <w:sz w:val="22"/>
          <w:szCs w:val="22"/>
        </w:rPr>
        <w:t xml:space="preserve">risk </w:t>
      </w:r>
      <w:r w:rsidRPr="00E5158C">
        <w:rPr>
          <w:rFonts w:ascii="Arial" w:hAnsi="Arial" w:cs="Arial"/>
          <w:sz w:val="22"/>
          <w:szCs w:val="22"/>
        </w:rPr>
        <w:t>across the ILD spectrum. Future research should prioritize</w:t>
      </w:r>
      <w:r w:rsidR="00CB09E6" w:rsidRPr="00E5158C">
        <w:rPr>
          <w:rFonts w:ascii="Arial" w:hAnsi="Arial" w:cs="Arial"/>
          <w:sz w:val="22"/>
          <w:szCs w:val="22"/>
        </w:rPr>
        <w:t xml:space="preserve"> </w:t>
      </w:r>
      <w:r w:rsidR="00F3017F">
        <w:rPr>
          <w:rFonts w:ascii="Arial" w:hAnsi="Arial" w:cs="Arial"/>
          <w:sz w:val="22"/>
          <w:szCs w:val="22"/>
        </w:rPr>
        <w:t>the characterization of</w:t>
      </w:r>
      <w:r w:rsidR="00CB09E6" w:rsidRPr="00E5158C">
        <w:rPr>
          <w:rFonts w:ascii="Arial" w:hAnsi="Arial" w:cs="Arial"/>
          <w:sz w:val="22"/>
          <w:szCs w:val="22"/>
        </w:rPr>
        <w:t xml:space="preserve"> dust exposure</w:t>
      </w:r>
      <w:r w:rsidR="00F3017F">
        <w:rPr>
          <w:rFonts w:ascii="Arial" w:hAnsi="Arial" w:cs="Arial"/>
          <w:sz w:val="22"/>
          <w:szCs w:val="22"/>
        </w:rPr>
        <w:t>s</w:t>
      </w:r>
      <w:r w:rsidR="00CB09E6" w:rsidRPr="00E5158C">
        <w:rPr>
          <w:rFonts w:ascii="Arial" w:hAnsi="Arial" w:cs="Arial"/>
          <w:sz w:val="22"/>
          <w:szCs w:val="22"/>
        </w:rPr>
        <w:t xml:space="preserve"> in ILD, mitigation of known occupational exposures</w:t>
      </w:r>
      <w:r w:rsidR="004D4E08">
        <w:rPr>
          <w:rFonts w:ascii="Arial" w:hAnsi="Arial" w:cs="Arial"/>
          <w:sz w:val="22"/>
          <w:szCs w:val="22"/>
        </w:rPr>
        <w:t>,</w:t>
      </w:r>
      <w:r w:rsidR="00CB09E6" w:rsidRPr="00E5158C">
        <w:rPr>
          <w:rFonts w:ascii="Arial" w:hAnsi="Arial" w:cs="Arial"/>
          <w:sz w:val="22"/>
          <w:szCs w:val="22"/>
        </w:rPr>
        <w:t xml:space="preserve"> and </w:t>
      </w:r>
      <w:r w:rsidR="00C71955" w:rsidRPr="00E5158C">
        <w:rPr>
          <w:rFonts w:ascii="Arial" w:hAnsi="Arial" w:cs="Arial"/>
          <w:sz w:val="22"/>
          <w:szCs w:val="22"/>
        </w:rPr>
        <w:t>understanding</w:t>
      </w:r>
      <w:r w:rsidR="00DB7CFB">
        <w:rPr>
          <w:rFonts w:ascii="Arial" w:hAnsi="Arial" w:cs="Arial"/>
          <w:sz w:val="22"/>
          <w:szCs w:val="22"/>
        </w:rPr>
        <w:t xml:space="preserve"> of</w:t>
      </w:r>
      <w:r w:rsidR="00C71955" w:rsidRPr="00E5158C">
        <w:rPr>
          <w:rFonts w:ascii="Arial" w:hAnsi="Arial" w:cs="Arial"/>
          <w:sz w:val="22"/>
          <w:szCs w:val="22"/>
        </w:rPr>
        <w:t xml:space="preserve"> </w:t>
      </w:r>
      <w:r w:rsidR="00CB09E6" w:rsidRPr="00E5158C">
        <w:rPr>
          <w:rFonts w:ascii="Arial" w:hAnsi="Arial" w:cs="Arial"/>
          <w:sz w:val="22"/>
          <w:szCs w:val="22"/>
        </w:rPr>
        <w:t>the role of inhalational triggers in early or subclinical ILD</w:t>
      </w:r>
      <w:r w:rsidR="005B1299">
        <w:rPr>
          <w:rFonts w:ascii="Arial" w:hAnsi="Arial" w:cs="Arial"/>
          <w:sz w:val="22"/>
          <w:szCs w:val="22"/>
        </w:rPr>
        <w:t>.</w:t>
      </w:r>
    </w:p>
    <w:p w14:paraId="570138B2" w14:textId="77777777" w:rsidR="00BA0A62" w:rsidRDefault="00BA0A62" w:rsidP="00BA0A62">
      <w:pPr>
        <w:jc w:val="both"/>
        <w:rPr>
          <w:rFonts w:ascii="Arial" w:hAnsi="Arial" w:cs="Arial"/>
          <w:b/>
          <w:bCs/>
          <w:sz w:val="22"/>
          <w:szCs w:val="22"/>
        </w:rPr>
      </w:pPr>
      <w:r w:rsidRPr="00B82A39">
        <w:rPr>
          <w:rFonts w:ascii="Arial" w:hAnsi="Arial" w:cs="Arial"/>
          <w:b/>
          <w:bCs/>
          <w:sz w:val="22"/>
          <w:szCs w:val="22"/>
        </w:rPr>
        <w:t>Author Contributions</w:t>
      </w:r>
      <w:r>
        <w:rPr>
          <w:rFonts w:ascii="Arial" w:hAnsi="Arial" w:cs="Arial"/>
          <w:b/>
          <w:bCs/>
          <w:sz w:val="22"/>
          <w:szCs w:val="22"/>
        </w:rPr>
        <w:t xml:space="preserve">: </w:t>
      </w:r>
      <w:r>
        <w:rPr>
          <w:rFonts w:ascii="Arial" w:hAnsi="Arial" w:cs="Arial"/>
          <w:sz w:val="22"/>
          <w:szCs w:val="22"/>
        </w:rPr>
        <w:t>CTL, SE, and KAJ</w:t>
      </w:r>
      <w:r w:rsidRPr="00B82A39">
        <w:rPr>
          <w:rFonts w:ascii="Arial" w:hAnsi="Arial" w:cs="Arial"/>
          <w:sz w:val="22"/>
          <w:szCs w:val="22"/>
        </w:rPr>
        <w:t xml:space="preserve"> designed and supervised the study. </w:t>
      </w:r>
      <w:r>
        <w:rPr>
          <w:rFonts w:ascii="Arial" w:hAnsi="Arial" w:cs="Arial"/>
          <w:sz w:val="22"/>
          <w:szCs w:val="22"/>
        </w:rPr>
        <w:t>CTL, SG, SE, and KAJ performed the literature review and data extraction. CTL, SAG, SE, HB, DL, BLS, IDS, CB, CEP, JF, KAJ contributed to the data analysis, interpretation, and manuscript preparation. CTL is the guarantor of this study</w:t>
      </w:r>
    </w:p>
    <w:p w14:paraId="64E8D5F6" w14:textId="77777777" w:rsidR="00BA0A62" w:rsidRPr="00315AB7" w:rsidRDefault="00BA0A62" w:rsidP="00BA0A62">
      <w:pPr>
        <w:jc w:val="both"/>
        <w:rPr>
          <w:rFonts w:ascii="Arial" w:hAnsi="Arial" w:cs="Arial"/>
          <w:b/>
          <w:bCs/>
          <w:sz w:val="22"/>
          <w:szCs w:val="22"/>
        </w:rPr>
      </w:pPr>
    </w:p>
    <w:p w14:paraId="53651B47" w14:textId="3D70E8AE" w:rsidR="00BA0A62" w:rsidRDefault="00BA0A62" w:rsidP="00BA0A62">
      <w:pPr>
        <w:rPr>
          <w:rFonts w:ascii="Arial" w:hAnsi="Arial" w:cs="Arial"/>
          <w:sz w:val="22"/>
          <w:szCs w:val="22"/>
        </w:rPr>
      </w:pPr>
      <w:r w:rsidRPr="00D865F1">
        <w:rPr>
          <w:rFonts w:ascii="Arial" w:hAnsi="Arial" w:cs="Arial"/>
          <w:b/>
          <w:sz w:val="22"/>
          <w:szCs w:val="22"/>
        </w:rPr>
        <w:t>Funding:</w:t>
      </w:r>
      <w:r w:rsidRPr="000C0D44">
        <w:rPr>
          <w:rFonts w:ascii="Arial" w:hAnsi="Arial" w:cs="Arial"/>
          <w:sz w:val="22"/>
          <w:szCs w:val="22"/>
        </w:rPr>
        <w:t xml:space="preserve"> </w:t>
      </w:r>
      <w:r>
        <w:rPr>
          <w:rFonts w:ascii="Arial" w:hAnsi="Arial" w:cs="Arial"/>
          <w:sz w:val="22"/>
          <w:szCs w:val="22"/>
        </w:rPr>
        <w:t xml:space="preserve">This work was funded by the Three Lakes Foundation. CTL reports funding from the Pulmonary Fibrosis Foundation (Scholar Award) and the </w:t>
      </w:r>
      <w:proofErr w:type="spellStart"/>
      <w:r>
        <w:rPr>
          <w:rFonts w:ascii="Arial" w:hAnsi="Arial" w:cs="Arial"/>
          <w:sz w:val="22"/>
          <w:szCs w:val="22"/>
        </w:rPr>
        <w:t>Walder</w:t>
      </w:r>
      <w:proofErr w:type="spellEnd"/>
      <w:r>
        <w:rPr>
          <w:rFonts w:ascii="Arial" w:hAnsi="Arial" w:cs="Arial"/>
          <w:sz w:val="22"/>
          <w:szCs w:val="22"/>
        </w:rPr>
        <w:t xml:space="preserve"> Foundation (COVID SECURED award). MLS reports funding from the National Institutes of Health (</w:t>
      </w:r>
      <w:r w:rsidRPr="00050078">
        <w:rPr>
          <w:rFonts w:ascii="Arial" w:hAnsi="Arial" w:cs="Arial"/>
          <w:sz w:val="22"/>
          <w:szCs w:val="22"/>
        </w:rPr>
        <w:t>K23</w:t>
      </w:r>
      <w:r>
        <w:rPr>
          <w:rFonts w:ascii="Arial" w:hAnsi="Arial" w:cs="Arial"/>
          <w:sz w:val="22"/>
          <w:szCs w:val="22"/>
        </w:rPr>
        <w:t xml:space="preserve"> </w:t>
      </w:r>
      <w:r w:rsidRPr="00050078">
        <w:rPr>
          <w:rFonts w:ascii="Arial" w:hAnsi="Arial" w:cs="Arial"/>
          <w:sz w:val="22"/>
          <w:szCs w:val="22"/>
        </w:rPr>
        <w:t>HL141539</w:t>
      </w:r>
      <w:r>
        <w:rPr>
          <w:rFonts w:ascii="Arial" w:hAnsi="Arial" w:cs="Arial"/>
          <w:sz w:val="22"/>
          <w:szCs w:val="22"/>
        </w:rPr>
        <w:t>, R56 HL166941). CEP reports funding from the British Columbia Provincial Health Services Association, the Government of Albert</w:t>
      </w:r>
      <w:r w:rsidR="001555F8">
        <w:rPr>
          <w:rFonts w:ascii="Arial" w:hAnsi="Arial" w:cs="Arial"/>
          <w:sz w:val="22"/>
          <w:szCs w:val="22"/>
        </w:rPr>
        <w:t>a</w:t>
      </w:r>
      <w:r>
        <w:rPr>
          <w:rFonts w:ascii="Arial" w:hAnsi="Arial" w:cs="Arial"/>
          <w:sz w:val="22"/>
          <w:szCs w:val="22"/>
        </w:rPr>
        <w:t>, WorkSafeBC, and the Canadian Institutes of Health Research (no award numbers).</w:t>
      </w:r>
      <w:r w:rsidR="00163CED">
        <w:rPr>
          <w:rFonts w:ascii="Arial" w:hAnsi="Arial" w:cs="Arial"/>
          <w:sz w:val="22"/>
          <w:szCs w:val="22"/>
        </w:rPr>
        <w:t xml:space="preserve"> IDS reports funding from the Rayne Foundation.</w:t>
      </w:r>
      <w:r>
        <w:rPr>
          <w:rFonts w:ascii="Arial" w:hAnsi="Arial" w:cs="Arial"/>
          <w:sz w:val="22"/>
          <w:szCs w:val="22"/>
        </w:rPr>
        <w:t xml:space="preserve"> </w:t>
      </w:r>
      <w:r>
        <w:rPr>
          <w:rFonts w:ascii="Arial" w:hAnsi="Arial" w:cs="Arial"/>
          <w:sz w:val="22"/>
          <w:szCs w:val="22"/>
        </w:rPr>
        <w:lastRenderedPageBreak/>
        <w:t>KAJ reports funding from the Three Lakes Foundation and University Hospital Foundation (no award numbers). SAG, SE, DL, CB, JF report no funding.</w:t>
      </w:r>
    </w:p>
    <w:p w14:paraId="68D4559F" w14:textId="77777777" w:rsidR="00BA0A62" w:rsidRDefault="00BA0A62" w:rsidP="00BA0A62">
      <w:pPr>
        <w:rPr>
          <w:rFonts w:ascii="Arial" w:hAnsi="Arial" w:cs="Arial"/>
          <w:sz w:val="22"/>
          <w:szCs w:val="22"/>
        </w:rPr>
      </w:pPr>
    </w:p>
    <w:p w14:paraId="34E5A501" w14:textId="35792079" w:rsidR="00BA0A62" w:rsidRPr="00315AB7" w:rsidRDefault="00BA0A62" w:rsidP="00BA0A62">
      <w:pPr>
        <w:rPr>
          <w:rFonts w:ascii="Arial" w:hAnsi="Arial" w:cs="Arial"/>
          <w:b/>
          <w:sz w:val="22"/>
          <w:szCs w:val="22"/>
        </w:rPr>
      </w:pPr>
      <w:r>
        <w:rPr>
          <w:rFonts w:ascii="Arial" w:hAnsi="Arial" w:cs="Arial"/>
          <w:b/>
          <w:sz w:val="22"/>
          <w:szCs w:val="22"/>
        </w:rPr>
        <w:t>Competing Interests:</w:t>
      </w:r>
      <w:r w:rsidRPr="00E94949">
        <w:rPr>
          <w:rFonts w:ascii="Arial" w:hAnsi="Arial" w:cs="Arial"/>
          <w:sz w:val="22"/>
          <w:szCs w:val="22"/>
        </w:rPr>
        <w:t xml:space="preserve"> </w:t>
      </w:r>
      <w:r>
        <w:rPr>
          <w:rFonts w:ascii="Arial" w:hAnsi="Arial" w:cs="Arial"/>
          <w:sz w:val="22"/>
          <w:szCs w:val="22"/>
        </w:rPr>
        <w:t xml:space="preserve">HB reports travel support from Boehringer Ingelheim, Janssen, and United Therapeutics outside the submitted work. MLS reports personal fees, travel and speaking fees, and writing support from Boehringer Ingelheim, personal fees from </w:t>
      </w:r>
      <w:proofErr w:type="spellStart"/>
      <w:r>
        <w:rPr>
          <w:rFonts w:ascii="Arial" w:hAnsi="Arial" w:cs="Arial"/>
          <w:sz w:val="22"/>
          <w:szCs w:val="22"/>
        </w:rPr>
        <w:t>Orinove</w:t>
      </w:r>
      <w:proofErr w:type="spellEnd"/>
      <w:r>
        <w:rPr>
          <w:rFonts w:ascii="Arial" w:hAnsi="Arial" w:cs="Arial"/>
          <w:sz w:val="22"/>
          <w:szCs w:val="22"/>
        </w:rPr>
        <w:t xml:space="preserve">, and personal fees from Roche. CP reports consulting fees from Health Canada and International Agency for Research on Cancer, travel fees from CIHR and Canadian Mesothelioma Foundation, and unpaid board membership for the Evict Radon National Study and Canadian Association for Research on Work and Health.  </w:t>
      </w:r>
      <w:r w:rsidR="00163CED">
        <w:rPr>
          <w:rFonts w:ascii="Arial" w:hAnsi="Arial" w:cs="Arial"/>
          <w:sz w:val="22"/>
          <w:szCs w:val="22"/>
        </w:rPr>
        <w:t xml:space="preserve">IDS reports consulting fees from Alberta Health Services. </w:t>
      </w:r>
      <w:r>
        <w:rPr>
          <w:rFonts w:ascii="Arial" w:hAnsi="Arial" w:cs="Arial"/>
          <w:sz w:val="22"/>
          <w:szCs w:val="22"/>
        </w:rPr>
        <w:t xml:space="preserve">KAJ reports consulting fees and honoraria from Boehringer Ingelheim, consulting fees and honoraria from Hoffman-La Roche Ltd, and consulting fees from Pliant Therapeutics, Three Lakes Foundation, </w:t>
      </w:r>
      <w:proofErr w:type="spellStart"/>
      <w:r>
        <w:rPr>
          <w:rFonts w:ascii="Arial" w:hAnsi="Arial" w:cs="Arial"/>
          <w:sz w:val="22"/>
          <w:szCs w:val="22"/>
        </w:rPr>
        <w:t>Thyron</w:t>
      </w:r>
      <w:proofErr w:type="spellEnd"/>
      <w:r>
        <w:rPr>
          <w:rFonts w:ascii="Arial" w:hAnsi="Arial" w:cs="Arial"/>
          <w:sz w:val="22"/>
          <w:szCs w:val="22"/>
        </w:rPr>
        <w:t xml:space="preserve"> SAB, and </w:t>
      </w:r>
      <w:proofErr w:type="spellStart"/>
      <w:r>
        <w:rPr>
          <w:rFonts w:ascii="Arial" w:hAnsi="Arial" w:cs="Arial"/>
          <w:sz w:val="22"/>
          <w:szCs w:val="22"/>
        </w:rPr>
        <w:t>Brainomix</w:t>
      </w:r>
      <w:proofErr w:type="spellEnd"/>
      <w:r>
        <w:rPr>
          <w:rFonts w:ascii="Arial" w:hAnsi="Arial" w:cs="Arial"/>
          <w:sz w:val="22"/>
          <w:szCs w:val="22"/>
        </w:rPr>
        <w:t xml:space="preserve">; she also reports an unpaid DSMB position on the PFOX trial. </w:t>
      </w:r>
      <w:proofErr w:type="gramStart"/>
      <w:r>
        <w:rPr>
          <w:rFonts w:ascii="Arial" w:hAnsi="Arial" w:cs="Arial"/>
          <w:sz w:val="22"/>
          <w:szCs w:val="22"/>
        </w:rPr>
        <w:t>,SAG</w:t>
      </w:r>
      <w:proofErr w:type="gramEnd"/>
      <w:r>
        <w:rPr>
          <w:rFonts w:ascii="Arial" w:hAnsi="Arial" w:cs="Arial"/>
          <w:sz w:val="22"/>
          <w:szCs w:val="22"/>
        </w:rPr>
        <w:t xml:space="preserve">, SE, DL, CB, JF report no competing interests. </w:t>
      </w:r>
    </w:p>
    <w:p w14:paraId="68F7F4F2" w14:textId="77777777" w:rsidR="00BA0A62" w:rsidRDefault="00BA0A62" w:rsidP="00BA0A62">
      <w:pPr>
        <w:rPr>
          <w:rFonts w:ascii="Arial" w:hAnsi="Arial" w:cs="Arial"/>
          <w:b/>
          <w:sz w:val="22"/>
          <w:szCs w:val="22"/>
        </w:rPr>
      </w:pPr>
    </w:p>
    <w:p w14:paraId="0B7CE31A" w14:textId="77777777" w:rsidR="00BA0A62" w:rsidRPr="00315AB7" w:rsidRDefault="00BA0A62" w:rsidP="00BA0A62">
      <w:pPr>
        <w:rPr>
          <w:rFonts w:ascii="Arial" w:hAnsi="Arial" w:cs="Arial"/>
          <w:sz w:val="22"/>
          <w:szCs w:val="22"/>
        </w:rPr>
      </w:pPr>
      <w:r>
        <w:rPr>
          <w:rFonts w:ascii="Arial" w:hAnsi="Arial" w:cs="Arial"/>
          <w:b/>
          <w:sz w:val="22"/>
          <w:szCs w:val="22"/>
        </w:rPr>
        <w:t xml:space="preserve">Ethics Approval: </w:t>
      </w:r>
      <w:r>
        <w:rPr>
          <w:rFonts w:ascii="Arial" w:hAnsi="Arial" w:cs="Arial"/>
          <w:sz w:val="22"/>
          <w:szCs w:val="22"/>
        </w:rPr>
        <w:t>Not applicable</w:t>
      </w:r>
    </w:p>
    <w:p w14:paraId="5121013C" w14:textId="77777777" w:rsidR="00BA0A62" w:rsidRDefault="00BA0A62" w:rsidP="00BA0A62">
      <w:pPr>
        <w:rPr>
          <w:rFonts w:ascii="Arial" w:hAnsi="Arial" w:cs="Arial"/>
          <w:b/>
          <w:sz w:val="22"/>
          <w:szCs w:val="22"/>
        </w:rPr>
      </w:pPr>
    </w:p>
    <w:p w14:paraId="7A393BC0" w14:textId="77777777" w:rsidR="00BA0A62" w:rsidRPr="00315AB7" w:rsidRDefault="00BA0A62" w:rsidP="00BA0A62">
      <w:pPr>
        <w:rPr>
          <w:rFonts w:ascii="Arial" w:hAnsi="Arial" w:cs="Arial"/>
          <w:sz w:val="22"/>
          <w:szCs w:val="22"/>
        </w:rPr>
      </w:pPr>
      <w:r>
        <w:rPr>
          <w:rFonts w:ascii="Arial" w:hAnsi="Arial" w:cs="Arial"/>
          <w:b/>
          <w:sz w:val="22"/>
          <w:szCs w:val="22"/>
        </w:rPr>
        <w:t xml:space="preserve">Data </w:t>
      </w:r>
      <w:proofErr w:type="spellStart"/>
      <w:proofErr w:type="gramStart"/>
      <w:r>
        <w:rPr>
          <w:rFonts w:ascii="Arial" w:hAnsi="Arial" w:cs="Arial"/>
          <w:b/>
          <w:sz w:val="22"/>
          <w:szCs w:val="22"/>
        </w:rPr>
        <w:t>Sharing:</w:t>
      </w:r>
      <w:r>
        <w:rPr>
          <w:rFonts w:ascii="Arial" w:hAnsi="Arial" w:cs="Arial"/>
          <w:sz w:val="22"/>
          <w:szCs w:val="22"/>
        </w:rPr>
        <w:t>Data</w:t>
      </w:r>
      <w:proofErr w:type="spellEnd"/>
      <w:proofErr w:type="gramEnd"/>
      <w:r>
        <w:rPr>
          <w:rFonts w:ascii="Arial" w:hAnsi="Arial" w:cs="Arial"/>
          <w:sz w:val="22"/>
          <w:szCs w:val="22"/>
        </w:rPr>
        <w:t xml:space="preserve"> are available upon reasonable request.</w:t>
      </w:r>
    </w:p>
    <w:p w14:paraId="00B6369B" w14:textId="77777777" w:rsidR="00BA0A62" w:rsidRDefault="00BA0A62" w:rsidP="00BA0A62">
      <w:pPr>
        <w:rPr>
          <w:rFonts w:ascii="Arial" w:hAnsi="Arial" w:cs="Arial"/>
          <w:b/>
          <w:sz w:val="22"/>
          <w:szCs w:val="22"/>
        </w:rPr>
      </w:pPr>
    </w:p>
    <w:p w14:paraId="6959838A" w14:textId="77777777" w:rsidR="00BA0A62" w:rsidRPr="00315AB7" w:rsidRDefault="00BA0A62" w:rsidP="00BA0A62">
      <w:pPr>
        <w:rPr>
          <w:rFonts w:ascii="Arial" w:hAnsi="Arial" w:cs="Arial"/>
          <w:sz w:val="22"/>
          <w:szCs w:val="22"/>
        </w:rPr>
      </w:pPr>
      <w:r>
        <w:rPr>
          <w:rFonts w:ascii="Arial" w:hAnsi="Arial" w:cs="Arial"/>
          <w:b/>
          <w:sz w:val="22"/>
          <w:szCs w:val="22"/>
        </w:rPr>
        <w:t xml:space="preserve">AI use statement: </w:t>
      </w:r>
      <w:r>
        <w:rPr>
          <w:rFonts w:ascii="Arial" w:hAnsi="Arial" w:cs="Arial"/>
          <w:sz w:val="22"/>
          <w:szCs w:val="22"/>
        </w:rPr>
        <w:t>Not applicable</w:t>
      </w:r>
    </w:p>
    <w:p w14:paraId="45F3E2CE" w14:textId="77777777" w:rsidR="00B82223" w:rsidRDefault="00B82223" w:rsidP="002B6C71">
      <w:pPr>
        <w:spacing w:line="480" w:lineRule="auto"/>
        <w:rPr>
          <w:rFonts w:ascii="Arial" w:hAnsi="Arial" w:cs="Arial"/>
          <w:b/>
          <w:sz w:val="22"/>
          <w:szCs w:val="22"/>
        </w:rPr>
      </w:pPr>
    </w:p>
    <w:p w14:paraId="30B310E6" w14:textId="0FFBB24D" w:rsidR="00DB6533" w:rsidRPr="005B1299" w:rsidRDefault="00DB6533" w:rsidP="002B6C71">
      <w:pPr>
        <w:spacing w:line="480" w:lineRule="auto"/>
        <w:rPr>
          <w:rFonts w:ascii="Arial" w:hAnsi="Arial" w:cs="Arial"/>
          <w:sz w:val="22"/>
          <w:szCs w:val="22"/>
        </w:rPr>
      </w:pPr>
      <w:r>
        <w:rPr>
          <w:rFonts w:ascii="Arial" w:hAnsi="Arial" w:cs="Arial"/>
          <w:b/>
          <w:sz w:val="22"/>
          <w:szCs w:val="22"/>
        </w:rPr>
        <w:t>References</w:t>
      </w:r>
    </w:p>
    <w:p w14:paraId="6219E953" w14:textId="77777777" w:rsidR="00DA2A1A" w:rsidRPr="00DA2A1A" w:rsidRDefault="006E3353" w:rsidP="00DA2A1A">
      <w:pPr>
        <w:pStyle w:val="Bibliography"/>
        <w:rPr>
          <w:rFonts w:ascii="Arial" w:hAnsi="Arial" w:cs="Arial"/>
          <w:sz w:val="22"/>
        </w:rPr>
      </w:pPr>
      <w:r>
        <w:rPr>
          <w:rFonts w:ascii="Arial" w:hAnsi="Arial" w:cs="Arial"/>
          <w:sz w:val="22"/>
        </w:rPr>
        <w:t xml:space="preserve"> </w:t>
      </w:r>
      <w:r w:rsidR="00162BB4">
        <w:rPr>
          <w:rFonts w:ascii="Arial" w:hAnsi="Arial" w:cs="Arial"/>
          <w:sz w:val="22"/>
        </w:rPr>
        <w:fldChar w:fldCharType="begin"/>
      </w:r>
      <w:r w:rsidR="00DA2A1A">
        <w:rPr>
          <w:rFonts w:ascii="Arial" w:hAnsi="Arial" w:cs="Arial"/>
          <w:sz w:val="22"/>
        </w:rPr>
        <w:instrText xml:space="preserve"> ADDIN ZOTERO_BIBL {"uncited":[],"omitted":[],"custom":[]} CSL_BIBLIOGRAPHY </w:instrText>
      </w:r>
      <w:r w:rsidR="00162BB4">
        <w:rPr>
          <w:rFonts w:ascii="Arial" w:hAnsi="Arial" w:cs="Arial"/>
          <w:sz w:val="22"/>
        </w:rPr>
        <w:fldChar w:fldCharType="separate"/>
      </w:r>
      <w:r w:rsidR="00DA2A1A" w:rsidRPr="00DA2A1A">
        <w:rPr>
          <w:rFonts w:ascii="Arial" w:hAnsi="Arial" w:cs="Arial"/>
          <w:sz w:val="22"/>
        </w:rPr>
        <w:t>[1]</w:t>
      </w:r>
      <w:r w:rsidR="00DA2A1A" w:rsidRPr="00DA2A1A">
        <w:rPr>
          <w:rFonts w:ascii="Arial" w:hAnsi="Arial" w:cs="Arial"/>
          <w:sz w:val="22"/>
        </w:rPr>
        <w:tab/>
        <w:t xml:space="preserve">M. Wijsenbeek and V. Cottin, “Spectrum of Fibrotic Lung Diseases,” </w:t>
      </w:r>
      <w:r w:rsidR="00DA2A1A" w:rsidRPr="00DA2A1A">
        <w:rPr>
          <w:rFonts w:ascii="Arial" w:hAnsi="Arial" w:cs="Arial"/>
          <w:i/>
          <w:iCs/>
          <w:sz w:val="22"/>
        </w:rPr>
        <w:t>N Engl J Med</w:t>
      </w:r>
      <w:r w:rsidR="00DA2A1A" w:rsidRPr="00DA2A1A">
        <w:rPr>
          <w:rFonts w:ascii="Arial" w:hAnsi="Arial" w:cs="Arial"/>
          <w:sz w:val="22"/>
        </w:rPr>
        <w:t>, vol. 383, no. 10, pp. 958–968, Sep. 2020, doi: 10.1056/NEJMra2005230.</w:t>
      </w:r>
    </w:p>
    <w:p w14:paraId="1718FD01" w14:textId="77777777" w:rsidR="00DA2A1A" w:rsidRPr="00DA2A1A" w:rsidRDefault="00DA2A1A" w:rsidP="00DA2A1A">
      <w:pPr>
        <w:pStyle w:val="Bibliography"/>
        <w:rPr>
          <w:rFonts w:ascii="Arial" w:hAnsi="Arial" w:cs="Arial"/>
          <w:sz w:val="22"/>
        </w:rPr>
      </w:pPr>
      <w:r w:rsidRPr="00DA2A1A">
        <w:rPr>
          <w:rFonts w:ascii="Arial" w:hAnsi="Arial" w:cs="Arial"/>
          <w:sz w:val="22"/>
        </w:rPr>
        <w:t>[2]</w:t>
      </w:r>
      <w:r w:rsidRPr="00DA2A1A">
        <w:rPr>
          <w:rFonts w:ascii="Arial" w:hAnsi="Arial" w:cs="Arial"/>
          <w:sz w:val="22"/>
        </w:rPr>
        <w:tab/>
        <w:t xml:space="preserve">N. Jeganathan and M. Sathananthan, “The prevalence and burden of interstitial lung diseases in the USA,” </w:t>
      </w:r>
      <w:r w:rsidRPr="00DA2A1A">
        <w:rPr>
          <w:rFonts w:ascii="Arial" w:hAnsi="Arial" w:cs="Arial"/>
          <w:i/>
          <w:iCs/>
          <w:sz w:val="22"/>
        </w:rPr>
        <w:t>ERJ Open Research</w:t>
      </w:r>
      <w:r w:rsidRPr="00DA2A1A">
        <w:rPr>
          <w:rFonts w:ascii="Arial" w:hAnsi="Arial" w:cs="Arial"/>
          <w:sz w:val="22"/>
        </w:rPr>
        <w:t>, vol. 8, no. 1, Jan. 2022, doi: 10.1183/23120541.00630-2021.</w:t>
      </w:r>
    </w:p>
    <w:p w14:paraId="34AEDFC3" w14:textId="77777777" w:rsidR="00DA2A1A" w:rsidRPr="00DA2A1A" w:rsidRDefault="00DA2A1A" w:rsidP="00DA2A1A">
      <w:pPr>
        <w:pStyle w:val="Bibliography"/>
        <w:rPr>
          <w:rFonts w:ascii="Arial" w:hAnsi="Arial" w:cs="Arial"/>
          <w:sz w:val="22"/>
        </w:rPr>
      </w:pPr>
      <w:r w:rsidRPr="00DA2A1A">
        <w:rPr>
          <w:rFonts w:ascii="Arial" w:hAnsi="Arial" w:cs="Arial"/>
          <w:sz w:val="22"/>
        </w:rPr>
        <w:t>[3]</w:t>
      </w:r>
      <w:r w:rsidRPr="00DA2A1A">
        <w:rPr>
          <w:rFonts w:ascii="Arial" w:hAnsi="Arial" w:cs="Arial"/>
          <w:sz w:val="22"/>
        </w:rPr>
        <w:tab/>
        <w:t xml:space="preserve">G. Raghu </w:t>
      </w:r>
      <w:r w:rsidRPr="00DA2A1A">
        <w:rPr>
          <w:rFonts w:ascii="Arial" w:hAnsi="Arial" w:cs="Arial"/>
          <w:i/>
          <w:iCs/>
          <w:sz w:val="22"/>
        </w:rPr>
        <w:t>et al.</w:t>
      </w:r>
      <w:r w:rsidRPr="00DA2A1A">
        <w:rPr>
          <w:rFonts w:ascii="Arial" w:hAnsi="Arial" w:cs="Arial"/>
          <w:sz w:val="22"/>
        </w:rPr>
        <w:t xml:space="preserve">, “Diagnosis of Hypersensitivity Pneumonitis in Adults. An Official ATS/JRS/ALAT Clinical Practice Guideline,” </w:t>
      </w:r>
      <w:r w:rsidRPr="00DA2A1A">
        <w:rPr>
          <w:rFonts w:ascii="Arial" w:hAnsi="Arial" w:cs="Arial"/>
          <w:i/>
          <w:iCs/>
          <w:sz w:val="22"/>
        </w:rPr>
        <w:t>Am J Respir Crit Care Med</w:t>
      </w:r>
      <w:r w:rsidRPr="00DA2A1A">
        <w:rPr>
          <w:rFonts w:ascii="Arial" w:hAnsi="Arial" w:cs="Arial"/>
          <w:sz w:val="22"/>
        </w:rPr>
        <w:t>, vol. 202, no. 3, pp. e36–e69, Aug. 2020, doi: 10.1164/rccm.202005-2032ST.</w:t>
      </w:r>
    </w:p>
    <w:p w14:paraId="33CB11DC" w14:textId="77777777" w:rsidR="00DA2A1A" w:rsidRPr="00DA2A1A" w:rsidRDefault="00DA2A1A" w:rsidP="00DA2A1A">
      <w:pPr>
        <w:pStyle w:val="Bibliography"/>
        <w:rPr>
          <w:rFonts w:ascii="Arial" w:hAnsi="Arial" w:cs="Arial"/>
          <w:sz w:val="22"/>
        </w:rPr>
      </w:pPr>
      <w:r w:rsidRPr="00DA2A1A">
        <w:rPr>
          <w:rFonts w:ascii="Arial" w:hAnsi="Arial" w:cs="Arial"/>
          <w:sz w:val="22"/>
        </w:rPr>
        <w:t>[4]</w:t>
      </w:r>
      <w:r w:rsidRPr="00DA2A1A">
        <w:rPr>
          <w:rFonts w:ascii="Arial" w:hAnsi="Arial" w:cs="Arial"/>
          <w:sz w:val="22"/>
        </w:rPr>
        <w:tab/>
        <w:t xml:space="preserve">P. D. Blanc </w:t>
      </w:r>
      <w:r w:rsidRPr="00DA2A1A">
        <w:rPr>
          <w:rFonts w:ascii="Arial" w:hAnsi="Arial" w:cs="Arial"/>
          <w:i/>
          <w:iCs/>
          <w:sz w:val="22"/>
        </w:rPr>
        <w:t>et al.</w:t>
      </w:r>
      <w:r w:rsidRPr="00DA2A1A">
        <w:rPr>
          <w:rFonts w:ascii="Arial" w:hAnsi="Arial" w:cs="Arial"/>
          <w:sz w:val="22"/>
        </w:rPr>
        <w:t xml:space="preserve">, “The Occupational Burden of Nonmalignant Respiratory Diseases. An Official American Thoracic Society and European Respiratory Society Statement,” </w:t>
      </w:r>
      <w:r w:rsidRPr="00DA2A1A">
        <w:rPr>
          <w:rFonts w:ascii="Arial" w:hAnsi="Arial" w:cs="Arial"/>
          <w:i/>
          <w:iCs/>
          <w:sz w:val="22"/>
        </w:rPr>
        <w:t>Am J Respir Crit Care Med</w:t>
      </w:r>
      <w:r w:rsidRPr="00DA2A1A">
        <w:rPr>
          <w:rFonts w:ascii="Arial" w:hAnsi="Arial" w:cs="Arial"/>
          <w:sz w:val="22"/>
        </w:rPr>
        <w:t>, vol. 199, no. 11, pp. 1312–1334, Jun. 2019, doi: 10.1164/rccm.201904-0717ST.</w:t>
      </w:r>
    </w:p>
    <w:p w14:paraId="1078EC7B" w14:textId="77777777" w:rsidR="00DA2A1A" w:rsidRPr="00DA2A1A" w:rsidRDefault="00DA2A1A" w:rsidP="00DA2A1A">
      <w:pPr>
        <w:pStyle w:val="Bibliography"/>
        <w:rPr>
          <w:rFonts w:ascii="Arial" w:hAnsi="Arial" w:cs="Arial"/>
          <w:sz w:val="22"/>
        </w:rPr>
      </w:pPr>
      <w:r w:rsidRPr="00DA2A1A">
        <w:rPr>
          <w:rFonts w:ascii="Arial" w:hAnsi="Arial" w:cs="Arial"/>
          <w:sz w:val="22"/>
        </w:rPr>
        <w:t>[5]</w:t>
      </w:r>
      <w:r w:rsidRPr="00DA2A1A">
        <w:rPr>
          <w:rFonts w:ascii="Arial" w:hAnsi="Arial" w:cs="Arial"/>
          <w:sz w:val="22"/>
        </w:rPr>
        <w:tab/>
        <w:t xml:space="preserve">C. T. Lee </w:t>
      </w:r>
      <w:r w:rsidRPr="00DA2A1A">
        <w:rPr>
          <w:rFonts w:ascii="Arial" w:hAnsi="Arial" w:cs="Arial"/>
          <w:i/>
          <w:iCs/>
          <w:sz w:val="22"/>
        </w:rPr>
        <w:t>et al.</w:t>
      </w:r>
      <w:r w:rsidRPr="00DA2A1A">
        <w:rPr>
          <w:rFonts w:ascii="Arial" w:hAnsi="Arial" w:cs="Arial"/>
          <w:sz w:val="22"/>
        </w:rPr>
        <w:t xml:space="preserve">, “Characteristics and Prevalence of Domestic and Occupational Inhalational Exposures Across Interstitial Lung Diseases,” </w:t>
      </w:r>
      <w:r w:rsidRPr="00DA2A1A">
        <w:rPr>
          <w:rFonts w:ascii="Arial" w:hAnsi="Arial" w:cs="Arial"/>
          <w:i/>
          <w:iCs/>
          <w:sz w:val="22"/>
        </w:rPr>
        <w:t>Chest</w:t>
      </w:r>
      <w:r w:rsidRPr="00DA2A1A">
        <w:rPr>
          <w:rFonts w:ascii="Arial" w:hAnsi="Arial" w:cs="Arial"/>
          <w:sz w:val="22"/>
        </w:rPr>
        <w:t>, vol. 160, no. 1, pp. 209–218, Jul. 2021, doi: 10.1016/j.chest.2021.02.026.</w:t>
      </w:r>
    </w:p>
    <w:p w14:paraId="0A14F012" w14:textId="77777777" w:rsidR="00DA2A1A" w:rsidRPr="00DA2A1A" w:rsidRDefault="00DA2A1A" w:rsidP="00DA2A1A">
      <w:pPr>
        <w:pStyle w:val="Bibliography"/>
        <w:rPr>
          <w:rFonts w:ascii="Arial" w:hAnsi="Arial" w:cs="Arial"/>
          <w:sz w:val="22"/>
        </w:rPr>
      </w:pPr>
      <w:r w:rsidRPr="00DA2A1A">
        <w:rPr>
          <w:rFonts w:ascii="Arial" w:hAnsi="Arial" w:cs="Arial"/>
          <w:sz w:val="22"/>
        </w:rPr>
        <w:t>[6]</w:t>
      </w:r>
      <w:r w:rsidRPr="00DA2A1A">
        <w:rPr>
          <w:rFonts w:ascii="Arial" w:hAnsi="Arial" w:cs="Arial"/>
          <w:sz w:val="22"/>
        </w:rPr>
        <w:tab/>
        <w:t xml:space="preserve">C. T. Lee </w:t>
      </w:r>
      <w:r w:rsidRPr="00DA2A1A">
        <w:rPr>
          <w:rFonts w:ascii="Arial" w:hAnsi="Arial" w:cs="Arial"/>
          <w:i/>
          <w:iCs/>
          <w:sz w:val="22"/>
        </w:rPr>
        <w:t>et al.</w:t>
      </w:r>
      <w:r w:rsidRPr="00DA2A1A">
        <w:rPr>
          <w:rFonts w:ascii="Arial" w:hAnsi="Arial" w:cs="Arial"/>
          <w:sz w:val="22"/>
        </w:rPr>
        <w:t xml:space="preserve">, “Inhalational exposures in patients with fibrotic interstitial lung disease: Presentation, pulmonary function and survival in the Canadian Registry for Pulmonary Fibrosis,” </w:t>
      </w:r>
      <w:r w:rsidRPr="00DA2A1A">
        <w:rPr>
          <w:rFonts w:ascii="Arial" w:hAnsi="Arial" w:cs="Arial"/>
          <w:i/>
          <w:iCs/>
          <w:sz w:val="22"/>
        </w:rPr>
        <w:t>Respirology</w:t>
      </w:r>
      <w:r w:rsidRPr="00DA2A1A">
        <w:rPr>
          <w:rFonts w:ascii="Arial" w:hAnsi="Arial" w:cs="Arial"/>
          <w:sz w:val="22"/>
        </w:rPr>
        <w:t>, vol. 27, no. 8, pp. 635–644, Aug. 2022, doi: 10.1111/resp.14267.</w:t>
      </w:r>
    </w:p>
    <w:p w14:paraId="604A9DA8" w14:textId="77777777" w:rsidR="00DA2A1A" w:rsidRPr="00DA2A1A" w:rsidRDefault="00DA2A1A" w:rsidP="00DA2A1A">
      <w:pPr>
        <w:pStyle w:val="Bibliography"/>
        <w:rPr>
          <w:rFonts w:ascii="Arial" w:hAnsi="Arial" w:cs="Arial"/>
          <w:sz w:val="22"/>
        </w:rPr>
      </w:pPr>
      <w:r w:rsidRPr="00DA2A1A">
        <w:rPr>
          <w:rFonts w:ascii="Arial" w:hAnsi="Arial" w:cs="Arial"/>
          <w:sz w:val="22"/>
        </w:rPr>
        <w:t>[7]</w:t>
      </w:r>
      <w:r w:rsidRPr="00DA2A1A">
        <w:rPr>
          <w:rFonts w:ascii="Arial" w:hAnsi="Arial" w:cs="Arial"/>
          <w:sz w:val="22"/>
        </w:rPr>
        <w:tab/>
        <w:t xml:space="preserve">R. J. Nett, K. J. Cummings, B. Cannon, J. Cox-Ganser, and S. D. Nathan, “Dental Personnel Treated for Idiopathic Pulmonary Fibrosis at a Tertiary Care Center - Virginia, 2000-2015,” </w:t>
      </w:r>
      <w:r w:rsidRPr="00DA2A1A">
        <w:rPr>
          <w:rFonts w:ascii="Arial" w:hAnsi="Arial" w:cs="Arial"/>
          <w:i/>
          <w:iCs/>
          <w:sz w:val="22"/>
        </w:rPr>
        <w:t>MMWR Morb Mortal Wkly Rep</w:t>
      </w:r>
      <w:r w:rsidRPr="00DA2A1A">
        <w:rPr>
          <w:rFonts w:ascii="Arial" w:hAnsi="Arial" w:cs="Arial"/>
          <w:sz w:val="22"/>
        </w:rPr>
        <w:t>, vol. 67, no. 9, pp. 270–273, Mar. 2018, doi: 10.15585/mmwr.mm6709a2.</w:t>
      </w:r>
    </w:p>
    <w:p w14:paraId="298F1BEF" w14:textId="77777777" w:rsidR="00DA2A1A" w:rsidRPr="00DA2A1A" w:rsidRDefault="00DA2A1A" w:rsidP="00DA2A1A">
      <w:pPr>
        <w:pStyle w:val="Bibliography"/>
        <w:rPr>
          <w:rFonts w:ascii="Arial" w:hAnsi="Arial" w:cs="Arial"/>
          <w:sz w:val="22"/>
        </w:rPr>
      </w:pPr>
      <w:r w:rsidRPr="00DA2A1A">
        <w:rPr>
          <w:rFonts w:ascii="Arial" w:hAnsi="Arial" w:cs="Arial"/>
          <w:sz w:val="22"/>
        </w:rPr>
        <w:t>[8]</w:t>
      </w:r>
      <w:r w:rsidRPr="00DA2A1A">
        <w:rPr>
          <w:rFonts w:ascii="Arial" w:hAnsi="Arial" w:cs="Arial"/>
          <w:sz w:val="22"/>
        </w:rPr>
        <w:tab/>
        <w:t xml:space="preserve">V. Leso, L. Fontana, R. Romano, P. Gervetti, and I. Iavicoli, “Artificial Stone Associated Silicosis: A Systematic Review,” </w:t>
      </w:r>
      <w:r w:rsidRPr="00DA2A1A">
        <w:rPr>
          <w:rFonts w:ascii="Arial" w:hAnsi="Arial" w:cs="Arial"/>
          <w:i/>
          <w:iCs/>
          <w:sz w:val="22"/>
        </w:rPr>
        <w:t>Int J Environ Res Public Health</w:t>
      </w:r>
      <w:r w:rsidRPr="00DA2A1A">
        <w:rPr>
          <w:rFonts w:ascii="Arial" w:hAnsi="Arial" w:cs="Arial"/>
          <w:sz w:val="22"/>
        </w:rPr>
        <w:t>, vol. 16, no. 4, p. 568, Feb. 2019, doi: 10.3390/ijerph16040568.</w:t>
      </w:r>
    </w:p>
    <w:p w14:paraId="722F7ADC" w14:textId="77777777" w:rsidR="00DA2A1A" w:rsidRPr="00DA2A1A" w:rsidRDefault="00DA2A1A" w:rsidP="00DA2A1A">
      <w:pPr>
        <w:pStyle w:val="Bibliography"/>
        <w:rPr>
          <w:rFonts w:ascii="Arial" w:hAnsi="Arial" w:cs="Arial"/>
          <w:sz w:val="22"/>
        </w:rPr>
      </w:pPr>
      <w:r w:rsidRPr="00DA2A1A">
        <w:rPr>
          <w:rFonts w:ascii="Arial" w:hAnsi="Arial" w:cs="Arial"/>
          <w:sz w:val="22"/>
        </w:rPr>
        <w:t>[9]</w:t>
      </w:r>
      <w:r w:rsidRPr="00DA2A1A">
        <w:rPr>
          <w:rFonts w:ascii="Arial" w:hAnsi="Arial" w:cs="Arial"/>
          <w:sz w:val="22"/>
        </w:rPr>
        <w:tab/>
        <w:t xml:space="preserve">Y.-C. Tsao, H.-Y. Fan, and J.-C. J. Luo, “Case reports of indium lung disease in Taiwan,” </w:t>
      </w:r>
      <w:r w:rsidRPr="00DA2A1A">
        <w:rPr>
          <w:rFonts w:ascii="Arial" w:hAnsi="Arial" w:cs="Arial"/>
          <w:i/>
          <w:iCs/>
          <w:sz w:val="22"/>
        </w:rPr>
        <w:t>Journal of the Formosan Medical Association</w:t>
      </w:r>
      <w:r w:rsidRPr="00DA2A1A">
        <w:rPr>
          <w:rFonts w:ascii="Arial" w:hAnsi="Arial" w:cs="Arial"/>
          <w:sz w:val="22"/>
        </w:rPr>
        <w:t>, vol. 120, no. 2, pp. 893–898, Feb. 2021, doi: 10.1016/j.jfma.2020.08.009.</w:t>
      </w:r>
    </w:p>
    <w:p w14:paraId="22893E5D" w14:textId="77777777" w:rsidR="00DA2A1A" w:rsidRPr="00DA2A1A" w:rsidRDefault="00DA2A1A" w:rsidP="00DA2A1A">
      <w:pPr>
        <w:pStyle w:val="Bibliography"/>
        <w:rPr>
          <w:rFonts w:ascii="Arial" w:hAnsi="Arial" w:cs="Arial"/>
          <w:sz w:val="22"/>
        </w:rPr>
      </w:pPr>
      <w:r w:rsidRPr="00DA2A1A">
        <w:rPr>
          <w:rFonts w:ascii="Arial" w:hAnsi="Arial" w:cs="Arial"/>
          <w:sz w:val="22"/>
        </w:rPr>
        <w:t>[10]</w:t>
      </w:r>
      <w:r w:rsidRPr="00DA2A1A">
        <w:rPr>
          <w:rFonts w:ascii="Arial" w:hAnsi="Arial" w:cs="Arial"/>
          <w:sz w:val="22"/>
        </w:rPr>
        <w:tab/>
        <w:t xml:space="preserve">M. J. Page </w:t>
      </w:r>
      <w:r w:rsidRPr="00DA2A1A">
        <w:rPr>
          <w:rFonts w:ascii="Arial" w:hAnsi="Arial" w:cs="Arial"/>
          <w:i/>
          <w:iCs/>
          <w:sz w:val="22"/>
        </w:rPr>
        <w:t>et al.</w:t>
      </w:r>
      <w:r w:rsidRPr="00DA2A1A">
        <w:rPr>
          <w:rFonts w:ascii="Arial" w:hAnsi="Arial" w:cs="Arial"/>
          <w:sz w:val="22"/>
        </w:rPr>
        <w:t xml:space="preserve">, “The PRISMA 2020 statement: an updated guideline for reporting systematic reviews,” </w:t>
      </w:r>
      <w:r w:rsidRPr="00DA2A1A">
        <w:rPr>
          <w:rFonts w:ascii="Arial" w:hAnsi="Arial" w:cs="Arial"/>
          <w:i/>
          <w:iCs/>
          <w:sz w:val="22"/>
        </w:rPr>
        <w:t>BMJ</w:t>
      </w:r>
      <w:r w:rsidRPr="00DA2A1A">
        <w:rPr>
          <w:rFonts w:ascii="Arial" w:hAnsi="Arial" w:cs="Arial"/>
          <w:sz w:val="22"/>
        </w:rPr>
        <w:t>, vol. 372, p. n71, Mar. 2021, doi: 10.1136/bmj.n71.</w:t>
      </w:r>
    </w:p>
    <w:p w14:paraId="062A33C1" w14:textId="77777777" w:rsidR="00DA2A1A" w:rsidRPr="00DA2A1A" w:rsidRDefault="00DA2A1A" w:rsidP="00DA2A1A">
      <w:pPr>
        <w:pStyle w:val="Bibliography"/>
        <w:rPr>
          <w:rFonts w:ascii="Arial" w:hAnsi="Arial" w:cs="Arial"/>
          <w:sz w:val="22"/>
        </w:rPr>
      </w:pPr>
      <w:r w:rsidRPr="00DA2A1A">
        <w:rPr>
          <w:rFonts w:ascii="Arial" w:hAnsi="Arial" w:cs="Arial"/>
          <w:sz w:val="22"/>
        </w:rPr>
        <w:t>[11]</w:t>
      </w:r>
      <w:r w:rsidRPr="00DA2A1A">
        <w:rPr>
          <w:rFonts w:ascii="Arial" w:hAnsi="Arial" w:cs="Arial"/>
          <w:sz w:val="22"/>
        </w:rPr>
        <w:tab/>
        <w:t xml:space="preserve">H. Barnes, J. Lu, I. Glaspole, H. R. Collard, and K. A. Johannson, “Exposures and associations with clinical phenotypes in hypersensitivity pneumonitis: A scoping review,” </w:t>
      </w:r>
      <w:r w:rsidRPr="00DA2A1A">
        <w:rPr>
          <w:rFonts w:ascii="Arial" w:hAnsi="Arial" w:cs="Arial"/>
          <w:i/>
          <w:iCs/>
          <w:sz w:val="22"/>
        </w:rPr>
        <w:t>Respir Med</w:t>
      </w:r>
      <w:r w:rsidRPr="00DA2A1A">
        <w:rPr>
          <w:rFonts w:ascii="Arial" w:hAnsi="Arial" w:cs="Arial"/>
          <w:sz w:val="22"/>
        </w:rPr>
        <w:t>, vol. 184, p. 106444, Aug. 2021, doi: 10.1016/j.rmed.2021.106444.</w:t>
      </w:r>
    </w:p>
    <w:p w14:paraId="1C102EE9" w14:textId="77777777" w:rsidR="00DA2A1A" w:rsidRPr="00DA2A1A" w:rsidRDefault="00DA2A1A" w:rsidP="00DA2A1A">
      <w:pPr>
        <w:pStyle w:val="Bibliography"/>
        <w:rPr>
          <w:rFonts w:ascii="Arial" w:hAnsi="Arial" w:cs="Arial"/>
          <w:sz w:val="22"/>
        </w:rPr>
      </w:pPr>
      <w:r w:rsidRPr="00DA2A1A">
        <w:rPr>
          <w:rFonts w:ascii="Arial" w:hAnsi="Arial" w:cs="Arial"/>
          <w:sz w:val="22"/>
        </w:rPr>
        <w:t>[12]</w:t>
      </w:r>
      <w:r w:rsidRPr="00DA2A1A">
        <w:rPr>
          <w:rFonts w:ascii="Arial" w:hAnsi="Arial" w:cs="Arial"/>
          <w:sz w:val="22"/>
        </w:rPr>
        <w:tab/>
        <w:t xml:space="preserve">H. Barnes </w:t>
      </w:r>
      <w:r w:rsidRPr="00DA2A1A">
        <w:rPr>
          <w:rFonts w:ascii="Arial" w:hAnsi="Arial" w:cs="Arial"/>
          <w:i/>
          <w:iCs/>
          <w:sz w:val="22"/>
        </w:rPr>
        <w:t>et al.</w:t>
      </w:r>
      <w:r w:rsidRPr="00DA2A1A">
        <w:rPr>
          <w:rFonts w:ascii="Arial" w:hAnsi="Arial" w:cs="Arial"/>
          <w:sz w:val="22"/>
        </w:rPr>
        <w:t xml:space="preserve">, “A Systematically Derived Exposure Assessment Instrument for Chronic Hypersensitivity Pneumonitis,” </w:t>
      </w:r>
      <w:r w:rsidRPr="00DA2A1A">
        <w:rPr>
          <w:rFonts w:ascii="Arial" w:hAnsi="Arial" w:cs="Arial"/>
          <w:i/>
          <w:iCs/>
          <w:sz w:val="22"/>
        </w:rPr>
        <w:t>CHEST</w:t>
      </w:r>
      <w:r w:rsidRPr="00DA2A1A">
        <w:rPr>
          <w:rFonts w:ascii="Arial" w:hAnsi="Arial" w:cs="Arial"/>
          <w:sz w:val="22"/>
        </w:rPr>
        <w:t>, vol. 157, no. 6, pp. 1506–1512, Jun. 2020, doi: 10.1016/j.chest.2019.12.018.</w:t>
      </w:r>
    </w:p>
    <w:p w14:paraId="33E4522C" w14:textId="77777777" w:rsidR="00DA2A1A" w:rsidRPr="00DA2A1A" w:rsidRDefault="00DA2A1A" w:rsidP="00DA2A1A">
      <w:pPr>
        <w:pStyle w:val="Bibliography"/>
        <w:rPr>
          <w:rFonts w:ascii="Arial" w:hAnsi="Arial" w:cs="Arial"/>
          <w:sz w:val="22"/>
        </w:rPr>
      </w:pPr>
      <w:r w:rsidRPr="00DA2A1A">
        <w:rPr>
          <w:rFonts w:ascii="Arial" w:hAnsi="Arial" w:cs="Arial"/>
          <w:sz w:val="22"/>
        </w:rPr>
        <w:t>[13]</w:t>
      </w:r>
      <w:r w:rsidRPr="00DA2A1A">
        <w:rPr>
          <w:rFonts w:ascii="Arial" w:hAnsi="Arial" w:cs="Arial"/>
          <w:sz w:val="22"/>
        </w:rPr>
        <w:tab/>
        <w:t xml:space="preserve">M. J. Abramson </w:t>
      </w:r>
      <w:r w:rsidRPr="00DA2A1A">
        <w:rPr>
          <w:rFonts w:ascii="Arial" w:hAnsi="Arial" w:cs="Arial"/>
          <w:i/>
          <w:iCs/>
          <w:sz w:val="22"/>
        </w:rPr>
        <w:t>et al.</w:t>
      </w:r>
      <w:r w:rsidRPr="00DA2A1A">
        <w:rPr>
          <w:rFonts w:ascii="Arial" w:hAnsi="Arial" w:cs="Arial"/>
          <w:sz w:val="22"/>
        </w:rPr>
        <w:t xml:space="preserve">, “Occupational and environmental risk factors for idiopathic pulmonary fibrosis in Australia: case–control study,” </w:t>
      </w:r>
      <w:r w:rsidRPr="00DA2A1A">
        <w:rPr>
          <w:rFonts w:ascii="Arial" w:hAnsi="Arial" w:cs="Arial"/>
          <w:i/>
          <w:iCs/>
          <w:sz w:val="22"/>
        </w:rPr>
        <w:t>Thorax</w:t>
      </w:r>
      <w:r w:rsidRPr="00DA2A1A">
        <w:rPr>
          <w:rFonts w:ascii="Arial" w:hAnsi="Arial" w:cs="Arial"/>
          <w:sz w:val="22"/>
        </w:rPr>
        <w:t>, vol. 75, no. 10, pp. 864–869, Oct. 2020, doi: 10.1136/thoraxjnl-2019-214478.</w:t>
      </w:r>
    </w:p>
    <w:p w14:paraId="59313E4B" w14:textId="77777777" w:rsidR="00DA2A1A" w:rsidRPr="00DA2A1A" w:rsidRDefault="00DA2A1A" w:rsidP="00DA2A1A">
      <w:pPr>
        <w:pStyle w:val="Bibliography"/>
        <w:rPr>
          <w:rFonts w:ascii="Arial" w:hAnsi="Arial" w:cs="Arial"/>
          <w:sz w:val="22"/>
        </w:rPr>
      </w:pPr>
      <w:r w:rsidRPr="00DA2A1A">
        <w:rPr>
          <w:rFonts w:ascii="Arial" w:hAnsi="Arial" w:cs="Arial"/>
          <w:sz w:val="22"/>
        </w:rPr>
        <w:t>[14]</w:t>
      </w:r>
      <w:r w:rsidRPr="00DA2A1A">
        <w:rPr>
          <w:rFonts w:ascii="Arial" w:hAnsi="Arial" w:cs="Arial"/>
          <w:sz w:val="22"/>
        </w:rPr>
        <w:tab/>
        <w:t xml:space="preserve">J. Scott, I. Johnston, and J. Britton, “What causes cryptogenic fibrosing alveolitis? A case-control study of environmental exposure to dust.,” </w:t>
      </w:r>
      <w:r w:rsidRPr="00DA2A1A">
        <w:rPr>
          <w:rFonts w:ascii="Arial" w:hAnsi="Arial" w:cs="Arial"/>
          <w:i/>
          <w:iCs/>
          <w:sz w:val="22"/>
        </w:rPr>
        <w:t>BMJ</w:t>
      </w:r>
      <w:r w:rsidRPr="00DA2A1A">
        <w:rPr>
          <w:rFonts w:ascii="Arial" w:hAnsi="Arial" w:cs="Arial"/>
          <w:sz w:val="22"/>
        </w:rPr>
        <w:t>, vol. 301, no. 6759, pp. 1015–1017, Nov. 1990.</w:t>
      </w:r>
    </w:p>
    <w:p w14:paraId="512FBB0E" w14:textId="77777777" w:rsidR="00DA2A1A" w:rsidRPr="00DA2A1A" w:rsidRDefault="00DA2A1A" w:rsidP="00DA2A1A">
      <w:pPr>
        <w:pStyle w:val="Bibliography"/>
        <w:rPr>
          <w:rFonts w:ascii="Arial" w:hAnsi="Arial" w:cs="Arial"/>
          <w:sz w:val="22"/>
        </w:rPr>
      </w:pPr>
      <w:r w:rsidRPr="00DA2A1A">
        <w:rPr>
          <w:rFonts w:ascii="Arial" w:hAnsi="Arial" w:cs="Arial"/>
          <w:sz w:val="22"/>
        </w:rPr>
        <w:t>[15]</w:t>
      </w:r>
      <w:r w:rsidRPr="00DA2A1A">
        <w:rPr>
          <w:rFonts w:ascii="Arial" w:hAnsi="Arial" w:cs="Arial"/>
          <w:sz w:val="22"/>
        </w:rPr>
        <w:tab/>
        <w:t xml:space="preserve">Hubbard R., Lewis S., Richards K., Johnston I., and Britton J., “Occupational exposure to metal or wood dust and aetiology of cryptogenic fibrosing alveolitis,” </w:t>
      </w:r>
      <w:r w:rsidRPr="00DA2A1A">
        <w:rPr>
          <w:rFonts w:ascii="Arial" w:hAnsi="Arial" w:cs="Arial"/>
          <w:i/>
          <w:iCs/>
          <w:sz w:val="22"/>
        </w:rPr>
        <w:t>Lancet</w:t>
      </w:r>
      <w:r w:rsidRPr="00DA2A1A">
        <w:rPr>
          <w:rFonts w:ascii="Arial" w:hAnsi="Arial" w:cs="Arial"/>
          <w:sz w:val="22"/>
        </w:rPr>
        <w:t>, vol. 347, no. 8997, pp. 284–289, 1996, doi: 10.1016/S0140-6736%2896%2990465-1.</w:t>
      </w:r>
    </w:p>
    <w:p w14:paraId="2F27F2EF" w14:textId="77777777" w:rsidR="00DA2A1A" w:rsidRPr="00DA2A1A" w:rsidRDefault="00DA2A1A" w:rsidP="00DA2A1A">
      <w:pPr>
        <w:pStyle w:val="Bibliography"/>
        <w:rPr>
          <w:rFonts w:ascii="Arial" w:hAnsi="Arial" w:cs="Arial"/>
          <w:sz w:val="22"/>
        </w:rPr>
      </w:pPr>
      <w:r w:rsidRPr="00DA2A1A">
        <w:rPr>
          <w:rFonts w:ascii="Arial" w:hAnsi="Arial" w:cs="Arial"/>
          <w:sz w:val="22"/>
        </w:rPr>
        <w:t>[16]</w:t>
      </w:r>
      <w:r w:rsidRPr="00DA2A1A">
        <w:rPr>
          <w:rFonts w:ascii="Arial" w:hAnsi="Arial" w:cs="Arial"/>
          <w:sz w:val="22"/>
        </w:rPr>
        <w:tab/>
        <w:t xml:space="preserve">Hubbard R. </w:t>
      </w:r>
      <w:r w:rsidRPr="00DA2A1A">
        <w:rPr>
          <w:rFonts w:ascii="Arial" w:hAnsi="Arial" w:cs="Arial"/>
          <w:i/>
          <w:iCs/>
          <w:sz w:val="22"/>
        </w:rPr>
        <w:t>et al.</w:t>
      </w:r>
      <w:r w:rsidRPr="00DA2A1A">
        <w:rPr>
          <w:rFonts w:ascii="Arial" w:hAnsi="Arial" w:cs="Arial"/>
          <w:sz w:val="22"/>
        </w:rPr>
        <w:t xml:space="preserve">, “Risk of cryptogenic fibrosing alveolitis in metal workers,” </w:t>
      </w:r>
      <w:r w:rsidRPr="00DA2A1A">
        <w:rPr>
          <w:rFonts w:ascii="Arial" w:hAnsi="Arial" w:cs="Arial"/>
          <w:i/>
          <w:iCs/>
          <w:sz w:val="22"/>
        </w:rPr>
        <w:t>Lancet</w:t>
      </w:r>
      <w:r w:rsidRPr="00DA2A1A">
        <w:rPr>
          <w:rFonts w:ascii="Arial" w:hAnsi="Arial" w:cs="Arial"/>
          <w:sz w:val="22"/>
        </w:rPr>
        <w:t>, vol. 355, no. 9202, pp. 466–467, 2000, doi: 10.1016/S0140-6736%2800%2982017-6.</w:t>
      </w:r>
    </w:p>
    <w:p w14:paraId="2A9F956A" w14:textId="77777777" w:rsidR="00DA2A1A" w:rsidRPr="00DA2A1A" w:rsidRDefault="00DA2A1A" w:rsidP="00DA2A1A">
      <w:pPr>
        <w:pStyle w:val="Bibliography"/>
        <w:rPr>
          <w:rFonts w:ascii="Arial" w:hAnsi="Arial" w:cs="Arial"/>
          <w:sz w:val="22"/>
        </w:rPr>
      </w:pPr>
      <w:r w:rsidRPr="00DA2A1A">
        <w:rPr>
          <w:rFonts w:ascii="Arial" w:hAnsi="Arial" w:cs="Arial"/>
          <w:sz w:val="22"/>
        </w:rPr>
        <w:t>[17]</w:t>
      </w:r>
      <w:r w:rsidRPr="00DA2A1A">
        <w:rPr>
          <w:rFonts w:ascii="Arial" w:hAnsi="Arial" w:cs="Arial"/>
          <w:sz w:val="22"/>
        </w:rPr>
        <w:tab/>
        <w:t xml:space="preserve">T. Gustafson, A. Dahlman-Höglund, K. Nilsson, K. Ström, G. Tornling, and K. Torén, “Occupational exposure and severe pulmonary fibrosis,” </w:t>
      </w:r>
      <w:r w:rsidRPr="00DA2A1A">
        <w:rPr>
          <w:rFonts w:ascii="Arial" w:hAnsi="Arial" w:cs="Arial"/>
          <w:i/>
          <w:iCs/>
          <w:sz w:val="22"/>
        </w:rPr>
        <w:t>Respir Med</w:t>
      </w:r>
      <w:r w:rsidRPr="00DA2A1A">
        <w:rPr>
          <w:rFonts w:ascii="Arial" w:hAnsi="Arial" w:cs="Arial"/>
          <w:sz w:val="22"/>
        </w:rPr>
        <w:t>, vol. 101, no. 10, pp. 2207–2212, Oct. 2007, doi: 10.1016/j.rmed.2007.02.027.</w:t>
      </w:r>
    </w:p>
    <w:p w14:paraId="4733CE23" w14:textId="77777777" w:rsidR="00DA2A1A" w:rsidRPr="00DA2A1A" w:rsidRDefault="00DA2A1A" w:rsidP="00DA2A1A">
      <w:pPr>
        <w:pStyle w:val="Bibliography"/>
        <w:rPr>
          <w:rFonts w:ascii="Arial" w:hAnsi="Arial" w:cs="Arial"/>
          <w:sz w:val="22"/>
        </w:rPr>
      </w:pPr>
      <w:r w:rsidRPr="00DA2A1A">
        <w:rPr>
          <w:rFonts w:ascii="Arial" w:hAnsi="Arial" w:cs="Arial"/>
          <w:sz w:val="22"/>
        </w:rPr>
        <w:t>[18]</w:t>
      </w:r>
      <w:r w:rsidRPr="00DA2A1A">
        <w:rPr>
          <w:rFonts w:ascii="Arial" w:hAnsi="Arial" w:cs="Arial"/>
          <w:sz w:val="22"/>
        </w:rPr>
        <w:tab/>
        <w:t xml:space="preserve">Garcia-Sancho C. </w:t>
      </w:r>
      <w:r w:rsidRPr="00DA2A1A">
        <w:rPr>
          <w:rFonts w:ascii="Arial" w:hAnsi="Arial" w:cs="Arial"/>
          <w:i/>
          <w:iCs/>
          <w:sz w:val="22"/>
        </w:rPr>
        <w:t>et al.</w:t>
      </w:r>
      <w:r w:rsidRPr="00DA2A1A">
        <w:rPr>
          <w:rFonts w:ascii="Arial" w:hAnsi="Arial" w:cs="Arial"/>
          <w:sz w:val="22"/>
        </w:rPr>
        <w:t xml:space="preserve">, “Familial pulmonary fibrosis is the strongest risk factor for idiopathic pulmonary fibrosis,” </w:t>
      </w:r>
      <w:r w:rsidRPr="00DA2A1A">
        <w:rPr>
          <w:rFonts w:ascii="Arial" w:hAnsi="Arial" w:cs="Arial"/>
          <w:i/>
          <w:iCs/>
          <w:sz w:val="22"/>
        </w:rPr>
        <w:t>Respiratory Medicine</w:t>
      </w:r>
      <w:r w:rsidRPr="00DA2A1A">
        <w:rPr>
          <w:rFonts w:ascii="Arial" w:hAnsi="Arial" w:cs="Arial"/>
          <w:sz w:val="22"/>
        </w:rPr>
        <w:t>, vol. 105, no. 12, pp. 1902–1907, 2011, doi: 10.1016/j.rmed.2011.08.022.</w:t>
      </w:r>
    </w:p>
    <w:p w14:paraId="2977EB42" w14:textId="77777777" w:rsidR="00DA2A1A" w:rsidRPr="00DA2A1A" w:rsidRDefault="00DA2A1A" w:rsidP="00DA2A1A">
      <w:pPr>
        <w:pStyle w:val="Bibliography"/>
        <w:rPr>
          <w:rFonts w:ascii="Arial" w:hAnsi="Arial" w:cs="Arial"/>
          <w:sz w:val="22"/>
        </w:rPr>
      </w:pPr>
      <w:r w:rsidRPr="00DA2A1A">
        <w:rPr>
          <w:rFonts w:ascii="Arial" w:hAnsi="Arial" w:cs="Arial"/>
          <w:sz w:val="22"/>
        </w:rPr>
        <w:t>[19]</w:t>
      </w:r>
      <w:r w:rsidRPr="00DA2A1A">
        <w:rPr>
          <w:rFonts w:ascii="Arial" w:hAnsi="Arial" w:cs="Arial"/>
          <w:sz w:val="22"/>
        </w:rPr>
        <w:tab/>
        <w:t xml:space="preserve">K. B. Baumgartner </w:t>
      </w:r>
      <w:r w:rsidRPr="00DA2A1A">
        <w:rPr>
          <w:rFonts w:ascii="Arial" w:hAnsi="Arial" w:cs="Arial"/>
          <w:i/>
          <w:iCs/>
          <w:sz w:val="22"/>
        </w:rPr>
        <w:t>et al.</w:t>
      </w:r>
      <w:r w:rsidRPr="00DA2A1A">
        <w:rPr>
          <w:rFonts w:ascii="Arial" w:hAnsi="Arial" w:cs="Arial"/>
          <w:sz w:val="22"/>
        </w:rPr>
        <w:t xml:space="preserve">, “Occupational and environmental risk factors for idiopathic pulmonary fibrosis: a multicenter case-control study. Collaborating Centers.,” </w:t>
      </w:r>
      <w:r w:rsidRPr="00DA2A1A">
        <w:rPr>
          <w:rFonts w:ascii="Arial" w:hAnsi="Arial" w:cs="Arial"/>
          <w:i/>
          <w:iCs/>
          <w:sz w:val="22"/>
        </w:rPr>
        <w:t>American journal of epidemiology</w:t>
      </w:r>
      <w:r w:rsidRPr="00DA2A1A">
        <w:rPr>
          <w:rFonts w:ascii="Arial" w:hAnsi="Arial" w:cs="Arial"/>
          <w:sz w:val="22"/>
        </w:rPr>
        <w:t>, vol. 152, no. 4, pp. 307–15, 2000.</w:t>
      </w:r>
    </w:p>
    <w:p w14:paraId="788914F2" w14:textId="77777777" w:rsidR="00DA2A1A" w:rsidRPr="00DA2A1A" w:rsidRDefault="00DA2A1A" w:rsidP="00DA2A1A">
      <w:pPr>
        <w:pStyle w:val="Bibliography"/>
        <w:rPr>
          <w:rFonts w:ascii="Arial" w:hAnsi="Arial" w:cs="Arial"/>
          <w:sz w:val="22"/>
        </w:rPr>
      </w:pPr>
      <w:r w:rsidRPr="00DA2A1A">
        <w:rPr>
          <w:rFonts w:ascii="Arial" w:hAnsi="Arial" w:cs="Arial"/>
          <w:sz w:val="22"/>
        </w:rPr>
        <w:t>[20]</w:t>
      </w:r>
      <w:r w:rsidRPr="00DA2A1A">
        <w:rPr>
          <w:rFonts w:ascii="Arial" w:hAnsi="Arial" w:cs="Arial"/>
          <w:sz w:val="22"/>
        </w:rPr>
        <w:tab/>
        <w:t xml:space="preserve">G. Paolocci </w:t>
      </w:r>
      <w:r w:rsidRPr="00DA2A1A">
        <w:rPr>
          <w:rFonts w:ascii="Arial" w:hAnsi="Arial" w:cs="Arial"/>
          <w:i/>
          <w:iCs/>
          <w:sz w:val="22"/>
        </w:rPr>
        <w:t>et al.</w:t>
      </w:r>
      <w:r w:rsidRPr="00DA2A1A">
        <w:rPr>
          <w:rFonts w:ascii="Arial" w:hAnsi="Arial" w:cs="Arial"/>
          <w:sz w:val="22"/>
        </w:rPr>
        <w:t xml:space="preserve">, “Occupational risk factors for idiopathic pulmonary fibrosis in Southern Europe: a case-control study,” </w:t>
      </w:r>
      <w:r w:rsidRPr="00DA2A1A">
        <w:rPr>
          <w:rFonts w:ascii="Arial" w:hAnsi="Arial" w:cs="Arial"/>
          <w:i/>
          <w:iCs/>
          <w:sz w:val="22"/>
        </w:rPr>
        <w:t>BMC Pulm Med</w:t>
      </w:r>
      <w:r w:rsidRPr="00DA2A1A">
        <w:rPr>
          <w:rFonts w:ascii="Arial" w:hAnsi="Arial" w:cs="Arial"/>
          <w:sz w:val="22"/>
        </w:rPr>
        <w:t>, vol. 18, no. 1, p. 75, May 2018, doi: 10.1186/s12890-018-0644-2.</w:t>
      </w:r>
    </w:p>
    <w:p w14:paraId="3DF57D2D" w14:textId="77777777" w:rsidR="00DA2A1A" w:rsidRPr="00DA2A1A" w:rsidRDefault="00DA2A1A" w:rsidP="00DA2A1A">
      <w:pPr>
        <w:pStyle w:val="Bibliography"/>
        <w:rPr>
          <w:rFonts w:ascii="Arial" w:hAnsi="Arial" w:cs="Arial"/>
          <w:sz w:val="22"/>
        </w:rPr>
      </w:pPr>
      <w:r w:rsidRPr="00DA2A1A">
        <w:rPr>
          <w:rFonts w:ascii="Arial" w:hAnsi="Arial" w:cs="Arial"/>
          <w:sz w:val="22"/>
        </w:rPr>
        <w:t>[21]</w:t>
      </w:r>
      <w:r w:rsidRPr="00DA2A1A">
        <w:rPr>
          <w:rFonts w:ascii="Arial" w:hAnsi="Arial" w:cs="Arial"/>
          <w:sz w:val="22"/>
        </w:rPr>
        <w:tab/>
        <w:t>“Newcastle-Ottawa Scale - an overview | ScienceDirect Topics.” Accessed: Apr. 10, 2023. [Online]. Available: https://www.sciencedirect.com/topics/nursing-and-health-professions/newcastle-ottawa-scale</w:t>
      </w:r>
    </w:p>
    <w:p w14:paraId="0DD00B88" w14:textId="77777777" w:rsidR="00DA2A1A" w:rsidRPr="00DA2A1A" w:rsidRDefault="00DA2A1A" w:rsidP="00DA2A1A">
      <w:pPr>
        <w:pStyle w:val="Bibliography"/>
        <w:rPr>
          <w:rFonts w:ascii="Arial" w:hAnsi="Arial" w:cs="Arial"/>
          <w:sz w:val="22"/>
        </w:rPr>
      </w:pPr>
      <w:r w:rsidRPr="00DA2A1A">
        <w:rPr>
          <w:rFonts w:ascii="Arial" w:hAnsi="Arial" w:cs="Arial"/>
          <w:sz w:val="22"/>
        </w:rPr>
        <w:t>[22]</w:t>
      </w:r>
      <w:r w:rsidRPr="00DA2A1A">
        <w:rPr>
          <w:rFonts w:ascii="Arial" w:hAnsi="Arial" w:cs="Arial"/>
          <w:sz w:val="22"/>
        </w:rPr>
        <w:tab/>
        <w:t xml:space="preserve">P. Shamsrizi </w:t>
      </w:r>
      <w:r w:rsidRPr="00DA2A1A">
        <w:rPr>
          <w:rFonts w:ascii="Arial" w:hAnsi="Arial" w:cs="Arial"/>
          <w:i/>
          <w:iCs/>
          <w:sz w:val="22"/>
        </w:rPr>
        <w:t>et al.</w:t>
      </w:r>
      <w:r w:rsidRPr="00DA2A1A">
        <w:rPr>
          <w:rFonts w:ascii="Arial" w:hAnsi="Arial" w:cs="Arial"/>
          <w:sz w:val="22"/>
        </w:rPr>
        <w:t xml:space="preserve">, “Variation of effect estimates in the analysis of mortality and length of hospital stay in patients with infections caused by bacteria-producing extended-spectrum beta-lactamases: a systematic review and meta-analysis,” </w:t>
      </w:r>
      <w:r w:rsidRPr="00DA2A1A">
        <w:rPr>
          <w:rFonts w:ascii="Arial" w:hAnsi="Arial" w:cs="Arial"/>
          <w:i/>
          <w:iCs/>
          <w:sz w:val="22"/>
        </w:rPr>
        <w:t>BMJ Open</w:t>
      </w:r>
      <w:r w:rsidRPr="00DA2A1A">
        <w:rPr>
          <w:rFonts w:ascii="Arial" w:hAnsi="Arial" w:cs="Arial"/>
          <w:sz w:val="22"/>
        </w:rPr>
        <w:t>, vol. 10, no. 1, p. e030266, Jan. 2020, doi: 10.1136/bmjopen-2019-030266.</w:t>
      </w:r>
    </w:p>
    <w:p w14:paraId="01570E44" w14:textId="77777777" w:rsidR="00DA2A1A" w:rsidRPr="00DA2A1A" w:rsidRDefault="00DA2A1A" w:rsidP="00DA2A1A">
      <w:pPr>
        <w:pStyle w:val="Bibliography"/>
        <w:rPr>
          <w:rFonts w:ascii="Arial" w:hAnsi="Arial" w:cs="Arial"/>
          <w:sz w:val="22"/>
        </w:rPr>
      </w:pPr>
      <w:r w:rsidRPr="00DA2A1A">
        <w:rPr>
          <w:rFonts w:ascii="Arial" w:hAnsi="Arial" w:cs="Arial"/>
          <w:sz w:val="22"/>
        </w:rPr>
        <w:t>[23]</w:t>
      </w:r>
      <w:r w:rsidRPr="00DA2A1A">
        <w:rPr>
          <w:rFonts w:ascii="Arial" w:hAnsi="Arial" w:cs="Arial"/>
          <w:sz w:val="22"/>
        </w:rPr>
        <w:tab/>
        <w:t xml:space="preserve">D. Lan, C. C. Fermoyle, L. K. Troy, L. D. Knibbs, and T. J. Corte, “The impact of air pollution on interstitial lung disease: a systematic review and meta-analysis,” </w:t>
      </w:r>
      <w:r w:rsidRPr="00DA2A1A">
        <w:rPr>
          <w:rFonts w:ascii="Arial" w:hAnsi="Arial" w:cs="Arial"/>
          <w:i/>
          <w:iCs/>
          <w:sz w:val="22"/>
        </w:rPr>
        <w:t>Front Med (Lausanne)</w:t>
      </w:r>
      <w:r w:rsidRPr="00DA2A1A">
        <w:rPr>
          <w:rFonts w:ascii="Arial" w:hAnsi="Arial" w:cs="Arial"/>
          <w:sz w:val="22"/>
        </w:rPr>
        <w:t>, vol. 10, p. 1321038, 2023, doi: 10.3389/fmed.2023.1321038.</w:t>
      </w:r>
    </w:p>
    <w:p w14:paraId="03CB007A" w14:textId="77777777" w:rsidR="00DA2A1A" w:rsidRPr="00DA2A1A" w:rsidRDefault="00DA2A1A" w:rsidP="00DA2A1A">
      <w:pPr>
        <w:pStyle w:val="Bibliography"/>
        <w:rPr>
          <w:rFonts w:ascii="Arial" w:hAnsi="Arial" w:cs="Arial"/>
          <w:sz w:val="22"/>
        </w:rPr>
      </w:pPr>
      <w:r w:rsidRPr="00DA2A1A">
        <w:rPr>
          <w:rFonts w:ascii="Arial" w:hAnsi="Arial" w:cs="Arial"/>
          <w:sz w:val="22"/>
        </w:rPr>
        <w:t>[24]</w:t>
      </w:r>
      <w:r w:rsidRPr="00DA2A1A">
        <w:rPr>
          <w:rFonts w:ascii="Arial" w:hAnsi="Arial" w:cs="Arial"/>
          <w:sz w:val="22"/>
        </w:rPr>
        <w:tab/>
        <w:t xml:space="preserve">S. A. Gandhi </w:t>
      </w:r>
      <w:r w:rsidRPr="00DA2A1A">
        <w:rPr>
          <w:rFonts w:ascii="Arial" w:hAnsi="Arial" w:cs="Arial"/>
          <w:i/>
          <w:iCs/>
          <w:sz w:val="22"/>
        </w:rPr>
        <w:t>et al.</w:t>
      </w:r>
      <w:r w:rsidRPr="00DA2A1A">
        <w:rPr>
          <w:rFonts w:ascii="Arial" w:hAnsi="Arial" w:cs="Arial"/>
          <w:sz w:val="22"/>
        </w:rPr>
        <w:t xml:space="preserve">, “The Impact of Occupational Exposures on the Risk of Idiopathic Pulmonary Fibrosis: A Systematic Review and Meta-Analysis,” </w:t>
      </w:r>
      <w:r w:rsidRPr="00DA2A1A">
        <w:rPr>
          <w:rFonts w:ascii="Arial" w:hAnsi="Arial" w:cs="Arial"/>
          <w:i/>
          <w:iCs/>
          <w:sz w:val="22"/>
        </w:rPr>
        <w:t>Ann Am Thorac Soc</w:t>
      </w:r>
      <w:r w:rsidRPr="00DA2A1A">
        <w:rPr>
          <w:rFonts w:ascii="Arial" w:hAnsi="Arial" w:cs="Arial"/>
          <w:sz w:val="22"/>
        </w:rPr>
        <w:t>, Dec. 2023, doi: 10.1513/AnnalsATS.202305-402OC.</w:t>
      </w:r>
    </w:p>
    <w:p w14:paraId="1DDDFD86" w14:textId="77777777" w:rsidR="00DA2A1A" w:rsidRPr="00DA2A1A" w:rsidRDefault="00DA2A1A" w:rsidP="00DA2A1A">
      <w:pPr>
        <w:pStyle w:val="Bibliography"/>
        <w:rPr>
          <w:rFonts w:ascii="Arial" w:hAnsi="Arial" w:cs="Arial"/>
          <w:sz w:val="22"/>
        </w:rPr>
      </w:pPr>
      <w:r w:rsidRPr="00DA2A1A">
        <w:rPr>
          <w:rFonts w:ascii="Arial" w:hAnsi="Arial" w:cs="Arial"/>
          <w:sz w:val="22"/>
        </w:rPr>
        <w:t>[25]</w:t>
      </w:r>
      <w:r w:rsidRPr="00DA2A1A">
        <w:rPr>
          <w:rFonts w:ascii="Arial" w:hAnsi="Arial" w:cs="Arial"/>
          <w:sz w:val="22"/>
        </w:rPr>
        <w:tab/>
        <w:t xml:space="preserve">Y. Park, C. Ahn, and T.-H. Kim, “Occupational and environmental risk factors of idiopathic pulmonary fibrosis: a systematic review and meta-analyses,” </w:t>
      </w:r>
      <w:r w:rsidRPr="00DA2A1A">
        <w:rPr>
          <w:rFonts w:ascii="Arial" w:hAnsi="Arial" w:cs="Arial"/>
          <w:i/>
          <w:iCs/>
          <w:sz w:val="22"/>
        </w:rPr>
        <w:t>Sci Rep</w:t>
      </w:r>
      <w:r w:rsidRPr="00DA2A1A">
        <w:rPr>
          <w:rFonts w:ascii="Arial" w:hAnsi="Arial" w:cs="Arial"/>
          <w:sz w:val="22"/>
        </w:rPr>
        <w:t>, vol. 11, no. 1, p. 4318, Mar. 2021, doi: 10.1038/s41598-021-81591-z.</w:t>
      </w:r>
    </w:p>
    <w:p w14:paraId="6853BB4D" w14:textId="77777777" w:rsidR="00DA2A1A" w:rsidRPr="00DA2A1A" w:rsidRDefault="00DA2A1A" w:rsidP="00DA2A1A">
      <w:pPr>
        <w:pStyle w:val="Bibliography"/>
        <w:rPr>
          <w:rFonts w:ascii="Arial" w:hAnsi="Arial" w:cs="Arial"/>
          <w:sz w:val="22"/>
        </w:rPr>
      </w:pPr>
      <w:r w:rsidRPr="00DA2A1A">
        <w:rPr>
          <w:rFonts w:ascii="Arial" w:hAnsi="Arial" w:cs="Arial"/>
          <w:sz w:val="22"/>
        </w:rPr>
        <w:t>[26]</w:t>
      </w:r>
      <w:r w:rsidRPr="00DA2A1A">
        <w:rPr>
          <w:rFonts w:ascii="Arial" w:hAnsi="Arial" w:cs="Arial"/>
          <w:sz w:val="22"/>
        </w:rPr>
        <w:tab/>
        <w:t xml:space="preserve">A. U. Wells, K. K. Brown, K. R. Flaherty, M. Kolb, V. J. Thannickal, and IPF Consensus Working Group, “What’s in a name? That which we call IPF, by any other name would act the same,” </w:t>
      </w:r>
      <w:r w:rsidRPr="00DA2A1A">
        <w:rPr>
          <w:rFonts w:ascii="Arial" w:hAnsi="Arial" w:cs="Arial"/>
          <w:i/>
          <w:iCs/>
          <w:sz w:val="22"/>
        </w:rPr>
        <w:t>Eur Respir J</w:t>
      </w:r>
      <w:r w:rsidRPr="00DA2A1A">
        <w:rPr>
          <w:rFonts w:ascii="Arial" w:hAnsi="Arial" w:cs="Arial"/>
          <w:sz w:val="22"/>
        </w:rPr>
        <w:t>, vol. 51, no. 5, p. 1800692, May 2018, doi: 10.1183/13993003.00692-2018.</w:t>
      </w:r>
    </w:p>
    <w:p w14:paraId="6F456DAC" w14:textId="77777777" w:rsidR="00DA2A1A" w:rsidRPr="00DA2A1A" w:rsidRDefault="00DA2A1A" w:rsidP="00DA2A1A">
      <w:pPr>
        <w:pStyle w:val="Bibliography"/>
        <w:rPr>
          <w:rFonts w:ascii="Arial" w:hAnsi="Arial" w:cs="Arial"/>
          <w:sz w:val="22"/>
        </w:rPr>
      </w:pPr>
      <w:r w:rsidRPr="00DA2A1A">
        <w:rPr>
          <w:rFonts w:ascii="Arial" w:hAnsi="Arial" w:cs="Arial"/>
          <w:sz w:val="22"/>
        </w:rPr>
        <w:t>[27]</w:t>
      </w:r>
      <w:r w:rsidRPr="00DA2A1A">
        <w:rPr>
          <w:rFonts w:ascii="Arial" w:hAnsi="Arial" w:cs="Arial"/>
          <w:sz w:val="22"/>
        </w:rPr>
        <w:tab/>
        <w:t xml:space="preserve">C. W. Cox, C. S. Rose, and D. A. Lynch, “State of the art: Imaging of occupational lung disease,” </w:t>
      </w:r>
      <w:r w:rsidRPr="00DA2A1A">
        <w:rPr>
          <w:rFonts w:ascii="Arial" w:hAnsi="Arial" w:cs="Arial"/>
          <w:i/>
          <w:iCs/>
          <w:sz w:val="22"/>
        </w:rPr>
        <w:t>Radiology</w:t>
      </w:r>
      <w:r w:rsidRPr="00DA2A1A">
        <w:rPr>
          <w:rFonts w:ascii="Arial" w:hAnsi="Arial" w:cs="Arial"/>
          <w:sz w:val="22"/>
        </w:rPr>
        <w:t>, vol. 270, no. 3, pp. 681–696, Mar. 2014, doi: 10.1148/radiol.13121415.</w:t>
      </w:r>
    </w:p>
    <w:p w14:paraId="558D48D5" w14:textId="77777777" w:rsidR="00DA2A1A" w:rsidRPr="00DA2A1A" w:rsidRDefault="00DA2A1A" w:rsidP="00DA2A1A">
      <w:pPr>
        <w:pStyle w:val="Bibliography"/>
        <w:rPr>
          <w:rFonts w:ascii="Arial" w:hAnsi="Arial" w:cs="Arial"/>
          <w:sz w:val="22"/>
        </w:rPr>
      </w:pPr>
      <w:r w:rsidRPr="00DA2A1A">
        <w:rPr>
          <w:rFonts w:ascii="Arial" w:hAnsi="Arial" w:cs="Arial"/>
          <w:sz w:val="22"/>
        </w:rPr>
        <w:t>[28]</w:t>
      </w:r>
      <w:r w:rsidRPr="00DA2A1A">
        <w:rPr>
          <w:rFonts w:ascii="Arial" w:hAnsi="Arial" w:cs="Arial"/>
          <w:sz w:val="22"/>
        </w:rPr>
        <w:tab/>
        <w:t xml:space="preserve">M. Freire </w:t>
      </w:r>
      <w:r w:rsidRPr="00DA2A1A">
        <w:rPr>
          <w:rFonts w:ascii="Arial" w:hAnsi="Arial" w:cs="Arial"/>
          <w:i/>
          <w:iCs/>
          <w:sz w:val="22"/>
        </w:rPr>
        <w:t>et al.</w:t>
      </w:r>
      <w:r w:rsidRPr="00DA2A1A">
        <w:rPr>
          <w:rFonts w:ascii="Arial" w:hAnsi="Arial" w:cs="Arial"/>
          <w:sz w:val="22"/>
        </w:rPr>
        <w:t xml:space="preserve">, “Clinical peculiarities of patients with scleroderma exposed to silica: A systematic review of the literature,” </w:t>
      </w:r>
      <w:r w:rsidRPr="00DA2A1A">
        <w:rPr>
          <w:rFonts w:ascii="Arial" w:hAnsi="Arial" w:cs="Arial"/>
          <w:i/>
          <w:iCs/>
          <w:sz w:val="22"/>
        </w:rPr>
        <w:t>Seminars in Arthritis and Rheumatism</w:t>
      </w:r>
      <w:r w:rsidRPr="00DA2A1A">
        <w:rPr>
          <w:rFonts w:ascii="Arial" w:hAnsi="Arial" w:cs="Arial"/>
          <w:sz w:val="22"/>
        </w:rPr>
        <w:t>, vol. 45, no. 3, pp. 294–300, Dec. 2015, doi: 10.1016/j.semarthrit.2015.06.004.</w:t>
      </w:r>
    </w:p>
    <w:p w14:paraId="282FFC35" w14:textId="77777777" w:rsidR="00DA2A1A" w:rsidRPr="00DA2A1A" w:rsidRDefault="00DA2A1A" w:rsidP="00DA2A1A">
      <w:pPr>
        <w:pStyle w:val="Bibliography"/>
        <w:rPr>
          <w:rFonts w:ascii="Arial" w:hAnsi="Arial" w:cs="Arial"/>
          <w:sz w:val="22"/>
        </w:rPr>
      </w:pPr>
      <w:r w:rsidRPr="00DA2A1A">
        <w:rPr>
          <w:rFonts w:ascii="Arial" w:hAnsi="Arial" w:cs="Arial"/>
          <w:sz w:val="22"/>
        </w:rPr>
        <w:t>[29]</w:t>
      </w:r>
      <w:r w:rsidRPr="00DA2A1A">
        <w:rPr>
          <w:rFonts w:ascii="Arial" w:hAnsi="Arial" w:cs="Arial"/>
          <w:sz w:val="22"/>
        </w:rPr>
        <w:tab/>
        <w:t xml:space="preserve">Y. Park, C. Ahn, and T.-H. Kim, “Occupational and environmental risk factors of idiopathic pulmonary fibrosis: a systematic review and meta-analyses,” </w:t>
      </w:r>
      <w:r w:rsidRPr="00DA2A1A">
        <w:rPr>
          <w:rFonts w:ascii="Arial" w:hAnsi="Arial" w:cs="Arial"/>
          <w:i/>
          <w:iCs/>
          <w:sz w:val="22"/>
        </w:rPr>
        <w:t>Sci Rep</w:t>
      </w:r>
      <w:r w:rsidRPr="00DA2A1A">
        <w:rPr>
          <w:rFonts w:ascii="Arial" w:hAnsi="Arial" w:cs="Arial"/>
          <w:sz w:val="22"/>
        </w:rPr>
        <w:t>, vol. 11, no. 1, Art. no. 1, Mar. 2021, doi: 10.1038/s41598-021-81591-z.</w:t>
      </w:r>
    </w:p>
    <w:p w14:paraId="53EB3526" w14:textId="77777777" w:rsidR="00DA2A1A" w:rsidRPr="00DA2A1A" w:rsidRDefault="00DA2A1A" w:rsidP="00DA2A1A">
      <w:pPr>
        <w:pStyle w:val="Bibliography"/>
        <w:rPr>
          <w:rFonts w:ascii="Arial" w:hAnsi="Arial" w:cs="Arial"/>
          <w:sz w:val="22"/>
        </w:rPr>
      </w:pPr>
      <w:r w:rsidRPr="00DA2A1A">
        <w:rPr>
          <w:rFonts w:ascii="Arial" w:hAnsi="Arial" w:cs="Arial"/>
          <w:sz w:val="22"/>
        </w:rPr>
        <w:t>[30]</w:t>
      </w:r>
      <w:r w:rsidRPr="00DA2A1A">
        <w:rPr>
          <w:rFonts w:ascii="Arial" w:hAnsi="Arial" w:cs="Arial"/>
          <w:sz w:val="22"/>
        </w:rPr>
        <w:tab/>
        <w:t xml:space="preserve">L.-L. Zhou </w:t>
      </w:r>
      <w:r w:rsidRPr="00DA2A1A">
        <w:rPr>
          <w:rFonts w:ascii="Arial" w:hAnsi="Arial" w:cs="Arial"/>
          <w:i/>
          <w:iCs/>
          <w:sz w:val="22"/>
        </w:rPr>
        <w:t>et al.</w:t>
      </w:r>
      <w:r w:rsidRPr="00DA2A1A">
        <w:rPr>
          <w:rFonts w:ascii="Arial" w:hAnsi="Arial" w:cs="Arial"/>
          <w:sz w:val="22"/>
        </w:rPr>
        <w:t xml:space="preserve">, “Cigarette smoking aggravates bleomycin-induced experimental pulmonary fibrosis,” </w:t>
      </w:r>
      <w:r w:rsidRPr="00DA2A1A">
        <w:rPr>
          <w:rFonts w:ascii="Arial" w:hAnsi="Arial" w:cs="Arial"/>
          <w:i/>
          <w:iCs/>
          <w:sz w:val="22"/>
        </w:rPr>
        <w:t>Toxicol Lett</w:t>
      </w:r>
      <w:r w:rsidRPr="00DA2A1A">
        <w:rPr>
          <w:rFonts w:ascii="Arial" w:hAnsi="Arial" w:cs="Arial"/>
          <w:sz w:val="22"/>
        </w:rPr>
        <w:t>, vol. 303, pp. 1–8, Mar. 2019, doi: 10.1016/j.toxlet.2018.12.008.</w:t>
      </w:r>
    </w:p>
    <w:p w14:paraId="0162DFFB" w14:textId="77777777" w:rsidR="00DA2A1A" w:rsidRPr="00DA2A1A" w:rsidRDefault="00DA2A1A" w:rsidP="00DA2A1A">
      <w:pPr>
        <w:pStyle w:val="Bibliography"/>
        <w:rPr>
          <w:rFonts w:ascii="Arial" w:hAnsi="Arial" w:cs="Arial"/>
          <w:sz w:val="22"/>
        </w:rPr>
      </w:pPr>
      <w:r w:rsidRPr="00DA2A1A">
        <w:rPr>
          <w:rFonts w:ascii="Arial" w:hAnsi="Arial" w:cs="Arial"/>
          <w:sz w:val="22"/>
        </w:rPr>
        <w:t>[31]</w:t>
      </w:r>
      <w:r w:rsidRPr="00DA2A1A">
        <w:rPr>
          <w:rFonts w:ascii="Arial" w:hAnsi="Arial" w:cs="Arial"/>
          <w:sz w:val="22"/>
        </w:rPr>
        <w:tab/>
        <w:t xml:space="preserve">“Aerosols – Dusts, Fumes and Mists [MAK Value Documentation, 1999],” in </w:t>
      </w:r>
      <w:r w:rsidRPr="00DA2A1A">
        <w:rPr>
          <w:rFonts w:ascii="Arial" w:hAnsi="Arial" w:cs="Arial"/>
          <w:i/>
          <w:iCs/>
          <w:sz w:val="22"/>
        </w:rPr>
        <w:t>The MAK-Collection for Occupational Health and Safety</w:t>
      </w:r>
      <w:r w:rsidRPr="00DA2A1A">
        <w:rPr>
          <w:rFonts w:ascii="Arial" w:hAnsi="Arial" w:cs="Arial"/>
          <w:sz w:val="22"/>
        </w:rPr>
        <w:t>, John Wiley &amp; Sons, Ltd, 2012, pp. 272–292. doi: 10.1002/3527600418.mb0aeroaere0012.</w:t>
      </w:r>
    </w:p>
    <w:p w14:paraId="4937463F" w14:textId="77777777" w:rsidR="00DA2A1A" w:rsidRPr="00DA2A1A" w:rsidRDefault="00DA2A1A" w:rsidP="00DA2A1A">
      <w:pPr>
        <w:pStyle w:val="Bibliography"/>
        <w:rPr>
          <w:rFonts w:ascii="Arial" w:hAnsi="Arial" w:cs="Arial"/>
          <w:sz w:val="22"/>
        </w:rPr>
      </w:pPr>
      <w:r w:rsidRPr="00DA2A1A">
        <w:rPr>
          <w:rFonts w:ascii="Arial" w:hAnsi="Arial" w:cs="Arial"/>
          <w:sz w:val="22"/>
        </w:rPr>
        <w:t>[32]</w:t>
      </w:r>
      <w:r w:rsidRPr="00DA2A1A">
        <w:rPr>
          <w:rFonts w:ascii="Arial" w:hAnsi="Arial" w:cs="Arial"/>
          <w:sz w:val="22"/>
        </w:rPr>
        <w:tab/>
        <w:t xml:space="preserve">S. A. Miller-Archie </w:t>
      </w:r>
      <w:r w:rsidRPr="00DA2A1A">
        <w:rPr>
          <w:rFonts w:ascii="Arial" w:hAnsi="Arial" w:cs="Arial"/>
          <w:i/>
          <w:iCs/>
          <w:sz w:val="22"/>
        </w:rPr>
        <w:t>et al.</w:t>
      </w:r>
      <w:r w:rsidRPr="00DA2A1A">
        <w:rPr>
          <w:rFonts w:ascii="Arial" w:hAnsi="Arial" w:cs="Arial"/>
          <w:sz w:val="22"/>
        </w:rPr>
        <w:t xml:space="preserve">, “Systemic Autoimmune Disease Among Adults Exposed to the September 11, 2001 Terrorist Attack,” </w:t>
      </w:r>
      <w:r w:rsidRPr="00DA2A1A">
        <w:rPr>
          <w:rFonts w:ascii="Arial" w:hAnsi="Arial" w:cs="Arial"/>
          <w:i/>
          <w:iCs/>
          <w:sz w:val="22"/>
        </w:rPr>
        <w:t>Arthritis &amp; Rheumatology</w:t>
      </w:r>
      <w:r w:rsidRPr="00DA2A1A">
        <w:rPr>
          <w:rFonts w:ascii="Arial" w:hAnsi="Arial" w:cs="Arial"/>
          <w:sz w:val="22"/>
        </w:rPr>
        <w:t>, vol. 72, no. 5, pp. 849–859, 2020, doi: 10.1002/art.41175.</w:t>
      </w:r>
    </w:p>
    <w:p w14:paraId="688EC337" w14:textId="77777777" w:rsidR="00DA2A1A" w:rsidRPr="00DA2A1A" w:rsidRDefault="00DA2A1A" w:rsidP="00DA2A1A">
      <w:pPr>
        <w:pStyle w:val="Bibliography"/>
        <w:rPr>
          <w:rFonts w:ascii="Arial" w:hAnsi="Arial" w:cs="Arial"/>
          <w:sz w:val="22"/>
        </w:rPr>
      </w:pPr>
      <w:r w:rsidRPr="00DA2A1A">
        <w:rPr>
          <w:rFonts w:ascii="Arial" w:hAnsi="Arial" w:cs="Arial"/>
          <w:sz w:val="22"/>
        </w:rPr>
        <w:t>[33]</w:t>
      </w:r>
      <w:r w:rsidRPr="00DA2A1A">
        <w:rPr>
          <w:rFonts w:ascii="Arial" w:hAnsi="Arial" w:cs="Arial"/>
          <w:sz w:val="22"/>
        </w:rPr>
        <w:tab/>
        <w:t xml:space="preserve">C. J. Winterbottom </w:t>
      </w:r>
      <w:r w:rsidRPr="00DA2A1A">
        <w:rPr>
          <w:rFonts w:ascii="Arial" w:hAnsi="Arial" w:cs="Arial"/>
          <w:i/>
          <w:iCs/>
          <w:sz w:val="22"/>
        </w:rPr>
        <w:t>et al.</w:t>
      </w:r>
      <w:r w:rsidRPr="00DA2A1A">
        <w:rPr>
          <w:rFonts w:ascii="Arial" w:hAnsi="Arial" w:cs="Arial"/>
          <w:sz w:val="22"/>
        </w:rPr>
        <w:t xml:space="preserve">, “Exposure to Ambient Particulate Matter Is Associated With Accelerated Functional Decline in Idiopathic Pulmonary Fibrosis,” </w:t>
      </w:r>
      <w:r w:rsidRPr="00DA2A1A">
        <w:rPr>
          <w:rFonts w:ascii="Arial" w:hAnsi="Arial" w:cs="Arial"/>
          <w:i/>
          <w:iCs/>
          <w:sz w:val="22"/>
        </w:rPr>
        <w:t>Chest</w:t>
      </w:r>
      <w:r w:rsidRPr="00DA2A1A">
        <w:rPr>
          <w:rFonts w:ascii="Arial" w:hAnsi="Arial" w:cs="Arial"/>
          <w:sz w:val="22"/>
        </w:rPr>
        <w:t>, vol. 153, no. 5, pp. 1221–1228, May 2018, doi: 10.1016/j.chest.2017.07.034.</w:t>
      </w:r>
    </w:p>
    <w:p w14:paraId="47E4029A" w14:textId="77777777" w:rsidR="00DA2A1A" w:rsidRPr="00DA2A1A" w:rsidRDefault="00DA2A1A" w:rsidP="00DA2A1A">
      <w:pPr>
        <w:pStyle w:val="Bibliography"/>
        <w:rPr>
          <w:rFonts w:ascii="Arial" w:hAnsi="Arial" w:cs="Arial"/>
          <w:sz w:val="22"/>
        </w:rPr>
      </w:pPr>
      <w:r w:rsidRPr="00DA2A1A">
        <w:rPr>
          <w:rFonts w:ascii="Arial" w:hAnsi="Arial" w:cs="Arial"/>
          <w:sz w:val="22"/>
        </w:rPr>
        <w:t>[34]</w:t>
      </w:r>
      <w:r w:rsidRPr="00DA2A1A">
        <w:rPr>
          <w:rFonts w:ascii="Arial" w:hAnsi="Arial" w:cs="Arial"/>
          <w:sz w:val="22"/>
        </w:rPr>
        <w:tab/>
        <w:t xml:space="preserve">N. Zhao </w:t>
      </w:r>
      <w:r w:rsidRPr="00DA2A1A">
        <w:rPr>
          <w:rFonts w:ascii="Arial" w:hAnsi="Arial" w:cs="Arial"/>
          <w:i/>
          <w:iCs/>
          <w:sz w:val="22"/>
        </w:rPr>
        <w:t>et al.</w:t>
      </w:r>
      <w:r w:rsidRPr="00DA2A1A">
        <w:rPr>
          <w:rFonts w:ascii="Arial" w:hAnsi="Arial" w:cs="Arial"/>
          <w:sz w:val="22"/>
        </w:rPr>
        <w:t xml:space="preserve">, “Fine particulate matter components and interstitial lung disease in rheumatoid arthritis,” </w:t>
      </w:r>
      <w:r w:rsidRPr="00DA2A1A">
        <w:rPr>
          <w:rFonts w:ascii="Arial" w:hAnsi="Arial" w:cs="Arial"/>
          <w:i/>
          <w:iCs/>
          <w:sz w:val="22"/>
        </w:rPr>
        <w:t>Eur Respir J</w:t>
      </w:r>
      <w:r w:rsidRPr="00DA2A1A">
        <w:rPr>
          <w:rFonts w:ascii="Arial" w:hAnsi="Arial" w:cs="Arial"/>
          <w:sz w:val="22"/>
        </w:rPr>
        <w:t>, vol. 60, no. 1, p. 2102149, Jul. 2022, doi: 10.1183/13993003.02149-2021.</w:t>
      </w:r>
    </w:p>
    <w:p w14:paraId="11449DD2" w14:textId="77777777" w:rsidR="00DA2A1A" w:rsidRPr="00DA2A1A" w:rsidRDefault="00DA2A1A" w:rsidP="00DA2A1A">
      <w:pPr>
        <w:pStyle w:val="Bibliography"/>
        <w:rPr>
          <w:rFonts w:ascii="Arial" w:hAnsi="Arial" w:cs="Arial"/>
          <w:sz w:val="22"/>
        </w:rPr>
      </w:pPr>
      <w:r w:rsidRPr="00DA2A1A">
        <w:rPr>
          <w:rFonts w:ascii="Arial" w:hAnsi="Arial" w:cs="Arial"/>
          <w:sz w:val="22"/>
        </w:rPr>
        <w:t>[35]</w:t>
      </w:r>
      <w:r w:rsidRPr="00DA2A1A">
        <w:rPr>
          <w:rFonts w:ascii="Arial" w:hAnsi="Arial" w:cs="Arial"/>
          <w:sz w:val="22"/>
        </w:rPr>
        <w:tab/>
        <w:t xml:space="preserve">G. C. Goobie </w:t>
      </w:r>
      <w:r w:rsidRPr="00DA2A1A">
        <w:rPr>
          <w:rFonts w:ascii="Arial" w:hAnsi="Arial" w:cs="Arial"/>
          <w:i/>
          <w:iCs/>
          <w:sz w:val="22"/>
        </w:rPr>
        <w:t>et al.</w:t>
      </w:r>
      <w:r w:rsidRPr="00DA2A1A">
        <w:rPr>
          <w:rFonts w:ascii="Arial" w:hAnsi="Arial" w:cs="Arial"/>
          <w:sz w:val="22"/>
        </w:rPr>
        <w:t xml:space="preserve">, “Ambient Ultrafine Particulate Matter and Clinical Outcomes in Fibrotic Interstitial Lung Disease,” </w:t>
      </w:r>
      <w:r w:rsidRPr="00DA2A1A">
        <w:rPr>
          <w:rFonts w:ascii="Arial" w:hAnsi="Arial" w:cs="Arial"/>
          <w:i/>
          <w:iCs/>
          <w:sz w:val="22"/>
        </w:rPr>
        <w:t>Am J Respir Crit Care Med</w:t>
      </w:r>
      <w:r w:rsidRPr="00DA2A1A">
        <w:rPr>
          <w:rFonts w:ascii="Arial" w:hAnsi="Arial" w:cs="Arial"/>
          <w:sz w:val="22"/>
        </w:rPr>
        <w:t>, Nov. 2023, doi: 10.1164/rccm.202307-1275OC.</w:t>
      </w:r>
    </w:p>
    <w:p w14:paraId="10674CE5" w14:textId="77777777" w:rsidR="00DA2A1A" w:rsidRPr="00DA2A1A" w:rsidRDefault="00DA2A1A" w:rsidP="00DA2A1A">
      <w:pPr>
        <w:pStyle w:val="Bibliography"/>
        <w:rPr>
          <w:rFonts w:ascii="Arial" w:hAnsi="Arial" w:cs="Arial"/>
          <w:sz w:val="22"/>
        </w:rPr>
      </w:pPr>
      <w:r w:rsidRPr="00DA2A1A">
        <w:rPr>
          <w:rFonts w:ascii="Arial" w:hAnsi="Arial" w:cs="Arial"/>
          <w:sz w:val="22"/>
        </w:rPr>
        <w:t>[36]</w:t>
      </w:r>
      <w:r w:rsidRPr="00DA2A1A">
        <w:rPr>
          <w:rFonts w:ascii="Arial" w:hAnsi="Arial" w:cs="Arial"/>
          <w:sz w:val="22"/>
        </w:rPr>
        <w:tab/>
        <w:t xml:space="preserve">G. Raghu </w:t>
      </w:r>
      <w:r w:rsidRPr="00DA2A1A">
        <w:rPr>
          <w:rFonts w:ascii="Arial" w:hAnsi="Arial" w:cs="Arial"/>
          <w:i/>
          <w:iCs/>
          <w:sz w:val="22"/>
        </w:rPr>
        <w:t>et al.</w:t>
      </w:r>
      <w:r w:rsidRPr="00DA2A1A">
        <w:rPr>
          <w:rFonts w:ascii="Arial" w:hAnsi="Arial" w:cs="Arial"/>
          <w:sz w:val="22"/>
        </w:rPr>
        <w:t xml:space="preserve">, “Idiopathic Pulmonary Fibrosis (an Update) and Progressive Pulmonary Fibrosis in Adults: An Official ATS/ERS/JRS/ALAT Clinical Practice Guideline,” </w:t>
      </w:r>
      <w:r w:rsidRPr="00DA2A1A">
        <w:rPr>
          <w:rFonts w:ascii="Arial" w:hAnsi="Arial" w:cs="Arial"/>
          <w:i/>
          <w:iCs/>
          <w:sz w:val="22"/>
        </w:rPr>
        <w:t>Am J Respir Crit Care Med</w:t>
      </w:r>
      <w:r w:rsidRPr="00DA2A1A">
        <w:rPr>
          <w:rFonts w:ascii="Arial" w:hAnsi="Arial" w:cs="Arial"/>
          <w:sz w:val="22"/>
        </w:rPr>
        <w:t>, vol. 205, no. 9, pp. e18–e47, May 2022, doi: 10.1164/rccm.202202-0399ST.</w:t>
      </w:r>
    </w:p>
    <w:p w14:paraId="65FDAB3B" w14:textId="77777777" w:rsidR="00DA2A1A" w:rsidRPr="00DA2A1A" w:rsidRDefault="00DA2A1A" w:rsidP="00DA2A1A">
      <w:pPr>
        <w:pStyle w:val="Bibliography"/>
        <w:rPr>
          <w:rFonts w:ascii="Arial" w:hAnsi="Arial" w:cs="Arial"/>
          <w:sz w:val="22"/>
        </w:rPr>
      </w:pPr>
      <w:r w:rsidRPr="00DA2A1A">
        <w:rPr>
          <w:rFonts w:ascii="Arial" w:hAnsi="Arial" w:cs="Arial"/>
          <w:sz w:val="22"/>
        </w:rPr>
        <w:t>[37]</w:t>
      </w:r>
      <w:r w:rsidRPr="00DA2A1A">
        <w:rPr>
          <w:rFonts w:ascii="Arial" w:hAnsi="Arial" w:cs="Arial"/>
          <w:sz w:val="22"/>
        </w:rPr>
        <w:tab/>
        <w:t xml:space="preserve">K. Maldonado-Cañón </w:t>
      </w:r>
      <w:r w:rsidRPr="00DA2A1A">
        <w:rPr>
          <w:rFonts w:ascii="Arial" w:hAnsi="Arial" w:cs="Arial"/>
          <w:i/>
          <w:iCs/>
          <w:sz w:val="22"/>
        </w:rPr>
        <w:t>et al.</w:t>
      </w:r>
      <w:r w:rsidRPr="00DA2A1A">
        <w:rPr>
          <w:rFonts w:ascii="Arial" w:hAnsi="Arial" w:cs="Arial"/>
          <w:sz w:val="22"/>
        </w:rPr>
        <w:t xml:space="preserve">, “The healthy participant effect: insights and results from a population-based case–control study on breast cancer,” </w:t>
      </w:r>
      <w:r w:rsidRPr="00DA2A1A">
        <w:rPr>
          <w:rFonts w:ascii="Arial" w:hAnsi="Arial" w:cs="Arial"/>
          <w:i/>
          <w:iCs/>
          <w:sz w:val="22"/>
        </w:rPr>
        <w:t>American Journal of Epidemiology</w:t>
      </w:r>
      <w:r w:rsidRPr="00DA2A1A">
        <w:rPr>
          <w:rFonts w:ascii="Arial" w:hAnsi="Arial" w:cs="Arial"/>
          <w:sz w:val="22"/>
        </w:rPr>
        <w:t>, p. kwae155, Jun. 2024, doi: 10.1093/aje/kwae155.</w:t>
      </w:r>
    </w:p>
    <w:p w14:paraId="4F9EDF8F" w14:textId="77777777" w:rsidR="00DA2A1A" w:rsidRPr="00DA2A1A" w:rsidRDefault="00DA2A1A" w:rsidP="00DA2A1A">
      <w:pPr>
        <w:pStyle w:val="Bibliography"/>
        <w:rPr>
          <w:rFonts w:ascii="Arial" w:hAnsi="Arial" w:cs="Arial"/>
          <w:sz w:val="22"/>
        </w:rPr>
      </w:pPr>
      <w:r w:rsidRPr="00DA2A1A">
        <w:rPr>
          <w:rFonts w:ascii="Arial" w:hAnsi="Arial" w:cs="Arial"/>
          <w:sz w:val="22"/>
        </w:rPr>
        <w:t>[38]</w:t>
      </w:r>
      <w:r w:rsidRPr="00DA2A1A">
        <w:rPr>
          <w:rFonts w:ascii="Arial" w:hAnsi="Arial" w:cs="Arial"/>
          <w:sz w:val="22"/>
        </w:rPr>
        <w:tab/>
        <w:t xml:space="preserve">M. Möhner, “The Impact of Selection Bias Due to Increasing Response Rates among Population Controls in Occupational Case-Control Studies,” </w:t>
      </w:r>
      <w:r w:rsidRPr="00DA2A1A">
        <w:rPr>
          <w:rFonts w:ascii="Arial" w:hAnsi="Arial" w:cs="Arial"/>
          <w:i/>
          <w:iCs/>
          <w:sz w:val="22"/>
        </w:rPr>
        <w:t>Am J Respir Crit Care Med</w:t>
      </w:r>
      <w:r w:rsidRPr="00DA2A1A">
        <w:rPr>
          <w:rFonts w:ascii="Arial" w:hAnsi="Arial" w:cs="Arial"/>
          <w:sz w:val="22"/>
        </w:rPr>
        <w:t>, vol. 185, no. 1, pp. 104–106, Jan. 2012, doi: 10.1164/ajrccm.185.1.104a.</w:t>
      </w:r>
    </w:p>
    <w:p w14:paraId="34ECF540" w14:textId="7EA95040" w:rsidR="00DB6533" w:rsidRDefault="00162BB4" w:rsidP="002B6C71">
      <w:pPr>
        <w:spacing w:line="480" w:lineRule="auto"/>
        <w:rPr>
          <w:rFonts w:ascii="Arial" w:hAnsi="Arial" w:cs="Arial"/>
          <w:b/>
          <w:sz w:val="22"/>
          <w:szCs w:val="22"/>
        </w:rPr>
      </w:pPr>
      <w:r>
        <w:rPr>
          <w:rFonts w:ascii="Arial" w:hAnsi="Arial" w:cs="Arial"/>
          <w:sz w:val="22"/>
        </w:rPr>
        <w:fldChar w:fldCharType="end"/>
      </w:r>
    </w:p>
    <w:p w14:paraId="4E04ABC7" w14:textId="77777777" w:rsidR="00DB6533" w:rsidRDefault="00DB6533" w:rsidP="002B6C71">
      <w:pPr>
        <w:spacing w:line="480" w:lineRule="auto"/>
        <w:rPr>
          <w:rFonts w:ascii="Arial" w:hAnsi="Arial" w:cs="Arial"/>
          <w:b/>
          <w:sz w:val="22"/>
          <w:szCs w:val="22"/>
        </w:rPr>
      </w:pPr>
    </w:p>
    <w:p w14:paraId="16B07849" w14:textId="77777777" w:rsidR="00DB6533" w:rsidRDefault="00DB6533" w:rsidP="002B6C71">
      <w:pPr>
        <w:spacing w:line="480" w:lineRule="auto"/>
        <w:rPr>
          <w:rFonts w:ascii="Arial" w:hAnsi="Arial" w:cs="Arial"/>
          <w:b/>
          <w:sz w:val="22"/>
          <w:szCs w:val="22"/>
        </w:rPr>
      </w:pPr>
    </w:p>
    <w:p w14:paraId="2DBADB0F" w14:textId="77777777" w:rsidR="00DB6533" w:rsidRDefault="00DB6533" w:rsidP="002B6C71">
      <w:pPr>
        <w:spacing w:line="480" w:lineRule="auto"/>
        <w:rPr>
          <w:rFonts w:ascii="Arial" w:hAnsi="Arial" w:cs="Arial"/>
          <w:b/>
          <w:sz w:val="22"/>
          <w:szCs w:val="22"/>
        </w:rPr>
      </w:pPr>
    </w:p>
    <w:p w14:paraId="6B842983" w14:textId="77777777" w:rsidR="00DB6533" w:rsidRDefault="00DB6533" w:rsidP="002B6C71">
      <w:pPr>
        <w:spacing w:line="480" w:lineRule="auto"/>
        <w:rPr>
          <w:rFonts w:ascii="Arial" w:hAnsi="Arial" w:cs="Arial"/>
          <w:b/>
          <w:sz w:val="22"/>
          <w:szCs w:val="22"/>
        </w:rPr>
      </w:pPr>
    </w:p>
    <w:p w14:paraId="67D39CEB" w14:textId="3C37D111" w:rsidR="009C6954" w:rsidRDefault="009C6954" w:rsidP="002B6C71">
      <w:pPr>
        <w:spacing w:line="480" w:lineRule="auto"/>
        <w:rPr>
          <w:rFonts w:ascii="Arial" w:hAnsi="Arial" w:cs="Arial"/>
          <w:b/>
          <w:sz w:val="22"/>
          <w:szCs w:val="22"/>
        </w:rPr>
      </w:pPr>
    </w:p>
    <w:p w14:paraId="445C5005" w14:textId="2476974D" w:rsidR="009C6954" w:rsidRDefault="009C6954" w:rsidP="002B6C71">
      <w:pPr>
        <w:spacing w:line="480" w:lineRule="auto"/>
        <w:rPr>
          <w:rFonts w:ascii="Arial" w:hAnsi="Arial" w:cs="Arial"/>
          <w:b/>
          <w:sz w:val="22"/>
          <w:szCs w:val="22"/>
        </w:rPr>
      </w:pPr>
    </w:p>
    <w:p w14:paraId="74972363" w14:textId="65357291" w:rsidR="009C6954" w:rsidRDefault="009C6954" w:rsidP="002B6C71">
      <w:pPr>
        <w:spacing w:line="480" w:lineRule="auto"/>
        <w:rPr>
          <w:rFonts w:ascii="Arial" w:hAnsi="Arial" w:cs="Arial"/>
          <w:b/>
          <w:sz w:val="22"/>
          <w:szCs w:val="22"/>
        </w:rPr>
      </w:pPr>
    </w:p>
    <w:p w14:paraId="4E790A34" w14:textId="14894B74" w:rsidR="009C6954" w:rsidRDefault="009C6954" w:rsidP="002B6C71">
      <w:pPr>
        <w:spacing w:line="480" w:lineRule="auto"/>
        <w:rPr>
          <w:rFonts w:ascii="Arial" w:hAnsi="Arial" w:cs="Arial"/>
          <w:b/>
          <w:sz w:val="22"/>
          <w:szCs w:val="22"/>
        </w:rPr>
      </w:pPr>
    </w:p>
    <w:p w14:paraId="55DA95A5" w14:textId="65415DE9" w:rsidR="0043377F" w:rsidRDefault="0043377F" w:rsidP="0043377F">
      <w:pPr>
        <w:jc w:val="both"/>
        <w:rPr>
          <w:rFonts w:ascii="Arial" w:hAnsi="Arial" w:cs="Arial"/>
          <w:sz w:val="22"/>
          <w:szCs w:val="22"/>
        </w:rPr>
      </w:pPr>
      <w:r>
        <w:rPr>
          <w:rFonts w:ascii="Arial" w:hAnsi="Arial" w:cs="Arial"/>
          <w:sz w:val="22"/>
          <w:szCs w:val="22"/>
        </w:rPr>
        <w:t>Figure Legends</w:t>
      </w:r>
    </w:p>
    <w:p w14:paraId="4960D30A" w14:textId="228D05DE" w:rsidR="0043377F" w:rsidRDefault="0043377F" w:rsidP="0043377F">
      <w:pPr>
        <w:jc w:val="both"/>
        <w:rPr>
          <w:rFonts w:ascii="Arial" w:hAnsi="Arial" w:cs="Arial"/>
          <w:sz w:val="22"/>
          <w:szCs w:val="22"/>
        </w:rPr>
      </w:pPr>
    </w:p>
    <w:p w14:paraId="4E3F124A" w14:textId="77777777" w:rsidR="0043377F" w:rsidRDefault="0043377F" w:rsidP="0043377F">
      <w:pPr>
        <w:rPr>
          <w:rFonts w:ascii="Arial" w:hAnsi="Arial" w:cs="Arial"/>
          <w:b/>
          <w:sz w:val="22"/>
          <w:szCs w:val="22"/>
        </w:rPr>
      </w:pPr>
    </w:p>
    <w:p w14:paraId="64AD6F2E" w14:textId="77777777" w:rsidR="0043377F" w:rsidRPr="00E5158C" w:rsidRDefault="0043377F" w:rsidP="0043377F">
      <w:pPr>
        <w:rPr>
          <w:rFonts w:ascii="Arial" w:hAnsi="Arial" w:cs="Arial"/>
          <w:b/>
          <w:sz w:val="22"/>
          <w:szCs w:val="22"/>
        </w:rPr>
      </w:pPr>
      <w:r w:rsidRPr="00E5158C">
        <w:rPr>
          <w:rFonts w:ascii="Arial" w:hAnsi="Arial" w:cs="Arial"/>
          <w:b/>
          <w:sz w:val="22"/>
          <w:szCs w:val="22"/>
        </w:rPr>
        <w:t xml:space="preserve">Figure 1. </w:t>
      </w:r>
      <w:r w:rsidRPr="0043377F">
        <w:rPr>
          <w:rFonts w:ascii="Arial" w:hAnsi="Arial" w:cs="Arial"/>
          <w:sz w:val="22"/>
          <w:szCs w:val="22"/>
        </w:rPr>
        <w:t>PRISMA diagram</w:t>
      </w:r>
    </w:p>
    <w:p w14:paraId="1726EA52" w14:textId="6C8F30CB" w:rsidR="0043377F" w:rsidRDefault="0043377F" w:rsidP="0043377F">
      <w:pPr>
        <w:jc w:val="both"/>
        <w:rPr>
          <w:rFonts w:ascii="Arial" w:hAnsi="Arial" w:cs="Arial"/>
          <w:sz w:val="22"/>
          <w:szCs w:val="22"/>
        </w:rPr>
      </w:pPr>
    </w:p>
    <w:p w14:paraId="22E0AE0A" w14:textId="707F772A" w:rsidR="00E34383" w:rsidRDefault="0043377F" w:rsidP="00E34383">
      <w:pPr>
        <w:rPr>
          <w:rFonts w:ascii="Arial" w:hAnsi="Arial" w:cs="Arial"/>
          <w:sz w:val="22"/>
          <w:szCs w:val="22"/>
        </w:rPr>
      </w:pPr>
      <w:r>
        <w:rPr>
          <w:rFonts w:ascii="Arial" w:hAnsi="Arial" w:cs="Arial"/>
          <w:b/>
          <w:sz w:val="22"/>
          <w:szCs w:val="22"/>
        </w:rPr>
        <w:t xml:space="preserve">Figure 2. </w:t>
      </w:r>
      <w:r w:rsidR="00E34383" w:rsidRPr="007656EF">
        <w:rPr>
          <w:rFonts w:ascii="Arial" w:hAnsi="Arial" w:cs="Arial"/>
          <w:sz w:val="22"/>
          <w:szCs w:val="22"/>
        </w:rPr>
        <w:t>Multi-level meta-analysis of odds ratio of ILD incidence by exposure group.</w:t>
      </w:r>
      <w:r w:rsidR="00563203">
        <w:rPr>
          <w:rFonts w:ascii="Arial" w:hAnsi="Arial" w:cs="Arial"/>
          <w:sz w:val="22"/>
          <w:szCs w:val="22"/>
        </w:rPr>
        <w:t xml:space="preserve"> Odds ratios greater than 1 (more rightward) indicate a significant relationship between exposure and disease incidence.</w:t>
      </w:r>
      <w:r w:rsidR="00E34383" w:rsidRPr="007656EF">
        <w:rPr>
          <w:rFonts w:ascii="Arial" w:hAnsi="Arial" w:cs="Arial"/>
          <w:sz w:val="22"/>
          <w:szCs w:val="22"/>
        </w:rPr>
        <w:t xml:space="preserve"> OR=odds ratio, MLMA=multilevel meta-analysis.</w:t>
      </w:r>
    </w:p>
    <w:p w14:paraId="541F8BFF" w14:textId="60DF657C" w:rsidR="00E34383" w:rsidRDefault="00E34383" w:rsidP="00E34383">
      <w:pPr>
        <w:rPr>
          <w:rFonts w:ascii="Arial" w:hAnsi="Arial" w:cs="Arial"/>
          <w:sz w:val="22"/>
          <w:szCs w:val="22"/>
        </w:rPr>
      </w:pPr>
    </w:p>
    <w:p w14:paraId="7545310B" w14:textId="427E0156" w:rsidR="00E34383" w:rsidRPr="00E34383" w:rsidRDefault="00E34383" w:rsidP="00E34383">
      <w:pPr>
        <w:rPr>
          <w:rFonts w:ascii="Arial" w:hAnsi="Arial" w:cs="Arial"/>
          <w:sz w:val="22"/>
          <w:szCs w:val="22"/>
        </w:rPr>
      </w:pPr>
      <w:r>
        <w:rPr>
          <w:rFonts w:ascii="Arial" w:hAnsi="Arial" w:cs="Arial"/>
          <w:b/>
          <w:sz w:val="22"/>
          <w:szCs w:val="22"/>
        </w:rPr>
        <w:t xml:space="preserve">Figure 3. </w:t>
      </w:r>
      <w:r>
        <w:rPr>
          <w:rFonts w:ascii="Arial" w:hAnsi="Arial" w:cs="Arial"/>
          <w:sz w:val="22"/>
          <w:szCs w:val="22"/>
        </w:rPr>
        <w:t>Multi-level meta-analysis of odds ratio of ILD incidence by exposure group, stratified by ILD diagnosis.</w:t>
      </w:r>
      <w:r w:rsidR="00563203">
        <w:rPr>
          <w:rFonts w:ascii="Arial" w:hAnsi="Arial" w:cs="Arial"/>
          <w:sz w:val="22"/>
          <w:szCs w:val="22"/>
        </w:rPr>
        <w:t xml:space="preserve"> Odds ratios greater than 1 (more rightward) indicate a significant relationship between exposure and disease incidence.</w:t>
      </w:r>
      <w:r w:rsidR="00563203" w:rsidRPr="00315AB7">
        <w:rPr>
          <w:rFonts w:ascii="Arial" w:hAnsi="Arial" w:cs="Arial"/>
          <w:sz w:val="22"/>
          <w:szCs w:val="22"/>
        </w:rPr>
        <w:t xml:space="preserve"> </w:t>
      </w:r>
      <w:r>
        <w:rPr>
          <w:rFonts w:ascii="Arial" w:hAnsi="Arial" w:cs="Arial"/>
          <w:sz w:val="22"/>
          <w:szCs w:val="22"/>
        </w:rPr>
        <w:t>CTD-ILD=connective tissue disease-ILD, ILD=other ILD, IPF=idiopathic pulmonary fibrosis, OP=organizing pneumonia.</w:t>
      </w:r>
    </w:p>
    <w:p w14:paraId="3E1E8284" w14:textId="054E3C63" w:rsidR="0043377F" w:rsidRPr="0043377F" w:rsidRDefault="0043377F" w:rsidP="007656EF">
      <w:pPr>
        <w:rPr>
          <w:rFonts w:ascii="Arial" w:hAnsi="Arial" w:cs="Arial"/>
          <w:b/>
          <w:sz w:val="22"/>
          <w:szCs w:val="22"/>
        </w:rPr>
      </w:pPr>
    </w:p>
    <w:p w14:paraId="44AE05AB" w14:textId="77777777" w:rsidR="0043377F" w:rsidRPr="0043377F" w:rsidRDefault="0043377F" w:rsidP="0043377F">
      <w:pPr>
        <w:jc w:val="both"/>
        <w:rPr>
          <w:rFonts w:ascii="Arial" w:hAnsi="Arial" w:cs="Arial"/>
          <w:sz w:val="22"/>
          <w:szCs w:val="22"/>
        </w:rPr>
      </w:pPr>
    </w:p>
    <w:p w14:paraId="5094041B" w14:textId="77777777" w:rsidR="0043377F" w:rsidRDefault="0043377F">
      <w:pPr>
        <w:rPr>
          <w:rFonts w:ascii="Arial" w:hAnsi="Arial" w:cs="Arial"/>
          <w:b/>
          <w:sz w:val="22"/>
          <w:szCs w:val="22"/>
        </w:rPr>
      </w:pPr>
      <w:r>
        <w:rPr>
          <w:rFonts w:ascii="Arial" w:hAnsi="Arial" w:cs="Arial"/>
          <w:b/>
          <w:sz w:val="22"/>
          <w:szCs w:val="22"/>
        </w:rPr>
        <w:br w:type="page"/>
      </w:r>
    </w:p>
    <w:p w14:paraId="71BCFB04" w14:textId="260188AD" w:rsidR="008A6971" w:rsidRDefault="008A6971" w:rsidP="00D71129">
      <w:pPr>
        <w:rPr>
          <w:rFonts w:ascii="Arial" w:hAnsi="Arial" w:cs="Arial"/>
          <w:b/>
          <w:sz w:val="22"/>
          <w:szCs w:val="22"/>
        </w:rPr>
      </w:pPr>
    </w:p>
    <w:p w14:paraId="3270FE75" w14:textId="77777777" w:rsidR="008A6971" w:rsidRDefault="008A6971" w:rsidP="00D71129">
      <w:pPr>
        <w:rPr>
          <w:rFonts w:ascii="Arial" w:hAnsi="Arial" w:cs="Arial"/>
          <w:b/>
          <w:sz w:val="22"/>
          <w:szCs w:val="22"/>
        </w:rPr>
      </w:pPr>
    </w:p>
    <w:p w14:paraId="51AD9D55" w14:textId="77777777" w:rsidR="008A6971" w:rsidRDefault="008A6971" w:rsidP="00D71129">
      <w:pPr>
        <w:rPr>
          <w:rFonts w:ascii="Arial" w:hAnsi="Arial" w:cs="Arial"/>
          <w:b/>
          <w:sz w:val="22"/>
          <w:szCs w:val="22"/>
        </w:rPr>
      </w:pPr>
    </w:p>
    <w:p w14:paraId="1935396A" w14:textId="3D332170" w:rsidR="00D71129" w:rsidRDefault="00D71129" w:rsidP="00D71129">
      <w:pPr>
        <w:rPr>
          <w:rFonts w:ascii="Arial" w:hAnsi="Arial" w:cs="Arial"/>
          <w:b/>
          <w:sz w:val="22"/>
          <w:szCs w:val="22"/>
        </w:rPr>
      </w:pPr>
      <w:r>
        <w:rPr>
          <w:rFonts w:ascii="Arial" w:hAnsi="Arial" w:cs="Arial"/>
          <w:b/>
          <w:sz w:val="22"/>
          <w:szCs w:val="22"/>
        </w:rPr>
        <w:t xml:space="preserve">Table </w:t>
      </w:r>
      <w:r w:rsidR="003342E3">
        <w:rPr>
          <w:rFonts w:ascii="Arial" w:hAnsi="Arial" w:cs="Arial"/>
          <w:b/>
          <w:sz w:val="22"/>
          <w:szCs w:val="22"/>
        </w:rPr>
        <w:t>1</w:t>
      </w:r>
      <w:r>
        <w:rPr>
          <w:rFonts w:ascii="Arial" w:hAnsi="Arial" w:cs="Arial"/>
          <w:b/>
          <w:sz w:val="22"/>
          <w:szCs w:val="22"/>
        </w:rPr>
        <w:t>. Risk of bias assessment</w:t>
      </w:r>
      <w:r w:rsidR="003A4BA4">
        <w:rPr>
          <w:rFonts w:ascii="Arial" w:hAnsi="Arial" w:cs="Arial"/>
          <w:b/>
          <w:sz w:val="22"/>
          <w:szCs w:val="22"/>
        </w:rPr>
        <w:t xml:space="preserve"> of studies included in the meta-analysis.</w:t>
      </w:r>
    </w:p>
    <w:p w14:paraId="29E85447" w14:textId="77777777" w:rsidR="00D71129" w:rsidRDefault="00D71129" w:rsidP="00D71129">
      <w:pPr>
        <w:rPr>
          <w:rFonts w:ascii="Arial" w:hAnsi="Arial" w:cs="Arial"/>
          <w:b/>
          <w:sz w:val="22"/>
          <w:szCs w:val="22"/>
        </w:rPr>
      </w:pPr>
    </w:p>
    <w:tbl>
      <w:tblPr>
        <w:tblW w:w="5000" w:type="pct"/>
        <w:tblLook w:val="04A0" w:firstRow="1" w:lastRow="0" w:firstColumn="1" w:lastColumn="0" w:noHBand="0" w:noVBand="1"/>
      </w:tblPr>
      <w:tblGrid>
        <w:gridCol w:w="1327"/>
        <w:gridCol w:w="1432"/>
        <w:gridCol w:w="1081"/>
        <w:gridCol w:w="1318"/>
        <w:gridCol w:w="1488"/>
        <w:gridCol w:w="1417"/>
        <w:gridCol w:w="1149"/>
        <w:gridCol w:w="955"/>
        <w:gridCol w:w="623"/>
      </w:tblGrid>
      <w:tr w:rsidR="00D71129" w:rsidRPr="00D97927" w14:paraId="63682E02" w14:textId="77777777" w:rsidTr="0095468D">
        <w:trPr>
          <w:trHeight w:val="300"/>
        </w:trPr>
        <w:tc>
          <w:tcPr>
            <w:tcW w:w="6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F5E72E" w14:textId="753EAE7C" w:rsidR="00D71129" w:rsidRPr="00D97927" w:rsidRDefault="00D71129" w:rsidP="00D71129">
            <w:pPr>
              <w:rPr>
                <w:rFonts w:ascii="Arial" w:eastAsia="Times New Roman" w:hAnsi="Arial" w:cs="Arial"/>
                <w:b/>
                <w:bCs/>
                <w:color w:val="000000"/>
                <w:sz w:val="18"/>
                <w:szCs w:val="18"/>
                <w:lang w:val="en-US"/>
              </w:rPr>
            </w:pPr>
            <w:r w:rsidRPr="00D97927">
              <w:rPr>
                <w:rFonts w:ascii="Arial" w:eastAsia="Times New Roman" w:hAnsi="Arial" w:cs="Arial"/>
                <w:b/>
                <w:bCs/>
                <w:color w:val="000000"/>
                <w:sz w:val="18"/>
                <w:szCs w:val="18"/>
                <w:lang w:val="en-US"/>
              </w:rPr>
              <w:t>Author, Year</w:t>
            </w:r>
          </w:p>
        </w:tc>
        <w:tc>
          <w:tcPr>
            <w:tcW w:w="2519" w:type="pct"/>
            <w:gridSpan w:val="4"/>
            <w:tcBorders>
              <w:top w:val="single" w:sz="4" w:space="0" w:color="auto"/>
              <w:left w:val="nil"/>
              <w:bottom w:val="single" w:sz="4" w:space="0" w:color="auto"/>
              <w:right w:val="single" w:sz="4" w:space="0" w:color="auto"/>
            </w:tcBorders>
            <w:shd w:val="clear" w:color="auto" w:fill="auto"/>
            <w:vAlign w:val="center"/>
            <w:hideMark/>
          </w:tcPr>
          <w:p w14:paraId="04B2C32E" w14:textId="77777777" w:rsidR="00D71129" w:rsidRPr="00D97927" w:rsidRDefault="00D71129" w:rsidP="00D71129">
            <w:pPr>
              <w:jc w:val="center"/>
              <w:rPr>
                <w:rFonts w:ascii="Arial" w:eastAsia="Times New Roman" w:hAnsi="Arial" w:cs="Arial"/>
                <w:b/>
                <w:bCs/>
                <w:color w:val="000000"/>
                <w:sz w:val="18"/>
                <w:szCs w:val="18"/>
                <w:lang w:val="en-US"/>
              </w:rPr>
            </w:pPr>
            <w:r w:rsidRPr="00D97927">
              <w:rPr>
                <w:rFonts w:ascii="Arial" w:eastAsia="Times New Roman" w:hAnsi="Arial" w:cs="Arial"/>
                <w:b/>
                <w:bCs/>
                <w:color w:val="000000"/>
                <w:sz w:val="18"/>
                <w:szCs w:val="18"/>
                <w:lang w:val="en-US"/>
              </w:rPr>
              <w:t>Selection</w:t>
            </w:r>
            <w:r w:rsidRPr="00D97927">
              <w:rPr>
                <w:rFonts w:ascii="Arial" w:eastAsia="Times New Roman" w:hAnsi="Arial" w:cs="Arial"/>
                <w:color w:val="000000"/>
                <w:sz w:val="18"/>
                <w:szCs w:val="18"/>
                <w:lang w:val="en-US"/>
              </w:rPr>
              <w:t xml:space="preserve"> ****</w:t>
            </w:r>
          </w:p>
        </w:tc>
        <w:tc>
          <w:tcPr>
            <w:tcW w:w="577" w:type="pct"/>
            <w:tcBorders>
              <w:top w:val="single" w:sz="4" w:space="0" w:color="auto"/>
              <w:left w:val="nil"/>
              <w:bottom w:val="single" w:sz="4" w:space="0" w:color="auto"/>
              <w:right w:val="single" w:sz="4" w:space="0" w:color="auto"/>
            </w:tcBorders>
            <w:shd w:val="clear" w:color="auto" w:fill="auto"/>
            <w:vAlign w:val="center"/>
            <w:hideMark/>
          </w:tcPr>
          <w:p w14:paraId="58F66BAA" w14:textId="77777777" w:rsidR="00D71129" w:rsidRPr="00D97927" w:rsidRDefault="00D71129" w:rsidP="00D71129">
            <w:pPr>
              <w:jc w:val="center"/>
              <w:rPr>
                <w:rFonts w:ascii="Arial" w:eastAsia="Times New Roman" w:hAnsi="Arial" w:cs="Arial"/>
                <w:b/>
                <w:bCs/>
                <w:color w:val="000000"/>
                <w:sz w:val="18"/>
                <w:szCs w:val="18"/>
                <w:lang w:val="en-US"/>
              </w:rPr>
            </w:pPr>
            <w:r w:rsidRPr="00D97927">
              <w:rPr>
                <w:rFonts w:ascii="Arial" w:eastAsia="Times New Roman" w:hAnsi="Arial" w:cs="Arial"/>
                <w:b/>
                <w:bCs/>
                <w:color w:val="000000"/>
                <w:sz w:val="18"/>
                <w:szCs w:val="18"/>
                <w:lang w:val="en-US"/>
              </w:rPr>
              <w:t>Comparability</w:t>
            </w:r>
            <w:r w:rsidRPr="00D97927">
              <w:rPr>
                <w:rFonts w:ascii="Arial" w:eastAsia="Times New Roman" w:hAnsi="Arial" w:cs="Arial"/>
                <w:color w:val="000000"/>
                <w:sz w:val="18"/>
                <w:szCs w:val="18"/>
                <w:lang w:val="en-US"/>
              </w:rPr>
              <w:t xml:space="preserve"> *</w:t>
            </w:r>
          </w:p>
        </w:tc>
        <w:tc>
          <w:tcPr>
            <w:tcW w:w="1002" w:type="pct"/>
            <w:gridSpan w:val="2"/>
            <w:tcBorders>
              <w:top w:val="single" w:sz="4" w:space="0" w:color="auto"/>
              <w:left w:val="nil"/>
              <w:bottom w:val="single" w:sz="4" w:space="0" w:color="auto"/>
              <w:right w:val="single" w:sz="4" w:space="0" w:color="auto"/>
            </w:tcBorders>
            <w:shd w:val="clear" w:color="auto" w:fill="auto"/>
            <w:vAlign w:val="center"/>
            <w:hideMark/>
          </w:tcPr>
          <w:p w14:paraId="008D3C31" w14:textId="77777777" w:rsidR="00D71129" w:rsidRPr="00D97927" w:rsidRDefault="00D71129" w:rsidP="00D71129">
            <w:pPr>
              <w:jc w:val="center"/>
              <w:rPr>
                <w:rFonts w:ascii="Arial" w:eastAsia="Times New Roman" w:hAnsi="Arial" w:cs="Arial"/>
                <w:b/>
                <w:bCs/>
                <w:color w:val="000000"/>
                <w:sz w:val="18"/>
                <w:szCs w:val="18"/>
                <w:lang w:val="en-US"/>
              </w:rPr>
            </w:pPr>
            <w:r w:rsidRPr="00D97927">
              <w:rPr>
                <w:rFonts w:ascii="Arial" w:eastAsia="Times New Roman" w:hAnsi="Arial" w:cs="Arial"/>
                <w:b/>
                <w:bCs/>
                <w:color w:val="000000"/>
                <w:sz w:val="18"/>
                <w:szCs w:val="18"/>
                <w:lang w:val="en-US"/>
              </w:rPr>
              <w:t>Outcome</w:t>
            </w:r>
            <w:r w:rsidRPr="00D97927">
              <w:rPr>
                <w:rFonts w:ascii="Arial" w:eastAsia="Times New Roman" w:hAnsi="Arial" w:cs="Arial"/>
                <w:color w:val="000000"/>
                <w:sz w:val="18"/>
                <w:szCs w:val="18"/>
                <w:lang w:val="en-US"/>
              </w:rPr>
              <w:t xml:space="preserve"> **</w:t>
            </w:r>
          </w:p>
        </w:tc>
        <w:tc>
          <w:tcPr>
            <w:tcW w:w="296" w:type="pct"/>
            <w:tcBorders>
              <w:top w:val="single" w:sz="4" w:space="0" w:color="auto"/>
              <w:left w:val="nil"/>
              <w:bottom w:val="single" w:sz="4" w:space="0" w:color="auto"/>
              <w:right w:val="single" w:sz="4" w:space="0" w:color="auto"/>
            </w:tcBorders>
            <w:shd w:val="clear" w:color="auto" w:fill="auto"/>
            <w:vAlign w:val="center"/>
            <w:hideMark/>
          </w:tcPr>
          <w:p w14:paraId="454AD8B3" w14:textId="77777777" w:rsidR="00D71129" w:rsidRPr="00D97927" w:rsidRDefault="00D71129" w:rsidP="00D71129">
            <w:pPr>
              <w:jc w:val="center"/>
              <w:rPr>
                <w:rFonts w:ascii="Arial" w:eastAsia="Times New Roman" w:hAnsi="Arial" w:cs="Arial"/>
                <w:b/>
                <w:bCs/>
                <w:color w:val="000000"/>
                <w:sz w:val="18"/>
                <w:szCs w:val="18"/>
                <w:lang w:val="en-US"/>
              </w:rPr>
            </w:pPr>
            <w:r w:rsidRPr="00D97927">
              <w:rPr>
                <w:rFonts w:ascii="Arial" w:eastAsia="Times New Roman" w:hAnsi="Arial" w:cs="Arial"/>
                <w:b/>
                <w:bCs/>
                <w:color w:val="000000"/>
                <w:sz w:val="18"/>
                <w:szCs w:val="18"/>
                <w:lang w:val="en-US"/>
              </w:rPr>
              <w:t> </w:t>
            </w:r>
          </w:p>
        </w:tc>
      </w:tr>
      <w:tr w:rsidR="00F84773" w:rsidRPr="00D97927" w14:paraId="1E480D38" w14:textId="77777777" w:rsidTr="00F84773">
        <w:trPr>
          <w:trHeight w:val="900"/>
        </w:trPr>
        <w:tc>
          <w:tcPr>
            <w:tcW w:w="606" w:type="pct"/>
            <w:vMerge/>
            <w:tcBorders>
              <w:top w:val="single" w:sz="4" w:space="0" w:color="auto"/>
              <w:left w:val="single" w:sz="4" w:space="0" w:color="auto"/>
              <w:bottom w:val="single" w:sz="4" w:space="0" w:color="auto"/>
              <w:right w:val="single" w:sz="4" w:space="0" w:color="auto"/>
            </w:tcBorders>
            <w:vAlign w:val="center"/>
            <w:hideMark/>
          </w:tcPr>
          <w:p w14:paraId="2EB9E602" w14:textId="77777777" w:rsidR="00D71129" w:rsidRPr="00D97927" w:rsidRDefault="00D71129" w:rsidP="00D71129">
            <w:pPr>
              <w:rPr>
                <w:rFonts w:ascii="Arial" w:eastAsia="Times New Roman" w:hAnsi="Arial" w:cs="Arial"/>
                <w:b/>
                <w:bCs/>
                <w:color w:val="000000"/>
                <w:sz w:val="18"/>
                <w:szCs w:val="18"/>
                <w:lang w:val="en-US"/>
              </w:rPr>
            </w:pPr>
          </w:p>
        </w:tc>
        <w:tc>
          <w:tcPr>
            <w:tcW w:w="678" w:type="pct"/>
            <w:tcBorders>
              <w:top w:val="nil"/>
              <w:left w:val="nil"/>
              <w:bottom w:val="single" w:sz="4" w:space="0" w:color="auto"/>
              <w:right w:val="single" w:sz="4" w:space="0" w:color="auto"/>
            </w:tcBorders>
            <w:shd w:val="clear" w:color="auto" w:fill="auto"/>
            <w:vAlign w:val="center"/>
            <w:hideMark/>
          </w:tcPr>
          <w:p w14:paraId="2CB9A80E" w14:textId="77777777" w:rsidR="00D71129" w:rsidRPr="0095468D" w:rsidRDefault="00D71129" w:rsidP="00D71129">
            <w:pPr>
              <w:jc w:val="center"/>
              <w:rPr>
                <w:rFonts w:ascii="Arial" w:eastAsia="Times New Roman" w:hAnsi="Arial" w:cs="Arial"/>
                <w:color w:val="000000"/>
                <w:sz w:val="17"/>
                <w:szCs w:val="17"/>
                <w:lang w:val="en-US"/>
              </w:rPr>
            </w:pPr>
            <w:r w:rsidRPr="0095468D">
              <w:rPr>
                <w:rFonts w:ascii="Arial" w:eastAsia="Times New Roman" w:hAnsi="Arial" w:cs="Arial"/>
                <w:color w:val="000000"/>
                <w:sz w:val="17"/>
                <w:szCs w:val="17"/>
                <w:lang w:val="en-US"/>
              </w:rPr>
              <w:t>Representative-ness</w:t>
            </w:r>
          </w:p>
        </w:tc>
        <w:tc>
          <w:tcPr>
            <w:tcW w:w="515" w:type="pct"/>
            <w:tcBorders>
              <w:top w:val="nil"/>
              <w:left w:val="nil"/>
              <w:bottom w:val="single" w:sz="4" w:space="0" w:color="auto"/>
              <w:right w:val="single" w:sz="4" w:space="0" w:color="auto"/>
            </w:tcBorders>
            <w:shd w:val="clear" w:color="auto" w:fill="auto"/>
            <w:vAlign w:val="center"/>
            <w:hideMark/>
          </w:tcPr>
          <w:p w14:paraId="6970E5F1" w14:textId="3C484308" w:rsidR="00D71129" w:rsidRPr="0095468D" w:rsidRDefault="00D71129" w:rsidP="00D71129">
            <w:pPr>
              <w:jc w:val="center"/>
              <w:rPr>
                <w:rFonts w:ascii="Arial" w:eastAsia="Times New Roman" w:hAnsi="Arial" w:cs="Arial"/>
                <w:color w:val="000000"/>
                <w:sz w:val="17"/>
                <w:szCs w:val="17"/>
                <w:lang w:val="en-US"/>
              </w:rPr>
            </w:pPr>
            <w:r w:rsidRPr="0095468D">
              <w:rPr>
                <w:rFonts w:ascii="Arial" w:eastAsia="Times New Roman" w:hAnsi="Arial" w:cs="Arial"/>
                <w:color w:val="000000"/>
                <w:sz w:val="17"/>
                <w:szCs w:val="17"/>
                <w:lang w:val="en-US"/>
              </w:rPr>
              <w:t>Selection</w:t>
            </w:r>
            <w:r w:rsidR="00F44E28" w:rsidRPr="0095468D">
              <w:rPr>
                <w:rFonts w:ascii="Arial" w:eastAsia="Times New Roman" w:hAnsi="Arial" w:cs="Arial"/>
                <w:color w:val="000000"/>
                <w:sz w:val="17"/>
                <w:szCs w:val="17"/>
                <w:lang w:val="en-US"/>
              </w:rPr>
              <w:t xml:space="preserve"> of Unexposed</w:t>
            </w:r>
          </w:p>
        </w:tc>
        <w:tc>
          <w:tcPr>
            <w:tcW w:w="624" w:type="pct"/>
            <w:tcBorders>
              <w:top w:val="nil"/>
              <w:left w:val="nil"/>
              <w:bottom w:val="single" w:sz="4" w:space="0" w:color="auto"/>
              <w:right w:val="single" w:sz="4" w:space="0" w:color="auto"/>
            </w:tcBorders>
            <w:shd w:val="clear" w:color="auto" w:fill="auto"/>
            <w:vAlign w:val="center"/>
            <w:hideMark/>
          </w:tcPr>
          <w:p w14:paraId="2B324BFB" w14:textId="77777777" w:rsidR="00D71129" w:rsidRPr="0095468D" w:rsidRDefault="00D71129" w:rsidP="00D71129">
            <w:pPr>
              <w:jc w:val="center"/>
              <w:rPr>
                <w:rFonts w:ascii="Arial" w:eastAsia="Times New Roman" w:hAnsi="Arial" w:cs="Arial"/>
                <w:color w:val="000000"/>
                <w:sz w:val="17"/>
                <w:szCs w:val="17"/>
                <w:lang w:val="en-US"/>
              </w:rPr>
            </w:pPr>
            <w:r w:rsidRPr="0095468D">
              <w:rPr>
                <w:rFonts w:ascii="Arial" w:eastAsia="Times New Roman" w:hAnsi="Arial" w:cs="Arial"/>
                <w:color w:val="000000"/>
                <w:sz w:val="17"/>
                <w:szCs w:val="17"/>
                <w:lang w:val="en-US"/>
              </w:rPr>
              <w:t>Ascertainment of Exposure</w:t>
            </w:r>
          </w:p>
        </w:tc>
        <w:tc>
          <w:tcPr>
            <w:tcW w:w="703" w:type="pct"/>
            <w:tcBorders>
              <w:top w:val="nil"/>
              <w:left w:val="nil"/>
              <w:bottom w:val="single" w:sz="4" w:space="0" w:color="auto"/>
              <w:right w:val="single" w:sz="4" w:space="0" w:color="auto"/>
            </w:tcBorders>
            <w:shd w:val="clear" w:color="auto" w:fill="auto"/>
            <w:vAlign w:val="center"/>
            <w:hideMark/>
          </w:tcPr>
          <w:p w14:paraId="4399B892" w14:textId="77777777" w:rsidR="00D71129" w:rsidRPr="0095468D" w:rsidRDefault="00D71129" w:rsidP="00D71129">
            <w:pPr>
              <w:jc w:val="center"/>
              <w:rPr>
                <w:rFonts w:ascii="Arial" w:eastAsia="Times New Roman" w:hAnsi="Arial" w:cs="Arial"/>
                <w:color w:val="000000"/>
                <w:sz w:val="17"/>
                <w:szCs w:val="17"/>
                <w:lang w:val="en-US"/>
              </w:rPr>
            </w:pPr>
            <w:r w:rsidRPr="0095468D">
              <w:rPr>
                <w:rFonts w:ascii="Arial" w:eastAsia="Times New Roman" w:hAnsi="Arial" w:cs="Arial"/>
                <w:color w:val="000000"/>
                <w:sz w:val="17"/>
                <w:szCs w:val="17"/>
                <w:lang w:val="en-US"/>
              </w:rPr>
              <w:t>Demonstration of Outcome</w:t>
            </w:r>
          </w:p>
        </w:tc>
        <w:tc>
          <w:tcPr>
            <w:tcW w:w="577" w:type="pct"/>
            <w:tcBorders>
              <w:top w:val="nil"/>
              <w:left w:val="nil"/>
              <w:bottom w:val="single" w:sz="4" w:space="0" w:color="auto"/>
              <w:right w:val="single" w:sz="4" w:space="0" w:color="auto"/>
            </w:tcBorders>
            <w:shd w:val="clear" w:color="auto" w:fill="auto"/>
            <w:vAlign w:val="center"/>
            <w:hideMark/>
          </w:tcPr>
          <w:p w14:paraId="7B4A9173" w14:textId="77777777" w:rsidR="00D71129" w:rsidRPr="0095468D" w:rsidRDefault="00D71129" w:rsidP="00D71129">
            <w:pPr>
              <w:jc w:val="center"/>
              <w:rPr>
                <w:rFonts w:ascii="Arial" w:eastAsia="Times New Roman" w:hAnsi="Arial" w:cs="Arial"/>
                <w:color w:val="000000"/>
                <w:sz w:val="17"/>
                <w:szCs w:val="17"/>
                <w:lang w:val="en-US"/>
              </w:rPr>
            </w:pPr>
            <w:r w:rsidRPr="0095468D">
              <w:rPr>
                <w:rFonts w:ascii="Arial" w:eastAsia="Times New Roman" w:hAnsi="Arial" w:cs="Arial"/>
                <w:color w:val="000000"/>
                <w:sz w:val="17"/>
                <w:szCs w:val="17"/>
                <w:lang w:val="en-US"/>
              </w:rPr>
              <w:t>Key variables</w:t>
            </w:r>
          </w:p>
        </w:tc>
        <w:tc>
          <w:tcPr>
            <w:tcW w:w="546" w:type="pct"/>
            <w:tcBorders>
              <w:top w:val="nil"/>
              <w:left w:val="nil"/>
              <w:bottom w:val="single" w:sz="4" w:space="0" w:color="auto"/>
              <w:right w:val="single" w:sz="4" w:space="0" w:color="auto"/>
            </w:tcBorders>
            <w:shd w:val="clear" w:color="auto" w:fill="auto"/>
            <w:vAlign w:val="center"/>
            <w:hideMark/>
          </w:tcPr>
          <w:p w14:paraId="76BAF5DD" w14:textId="77777777" w:rsidR="00D71129" w:rsidRPr="0095468D" w:rsidRDefault="00D71129" w:rsidP="00D71129">
            <w:pPr>
              <w:jc w:val="center"/>
              <w:rPr>
                <w:rFonts w:ascii="Arial" w:eastAsia="Times New Roman" w:hAnsi="Arial" w:cs="Arial"/>
                <w:color w:val="000000"/>
                <w:sz w:val="17"/>
                <w:szCs w:val="17"/>
                <w:lang w:val="en-US"/>
              </w:rPr>
            </w:pPr>
            <w:r w:rsidRPr="0095468D">
              <w:rPr>
                <w:rFonts w:ascii="Arial" w:eastAsia="Times New Roman" w:hAnsi="Arial" w:cs="Arial"/>
                <w:color w:val="000000"/>
                <w:sz w:val="17"/>
                <w:szCs w:val="17"/>
                <w:lang w:val="en-US"/>
              </w:rPr>
              <w:t>Assessment of Outcome</w:t>
            </w:r>
          </w:p>
        </w:tc>
        <w:tc>
          <w:tcPr>
            <w:tcW w:w="456" w:type="pct"/>
            <w:tcBorders>
              <w:top w:val="nil"/>
              <w:left w:val="nil"/>
              <w:bottom w:val="single" w:sz="4" w:space="0" w:color="auto"/>
              <w:right w:val="single" w:sz="4" w:space="0" w:color="auto"/>
            </w:tcBorders>
            <w:shd w:val="clear" w:color="auto" w:fill="auto"/>
            <w:vAlign w:val="center"/>
            <w:hideMark/>
          </w:tcPr>
          <w:p w14:paraId="7D7720AF" w14:textId="77777777" w:rsidR="00D71129" w:rsidRPr="0095468D" w:rsidRDefault="00D71129" w:rsidP="00D71129">
            <w:pPr>
              <w:jc w:val="center"/>
              <w:rPr>
                <w:rFonts w:ascii="Arial" w:eastAsia="Times New Roman" w:hAnsi="Arial" w:cs="Arial"/>
                <w:color w:val="000000"/>
                <w:sz w:val="17"/>
                <w:szCs w:val="17"/>
                <w:lang w:val="en-US"/>
              </w:rPr>
            </w:pPr>
            <w:r w:rsidRPr="0095468D">
              <w:rPr>
                <w:rFonts w:ascii="Arial" w:eastAsia="Times New Roman" w:hAnsi="Arial" w:cs="Arial"/>
                <w:color w:val="000000"/>
                <w:sz w:val="17"/>
                <w:szCs w:val="17"/>
                <w:lang w:val="en-US"/>
              </w:rPr>
              <w:t>Follow-up adequacy</w:t>
            </w:r>
          </w:p>
        </w:tc>
        <w:tc>
          <w:tcPr>
            <w:tcW w:w="296" w:type="pct"/>
            <w:tcBorders>
              <w:top w:val="nil"/>
              <w:left w:val="nil"/>
              <w:bottom w:val="single" w:sz="4" w:space="0" w:color="auto"/>
              <w:right w:val="single" w:sz="4" w:space="0" w:color="auto"/>
            </w:tcBorders>
            <w:shd w:val="clear" w:color="auto" w:fill="auto"/>
            <w:vAlign w:val="center"/>
            <w:hideMark/>
          </w:tcPr>
          <w:p w14:paraId="5E2DCE16" w14:textId="77777777" w:rsidR="00D71129" w:rsidRPr="0095468D" w:rsidRDefault="00D71129" w:rsidP="00D71129">
            <w:pPr>
              <w:jc w:val="center"/>
              <w:rPr>
                <w:rFonts w:ascii="Arial" w:eastAsia="Times New Roman" w:hAnsi="Arial" w:cs="Arial"/>
                <w:b/>
                <w:bCs/>
                <w:color w:val="000000"/>
                <w:sz w:val="17"/>
                <w:szCs w:val="17"/>
                <w:lang w:val="en-US"/>
              </w:rPr>
            </w:pPr>
            <w:r w:rsidRPr="0095468D">
              <w:rPr>
                <w:rFonts w:ascii="Arial" w:eastAsia="Times New Roman" w:hAnsi="Arial" w:cs="Arial"/>
                <w:b/>
                <w:bCs/>
                <w:color w:val="000000"/>
                <w:sz w:val="17"/>
                <w:szCs w:val="17"/>
                <w:lang w:val="en-US"/>
              </w:rPr>
              <w:t>Total</w:t>
            </w:r>
          </w:p>
        </w:tc>
      </w:tr>
      <w:tr w:rsidR="00F84773" w:rsidRPr="00D97927" w14:paraId="6C356D9F"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4D2FCE0C"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Abramson 2020</w:t>
            </w:r>
          </w:p>
        </w:tc>
        <w:tc>
          <w:tcPr>
            <w:tcW w:w="678" w:type="pct"/>
            <w:tcBorders>
              <w:top w:val="nil"/>
              <w:left w:val="nil"/>
              <w:bottom w:val="single" w:sz="4" w:space="0" w:color="auto"/>
              <w:right w:val="single" w:sz="4" w:space="0" w:color="auto"/>
            </w:tcBorders>
            <w:shd w:val="clear" w:color="000000" w:fill="D9D9D9"/>
            <w:vAlign w:val="center"/>
            <w:hideMark/>
          </w:tcPr>
          <w:p w14:paraId="3E007EB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340B3DC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2E4EC83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1F63277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39EED3E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1A43470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22091E7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52E311F9"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7</w:t>
            </w:r>
          </w:p>
        </w:tc>
      </w:tr>
      <w:tr w:rsidR="00F84773" w:rsidRPr="00D97927" w14:paraId="73AD1BBE"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58BB69BE"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Andersson 2021</w:t>
            </w:r>
          </w:p>
        </w:tc>
        <w:tc>
          <w:tcPr>
            <w:tcW w:w="678" w:type="pct"/>
            <w:tcBorders>
              <w:top w:val="nil"/>
              <w:left w:val="nil"/>
              <w:bottom w:val="single" w:sz="4" w:space="0" w:color="auto"/>
              <w:right w:val="single" w:sz="4" w:space="0" w:color="auto"/>
            </w:tcBorders>
            <w:shd w:val="clear" w:color="auto" w:fill="auto"/>
            <w:vAlign w:val="center"/>
            <w:hideMark/>
          </w:tcPr>
          <w:p w14:paraId="28D476F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hideMark/>
          </w:tcPr>
          <w:p w14:paraId="79E4AC8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hideMark/>
          </w:tcPr>
          <w:p w14:paraId="54BADBB4"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hideMark/>
          </w:tcPr>
          <w:p w14:paraId="1F8B789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hideMark/>
          </w:tcPr>
          <w:p w14:paraId="449CDC9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hideMark/>
          </w:tcPr>
          <w:p w14:paraId="50C67F9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hideMark/>
          </w:tcPr>
          <w:p w14:paraId="6A1A9B2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hideMark/>
          </w:tcPr>
          <w:p w14:paraId="19BFF1D4"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6</w:t>
            </w:r>
          </w:p>
        </w:tc>
      </w:tr>
      <w:tr w:rsidR="00F84773" w:rsidRPr="00D97927" w14:paraId="72904E23"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530E3E09"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Bae 2022</w:t>
            </w:r>
          </w:p>
        </w:tc>
        <w:tc>
          <w:tcPr>
            <w:tcW w:w="678" w:type="pct"/>
            <w:tcBorders>
              <w:top w:val="nil"/>
              <w:left w:val="nil"/>
              <w:bottom w:val="single" w:sz="4" w:space="0" w:color="auto"/>
              <w:right w:val="single" w:sz="4" w:space="0" w:color="auto"/>
            </w:tcBorders>
            <w:shd w:val="clear" w:color="000000" w:fill="D9D9D9"/>
            <w:vAlign w:val="center"/>
            <w:hideMark/>
          </w:tcPr>
          <w:p w14:paraId="646EBC6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073EB32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0B6BC30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4026821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2058B6C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066963D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1426E2C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NA</w:t>
            </w:r>
          </w:p>
        </w:tc>
        <w:tc>
          <w:tcPr>
            <w:tcW w:w="296" w:type="pct"/>
            <w:tcBorders>
              <w:top w:val="nil"/>
              <w:left w:val="nil"/>
              <w:bottom w:val="single" w:sz="4" w:space="0" w:color="auto"/>
              <w:right w:val="single" w:sz="4" w:space="0" w:color="auto"/>
            </w:tcBorders>
            <w:shd w:val="clear" w:color="000000" w:fill="D9D9D9"/>
            <w:vAlign w:val="center"/>
            <w:hideMark/>
          </w:tcPr>
          <w:p w14:paraId="32D6B95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4</w:t>
            </w:r>
          </w:p>
        </w:tc>
      </w:tr>
      <w:tr w:rsidR="00F84773" w:rsidRPr="00D97927" w14:paraId="5881E6CF"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25127C45"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Baumgartner 2000</w:t>
            </w:r>
          </w:p>
        </w:tc>
        <w:tc>
          <w:tcPr>
            <w:tcW w:w="678" w:type="pct"/>
            <w:tcBorders>
              <w:top w:val="nil"/>
              <w:left w:val="nil"/>
              <w:bottom w:val="single" w:sz="4" w:space="0" w:color="auto"/>
              <w:right w:val="single" w:sz="4" w:space="0" w:color="auto"/>
            </w:tcBorders>
            <w:shd w:val="clear" w:color="auto" w:fill="auto"/>
            <w:vAlign w:val="center"/>
            <w:hideMark/>
          </w:tcPr>
          <w:p w14:paraId="513617B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hideMark/>
          </w:tcPr>
          <w:p w14:paraId="2339A21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hideMark/>
          </w:tcPr>
          <w:p w14:paraId="750C7D4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hideMark/>
          </w:tcPr>
          <w:p w14:paraId="7B2E478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hideMark/>
          </w:tcPr>
          <w:p w14:paraId="397C1915"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hideMark/>
          </w:tcPr>
          <w:p w14:paraId="68DB1644"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hideMark/>
          </w:tcPr>
          <w:p w14:paraId="37F20E2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hideMark/>
          </w:tcPr>
          <w:p w14:paraId="5C16247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4</w:t>
            </w:r>
          </w:p>
        </w:tc>
      </w:tr>
      <w:tr w:rsidR="00F84773" w:rsidRPr="00D97927" w14:paraId="0C7ADB41"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0A807D87" w14:textId="77777777" w:rsidR="00D71129" w:rsidRPr="00D97927" w:rsidRDefault="00D71129" w:rsidP="00D71129">
            <w:pPr>
              <w:rPr>
                <w:rFonts w:ascii="Arial" w:eastAsia="Times New Roman" w:hAnsi="Arial" w:cs="Arial"/>
                <w:color w:val="000000"/>
                <w:sz w:val="18"/>
                <w:szCs w:val="18"/>
                <w:lang w:val="en-US"/>
              </w:rPr>
            </w:pPr>
            <w:proofErr w:type="spellStart"/>
            <w:r w:rsidRPr="00D97927">
              <w:rPr>
                <w:rFonts w:ascii="Arial" w:eastAsia="Times New Roman" w:hAnsi="Arial" w:cs="Arial"/>
                <w:color w:val="000000"/>
                <w:sz w:val="18"/>
                <w:szCs w:val="18"/>
                <w:lang w:val="en-US"/>
              </w:rPr>
              <w:t>Bellou</w:t>
            </w:r>
            <w:proofErr w:type="spellEnd"/>
            <w:r w:rsidRPr="00D97927">
              <w:rPr>
                <w:rFonts w:ascii="Arial" w:eastAsia="Times New Roman" w:hAnsi="Arial" w:cs="Arial"/>
                <w:color w:val="000000"/>
                <w:sz w:val="18"/>
                <w:szCs w:val="18"/>
                <w:lang w:val="en-US"/>
              </w:rPr>
              <w:t xml:space="preserve"> 2021</w:t>
            </w:r>
          </w:p>
        </w:tc>
        <w:tc>
          <w:tcPr>
            <w:tcW w:w="678" w:type="pct"/>
            <w:tcBorders>
              <w:top w:val="nil"/>
              <w:left w:val="nil"/>
              <w:bottom w:val="single" w:sz="4" w:space="0" w:color="auto"/>
              <w:right w:val="single" w:sz="4" w:space="0" w:color="auto"/>
            </w:tcBorders>
            <w:shd w:val="clear" w:color="000000" w:fill="D9D9D9"/>
            <w:vAlign w:val="center"/>
            <w:hideMark/>
          </w:tcPr>
          <w:p w14:paraId="7E5C4DD9"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36238BA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0CB2197C" w14:textId="160038FB" w:rsidR="00D71129" w:rsidRPr="00D97927" w:rsidRDefault="00CE0CC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27884EE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3348289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7249406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7F38A7A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3B858638" w14:textId="7029DB1A" w:rsidR="00D71129" w:rsidRPr="00D97927" w:rsidRDefault="00CE0CC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3</w:t>
            </w:r>
          </w:p>
        </w:tc>
      </w:tr>
      <w:tr w:rsidR="00F84773" w:rsidRPr="00D97927" w14:paraId="69C5BEE5" w14:textId="77777777" w:rsidTr="0095468D">
        <w:trPr>
          <w:trHeight w:val="300"/>
        </w:trPr>
        <w:tc>
          <w:tcPr>
            <w:tcW w:w="606" w:type="pct"/>
            <w:tcBorders>
              <w:top w:val="nil"/>
              <w:left w:val="single" w:sz="4" w:space="0" w:color="auto"/>
              <w:bottom w:val="single" w:sz="4" w:space="0" w:color="auto"/>
              <w:right w:val="single" w:sz="4" w:space="0" w:color="auto"/>
            </w:tcBorders>
            <w:shd w:val="clear" w:color="auto" w:fill="auto"/>
            <w:vAlign w:val="center"/>
          </w:tcPr>
          <w:p w14:paraId="07C512D3" w14:textId="178C6618" w:rsidR="00F44E28" w:rsidRPr="00D97927" w:rsidRDefault="00F44E28" w:rsidP="00D71129">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Ben Takaya 2022</w:t>
            </w:r>
          </w:p>
        </w:tc>
        <w:tc>
          <w:tcPr>
            <w:tcW w:w="678" w:type="pct"/>
            <w:tcBorders>
              <w:top w:val="nil"/>
              <w:left w:val="nil"/>
              <w:bottom w:val="single" w:sz="4" w:space="0" w:color="auto"/>
              <w:right w:val="single" w:sz="4" w:space="0" w:color="auto"/>
            </w:tcBorders>
            <w:shd w:val="clear" w:color="auto" w:fill="auto"/>
            <w:vAlign w:val="center"/>
          </w:tcPr>
          <w:p w14:paraId="2E6FE5DF" w14:textId="003556AD" w:rsidR="00F44E28" w:rsidRPr="00D97927" w:rsidRDefault="00F44E28"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tcPr>
          <w:p w14:paraId="15D25EDA" w14:textId="304AE78B" w:rsidR="00F44E28" w:rsidRPr="00D97927" w:rsidRDefault="00F44E28"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tcPr>
          <w:p w14:paraId="428D8592" w14:textId="44A18867" w:rsidR="00F44E28" w:rsidRPr="00D97927" w:rsidRDefault="00F44E28"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tcPr>
          <w:p w14:paraId="4A4A0A9B" w14:textId="03FAA725" w:rsidR="00F44E28" w:rsidRPr="00D97927" w:rsidRDefault="00F44E28"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tcPr>
          <w:p w14:paraId="1585AA9D" w14:textId="41EAF41C" w:rsidR="00F44E28" w:rsidRPr="00D97927" w:rsidRDefault="00F44E28"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tcPr>
          <w:p w14:paraId="43EEF565" w14:textId="6DA39C74" w:rsidR="00F44E28" w:rsidRPr="00D97927" w:rsidRDefault="00F44E28"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tcPr>
          <w:p w14:paraId="4148EB8C" w14:textId="09E62B01" w:rsidR="00F44E28" w:rsidRPr="00D97927" w:rsidRDefault="00F44E28"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tcPr>
          <w:p w14:paraId="25813B1E" w14:textId="5E0C7744" w:rsidR="00F44E28" w:rsidRPr="00D97927" w:rsidRDefault="00F44E28"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3</w:t>
            </w:r>
          </w:p>
        </w:tc>
      </w:tr>
      <w:tr w:rsidR="00F84773" w:rsidRPr="00D97927" w14:paraId="62D233B9"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6039F5F9"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Berge 2003</w:t>
            </w:r>
          </w:p>
        </w:tc>
        <w:tc>
          <w:tcPr>
            <w:tcW w:w="678" w:type="pct"/>
            <w:tcBorders>
              <w:top w:val="nil"/>
              <w:left w:val="nil"/>
              <w:bottom w:val="single" w:sz="4" w:space="0" w:color="auto"/>
              <w:right w:val="single" w:sz="4" w:space="0" w:color="auto"/>
            </w:tcBorders>
            <w:shd w:val="clear" w:color="auto" w:fill="auto"/>
            <w:vAlign w:val="center"/>
            <w:hideMark/>
          </w:tcPr>
          <w:p w14:paraId="2A9E357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hideMark/>
          </w:tcPr>
          <w:p w14:paraId="1276C2B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hideMark/>
          </w:tcPr>
          <w:p w14:paraId="7117E8A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hideMark/>
          </w:tcPr>
          <w:p w14:paraId="3D460FA9"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hideMark/>
          </w:tcPr>
          <w:p w14:paraId="43D3A5E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hideMark/>
          </w:tcPr>
          <w:p w14:paraId="299165A4"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hideMark/>
          </w:tcPr>
          <w:p w14:paraId="49F517A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NA</w:t>
            </w:r>
          </w:p>
        </w:tc>
        <w:tc>
          <w:tcPr>
            <w:tcW w:w="296" w:type="pct"/>
            <w:tcBorders>
              <w:top w:val="nil"/>
              <w:left w:val="nil"/>
              <w:bottom w:val="single" w:sz="4" w:space="0" w:color="auto"/>
              <w:right w:val="single" w:sz="4" w:space="0" w:color="auto"/>
            </w:tcBorders>
            <w:shd w:val="clear" w:color="auto" w:fill="auto"/>
            <w:vAlign w:val="center"/>
            <w:hideMark/>
          </w:tcPr>
          <w:p w14:paraId="5A9A0C2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2</w:t>
            </w:r>
          </w:p>
        </w:tc>
      </w:tr>
      <w:tr w:rsidR="00F84773" w:rsidRPr="00D97927" w14:paraId="5620D7BB"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35173971"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Chen 2020</w:t>
            </w:r>
          </w:p>
        </w:tc>
        <w:tc>
          <w:tcPr>
            <w:tcW w:w="678" w:type="pct"/>
            <w:tcBorders>
              <w:top w:val="nil"/>
              <w:left w:val="nil"/>
              <w:bottom w:val="single" w:sz="4" w:space="0" w:color="auto"/>
              <w:right w:val="single" w:sz="4" w:space="0" w:color="auto"/>
            </w:tcBorders>
            <w:shd w:val="clear" w:color="000000" w:fill="D9D9D9"/>
            <w:vAlign w:val="center"/>
            <w:hideMark/>
          </w:tcPr>
          <w:p w14:paraId="570379D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3B662C7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59C562C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046BE61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3A6763E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2B70D42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22870B2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31C4634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r w:rsidR="00F84773" w:rsidRPr="00D97927" w14:paraId="5A3FDC6C"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45010B55"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Choi 2018</w:t>
            </w:r>
          </w:p>
        </w:tc>
        <w:tc>
          <w:tcPr>
            <w:tcW w:w="678" w:type="pct"/>
            <w:tcBorders>
              <w:top w:val="nil"/>
              <w:left w:val="nil"/>
              <w:bottom w:val="single" w:sz="4" w:space="0" w:color="auto"/>
              <w:right w:val="single" w:sz="4" w:space="0" w:color="auto"/>
            </w:tcBorders>
            <w:shd w:val="clear" w:color="auto" w:fill="auto"/>
            <w:vAlign w:val="center"/>
            <w:hideMark/>
          </w:tcPr>
          <w:p w14:paraId="541C9305"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hideMark/>
          </w:tcPr>
          <w:p w14:paraId="67410A2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hideMark/>
          </w:tcPr>
          <w:p w14:paraId="45300E4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hideMark/>
          </w:tcPr>
          <w:p w14:paraId="5FA0A0E5"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hideMark/>
          </w:tcPr>
          <w:p w14:paraId="304948A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hideMark/>
          </w:tcPr>
          <w:p w14:paraId="067447B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hideMark/>
          </w:tcPr>
          <w:p w14:paraId="35F021A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hideMark/>
          </w:tcPr>
          <w:p w14:paraId="5847EC44"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r w:rsidR="00F84773" w:rsidRPr="00D97927" w14:paraId="605B30A4"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5EF7EE67"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Cramer 2016</w:t>
            </w:r>
          </w:p>
        </w:tc>
        <w:tc>
          <w:tcPr>
            <w:tcW w:w="678" w:type="pct"/>
            <w:tcBorders>
              <w:top w:val="nil"/>
              <w:left w:val="nil"/>
              <w:bottom w:val="single" w:sz="4" w:space="0" w:color="auto"/>
              <w:right w:val="single" w:sz="4" w:space="0" w:color="auto"/>
            </w:tcBorders>
            <w:shd w:val="clear" w:color="000000" w:fill="D9D9D9"/>
            <w:vAlign w:val="center"/>
            <w:hideMark/>
          </w:tcPr>
          <w:p w14:paraId="6881D715"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58252F8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259CFAE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1253285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1B4088E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15D1995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24F506C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6713095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4</w:t>
            </w:r>
          </w:p>
        </w:tc>
      </w:tr>
      <w:tr w:rsidR="00F84773" w:rsidRPr="00D97927" w14:paraId="66461816"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tcPr>
          <w:p w14:paraId="000D4B99" w14:textId="1723CBC3" w:rsidR="00CE0CCB" w:rsidRPr="00D97927" w:rsidRDefault="00CE0CCB" w:rsidP="00D71129">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Cui 2023</w:t>
            </w:r>
          </w:p>
        </w:tc>
        <w:tc>
          <w:tcPr>
            <w:tcW w:w="678" w:type="pct"/>
            <w:tcBorders>
              <w:top w:val="nil"/>
              <w:left w:val="nil"/>
              <w:bottom w:val="single" w:sz="4" w:space="0" w:color="auto"/>
              <w:right w:val="single" w:sz="4" w:space="0" w:color="auto"/>
            </w:tcBorders>
            <w:shd w:val="clear" w:color="auto" w:fill="auto"/>
            <w:vAlign w:val="center"/>
          </w:tcPr>
          <w:p w14:paraId="1919EBF9" w14:textId="23C1EA5C" w:rsidR="00CE0CCB" w:rsidRPr="00D97927" w:rsidRDefault="00CE0CC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tcPr>
          <w:p w14:paraId="127E7C90" w14:textId="61489B72" w:rsidR="00CE0CCB" w:rsidRPr="00D97927" w:rsidRDefault="00CE0CC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tcPr>
          <w:p w14:paraId="197D5DED" w14:textId="39803DF4" w:rsidR="00CE0CCB" w:rsidRPr="00D97927" w:rsidRDefault="00CE0CC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tcPr>
          <w:p w14:paraId="7989048F" w14:textId="3F296AFF" w:rsidR="00CE0CCB" w:rsidRPr="00D97927" w:rsidRDefault="00CE0CC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tcPr>
          <w:p w14:paraId="1880EA31" w14:textId="4D23C59A" w:rsidR="00CE0CCB" w:rsidRPr="00D97927" w:rsidRDefault="00CE0CC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tcPr>
          <w:p w14:paraId="24A50E07" w14:textId="32FA8CEF" w:rsidR="00CE0CCB" w:rsidRPr="00D97927" w:rsidRDefault="00CE0CC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tcPr>
          <w:p w14:paraId="6B17ED2B" w14:textId="4CAAEEE2" w:rsidR="00CE0CCB" w:rsidRPr="00D97927" w:rsidRDefault="00CE0CC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tcPr>
          <w:p w14:paraId="0FF28788" w14:textId="549B2612" w:rsidR="00CE0CCB" w:rsidRPr="00D97927" w:rsidRDefault="00CE0CC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4</w:t>
            </w:r>
          </w:p>
        </w:tc>
      </w:tr>
      <w:tr w:rsidR="00F84773" w:rsidRPr="00D97927" w14:paraId="417AD708"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2565E716"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Diaz de Leon 2010</w:t>
            </w:r>
          </w:p>
        </w:tc>
        <w:tc>
          <w:tcPr>
            <w:tcW w:w="678" w:type="pct"/>
            <w:tcBorders>
              <w:top w:val="nil"/>
              <w:left w:val="nil"/>
              <w:bottom w:val="single" w:sz="4" w:space="0" w:color="auto"/>
              <w:right w:val="single" w:sz="4" w:space="0" w:color="auto"/>
            </w:tcBorders>
            <w:shd w:val="clear" w:color="auto" w:fill="auto"/>
            <w:vAlign w:val="center"/>
            <w:hideMark/>
          </w:tcPr>
          <w:p w14:paraId="515EF2D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hideMark/>
          </w:tcPr>
          <w:p w14:paraId="4297C0C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hideMark/>
          </w:tcPr>
          <w:p w14:paraId="52CB90D9"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hideMark/>
          </w:tcPr>
          <w:p w14:paraId="6680A6A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hideMark/>
          </w:tcPr>
          <w:p w14:paraId="70863BF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hideMark/>
          </w:tcPr>
          <w:p w14:paraId="68B86B9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hideMark/>
          </w:tcPr>
          <w:p w14:paraId="06057F6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hideMark/>
          </w:tcPr>
          <w:p w14:paraId="1BF5D86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3</w:t>
            </w:r>
          </w:p>
        </w:tc>
      </w:tr>
      <w:tr w:rsidR="00F84773" w:rsidRPr="00D97927" w14:paraId="7452ABE8"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209826EC" w14:textId="77777777" w:rsidR="00D71129" w:rsidRPr="00D97927" w:rsidRDefault="00D71129" w:rsidP="00D71129">
            <w:pPr>
              <w:rPr>
                <w:rFonts w:ascii="Arial" w:eastAsia="Times New Roman" w:hAnsi="Arial" w:cs="Arial"/>
                <w:color w:val="000000"/>
                <w:sz w:val="18"/>
                <w:szCs w:val="18"/>
                <w:lang w:val="en-US"/>
              </w:rPr>
            </w:pPr>
            <w:proofErr w:type="spellStart"/>
            <w:r w:rsidRPr="00D97927">
              <w:rPr>
                <w:rFonts w:ascii="Arial" w:eastAsia="Times New Roman" w:hAnsi="Arial" w:cs="Arial"/>
                <w:color w:val="000000"/>
                <w:sz w:val="18"/>
                <w:szCs w:val="18"/>
                <w:lang w:val="en-US"/>
              </w:rPr>
              <w:t>Ekstrom</w:t>
            </w:r>
            <w:proofErr w:type="spellEnd"/>
            <w:r w:rsidRPr="00D97927">
              <w:rPr>
                <w:rFonts w:ascii="Arial" w:eastAsia="Times New Roman" w:hAnsi="Arial" w:cs="Arial"/>
                <w:color w:val="000000"/>
                <w:sz w:val="18"/>
                <w:szCs w:val="18"/>
                <w:lang w:val="en-US"/>
              </w:rPr>
              <w:t xml:space="preserve"> 2014</w:t>
            </w:r>
          </w:p>
        </w:tc>
        <w:tc>
          <w:tcPr>
            <w:tcW w:w="678" w:type="pct"/>
            <w:tcBorders>
              <w:top w:val="nil"/>
              <w:left w:val="nil"/>
              <w:bottom w:val="single" w:sz="4" w:space="0" w:color="auto"/>
              <w:right w:val="single" w:sz="4" w:space="0" w:color="auto"/>
            </w:tcBorders>
            <w:shd w:val="clear" w:color="000000" w:fill="D9D9D9"/>
            <w:vAlign w:val="center"/>
            <w:hideMark/>
          </w:tcPr>
          <w:p w14:paraId="0819FD7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681E380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6A58C819"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6B01599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2DD624D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0B50D84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3785D2C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23F475A9"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3</w:t>
            </w:r>
          </w:p>
        </w:tc>
      </w:tr>
      <w:tr w:rsidR="00F84773" w:rsidRPr="00D97927" w14:paraId="11FC3FF3" w14:textId="77777777" w:rsidTr="0095468D">
        <w:trPr>
          <w:trHeight w:val="300"/>
        </w:trPr>
        <w:tc>
          <w:tcPr>
            <w:tcW w:w="606" w:type="pct"/>
            <w:tcBorders>
              <w:top w:val="nil"/>
              <w:left w:val="single" w:sz="4" w:space="0" w:color="auto"/>
              <w:bottom w:val="single" w:sz="4" w:space="0" w:color="auto"/>
              <w:right w:val="single" w:sz="4" w:space="0" w:color="auto"/>
            </w:tcBorders>
            <w:shd w:val="clear" w:color="auto" w:fill="auto"/>
            <w:vAlign w:val="center"/>
          </w:tcPr>
          <w:p w14:paraId="7351BEE1" w14:textId="0514CF2E" w:rsidR="00084E00" w:rsidRPr="00D97927" w:rsidRDefault="00084E00" w:rsidP="00D71129">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Fang 2024</w:t>
            </w:r>
          </w:p>
        </w:tc>
        <w:tc>
          <w:tcPr>
            <w:tcW w:w="678" w:type="pct"/>
            <w:tcBorders>
              <w:top w:val="nil"/>
              <w:left w:val="nil"/>
              <w:bottom w:val="single" w:sz="4" w:space="0" w:color="auto"/>
              <w:right w:val="single" w:sz="4" w:space="0" w:color="auto"/>
            </w:tcBorders>
            <w:shd w:val="clear" w:color="auto" w:fill="auto"/>
            <w:vAlign w:val="center"/>
          </w:tcPr>
          <w:p w14:paraId="2214B1BB" w14:textId="3AE0F585" w:rsidR="00084E00" w:rsidRPr="00D97927" w:rsidRDefault="006C6D7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tcPr>
          <w:p w14:paraId="0EF30D4E" w14:textId="6337B8AB" w:rsidR="00084E00" w:rsidRPr="00D97927" w:rsidRDefault="006C6D7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tcPr>
          <w:p w14:paraId="1D522FEC" w14:textId="6BB471A7" w:rsidR="00084E00" w:rsidRPr="00D97927" w:rsidRDefault="006C6D7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tcPr>
          <w:p w14:paraId="75052841" w14:textId="04790557" w:rsidR="00084E00" w:rsidRPr="00D97927" w:rsidRDefault="006C6D7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tcPr>
          <w:p w14:paraId="61E6364E" w14:textId="31CE7CD9" w:rsidR="00084E00" w:rsidRPr="00D97927" w:rsidRDefault="006C6D7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tcPr>
          <w:p w14:paraId="57BE2F5E" w14:textId="59986B0B" w:rsidR="00084E00" w:rsidRPr="00D97927" w:rsidRDefault="006C6D7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tcPr>
          <w:p w14:paraId="362C0B9B" w14:textId="474F7982" w:rsidR="00084E00" w:rsidRPr="00D97927" w:rsidRDefault="006C6D7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tcPr>
          <w:p w14:paraId="52C606B5" w14:textId="4EF55B60" w:rsidR="00084E00" w:rsidRPr="00D97927" w:rsidRDefault="006C6D7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4</w:t>
            </w:r>
          </w:p>
        </w:tc>
      </w:tr>
      <w:tr w:rsidR="00F84773" w:rsidRPr="00D97927" w14:paraId="3339024E"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2299E97B"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Figueroa 2010</w:t>
            </w:r>
          </w:p>
        </w:tc>
        <w:tc>
          <w:tcPr>
            <w:tcW w:w="678" w:type="pct"/>
            <w:tcBorders>
              <w:top w:val="nil"/>
              <w:left w:val="nil"/>
              <w:bottom w:val="single" w:sz="4" w:space="0" w:color="auto"/>
              <w:right w:val="single" w:sz="4" w:space="0" w:color="auto"/>
            </w:tcBorders>
            <w:shd w:val="clear" w:color="auto" w:fill="auto"/>
            <w:vAlign w:val="center"/>
            <w:hideMark/>
          </w:tcPr>
          <w:p w14:paraId="059ED374"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hideMark/>
          </w:tcPr>
          <w:p w14:paraId="3922AC5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hideMark/>
          </w:tcPr>
          <w:p w14:paraId="023B072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hideMark/>
          </w:tcPr>
          <w:p w14:paraId="2D8D88A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hideMark/>
          </w:tcPr>
          <w:p w14:paraId="29C05EB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hideMark/>
          </w:tcPr>
          <w:p w14:paraId="53FD659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hideMark/>
          </w:tcPr>
          <w:p w14:paraId="3B305CE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hideMark/>
          </w:tcPr>
          <w:p w14:paraId="4967EE9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6</w:t>
            </w:r>
          </w:p>
        </w:tc>
      </w:tr>
      <w:tr w:rsidR="00F84773" w:rsidRPr="00D97927" w14:paraId="0F49AE4A"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2D1A2FF2" w14:textId="77777777" w:rsidR="00D71129" w:rsidRPr="00D97927" w:rsidRDefault="00D71129" w:rsidP="00D71129">
            <w:pPr>
              <w:rPr>
                <w:rFonts w:ascii="Arial" w:eastAsia="Times New Roman" w:hAnsi="Arial" w:cs="Arial"/>
                <w:color w:val="000000"/>
                <w:sz w:val="18"/>
                <w:szCs w:val="18"/>
                <w:lang w:val="en-US"/>
              </w:rPr>
            </w:pPr>
            <w:proofErr w:type="spellStart"/>
            <w:r w:rsidRPr="00D97927">
              <w:rPr>
                <w:rFonts w:ascii="Arial" w:eastAsia="Times New Roman" w:hAnsi="Arial" w:cs="Arial"/>
                <w:color w:val="000000"/>
                <w:sz w:val="18"/>
                <w:szCs w:val="18"/>
                <w:lang w:val="en-US"/>
              </w:rPr>
              <w:t>Garcı´a</w:t>
            </w:r>
            <w:proofErr w:type="spellEnd"/>
            <w:r w:rsidRPr="00D97927">
              <w:rPr>
                <w:rFonts w:ascii="Arial" w:eastAsia="Times New Roman" w:hAnsi="Arial" w:cs="Arial"/>
                <w:color w:val="000000"/>
                <w:sz w:val="18"/>
                <w:szCs w:val="18"/>
                <w:lang w:val="en-US"/>
              </w:rPr>
              <w:t>-Sancho 2011</w:t>
            </w:r>
          </w:p>
        </w:tc>
        <w:tc>
          <w:tcPr>
            <w:tcW w:w="678" w:type="pct"/>
            <w:tcBorders>
              <w:top w:val="nil"/>
              <w:left w:val="nil"/>
              <w:bottom w:val="single" w:sz="4" w:space="0" w:color="auto"/>
              <w:right w:val="single" w:sz="4" w:space="0" w:color="auto"/>
            </w:tcBorders>
            <w:shd w:val="clear" w:color="000000" w:fill="D9D9D9"/>
            <w:vAlign w:val="center"/>
            <w:hideMark/>
          </w:tcPr>
          <w:p w14:paraId="60AE26F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14189EB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0F8E21B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5AB0ECC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50798DE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624696E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491946D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69C03F4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6</w:t>
            </w:r>
          </w:p>
        </w:tc>
      </w:tr>
      <w:tr w:rsidR="00F84773" w:rsidRPr="00D97927" w14:paraId="6367EBA1"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18B018A3" w14:textId="77777777" w:rsidR="00D71129" w:rsidRPr="00D97927" w:rsidRDefault="00D71129" w:rsidP="00D71129">
            <w:pPr>
              <w:rPr>
                <w:rFonts w:ascii="Arial" w:eastAsia="Times New Roman" w:hAnsi="Arial" w:cs="Arial"/>
                <w:color w:val="000000"/>
                <w:sz w:val="18"/>
                <w:szCs w:val="18"/>
                <w:lang w:val="en-US"/>
              </w:rPr>
            </w:pPr>
            <w:proofErr w:type="spellStart"/>
            <w:r w:rsidRPr="00D97927">
              <w:rPr>
                <w:rFonts w:ascii="Arial" w:eastAsia="Times New Roman" w:hAnsi="Arial" w:cs="Arial"/>
                <w:color w:val="000000"/>
                <w:sz w:val="18"/>
                <w:szCs w:val="18"/>
                <w:lang w:val="en-US"/>
              </w:rPr>
              <w:t>Gribbin</w:t>
            </w:r>
            <w:proofErr w:type="spellEnd"/>
            <w:r w:rsidRPr="00D97927">
              <w:rPr>
                <w:rFonts w:ascii="Arial" w:eastAsia="Times New Roman" w:hAnsi="Arial" w:cs="Arial"/>
                <w:color w:val="000000"/>
                <w:sz w:val="18"/>
                <w:szCs w:val="18"/>
                <w:lang w:val="en-US"/>
              </w:rPr>
              <w:t xml:space="preserve"> 200</w:t>
            </w:r>
            <w:r>
              <w:rPr>
                <w:rFonts w:ascii="Arial" w:eastAsia="Times New Roman" w:hAnsi="Arial" w:cs="Arial"/>
                <w:color w:val="000000"/>
                <w:sz w:val="18"/>
                <w:szCs w:val="18"/>
                <w:lang w:val="en-US"/>
              </w:rPr>
              <w:t>8</w:t>
            </w:r>
          </w:p>
        </w:tc>
        <w:tc>
          <w:tcPr>
            <w:tcW w:w="678" w:type="pct"/>
            <w:tcBorders>
              <w:top w:val="nil"/>
              <w:left w:val="nil"/>
              <w:bottom w:val="single" w:sz="4" w:space="0" w:color="auto"/>
              <w:right w:val="single" w:sz="4" w:space="0" w:color="auto"/>
            </w:tcBorders>
            <w:shd w:val="clear" w:color="auto" w:fill="auto"/>
            <w:vAlign w:val="center"/>
            <w:hideMark/>
          </w:tcPr>
          <w:p w14:paraId="36ADF13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hideMark/>
          </w:tcPr>
          <w:p w14:paraId="4A0AC5A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hideMark/>
          </w:tcPr>
          <w:p w14:paraId="1A4E9F19"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hideMark/>
          </w:tcPr>
          <w:p w14:paraId="553A315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hideMark/>
          </w:tcPr>
          <w:p w14:paraId="348487D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hideMark/>
          </w:tcPr>
          <w:p w14:paraId="5B5D034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hideMark/>
          </w:tcPr>
          <w:p w14:paraId="1A53740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hideMark/>
          </w:tcPr>
          <w:p w14:paraId="0E9774C9"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3</w:t>
            </w:r>
          </w:p>
        </w:tc>
      </w:tr>
      <w:tr w:rsidR="00F84773" w:rsidRPr="00D97927" w14:paraId="4194881C"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24C76A90"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Gustafson 2007</w:t>
            </w:r>
          </w:p>
        </w:tc>
        <w:tc>
          <w:tcPr>
            <w:tcW w:w="678" w:type="pct"/>
            <w:tcBorders>
              <w:top w:val="nil"/>
              <w:left w:val="nil"/>
              <w:bottom w:val="single" w:sz="4" w:space="0" w:color="auto"/>
              <w:right w:val="single" w:sz="4" w:space="0" w:color="auto"/>
            </w:tcBorders>
            <w:shd w:val="clear" w:color="000000" w:fill="D9D9D9"/>
            <w:vAlign w:val="center"/>
            <w:hideMark/>
          </w:tcPr>
          <w:p w14:paraId="114FDF7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403BD6A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52A7A8E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0506872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667B744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2927A4F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70F0C99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607347C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3</w:t>
            </w:r>
          </w:p>
        </w:tc>
      </w:tr>
      <w:tr w:rsidR="00F84773" w:rsidRPr="00D97927" w14:paraId="1A7A705A"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038A8CFB"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Harari 2019</w:t>
            </w:r>
          </w:p>
        </w:tc>
        <w:tc>
          <w:tcPr>
            <w:tcW w:w="678" w:type="pct"/>
            <w:tcBorders>
              <w:top w:val="nil"/>
              <w:left w:val="nil"/>
              <w:bottom w:val="single" w:sz="4" w:space="0" w:color="auto"/>
              <w:right w:val="single" w:sz="4" w:space="0" w:color="auto"/>
            </w:tcBorders>
            <w:shd w:val="clear" w:color="000000" w:fill="D9D9D9"/>
            <w:vAlign w:val="center"/>
            <w:hideMark/>
          </w:tcPr>
          <w:p w14:paraId="754F2BC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794EA29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58C16C0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0F5A204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0F955EE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706650E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2039B1D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6068405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3</w:t>
            </w:r>
          </w:p>
        </w:tc>
      </w:tr>
      <w:tr w:rsidR="00F84773" w:rsidRPr="00D97927" w14:paraId="7A162BF6"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09145574"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Hubbard 1996</w:t>
            </w:r>
          </w:p>
        </w:tc>
        <w:tc>
          <w:tcPr>
            <w:tcW w:w="678" w:type="pct"/>
            <w:tcBorders>
              <w:top w:val="nil"/>
              <w:left w:val="nil"/>
              <w:bottom w:val="single" w:sz="4" w:space="0" w:color="auto"/>
              <w:right w:val="single" w:sz="4" w:space="0" w:color="auto"/>
            </w:tcBorders>
            <w:shd w:val="clear" w:color="000000" w:fill="D9D9D9"/>
            <w:vAlign w:val="center"/>
            <w:hideMark/>
          </w:tcPr>
          <w:p w14:paraId="6C1F045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7CF5E56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006E870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2B3DB1B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78D875F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2332E6C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72CB3DC5"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7A0DAF9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r w:rsidR="00F84773" w:rsidRPr="00D97927" w14:paraId="198F40EE"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tcPr>
          <w:p w14:paraId="15E0F2A6" w14:textId="1D6DE96B" w:rsidR="00CE0CCB" w:rsidRPr="00D97927" w:rsidRDefault="00CE0CCB" w:rsidP="00D71129">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Iversen 2023</w:t>
            </w:r>
          </w:p>
        </w:tc>
        <w:tc>
          <w:tcPr>
            <w:tcW w:w="678" w:type="pct"/>
            <w:tcBorders>
              <w:top w:val="nil"/>
              <w:left w:val="nil"/>
              <w:bottom w:val="single" w:sz="4" w:space="0" w:color="auto"/>
              <w:right w:val="single" w:sz="4" w:space="0" w:color="auto"/>
            </w:tcBorders>
            <w:shd w:val="clear" w:color="auto" w:fill="auto"/>
            <w:vAlign w:val="center"/>
          </w:tcPr>
          <w:p w14:paraId="71C97802" w14:textId="73F35A22" w:rsidR="00CE0CCB" w:rsidRPr="00D97927" w:rsidRDefault="00327C65"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tcPr>
          <w:p w14:paraId="590DDD49" w14:textId="665EEED6" w:rsidR="00CE0CCB" w:rsidRPr="00D97927" w:rsidRDefault="00327C65"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tcPr>
          <w:p w14:paraId="03EF1D67" w14:textId="62FD7463" w:rsidR="00CE0CCB" w:rsidRPr="00D97927" w:rsidRDefault="00327C65"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tcPr>
          <w:p w14:paraId="0747B0C5" w14:textId="7605FE6A" w:rsidR="00CE0CCB" w:rsidRPr="00D97927" w:rsidRDefault="00327C65"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tcPr>
          <w:p w14:paraId="64551975" w14:textId="3FE27075" w:rsidR="00CE0CCB" w:rsidRPr="00D97927" w:rsidRDefault="00327C65"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tcPr>
          <w:p w14:paraId="2FBE7792" w14:textId="5B3E01C1" w:rsidR="00CE0CCB" w:rsidRPr="00D97927" w:rsidRDefault="00327C65"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tcPr>
          <w:p w14:paraId="38FDDC41" w14:textId="5EFE2E67" w:rsidR="00CE0CCB" w:rsidRPr="00D97927" w:rsidRDefault="00327C65" w:rsidP="00327C65">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tcPr>
          <w:p w14:paraId="7DF776A3" w14:textId="5818A484" w:rsidR="00CE0CCB" w:rsidRPr="00D97927" w:rsidRDefault="00327C65"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5</w:t>
            </w:r>
          </w:p>
        </w:tc>
      </w:tr>
      <w:tr w:rsidR="00F84773" w:rsidRPr="00D97927" w14:paraId="57A00799"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3FA1832A" w14:textId="77777777" w:rsidR="00D71129" w:rsidRPr="00D97927" w:rsidRDefault="00D71129" w:rsidP="00D71129">
            <w:pPr>
              <w:rPr>
                <w:rFonts w:ascii="Arial" w:eastAsia="Times New Roman" w:hAnsi="Arial" w:cs="Arial"/>
                <w:color w:val="000000"/>
                <w:sz w:val="18"/>
                <w:szCs w:val="18"/>
                <w:lang w:val="en-US"/>
              </w:rPr>
            </w:pPr>
            <w:proofErr w:type="spellStart"/>
            <w:r w:rsidRPr="00D97927">
              <w:rPr>
                <w:rFonts w:ascii="Arial" w:eastAsia="Times New Roman" w:hAnsi="Arial" w:cs="Arial"/>
                <w:color w:val="000000"/>
                <w:sz w:val="18"/>
                <w:szCs w:val="18"/>
                <w:lang w:val="en-US"/>
              </w:rPr>
              <w:t>Jobard</w:t>
            </w:r>
            <w:proofErr w:type="spellEnd"/>
            <w:r w:rsidRPr="00D97927">
              <w:rPr>
                <w:rFonts w:ascii="Arial" w:eastAsia="Times New Roman" w:hAnsi="Arial" w:cs="Arial"/>
                <w:color w:val="000000"/>
                <w:sz w:val="18"/>
                <w:szCs w:val="18"/>
                <w:lang w:val="en-US"/>
              </w:rPr>
              <w:t xml:space="preserve"> 2017</w:t>
            </w:r>
          </w:p>
        </w:tc>
        <w:tc>
          <w:tcPr>
            <w:tcW w:w="678" w:type="pct"/>
            <w:tcBorders>
              <w:top w:val="nil"/>
              <w:left w:val="nil"/>
              <w:bottom w:val="single" w:sz="4" w:space="0" w:color="auto"/>
              <w:right w:val="single" w:sz="4" w:space="0" w:color="auto"/>
            </w:tcBorders>
            <w:shd w:val="clear" w:color="auto" w:fill="auto"/>
            <w:vAlign w:val="center"/>
            <w:hideMark/>
          </w:tcPr>
          <w:p w14:paraId="3231B36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hideMark/>
          </w:tcPr>
          <w:p w14:paraId="37BC6BC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hideMark/>
          </w:tcPr>
          <w:p w14:paraId="527EB62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hideMark/>
          </w:tcPr>
          <w:p w14:paraId="6220189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hideMark/>
          </w:tcPr>
          <w:p w14:paraId="045B574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hideMark/>
          </w:tcPr>
          <w:p w14:paraId="3F31230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hideMark/>
          </w:tcPr>
          <w:p w14:paraId="5B18A4C5"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hideMark/>
          </w:tcPr>
          <w:p w14:paraId="5B75F76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6</w:t>
            </w:r>
          </w:p>
        </w:tc>
      </w:tr>
      <w:tr w:rsidR="00F84773" w:rsidRPr="00D97927" w14:paraId="7E51DE05"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31505DBD"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Kaul 2022</w:t>
            </w:r>
          </w:p>
        </w:tc>
        <w:tc>
          <w:tcPr>
            <w:tcW w:w="678" w:type="pct"/>
            <w:tcBorders>
              <w:top w:val="nil"/>
              <w:left w:val="nil"/>
              <w:bottom w:val="single" w:sz="4" w:space="0" w:color="auto"/>
              <w:right w:val="single" w:sz="4" w:space="0" w:color="auto"/>
            </w:tcBorders>
            <w:shd w:val="clear" w:color="000000" w:fill="D9D9D9"/>
            <w:vAlign w:val="center"/>
            <w:hideMark/>
          </w:tcPr>
          <w:p w14:paraId="7328D76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00DB752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7E2A865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4070159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26F9156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3CB6D83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4D90F6D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4D59850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r w:rsidR="00F84773" w:rsidRPr="00D97927" w14:paraId="4EA24FCD"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tcPr>
          <w:p w14:paraId="3274E820" w14:textId="4DE4ED7A" w:rsidR="0013182D" w:rsidRPr="00D97927" w:rsidRDefault="0013182D" w:rsidP="00D71129">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Kaul 2022</w:t>
            </w:r>
          </w:p>
        </w:tc>
        <w:tc>
          <w:tcPr>
            <w:tcW w:w="678" w:type="pct"/>
            <w:tcBorders>
              <w:top w:val="nil"/>
              <w:left w:val="nil"/>
              <w:bottom w:val="single" w:sz="4" w:space="0" w:color="auto"/>
              <w:right w:val="single" w:sz="4" w:space="0" w:color="auto"/>
            </w:tcBorders>
            <w:shd w:val="clear" w:color="auto" w:fill="auto"/>
            <w:vAlign w:val="center"/>
          </w:tcPr>
          <w:p w14:paraId="49F9E273" w14:textId="3043254D" w:rsidR="0013182D" w:rsidRPr="00D97927" w:rsidRDefault="004653D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tcPr>
          <w:p w14:paraId="127132EB" w14:textId="242D5C74" w:rsidR="0013182D" w:rsidRPr="00D97927" w:rsidRDefault="004653D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tcPr>
          <w:p w14:paraId="1BBB0C62" w14:textId="7B408223" w:rsidR="0013182D" w:rsidRPr="00D97927" w:rsidRDefault="004653D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tcPr>
          <w:p w14:paraId="71D6C91D" w14:textId="7806450C" w:rsidR="0013182D" w:rsidRPr="00D97927" w:rsidRDefault="004653D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tcPr>
          <w:p w14:paraId="57EE629B" w14:textId="2393E009" w:rsidR="0013182D" w:rsidRPr="00D97927" w:rsidRDefault="004653D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tcPr>
          <w:p w14:paraId="6F49C4EC" w14:textId="45047954" w:rsidR="0013182D" w:rsidRPr="00D97927" w:rsidRDefault="004653D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tcPr>
          <w:p w14:paraId="7C149228" w14:textId="57AF6641" w:rsidR="0013182D" w:rsidRPr="00D97927" w:rsidRDefault="004653D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tcPr>
          <w:p w14:paraId="3C38159F" w14:textId="7EF2A42D" w:rsidR="0013182D" w:rsidRPr="00D97927" w:rsidRDefault="004653DB"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5</w:t>
            </w:r>
          </w:p>
        </w:tc>
      </w:tr>
      <w:tr w:rsidR="00F84773" w:rsidRPr="00D97927" w14:paraId="75D0617D"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25BF5CA8"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Kawabata 2015</w:t>
            </w:r>
          </w:p>
        </w:tc>
        <w:tc>
          <w:tcPr>
            <w:tcW w:w="678" w:type="pct"/>
            <w:tcBorders>
              <w:top w:val="nil"/>
              <w:left w:val="nil"/>
              <w:bottom w:val="single" w:sz="4" w:space="0" w:color="auto"/>
              <w:right w:val="single" w:sz="4" w:space="0" w:color="auto"/>
            </w:tcBorders>
            <w:shd w:val="clear" w:color="auto" w:fill="auto"/>
            <w:vAlign w:val="center"/>
            <w:hideMark/>
          </w:tcPr>
          <w:p w14:paraId="39524FC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hideMark/>
          </w:tcPr>
          <w:p w14:paraId="25CC633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hideMark/>
          </w:tcPr>
          <w:p w14:paraId="2D06CC2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hideMark/>
          </w:tcPr>
          <w:p w14:paraId="78D2130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hideMark/>
          </w:tcPr>
          <w:p w14:paraId="2E32171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hideMark/>
          </w:tcPr>
          <w:p w14:paraId="52ABC15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hideMark/>
          </w:tcPr>
          <w:p w14:paraId="2224079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hideMark/>
          </w:tcPr>
          <w:p w14:paraId="5B44B49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4</w:t>
            </w:r>
          </w:p>
        </w:tc>
      </w:tr>
      <w:tr w:rsidR="00F84773" w:rsidRPr="00D97927" w14:paraId="22948462"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5638DC70"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Kim 2017</w:t>
            </w:r>
          </w:p>
        </w:tc>
        <w:tc>
          <w:tcPr>
            <w:tcW w:w="678" w:type="pct"/>
            <w:tcBorders>
              <w:top w:val="nil"/>
              <w:left w:val="nil"/>
              <w:bottom w:val="single" w:sz="4" w:space="0" w:color="auto"/>
              <w:right w:val="single" w:sz="4" w:space="0" w:color="auto"/>
            </w:tcBorders>
            <w:shd w:val="clear" w:color="000000" w:fill="D9D9D9"/>
            <w:vAlign w:val="center"/>
            <w:hideMark/>
          </w:tcPr>
          <w:p w14:paraId="5E6DA16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2ED6022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631C5C5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520E6F55"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0ED1FCE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28DFE869"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30E3CA5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2DD6C01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4</w:t>
            </w:r>
          </w:p>
        </w:tc>
      </w:tr>
      <w:tr w:rsidR="00F84773" w:rsidRPr="00D97927" w14:paraId="722F149D" w14:textId="77777777" w:rsidTr="0095468D">
        <w:trPr>
          <w:trHeight w:val="300"/>
        </w:trPr>
        <w:tc>
          <w:tcPr>
            <w:tcW w:w="606" w:type="pct"/>
            <w:tcBorders>
              <w:top w:val="nil"/>
              <w:left w:val="single" w:sz="4" w:space="0" w:color="auto"/>
              <w:bottom w:val="single" w:sz="4" w:space="0" w:color="auto"/>
              <w:right w:val="single" w:sz="4" w:space="0" w:color="auto"/>
            </w:tcBorders>
            <w:shd w:val="clear" w:color="auto" w:fill="auto"/>
            <w:vAlign w:val="center"/>
          </w:tcPr>
          <w:p w14:paraId="2161E1C7" w14:textId="5F818552" w:rsidR="00157212" w:rsidRPr="00D97927" w:rsidRDefault="00157212" w:rsidP="00D71129">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Kim 2023</w:t>
            </w:r>
          </w:p>
        </w:tc>
        <w:tc>
          <w:tcPr>
            <w:tcW w:w="678" w:type="pct"/>
            <w:tcBorders>
              <w:top w:val="nil"/>
              <w:left w:val="nil"/>
              <w:bottom w:val="single" w:sz="4" w:space="0" w:color="auto"/>
              <w:right w:val="single" w:sz="4" w:space="0" w:color="auto"/>
            </w:tcBorders>
            <w:shd w:val="clear" w:color="auto" w:fill="auto"/>
            <w:vAlign w:val="center"/>
          </w:tcPr>
          <w:p w14:paraId="431F41DF" w14:textId="157EFD3D" w:rsidR="00157212" w:rsidRPr="00D97927" w:rsidRDefault="0015721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tcPr>
          <w:p w14:paraId="212ED2CB" w14:textId="43C5C103" w:rsidR="00157212" w:rsidRPr="00D97927" w:rsidRDefault="0015721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tcPr>
          <w:p w14:paraId="1C5973DD" w14:textId="148A5E3E" w:rsidR="00157212" w:rsidRPr="00D97927" w:rsidRDefault="0015721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tcPr>
          <w:p w14:paraId="2EBEAF04" w14:textId="5C9E7341" w:rsidR="00157212" w:rsidRPr="00D97927" w:rsidRDefault="0015721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tcPr>
          <w:p w14:paraId="644CFC1A" w14:textId="6F9A2AA4" w:rsidR="00157212" w:rsidRPr="00D97927" w:rsidRDefault="0015721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tcPr>
          <w:p w14:paraId="78704E81" w14:textId="7B371EFE" w:rsidR="00157212" w:rsidRPr="00D97927" w:rsidRDefault="0015721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tcPr>
          <w:p w14:paraId="07809BA2" w14:textId="45B874DB" w:rsidR="00157212" w:rsidRPr="00D97927" w:rsidRDefault="0015721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tcPr>
          <w:p w14:paraId="6BDF5790" w14:textId="5067D325" w:rsidR="00157212" w:rsidRPr="00D97927" w:rsidRDefault="0015721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5</w:t>
            </w:r>
          </w:p>
        </w:tc>
      </w:tr>
      <w:tr w:rsidR="00F84773" w:rsidRPr="00D97927" w14:paraId="2C596F32"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36A75C66"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Kitamura 2007</w:t>
            </w:r>
          </w:p>
        </w:tc>
        <w:tc>
          <w:tcPr>
            <w:tcW w:w="678" w:type="pct"/>
            <w:tcBorders>
              <w:top w:val="nil"/>
              <w:left w:val="nil"/>
              <w:bottom w:val="single" w:sz="4" w:space="0" w:color="auto"/>
              <w:right w:val="single" w:sz="4" w:space="0" w:color="auto"/>
            </w:tcBorders>
            <w:shd w:val="clear" w:color="auto" w:fill="auto"/>
            <w:vAlign w:val="center"/>
            <w:hideMark/>
          </w:tcPr>
          <w:p w14:paraId="4D9082C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hideMark/>
          </w:tcPr>
          <w:p w14:paraId="3BF50DD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hideMark/>
          </w:tcPr>
          <w:p w14:paraId="431FCD6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hideMark/>
          </w:tcPr>
          <w:p w14:paraId="36172D3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hideMark/>
          </w:tcPr>
          <w:p w14:paraId="322ED0E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hideMark/>
          </w:tcPr>
          <w:p w14:paraId="4910142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hideMark/>
          </w:tcPr>
          <w:p w14:paraId="08E2739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hideMark/>
          </w:tcPr>
          <w:p w14:paraId="727923A5"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r w:rsidR="00F84773" w:rsidRPr="00D97927" w14:paraId="5FA66AC6" w14:textId="77777777" w:rsidTr="00F84773">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tcPr>
          <w:p w14:paraId="1D029050" w14:textId="4DD6E119" w:rsidR="004433EB" w:rsidRPr="00D97927" w:rsidRDefault="004433EB" w:rsidP="00D71129">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Konak 2024</w:t>
            </w:r>
          </w:p>
        </w:tc>
        <w:tc>
          <w:tcPr>
            <w:tcW w:w="678" w:type="pct"/>
            <w:tcBorders>
              <w:top w:val="nil"/>
              <w:left w:val="nil"/>
              <w:bottom w:val="single" w:sz="4" w:space="0" w:color="auto"/>
              <w:right w:val="single" w:sz="4" w:space="0" w:color="auto"/>
            </w:tcBorders>
            <w:shd w:val="clear" w:color="000000" w:fill="D9D9D9"/>
            <w:vAlign w:val="center"/>
          </w:tcPr>
          <w:p w14:paraId="06670D94" w14:textId="5FDA4EA4" w:rsidR="004433EB" w:rsidRPr="00D97927" w:rsidRDefault="00146851"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tcPr>
          <w:p w14:paraId="3A80A94D" w14:textId="25E0B18B" w:rsidR="004433EB" w:rsidRPr="00D97927" w:rsidRDefault="00146851"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tcPr>
          <w:p w14:paraId="74EBD433" w14:textId="562AE60D" w:rsidR="004433EB" w:rsidRPr="00D97927" w:rsidRDefault="00146851"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tcPr>
          <w:p w14:paraId="16389194" w14:textId="11613A30" w:rsidR="004433EB" w:rsidRPr="00D97927" w:rsidRDefault="00146851"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tcPr>
          <w:p w14:paraId="1335A7B8" w14:textId="17C947ED" w:rsidR="004433EB" w:rsidRPr="00D97927" w:rsidRDefault="00146851"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tcPr>
          <w:p w14:paraId="0C70063A" w14:textId="3557ED13" w:rsidR="004433EB" w:rsidRPr="00D97927" w:rsidRDefault="00146851"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tcPr>
          <w:p w14:paraId="40ABA461" w14:textId="5ADDD0E8" w:rsidR="004433EB" w:rsidRPr="00D97927" w:rsidRDefault="00146851"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tcPr>
          <w:p w14:paraId="13CDF7C1" w14:textId="0AA438EA" w:rsidR="004433EB" w:rsidRPr="00D97927" w:rsidRDefault="00146851"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6</w:t>
            </w:r>
          </w:p>
        </w:tc>
      </w:tr>
      <w:tr w:rsidR="00F84773" w:rsidRPr="00D97927" w14:paraId="3D5B5425"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7E0BAD8C"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Koo 2017</w:t>
            </w:r>
          </w:p>
        </w:tc>
        <w:tc>
          <w:tcPr>
            <w:tcW w:w="678" w:type="pct"/>
            <w:tcBorders>
              <w:top w:val="nil"/>
              <w:left w:val="nil"/>
              <w:bottom w:val="single" w:sz="4" w:space="0" w:color="auto"/>
              <w:right w:val="single" w:sz="4" w:space="0" w:color="auto"/>
            </w:tcBorders>
            <w:shd w:val="clear" w:color="000000" w:fill="D9D9D9"/>
            <w:vAlign w:val="center"/>
            <w:hideMark/>
          </w:tcPr>
          <w:p w14:paraId="210DD2A4"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2A569DF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57F6018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13A4EC1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3900E3C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722E109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6C3F7AD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5A59AD54"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6</w:t>
            </w:r>
          </w:p>
        </w:tc>
      </w:tr>
      <w:tr w:rsidR="00F84773" w:rsidRPr="00D97927" w14:paraId="643042C5"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73B7E71B" w14:textId="77777777" w:rsidR="00D71129" w:rsidRPr="00D97927" w:rsidRDefault="00D71129" w:rsidP="00D71129">
            <w:pPr>
              <w:rPr>
                <w:rFonts w:ascii="Arial" w:eastAsia="Times New Roman" w:hAnsi="Arial" w:cs="Arial"/>
                <w:color w:val="000000"/>
                <w:sz w:val="18"/>
                <w:szCs w:val="18"/>
                <w:lang w:val="en-US"/>
              </w:rPr>
            </w:pPr>
            <w:proofErr w:type="spellStart"/>
            <w:r w:rsidRPr="00D97927">
              <w:rPr>
                <w:rFonts w:ascii="Arial" w:eastAsia="Times New Roman" w:hAnsi="Arial" w:cs="Arial"/>
                <w:color w:val="000000"/>
                <w:sz w:val="18"/>
                <w:szCs w:val="18"/>
                <w:lang w:val="en-US"/>
              </w:rPr>
              <w:t>Kronzer</w:t>
            </w:r>
            <w:proofErr w:type="spellEnd"/>
            <w:r w:rsidRPr="00D97927">
              <w:rPr>
                <w:rFonts w:ascii="Arial" w:eastAsia="Times New Roman" w:hAnsi="Arial" w:cs="Arial"/>
                <w:color w:val="000000"/>
                <w:sz w:val="18"/>
                <w:szCs w:val="18"/>
                <w:lang w:val="en-US"/>
              </w:rPr>
              <w:t xml:space="preserve"> 2021</w:t>
            </w:r>
          </w:p>
        </w:tc>
        <w:tc>
          <w:tcPr>
            <w:tcW w:w="678" w:type="pct"/>
            <w:tcBorders>
              <w:top w:val="nil"/>
              <w:left w:val="nil"/>
              <w:bottom w:val="single" w:sz="4" w:space="0" w:color="auto"/>
              <w:right w:val="single" w:sz="4" w:space="0" w:color="auto"/>
            </w:tcBorders>
            <w:shd w:val="clear" w:color="auto" w:fill="auto"/>
            <w:vAlign w:val="center"/>
            <w:hideMark/>
          </w:tcPr>
          <w:p w14:paraId="7129E49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vAlign w:val="center"/>
            <w:hideMark/>
          </w:tcPr>
          <w:p w14:paraId="6F32DFA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vAlign w:val="center"/>
            <w:hideMark/>
          </w:tcPr>
          <w:p w14:paraId="0DBAD41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vAlign w:val="center"/>
            <w:hideMark/>
          </w:tcPr>
          <w:p w14:paraId="53669E9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vAlign w:val="center"/>
            <w:hideMark/>
          </w:tcPr>
          <w:p w14:paraId="22DFD25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vAlign w:val="center"/>
            <w:hideMark/>
          </w:tcPr>
          <w:p w14:paraId="7F951D4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vAlign w:val="center"/>
            <w:hideMark/>
          </w:tcPr>
          <w:p w14:paraId="16905C0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vAlign w:val="center"/>
            <w:hideMark/>
          </w:tcPr>
          <w:p w14:paraId="3B270D2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6</w:t>
            </w:r>
          </w:p>
        </w:tc>
      </w:tr>
      <w:tr w:rsidR="00F84773" w:rsidRPr="00D97927" w14:paraId="3758E62C"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center"/>
            <w:hideMark/>
          </w:tcPr>
          <w:p w14:paraId="2A7E62D9" w14:textId="77777777" w:rsidR="00D71129" w:rsidRPr="00D97927" w:rsidRDefault="00D71129" w:rsidP="00D71129">
            <w:pPr>
              <w:rPr>
                <w:rFonts w:ascii="Arial" w:eastAsia="Times New Roman" w:hAnsi="Arial" w:cs="Arial"/>
                <w:color w:val="000000"/>
                <w:sz w:val="18"/>
                <w:szCs w:val="18"/>
                <w:lang w:val="en-US"/>
              </w:rPr>
            </w:pPr>
            <w:proofErr w:type="spellStart"/>
            <w:r w:rsidRPr="00D97927">
              <w:rPr>
                <w:rFonts w:ascii="Arial" w:eastAsia="Times New Roman" w:hAnsi="Arial" w:cs="Arial"/>
                <w:color w:val="000000"/>
                <w:sz w:val="18"/>
                <w:szCs w:val="18"/>
                <w:lang w:val="en-US"/>
              </w:rPr>
              <w:t>Lamichhane</w:t>
            </w:r>
            <w:proofErr w:type="spellEnd"/>
            <w:r w:rsidRPr="00D97927">
              <w:rPr>
                <w:rFonts w:ascii="Arial" w:eastAsia="Times New Roman" w:hAnsi="Arial" w:cs="Arial"/>
                <w:color w:val="000000"/>
                <w:sz w:val="18"/>
                <w:szCs w:val="18"/>
                <w:lang w:val="en-US"/>
              </w:rPr>
              <w:t xml:space="preserve"> 2019</w:t>
            </w:r>
          </w:p>
        </w:tc>
        <w:tc>
          <w:tcPr>
            <w:tcW w:w="678" w:type="pct"/>
            <w:tcBorders>
              <w:top w:val="nil"/>
              <w:left w:val="nil"/>
              <w:bottom w:val="single" w:sz="4" w:space="0" w:color="auto"/>
              <w:right w:val="single" w:sz="4" w:space="0" w:color="auto"/>
            </w:tcBorders>
            <w:shd w:val="clear" w:color="000000" w:fill="D9D9D9"/>
            <w:vAlign w:val="center"/>
            <w:hideMark/>
          </w:tcPr>
          <w:p w14:paraId="4DA2EC2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vAlign w:val="center"/>
            <w:hideMark/>
          </w:tcPr>
          <w:p w14:paraId="7E4AA5C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vAlign w:val="center"/>
            <w:hideMark/>
          </w:tcPr>
          <w:p w14:paraId="10C5B42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vAlign w:val="center"/>
            <w:hideMark/>
          </w:tcPr>
          <w:p w14:paraId="0B9E254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vAlign w:val="center"/>
            <w:hideMark/>
          </w:tcPr>
          <w:p w14:paraId="4D07C83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vAlign w:val="center"/>
            <w:hideMark/>
          </w:tcPr>
          <w:p w14:paraId="3E99AAA5"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vAlign w:val="center"/>
            <w:hideMark/>
          </w:tcPr>
          <w:p w14:paraId="283457A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vAlign w:val="center"/>
            <w:hideMark/>
          </w:tcPr>
          <w:p w14:paraId="7B13881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3</w:t>
            </w:r>
          </w:p>
        </w:tc>
      </w:tr>
      <w:tr w:rsidR="00F84773" w:rsidRPr="00D97927" w14:paraId="69412964"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center"/>
            <w:hideMark/>
          </w:tcPr>
          <w:p w14:paraId="6882FDB9" w14:textId="77777777" w:rsidR="00D71129" w:rsidRPr="00D97927" w:rsidRDefault="00D71129" w:rsidP="00D71129">
            <w:pPr>
              <w:rPr>
                <w:rFonts w:ascii="Arial" w:eastAsia="Times New Roman" w:hAnsi="Arial" w:cs="Arial"/>
                <w:color w:val="000000"/>
                <w:sz w:val="18"/>
                <w:szCs w:val="18"/>
                <w:lang w:val="en-US"/>
              </w:rPr>
            </w:pPr>
            <w:proofErr w:type="spellStart"/>
            <w:r w:rsidRPr="00D97927">
              <w:rPr>
                <w:rFonts w:ascii="Arial" w:eastAsia="Times New Roman" w:hAnsi="Arial" w:cs="Arial"/>
                <w:color w:val="000000"/>
                <w:sz w:val="18"/>
                <w:szCs w:val="18"/>
                <w:lang w:val="en-US"/>
              </w:rPr>
              <w:lastRenderedPageBreak/>
              <w:t>Lilleker</w:t>
            </w:r>
            <w:proofErr w:type="spellEnd"/>
            <w:r w:rsidRPr="00D97927">
              <w:rPr>
                <w:rFonts w:ascii="Arial" w:eastAsia="Times New Roman" w:hAnsi="Arial" w:cs="Arial"/>
                <w:color w:val="000000"/>
                <w:sz w:val="18"/>
                <w:szCs w:val="18"/>
                <w:lang w:val="en-US"/>
              </w:rPr>
              <w:t xml:space="preserve"> 2017</w:t>
            </w:r>
          </w:p>
        </w:tc>
        <w:tc>
          <w:tcPr>
            <w:tcW w:w="678" w:type="pct"/>
            <w:tcBorders>
              <w:top w:val="nil"/>
              <w:left w:val="nil"/>
              <w:bottom w:val="single" w:sz="4" w:space="0" w:color="auto"/>
              <w:right w:val="single" w:sz="4" w:space="0" w:color="auto"/>
            </w:tcBorders>
            <w:shd w:val="clear" w:color="auto" w:fill="auto"/>
            <w:noWrap/>
            <w:vAlign w:val="bottom"/>
            <w:hideMark/>
          </w:tcPr>
          <w:p w14:paraId="044C96F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noWrap/>
            <w:vAlign w:val="bottom"/>
            <w:hideMark/>
          </w:tcPr>
          <w:p w14:paraId="09479B9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noWrap/>
            <w:vAlign w:val="bottom"/>
            <w:hideMark/>
          </w:tcPr>
          <w:p w14:paraId="1B294D0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noWrap/>
            <w:vAlign w:val="bottom"/>
            <w:hideMark/>
          </w:tcPr>
          <w:p w14:paraId="1A7D80A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noWrap/>
            <w:vAlign w:val="bottom"/>
            <w:hideMark/>
          </w:tcPr>
          <w:p w14:paraId="5BBC6DF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noWrap/>
            <w:vAlign w:val="bottom"/>
            <w:hideMark/>
          </w:tcPr>
          <w:p w14:paraId="66D36F8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noWrap/>
            <w:vAlign w:val="bottom"/>
            <w:hideMark/>
          </w:tcPr>
          <w:p w14:paraId="586A5CD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noWrap/>
            <w:vAlign w:val="bottom"/>
            <w:hideMark/>
          </w:tcPr>
          <w:p w14:paraId="03798DC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r w:rsidR="00F84773" w:rsidRPr="00D97927" w14:paraId="4BEEB7F7"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bottom"/>
          </w:tcPr>
          <w:p w14:paraId="140DED56" w14:textId="51EA5C1A" w:rsidR="003C0C87" w:rsidRPr="00D97927" w:rsidRDefault="003C0C87" w:rsidP="00D71129">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McDermott 2024</w:t>
            </w:r>
          </w:p>
        </w:tc>
        <w:tc>
          <w:tcPr>
            <w:tcW w:w="678" w:type="pct"/>
            <w:tcBorders>
              <w:top w:val="nil"/>
              <w:left w:val="nil"/>
              <w:bottom w:val="single" w:sz="4" w:space="0" w:color="auto"/>
              <w:right w:val="single" w:sz="4" w:space="0" w:color="auto"/>
            </w:tcBorders>
            <w:shd w:val="clear" w:color="000000" w:fill="D9D9D9"/>
            <w:noWrap/>
            <w:vAlign w:val="bottom"/>
          </w:tcPr>
          <w:p w14:paraId="7556BCC1" w14:textId="5904A513" w:rsidR="003C0C87" w:rsidRPr="00D97927" w:rsidRDefault="003C0C8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noWrap/>
            <w:vAlign w:val="bottom"/>
          </w:tcPr>
          <w:p w14:paraId="1B942104" w14:textId="3FFB391F" w:rsidR="003C0C87" w:rsidRPr="00D97927" w:rsidRDefault="003C0C8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noWrap/>
            <w:vAlign w:val="bottom"/>
          </w:tcPr>
          <w:p w14:paraId="1CC35552" w14:textId="47526755" w:rsidR="003C0C87" w:rsidRPr="00D97927" w:rsidRDefault="003C0C8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noWrap/>
            <w:vAlign w:val="bottom"/>
          </w:tcPr>
          <w:p w14:paraId="0CACED7B" w14:textId="11910562" w:rsidR="003C0C87" w:rsidRPr="00D97927" w:rsidRDefault="003C0C8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noWrap/>
            <w:vAlign w:val="bottom"/>
          </w:tcPr>
          <w:p w14:paraId="611F2E1F" w14:textId="120DD2C7" w:rsidR="003C0C87" w:rsidRPr="00D97927" w:rsidRDefault="003C0C8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noWrap/>
            <w:vAlign w:val="bottom"/>
          </w:tcPr>
          <w:p w14:paraId="04393C13" w14:textId="1CA208E7" w:rsidR="003C0C87" w:rsidRPr="00D97927" w:rsidRDefault="003C0C8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noWrap/>
            <w:vAlign w:val="bottom"/>
          </w:tcPr>
          <w:p w14:paraId="22C24C18" w14:textId="7425B07C" w:rsidR="003C0C87" w:rsidRPr="00D97927" w:rsidRDefault="003C0C8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noWrap/>
            <w:vAlign w:val="bottom"/>
          </w:tcPr>
          <w:p w14:paraId="12EDE81F" w14:textId="64F08D1D" w:rsidR="003C0C87" w:rsidRPr="00D97927" w:rsidRDefault="003C0C87"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6</w:t>
            </w:r>
          </w:p>
        </w:tc>
      </w:tr>
      <w:tr w:rsidR="00F84773" w:rsidRPr="00D97927" w14:paraId="7A0B58BB"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bottom"/>
            <w:hideMark/>
          </w:tcPr>
          <w:p w14:paraId="03DDC536" w14:textId="56A3ACBE"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Mena-Vasquez 2021</w:t>
            </w:r>
          </w:p>
        </w:tc>
        <w:tc>
          <w:tcPr>
            <w:tcW w:w="678" w:type="pct"/>
            <w:tcBorders>
              <w:top w:val="nil"/>
              <w:left w:val="nil"/>
              <w:bottom w:val="single" w:sz="4" w:space="0" w:color="auto"/>
              <w:right w:val="single" w:sz="4" w:space="0" w:color="auto"/>
            </w:tcBorders>
            <w:shd w:val="clear" w:color="000000" w:fill="D9D9D9"/>
            <w:noWrap/>
            <w:vAlign w:val="bottom"/>
            <w:hideMark/>
          </w:tcPr>
          <w:p w14:paraId="6DE360F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noWrap/>
            <w:vAlign w:val="bottom"/>
            <w:hideMark/>
          </w:tcPr>
          <w:p w14:paraId="470BADF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noWrap/>
            <w:vAlign w:val="bottom"/>
            <w:hideMark/>
          </w:tcPr>
          <w:p w14:paraId="261E76B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noWrap/>
            <w:vAlign w:val="bottom"/>
            <w:hideMark/>
          </w:tcPr>
          <w:p w14:paraId="79BC051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noWrap/>
            <w:vAlign w:val="bottom"/>
            <w:hideMark/>
          </w:tcPr>
          <w:p w14:paraId="3D1D3F2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noWrap/>
            <w:vAlign w:val="bottom"/>
            <w:hideMark/>
          </w:tcPr>
          <w:p w14:paraId="260D246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noWrap/>
            <w:vAlign w:val="bottom"/>
            <w:hideMark/>
          </w:tcPr>
          <w:p w14:paraId="613B07D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noWrap/>
            <w:vAlign w:val="bottom"/>
            <w:hideMark/>
          </w:tcPr>
          <w:p w14:paraId="30A9B82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r w:rsidR="00F84773" w:rsidRPr="00D97927" w14:paraId="25C57B73"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bottom"/>
            <w:hideMark/>
          </w:tcPr>
          <w:p w14:paraId="7FC7BA74"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Miyake 2005</w:t>
            </w:r>
          </w:p>
        </w:tc>
        <w:tc>
          <w:tcPr>
            <w:tcW w:w="678" w:type="pct"/>
            <w:tcBorders>
              <w:top w:val="nil"/>
              <w:left w:val="nil"/>
              <w:bottom w:val="single" w:sz="4" w:space="0" w:color="auto"/>
              <w:right w:val="single" w:sz="4" w:space="0" w:color="auto"/>
            </w:tcBorders>
            <w:shd w:val="clear" w:color="000000" w:fill="D9D9D9"/>
            <w:noWrap/>
            <w:vAlign w:val="bottom"/>
            <w:hideMark/>
          </w:tcPr>
          <w:p w14:paraId="2C4903A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noWrap/>
            <w:vAlign w:val="bottom"/>
            <w:hideMark/>
          </w:tcPr>
          <w:p w14:paraId="081D0B5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noWrap/>
            <w:vAlign w:val="bottom"/>
            <w:hideMark/>
          </w:tcPr>
          <w:p w14:paraId="5D489F8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noWrap/>
            <w:vAlign w:val="bottom"/>
            <w:hideMark/>
          </w:tcPr>
          <w:p w14:paraId="461D149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noWrap/>
            <w:vAlign w:val="bottom"/>
            <w:hideMark/>
          </w:tcPr>
          <w:p w14:paraId="64AB2204"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noWrap/>
            <w:vAlign w:val="bottom"/>
            <w:hideMark/>
          </w:tcPr>
          <w:p w14:paraId="1444F2C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noWrap/>
            <w:vAlign w:val="bottom"/>
            <w:hideMark/>
          </w:tcPr>
          <w:p w14:paraId="3421C74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noWrap/>
            <w:vAlign w:val="bottom"/>
            <w:hideMark/>
          </w:tcPr>
          <w:p w14:paraId="0EE5ED1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4</w:t>
            </w:r>
          </w:p>
        </w:tc>
      </w:tr>
      <w:tr w:rsidR="00F84773" w:rsidRPr="00D97927" w14:paraId="7C6EB36A"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bottom"/>
            <w:hideMark/>
          </w:tcPr>
          <w:p w14:paraId="241DBA6E"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Mori 2012</w:t>
            </w:r>
          </w:p>
        </w:tc>
        <w:tc>
          <w:tcPr>
            <w:tcW w:w="678" w:type="pct"/>
            <w:tcBorders>
              <w:top w:val="nil"/>
              <w:left w:val="nil"/>
              <w:bottom w:val="single" w:sz="4" w:space="0" w:color="auto"/>
              <w:right w:val="single" w:sz="4" w:space="0" w:color="auto"/>
            </w:tcBorders>
            <w:shd w:val="clear" w:color="auto" w:fill="auto"/>
            <w:noWrap/>
            <w:vAlign w:val="bottom"/>
            <w:hideMark/>
          </w:tcPr>
          <w:p w14:paraId="2385C4A9"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noWrap/>
            <w:vAlign w:val="bottom"/>
            <w:hideMark/>
          </w:tcPr>
          <w:p w14:paraId="5DD651C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noWrap/>
            <w:vAlign w:val="bottom"/>
            <w:hideMark/>
          </w:tcPr>
          <w:p w14:paraId="020CE71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noWrap/>
            <w:vAlign w:val="bottom"/>
            <w:hideMark/>
          </w:tcPr>
          <w:p w14:paraId="440AFB8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noWrap/>
            <w:vAlign w:val="bottom"/>
            <w:hideMark/>
          </w:tcPr>
          <w:p w14:paraId="745F780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noWrap/>
            <w:vAlign w:val="bottom"/>
            <w:hideMark/>
          </w:tcPr>
          <w:p w14:paraId="0D8B9DA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noWrap/>
            <w:vAlign w:val="bottom"/>
            <w:hideMark/>
          </w:tcPr>
          <w:p w14:paraId="402CAB1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noWrap/>
            <w:vAlign w:val="bottom"/>
            <w:hideMark/>
          </w:tcPr>
          <w:p w14:paraId="0CADA3B9"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r w:rsidR="00F84773" w:rsidRPr="00D97927" w14:paraId="5C6A8DE7"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bottom"/>
            <w:hideMark/>
          </w:tcPr>
          <w:p w14:paraId="3DE5E717"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Mullen 1998</w:t>
            </w:r>
          </w:p>
        </w:tc>
        <w:tc>
          <w:tcPr>
            <w:tcW w:w="678" w:type="pct"/>
            <w:tcBorders>
              <w:top w:val="nil"/>
              <w:left w:val="nil"/>
              <w:bottom w:val="single" w:sz="4" w:space="0" w:color="auto"/>
              <w:right w:val="single" w:sz="4" w:space="0" w:color="auto"/>
            </w:tcBorders>
            <w:shd w:val="clear" w:color="000000" w:fill="D9D9D9"/>
            <w:noWrap/>
            <w:vAlign w:val="bottom"/>
            <w:hideMark/>
          </w:tcPr>
          <w:p w14:paraId="37DF215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noWrap/>
            <w:vAlign w:val="bottom"/>
            <w:hideMark/>
          </w:tcPr>
          <w:p w14:paraId="060DF09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noWrap/>
            <w:vAlign w:val="bottom"/>
            <w:hideMark/>
          </w:tcPr>
          <w:p w14:paraId="5FD4050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noWrap/>
            <w:vAlign w:val="bottom"/>
            <w:hideMark/>
          </w:tcPr>
          <w:p w14:paraId="63D2E45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noWrap/>
            <w:vAlign w:val="bottom"/>
            <w:hideMark/>
          </w:tcPr>
          <w:p w14:paraId="2C8FD4C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noWrap/>
            <w:vAlign w:val="bottom"/>
            <w:hideMark/>
          </w:tcPr>
          <w:p w14:paraId="24E2759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noWrap/>
            <w:vAlign w:val="bottom"/>
            <w:hideMark/>
          </w:tcPr>
          <w:p w14:paraId="1EC6DF0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noWrap/>
            <w:vAlign w:val="bottom"/>
            <w:hideMark/>
          </w:tcPr>
          <w:p w14:paraId="4E66E4F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2</w:t>
            </w:r>
          </w:p>
        </w:tc>
      </w:tr>
      <w:tr w:rsidR="00F84773" w:rsidRPr="00D97927" w14:paraId="65FCCE65"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bottom"/>
          </w:tcPr>
          <w:p w14:paraId="611CBC69" w14:textId="15E81783" w:rsidR="005A0EF9" w:rsidRPr="00D97927" w:rsidRDefault="005A0EF9" w:rsidP="00D71129">
            <w:pPr>
              <w:rPr>
                <w:rFonts w:ascii="Arial" w:eastAsia="Times New Roman" w:hAnsi="Arial" w:cs="Arial"/>
                <w:color w:val="000000"/>
                <w:sz w:val="18"/>
                <w:szCs w:val="18"/>
                <w:lang w:val="en-US"/>
              </w:rPr>
            </w:pPr>
            <w:proofErr w:type="spellStart"/>
            <w:r>
              <w:rPr>
                <w:rFonts w:ascii="Arial" w:eastAsia="Times New Roman" w:hAnsi="Arial" w:cs="Arial"/>
                <w:color w:val="000000"/>
                <w:sz w:val="18"/>
                <w:szCs w:val="18"/>
                <w:lang w:val="en-US"/>
              </w:rPr>
              <w:t>Muntyanu</w:t>
            </w:r>
            <w:proofErr w:type="spellEnd"/>
            <w:r>
              <w:rPr>
                <w:rFonts w:ascii="Arial" w:eastAsia="Times New Roman" w:hAnsi="Arial" w:cs="Arial"/>
                <w:color w:val="000000"/>
                <w:sz w:val="18"/>
                <w:szCs w:val="18"/>
                <w:lang w:val="en-US"/>
              </w:rPr>
              <w:t xml:space="preserve"> 2022</w:t>
            </w:r>
          </w:p>
        </w:tc>
        <w:tc>
          <w:tcPr>
            <w:tcW w:w="678" w:type="pct"/>
            <w:tcBorders>
              <w:top w:val="nil"/>
              <w:left w:val="nil"/>
              <w:bottom w:val="single" w:sz="4" w:space="0" w:color="auto"/>
              <w:right w:val="single" w:sz="4" w:space="0" w:color="auto"/>
            </w:tcBorders>
            <w:shd w:val="clear" w:color="auto" w:fill="auto"/>
            <w:noWrap/>
            <w:vAlign w:val="bottom"/>
          </w:tcPr>
          <w:p w14:paraId="267505A7" w14:textId="03DAC2F4" w:rsidR="005A0EF9" w:rsidRPr="00D97927" w:rsidRDefault="005A0EF9"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noWrap/>
            <w:vAlign w:val="bottom"/>
          </w:tcPr>
          <w:p w14:paraId="726694A8" w14:textId="6C21E71A" w:rsidR="005A0EF9" w:rsidRPr="00D97927" w:rsidRDefault="005A0EF9"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noWrap/>
            <w:vAlign w:val="bottom"/>
          </w:tcPr>
          <w:p w14:paraId="6461EBB0" w14:textId="6BCA811B" w:rsidR="005A0EF9" w:rsidRPr="00D97927" w:rsidRDefault="005A0EF9"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noWrap/>
            <w:vAlign w:val="bottom"/>
          </w:tcPr>
          <w:p w14:paraId="1B9BA61E" w14:textId="19AF7CE2" w:rsidR="005A0EF9" w:rsidRPr="00D97927" w:rsidRDefault="005A0EF9"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noWrap/>
            <w:vAlign w:val="bottom"/>
          </w:tcPr>
          <w:p w14:paraId="3D4084F2" w14:textId="460B2AAB" w:rsidR="005A0EF9" w:rsidRPr="00D97927" w:rsidRDefault="005A0EF9"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noWrap/>
            <w:vAlign w:val="bottom"/>
          </w:tcPr>
          <w:p w14:paraId="6F390CA8" w14:textId="6AAF0AFE" w:rsidR="005A0EF9" w:rsidRPr="00D97927" w:rsidRDefault="005A0EF9"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noWrap/>
            <w:vAlign w:val="bottom"/>
          </w:tcPr>
          <w:p w14:paraId="7AA77393" w14:textId="36ACE84F" w:rsidR="005A0EF9" w:rsidRPr="00D97927" w:rsidRDefault="005A0EF9"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noWrap/>
            <w:vAlign w:val="bottom"/>
          </w:tcPr>
          <w:p w14:paraId="0509D9FF" w14:textId="2258E5E2" w:rsidR="005A0EF9" w:rsidRPr="00D97927" w:rsidRDefault="005A0EF9"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3</w:t>
            </w:r>
          </w:p>
        </w:tc>
      </w:tr>
      <w:tr w:rsidR="00F84773" w:rsidRPr="00D97927" w14:paraId="3A5183D2"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bottom"/>
            <w:hideMark/>
          </w:tcPr>
          <w:p w14:paraId="7ED2BD44" w14:textId="77777777" w:rsidR="00D71129" w:rsidRPr="00D97927" w:rsidRDefault="00D71129" w:rsidP="00D71129">
            <w:pPr>
              <w:rPr>
                <w:rFonts w:ascii="Arial" w:eastAsia="Times New Roman" w:hAnsi="Arial" w:cs="Arial"/>
                <w:color w:val="000000"/>
                <w:sz w:val="18"/>
                <w:szCs w:val="18"/>
                <w:lang w:val="en-US"/>
              </w:rPr>
            </w:pPr>
            <w:proofErr w:type="spellStart"/>
            <w:r w:rsidRPr="00D97927">
              <w:rPr>
                <w:rFonts w:ascii="Arial" w:eastAsia="Times New Roman" w:hAnsi="Arial" w:cs="Arial"/>
                <w:color w:val="000000"/>
                <w:sz w:val="18"/>
                <w:szCs w:val="18"/>
                <w:lang w:val="en-US"/>
              </w:rPr>
              <w:t>Paolocci</w:t>
            </w:r>
            <w:proofErr w:type="spellEnd"/>
            <w:r w:rsidRPr="00D97927">
              <w:rPr>
                <w:rFonts w:ascii="Arial" w:eastAsia="Times New Roman" w:hAnsi="Arial" w:cs="Arial"/>
                <w:color w:val="000000"/>
                <w:sz w:val="18"/>
                <w:szCs w:val="18"/>
                <w:lang w:val="en-US"/>
              </w:rPr>
              <w:t xml:space="preserve"> 2018</w:t>
            </w:r>
          </w:p>
        </w:tc>
        <w:tc>
          <w:tcPr>
            <w:tcW w:w="678" w:type="pct"/>
            <w:tcBorders>
              <w:top w:val="nil"/>
              <w:left w:val="nil"/>
              <w:bottom w:val="single" w:sz="4" w:space="0" w:color="auto"/>
              <w:right w:val="single" w:sz="4" w:space="0" w:color="auto"/>
            </w:tcBorders>
            <w:shd w:val="clear" w:color="auto" w:fill="auto"/>
            <w:noWrap/>
            <w:vAlign w:val="bottom"/>
            <w:hideMark/>
          </w:tcPr>
          <w:p w14:paraId="75B3DE8C"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noWrap/>
            <w:vAlign w:val="bottom"/>
            <w:hideMark/>
          </w:tcPr>
          <w:p w14:paraId="106DA30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noWrap/>
            <w:vAlign w:val="bottom"/>
            <w:hideMark/>
          </w:tcPr>
          <w:p w14:paraId="5913713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noWrap/>
            <w:vAlign w:val="bottom"/>
            <w:hideMark/>
          </w:tcPr>
          <w:p w14:paraId="59EA737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noWrap/>
            <w:vAlign w:val="bottom"/>
            <w:hideMark/>
          </w:tcPr>
          <w:p w14:paraId="125C7014"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noWrap/>
            <w:vAlign w:val="bottom"/>
            <w:hideMark/>
          </w:tcPr>
          <w:p w14:paraId="7F446C8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noWrap/>
            <w:vAlign w:val="bottom"/>
            <w:hideMark/>
          </w:tcPr>
          <w:p w14:paraId="7F0573C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noWrap/>
            <w:vAlign w:val="bottom"/>
            <w:hideMark/>
          </w:tcPr>
          <w:p w14:paraId="0F3689C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4</w:t>
            </w:r>
          </w:p>
        </w:tc>
      </w:tr>
      <w:tr w:rsidR="00F84773" w:rsidRPr="00D97927" w14:paraId="1A6489D0" w14:textId="77777777" w:rsidTr="00F84773">
        <w:trPr>
          <w:trHeight w:val="300"/>
        </w:trPr>
        <w:tc>
          <w:tcPr>
            <w:tcW w:w="606" w:type="pct"/>
            <w:tcBorders>
              <w:top w:val="nil"/>
              <w:left w:val="single" w:sz="4" w:space="0" w:color="auto"/>
              <w:bottom w:val="single" w:sz="4" w:space="0" w:color="auto"/>
              <w:right w:val="single" w:sz="4" w:space="0" w:color="auto"/>
            </w:tcBorders>
            <w:shd w:val="clear" w:color="000000" w:fill="D9D9D9"/>
            <w:vAlign w:val="bottom"/>
          </w:tcPr>
          <w:p w14:paraId="48A17891" w14:textId="4EF9B122" w:rsidR="005A0EF9" w:rsidRPr="00D97927" w:rsidRDefault="005A0EF9" w:rsidP="00D71129">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Park 2024</w:t>
            </w:r>
          </w:p>
        </w:tc>
        <w:tc>
          <w:tcPr>
            <w:tcW w:w="678" w:type="pct"/>
            <w:tcBorders>
              <w:top w:val="nil"/>
              <w:left w:val="nil"/>
              <w:bottom w:val="single" w:sz="4" w:space="0" w:color="auto"/>
              <w:right w:val="single" w:sz="4" w:space="0" w:color="auto"/>
            </w:tcBorders>
            <w:shd w:val="clear" w:color="000000" w:fill="D9D9D9"/>
            <w:noWrap/>
            <w:vAlign w:val="bottom"/>
          </w:tcPr>
          <w:p w14:paraId="759B1FC6" w14:textId="55311787" w:rsidR="005A0EF9" w:rsidRPr="00D97927" w:rsidRDefault="0076547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noWrap/>
            <w:vAlign w:val="bottom"/>
          </w:tcPr>
          <w:p w14:paraId="5B1EEB9C" w14:textId="576070C8" w:rsidR="005A0EF9" w:rsidRPr="00D97927" w:rsidRDefault="0076547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noWrap/>
            <w:vAlign w:val="bottom"/>
          </w:tcPr>
          <w:p w14:paraId="4C41A31A" w14:textId="6634A41B" w:rsidR="005A0EF9" w:rsidRPr="00D97927" w:rsidRDefault="0076547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noWrap/>
            <w:vAlign w:val="bottom"/>
          </w:tcPr>
          <w:p w14:paraId="0D1AF7B6" w14:textId="0C88972C" w:rsidR="005A0EF9" w:rsidRPr="00D97927" w:rsidRDefault="0076547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noWrap/>
            <w:vAlign w:val="bottom"/>
          </w:tcPr>
          <w:p w14:paraId="5E9DBDBC" w14:textId="5326BBCE" w:rsidR="005A0EF9" w:rsidRPr="00D97927" w:rsidRDefault="0076547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noWrap/>
            <w:vAlign w:val="bottom"/>
          </w:tcPr>
          <w:p w14:paraId="6484AD1C" w14:textId="0FFFC07B" w:rsidR="005A0EF9" w:rsidRPr="00D97927" w:rsidRDefault="0076547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noWrap/>
            <w:vAlign w:val="bottom"/>
          </w:tcPr>
          <w:p w14:paraId="50F206E1" w14:textId="6187DEB6" w:rsidR="005A0EF9" w:rsidRPr="00D97927" w:rsidRDefault="0076547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noWrap/>
            <w:vAlign w:val="bottom"/>
          </w:tcPr>
          <w:p w14:paraId="6FFEBB4E" w14:textId="3477D684" w:rsidR="005A0EF9" w:rsidRPr="00D97927" w:rsidRDefault="0076547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5</w:t>
            </w:r>
          </w:p>
        </w:tc>
      </w:tr>
      <w:tr w:rsidR="00F84773" w:rsidRPr="00D97927" w14:paraId="7A85904B"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bottom"/>
            <w:hideMark/>
          </w:tcPr>
          <w:p w14:paraId="643ADCEA"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Paulin 2021</w:t>
            </w:r>
          </w:p>
        </w:tc>
        <w:tc>
          <w:tcPr>
            <w:tcW w:w="678" w:type="pct"/>
            <w:tcBorders>
              <w:top w:val="nil"/>
              <w:left w:val="nil"/>
              <w:bottom w:val="single" w:sz="4" w:space="0" w:color="auto"/>
              <w:right w:val="single" w:sz="4" w:space="0" w:color="auto"/>
            </w:tcBorders>
            <w:shd w:val="clear" w:color="000000" w:fill="D9D9D9"/>
            <w:noWrap/>
            <w:vAlign w:val="bottom"/>
            <w:hideMark/>
          </w:tcPr>
          <w:p w14:paraId="4139DDB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noWrap/>
            <w:vAlign w:val="bottom"/>
            <w:hideMark/>
          </w:tcPr>
          <w:p w14:paraId="63FC889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noWrap/>
            <w:vAlign w:val="bottom"/>
            <w:hideMark/>
          </w:tcPr>
          <w:p w14:paraId="6A11803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noWrap/>
            <w:vAlign w:val="bottom"/>
            <w:hideMark/>
          </w:tcPr>
          <w:p w14:paraId="3C6FC87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noWrap/>
            <w:vAlign w:val="bottom"/>
            <w:hideMark/>
          </w:tcPr>
          <w:p w14:paraId="276B6ACF"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noWrap/>
            <w:vAlign w:val="bottom"/>
            <w:hideMark/>
          </w:tcPr>
          <w:p w14:paraId="5EED434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noWrap/>
            <w:vAlign w:val="bottom"/>
            <w:hideMark/>
          </w:tcPr>
          <w:p w14:paraId="4F3B61A5"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noWrap/>
            <w:vAlign w:val="bottom"/>
            <w:hideMark/>
          </w:tcPr>
          <w:p w14:paraId="341DE92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2</w:t>
            </w:r>
          </w:p>
        </w:tc>
      </w:tr>
      <w:tr w:rsidR="00F84773" w:rsidRPr="00D97927" w14:paraId="24002442"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bottom"/>
            <w:hideMark/>
          </w:tcPr>
          <w:p w14:paraId="70FD905E"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Pugh 2016</w:t>
            </w:r>
          </w:p>
        </w:tc>
        <w:tc>
          <w:tcPr>
            <w:tcW w:w="678" w:type="pct"/>
            <w:tcBorders>
              <w:top w:val="nil"/>
              <w:left w:val="nil"/>
              <w:bottom w:val="single" w:sz="4" w:space="0" w:color="auto"/>
              <w:right w:val="single" w:sz="4" w:space="0" w:color="auto"/>
            </w:tcBorders>
            <w:shd w:val="clear" w:color="auto" w:fill="auto"/>
            <w:noWrap/>
            <w:vAlign w:val="bottom"/>
            <w:hideMark/>
          </w:tcPr>
          <w:p w14:paraId="4A98618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noWrap/>
            <w:vAlign w:val="bottom"/>
            <w:hideMark/>
          </w:tcPr>
          <w:p w14:paraId="52E364B8"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noWrap/>
            <w:vAlign w:val="bottom"/>
            <w:hideMark/>
          </w:tcPr>
          <w:p w14:paraId="789BC26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noWrap/>
            <w:vAlign w:val="bottom"/>
            <w:hideMark/>
          </w:tcPr>
          <w:p w14:paraId="0A7DE846"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noWrap/>
            <w:vAlign w:val="bottom"/>
            <w:hideMark/>
          </w:tcPr>
          <w:p w14:paraId="1B448CD7"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noWrap/>
            <w:vAlign w:val="bottom"/>
            <w:hideMark/>
          </w:tcPr>
          <w:p w14:paraId="2FDBCB8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noWrap/>
            <w:vAlign w:val="bottom"/>
            <w:hideMark/>
          </w:tcPr>
          <w:p w14:paraId="1E1CC9F3"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noWrap/>
            <w:vAlign w:val="bottom"/>
            <w:hideMark/>
          </w:tcPr>
          <w:p w14:paraId="517C2E1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7</w:t>
            </w:r>
          </w:p>
        </w:tc>
      </w:tr>
      <w:tr w:rsidR="00F84773" w:rsidRPr="00D97927" w14:paraId="1CD32ECB" w14:textId="77777777" w:rsidTr="00F84773">
        <w:trPr>
          <w:trHeight w:val="300"/>
        </w:trPr>
        <w:tc>
          <w:tcPr>
            <w:tcW w:w="606" w:type="pct"/>
            <w:tcBorders>
              <w:top w:val="nil"/>
              <w:left w:val="single" w:sz="4" w:space="0" w:color="auto"/>
              <w:bottom w:val="single" w:sz="4" w:space="0" w:color="auto"/>
              <w:right w:val="single" w:sz="4" w:space="0" w:color="auto"/>
            </w:tcBorders>
            <w:shd w:val="clear" w:color="000000" w:fill="D9D9D9"/>
            <w:vAlign w:val="bottom"/>
          </w:tcPr>
          <w:p w14:paraId="3A21CFD3" w14:textId="42472758" w:rsidR="009E2410" w:rsidRPr="00D97927" w:rsidRDefault="009E2410" w:rsidP="00D71129">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Ren 2023</w:t>
            </w:r>
          </w:p>
        </w:tc>
        <w:tc>
          <w:tcPr>
            <w:tcW w:w="678" w:type="pct"/>
            <w:tcBorders>
              <w:top w:val="nil"/>
              <w:left w:val="nil"/>
              <w:bottom w:val="single" w:sz="4" w:space="0" w:color="auto"/>
              <w:right w:val="single" w:sz="4" w:space="0" w:color="auto"/>
            </w:tcBorders>
            <w:shd w:val="clear" w:color="000000" w:fill="D9D9D9"/>
            <w:noWrap/>
            <w:vAlign w:val="bottom"/>
          </w:tcPr>
          <w:p w14:paraId="3E2EA054" w14:textId="6E7C6088" w:rsidR="009E2410" w:rsidRPr="00D97927" w:rsidRDefault="00203F9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noWrap/>
            <w:vAlign w:val="bottom"/>
          </w:tcPr>
          <w:p w14:paraId="1DC985B8" w14:textId="05C207DD" w:rsidR="009E2410" w:rsidRPr="00D97927" w:rsidRDefault="00203F9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noWrap/>
            <w:vAlign w:val="bottom"/>
          </w:tcPr>
          <w:p w14:paraId="571B9718" w14:textId="76889C01" w:rsidR="009E2410" w:rsidRPr="00D97927" w:rsidRDefault="00203F9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noWrap/>
            <w:vAlign w:val="bottom"/>
          </w:tcPr>
          <w:p w14:paraId="588056D9" w14:textId="3D656962" w:rsidR="009E2410" w:rsidRPr="00D97927" w:rsidRDefault="00203F9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noWrap/>
            <w:vAlign w:val="bottom"/>
          </w:tcPr>
          <w:p w14:paraId="4E90A896" w14:textId="36F88B7D" w:rsidR="009E2410" w:rsidRPr="00D97927" w:rsidRDefault="00203F9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noWrap/>
            <w:vAlign w:val="bottom"/>
          </w:tcPr>
          <w:p w14:paraId="1EA04F99" w14:textId="242E1B0D" w:rsidR="009E2410" w:rsidRPr="00D97927" w:rsidRDefault="00203F9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noWrap/>
            <w:vAlign w:val="bottom"/>
          </w:tcPr>
          <w:p w14:paraId="071A508A" w14:textId="780C07F5" w:rsidR="009E2410" w:rsidRPr="00D97927" w:rsidRDefault="00203F9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noWrap/>
            <w:vAlign w:val="bottom"/>
          </w:tcPr>
          <w:p w14:paraId="17907B34" w14:textId="009A4223" w:rsidR="009E2410" w:rsidRPr="00D97927" w:rsidRDefault="00203F92" w:rsidP="00D71129">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5</w:t>
            </w:r>
          </w:p>
        </w:tc>
      </w:tr>
      <w:tr w:rsidR="00F84773" w:rsidRPr="00D97927" w14:paraId="1503235C"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bottom"/>
            <w:hideMark/>
          </w:tcPr>
          <w:p w14:paraId="347BC8E6" w14:textId="77777777" w:rsidR="00D71129" w:rsidRPr="00D97927" w:rsidRDefault="00D71129" w:rsidP="00D71129">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Restrepo 2015</w:t>
            </w:r>
          </w:p>
        </w:tc>
        <w:tc>
          <w:tcPr>
            <w:tcW w:w="678" w:type="pct"/>
            <w:tcBorders>
              <w:top w:val="nil"/>
              <w:left w:val="nil"/>
              <w:bottom w:val="single" w:sz="4" w:space="0" w:color="auto"/>
              <w:right w:val="single" w:sz="4" w:space="0" w:color="auto"/>
            </w:tcBorders>
            <w:shd w:val="clear" w:color="000000" w:fill="D9D9D9"/>
            <w:noWrap/>
            <w:vAlign w:val="bottom"/>
            <w:hideMark/>
          </w:tcPr>
          <w:p w14:paraId="0BD6FFFE"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noWrap/>
            <w:vAlign w:val="bottom"/>
            <w:hideMark/>
          </w:tcPr>
          <w:p w14:paraId="52275DFB"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noWrap/>
            <w:vAlign w:val="bottom"/>
            <w:hideMark/>
          </w:tcPr>
          <w:p w14:paraId="4B4D548D"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noWrap/>
            <w:vAlign w:val="bottom"/>
            <w:hideMark/>
          </w:tcPr>
          <w:p w14:paraId="70B1946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noWrap/>
            <w:vAlign w:val="bottom"/>
            <w:hideMark/>
          </w:tcPr>
          <w:p w14:paraId="679795A0"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NA</w:t>
            </w:r>
          </w:p>
        </w:tc>
        <w:tc>
          <w:tcPr>
            <w:tcW w:w="546" w:type="pct"/>
            <w:tcBorders>
              <w:top w:val="nil"/>
              <w:left w:val="nil"/>
              <w:bottom w:val="single" w:sz="4" w:space="0" w:color="auto"/>
              <w:right w:val="single" w:sz="4" w:space="0" w:color="auto"/>
            </w:tcBorders>
            <w:shd w:val="clear" w:color="000000" w:fill="D9D9D9"/>
            <w:noWrap/>
            <w:vAlign w:val="bottom"/>
            <w:hideMark/>
          </w:tcPr>
          <w:p w14:paraId="3D54035A"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noWrap/>
            <w:vAlign w:val="bottom"/>
            <w:hideMark/>
          </w:tcPr>
          <w:p w14:paraId="5B116092"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noWrap/>
            <w:vAlign w:val="bottom"/>
            <w:hideMark/>
          </w:tcPr>
          <w:p w14:paraId="44B2A8D1" w14:textId="77777777" w:rsidR="00D71129" w:rsidRPr="00D97927" w:rsidRDefault="00D71129" w:rsidP="00D71129">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2</w:t>
            </w:r>
          </w:p>
        </w:tc>
      </w:tr>
      <w:tr w:rsidR="00F84773" w:rsidRPr="00D97927" w14:paraId="42E57B62" w14:textId="77777777" w:rsidTr="00F84773">
        <w:trPr>
          <w:trHeight w:val="300"/>
        </w:trPr>
        <w:tc>
          <w:tcPr>
            <w:tcW w:w="606" w:type="pct"/>
            <w:tcBorders>
              <w:top w:val="nil"/>
              <w:left w:val="single" w:sz="4" w:space="0" w:color="auto"/>
              <w:bottom w:val="single" w:sz="4" w:space="0" w:color="auto"/>
              <w:right w:val="single" w:sz="4" w:space="0" w:color="auto"/>
            </w:tcBorders>
            <w:shd w:val="clear" w:color="auto" w:fill="auto"/>
            <w:vAlign w:val="bottom"/>
          </w:tcPr>
          <w:p w14:paraId="03636926" w14:textId="528D17B9" w:rsidR="009E2410" w:rsidRPr="00D97927" w:rsidRDefault="009E2410" w:rsidP="009E2410">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Reynolds 2022</w:t>
            </w:r>
          </w:p>
        </w:tc>
        <w:tc>
          <w:tcPr>
            <w:tcW w:w="678" w:type="pct"/>
            <w:tcBorders>
              <w:top w:val="nil"/>
              <w:left w:val="nil"/>
              <w:bottom w:val="single" w:sz="4" w:space="0" w:color="auto"/>
              <w:right w:val="single" w:sz="4" w:space="0" w:color="auto"/>
            </w:tcBorders>
            <w:shd w:val="clear" w:color="auto" w:fill="auto"/>
            <w:noWrap/>
            <w:vAlign w:val="center"/>
          </w:tcPr>
          <w:p w14:paraId="17C580C4" w14:textId="6D38C790" w:rsidR="009E2410" w:rsidRPr="00D97927" w:rsidRDefault="009E241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noWrap/>
            <w:vAlign w:val="center"/>
          </w:tcPr>
          <w:p w14:paraId="0EE9AE41" w14:textId="364CC0A5" w:rsidR="009E2410" w:rsidRPr="00D97927" w:rsidRDefault="009E241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noWrap/>
            <w:vAlign w:val="center"/>
          </w:tcPr>
          <w:p w14:paraId="35CEBF4B" w14:textId="398751FC" w:rsidR="009E2410" w:rsidRPr="00D97927" w:rsidRDefault="009E241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noWrap/>
            <w:vAlign w:val="center"/>
          </w:tcPr>
          <w:p w14:paraId="578D6541" w14:textId="1760F46F" w:rsidR="009E2410" w:rsidRPr="00D97927" w:rsidRDefault="009E241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noWrap/>
            <w:vAlign w:val="center"/>
          </w:tcPr>
          <w:p w14:paraId="6672539D" w14:textId="7D8E0F87" w:rsidR="009E2410" w:rsidRPr="00D97927" w:rsidRDefault="009E241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noWrap/>
            <w:vAlign w:val="center"/>
          </w:tcPr>
          <w:p w14:paraId="4AFEA88B" w14:textId="4DF699A4" w:rsidR="009E2410" w:rsidRPr="00D97927" w:rsidRDefault="009E241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noWrap/>
            <w:vAlign w:val="center"/>
          </w:tcPr>
          <w:p w14:paraId="2694B5AA" w14:textId="0870FC20" w:rsidR="009E2410" w:rsidRPr="00D97927" w:rsidRDefault="009E241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noWrap/>
            <w:vAlign w:val="center"/>
          </w:tcPr>
          <w:p w14:paraId="3209F414" w14:textId="71851F67" w:rsidR="009E2410" w:rsidRPr="00D97927" w:rsidRDefault="009E241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5</w:t>
            </w:r>
          </w:p>
        </w:tc>
      </w:tr>
      <w:tr w:rsidR="00F84773" w:rsidRPr="00D97927" w14:paraId="54896DE2" w14:textId="77777777" w:rsidTr="0095468D">
        <w:trPr>
          <w:trHeight w:val="300"/>
        </w:trPr>
        <w:tc>
          <w:tcPr>
            <w:tcW w:w="606" w:type="pct"/>
            <w:tcBorders>
              <w:top w:val="nil"/>
              <w:left w:val="single" w:sz="4" w:space="0" w:color="auto"/>
              <w:bottom w:val="single" w:sz="4" w:space="0" w:color="auto"/>
              <w:right w:val="single" w:sz="4" w:space="0" w:color="auto"/>
            </w:tcBorders>
            <w:shd w:val="clear" w:color="auto" w:fill="auto"/>
            <w:vAlign w:val="bottom"/>
            <w:hideMark/>
          </w:tcPr>
          <w:p w14:paraId="34703433" w14:textId="77777777" w:rsidR="009E2410" w:rsidRPr="00D97927" w:rsidRDefault="009E2410" w:rsidP="009E2410">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Salvatore 201</w:t>
            </w:r>
            <w:r>
              <w:rPr>
                <w:rFonts w:ascii="Arial" w:eastAsia="Times New Roman" w:hAnsi="Arial" w:cs="Arial"/>
                <w:color w:val="000000"/>
                <w:sz w:val="18"/>
                <w:szCs w:val="18"/>
                <w:lang w:val="en-US"/>
              </w:rPr>
              <w:t>5</w:t>
            </w:r>
          </w:p>
        </w:tc>
        <w:tc>
          <w:tcPr>
            <w:tcW w:w="678" w:type="pct"/>
            <w:tcBorders>
              <w:top w:val="nil"/>
              <w:left w:val="nil"/>
              <w:bottom w:val="single" w:sz="4" w:space="0" w:color="auto"/>
              <w:right w:val="single" w:sz="4" w:space="0" w:color="auto"/>
            </w:tcBorders>
            <w:shd w:val="clear" w:color="auto" w:fill="auto"/>
            <w:noWrap/>
            <w:vAlign w:val="bottom"/>
            <w:hideMark/>
          </w:tcPr>
          <w:p w14:paraId="4F8F4FB5"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noWrap/>
            <w:vAlign w:val="bottom"/>
            <w:hideMark/>
          </w:tcPr>
          <w:p w14:paraId="47F1C206"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noWrap/>
            <w:vAlign w:val="bottom"/>
            <w:hideMark/>
          </w:tcPr>
          <w:p w14:paraId="20AD2FE8"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noWrap/>
            <w:vAlign w:val="bottom"/>
            <w:hideMark/>
          </w:tcPr>
          <w:p w14:paraId="2F1394F3"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noWrap/>
            <w:vAlign w:val="bottom"/>
            <w:hideMark/>
          </w:tcPr>
          <w:p w14:paraId="1D45F490"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noWrap/>
            <w:vAlign w:val="bottom"/>
            <w:hideMark/>
          </w:tcPr>
          <w:p w14:paraId="1FC3FA54"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noWrap/>
            <w:vAlign w:val="bottom"/>
            <w:hideMark/>
          </w:tcPr>
          <w:p w14:paraId="3C671CF7"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noWrap/>
            <w:vAlign w:val="bottom"/>
            <w:hideMark/>
          </w:tcPr>
          <w:p w14:paraId="5ACF0F43"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4</w:t>
            </w:r>
          </w:p>
        </w:tc>
      </w:tr>
      <w:tr w:rsidR="00F84773" w:rsidRPr="00D97927" w14:paraId="71D4CF4E"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bottom"/>
            <w:hideMark/>
          </w:tcPr>
          <w:p w14:paraId="37494A33" w14:textId="77777777" w:rsidR="009E2410" w:rsidRPr="00D97927" w:rsidRDefault="009E2410" w:rsidP="009E2410">
            <w:pPr>
              <w:rPr>
                <w:rFonts w:ascii="Arial" w:eastAsia="Times New Roman" w:hAnsi="Arial" w:cs="Arial"/>
                <w:color w:val="000000"/>
                <w:sz w:val="18"/>
                <w:szCs w:val="18"/>
                <w:lang w:val="en-US"/>
              </w:rPr>
            </w:pPr>
            <w:proofErr w:type="spellStart"/>
            <w:r w:rsidRPr="00D97927">
              <w:rPr>
                <w:rFonts w:ascii="Arial" w:eastAsia="Times New Roman" w:hAnsi="Arial" w:cs="Arial"/>
                <w:color w:val="000000"/>
                <w:sz w:val="18"/>
                <w:szCs w:val="18"/>
                <w:lang w:val="en-US"/>
              </w:rPr>
              <w:t>Schiffenbauer</w:t>
            </w:r>
            <w:proofErr w:type="spellEnd"/>
            <w:r w:rsidRPr="00D97927">
              <w:rPr>
                <w:rFonts w:ascii="Arial" w:eastAsia="Times New Roman" w:hAnsi="Arial" w:cs="Arial"/>
                <w:color w:val="000000"/>
                <w:sz w:val="18"/>
                <w:szCs w:val="18"/>
                <w:lang w:val="en-US"/>
              </w:rPr>
              <w:t xml:space="preserve"> 2018</w:t>
            </w:r>
          </w:p>
        </w:tc>
        <w:tc>
          <w:tcPr>
            <w:tcW w:w="678" w:type="pct"/>
            <w:tcBorders>
              <w:top w:val="nil"/>
              <w:left w:val="nil"/>
              <w:bottom w:val="single" w:sz="4" w:space="0" w:color="auto"/>
              <w:right w:val="single" w:sz="4" w:space="0" w:color="auto"/>
            </w:tcBorders>
            <w:shd w:val="clear" w:color="000000" w:fill="D9D9D9"/>
            <w:noWrap/>
            <w:vAlign w:val="bottom"/>
            <w:hideMark/>
          </w:tcPr>
          <w:p w14:paraId="11B04ADD"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noWrap/>
            <w:vAlign w:val="bottom"/>
            <w:hideMark/>
          </w:tcPr>
          <w:p w14:paraId="3334CCF0"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noWrap/>
            <w:vAlign w:val="bottom"/>
            <w:hideMark/>
          </w:tcPr>
          <w:p w14:paraId="0BA6E610"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noWrap/>
            <w:vAlign w:val="bottom"/>
            <w:hideMark/>
          </w:tcPr>
          <w:p w14:paraId="1CD4A33F"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noWrap/>
            <w:vAlign w:val="bottom"/>
            <w:hideMark/>
          </w:tcPr>
          <w:p w14:paraId="24875A8A"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noWrap/>
            <w:vAlign w:val="bottom"/>
            <w:hideMark/>
          </w:tcPr>
          <w:p w14:paraId="77A931E0"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noWrap/>
            <w:vAlign w:val="bottom"/>
            <w:hideMark/>
          </w:tcPr>
          <w:p w14:paraId="30EB6519"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noWrap/>
            <w:vAlign w:val="bottom"/>
            <w:hideMark/>
          </w:tcPr>
          <w:p w14:paraId="51923A56"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7</w:t>
            </w:r>
          </w:p>
        </w:tc>
      </w:tr>
      <w:tr w:rsidR="00F84773" w:rsidRPr="00D97927" w14:paraId="0481B43C" w14:textId="77777777" w:rsidTr="0095468D">
        <w:trPr>
          <w:trHeight w:val="300"/>
        </w:trPr>
        <w:tc>
          <w:tcPr>
            <w:tcW w:w="606" w:type="pct"/>
            <w:tcBorders>
              <w:top w:val="nil"/>
              <w:left w:val="single" w:sz="4" w:space="0" w:color="auto"/>
              <w:bottom w:val="single" w:sz="4" w:space="0" w:color="auto"/>
              <w:right w:val="single" w:sz="4" w:space="0" w:color="auto"/>
            </w:tcBorders>
            <w:shd w:val="clear" w:color="auto" w:fill="auto"/>
            <w:vAlign w:val="bottom"/>
            <w:hideMark/>
          </w:tcPr>
          <w:p w14:paraId="0C21C9EB" w14:textId="77777777" w:rsidR="009E2410" w:rsidRPr="00D97927" w:rsidRDefault="009E2410" w:rsidP="009E2410">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Scott 1990</w:t>
            </w:r>
          </w:p>
        </w:tc>
        <w:tc>
          <w:tcPr>
            <w:tcW w:w="678" w:type="pct"/>
            <w:tcBorders>
              <w:top w:val="nil"/>
              <w:left w:val="nil"/>
              <w:bottom w:val="single" w:sz="4" w:space="0" w:color="auto"/>
              <w:right w:val="single" w:sz="4" w:space="0" w:color="auto"/>
            </w:tcBorders>
            <w:shd w:val="clear" w:color="auto" w:fill="auto"/>
            <w:noWrap/>
            <w:vAlign w:val="bottom"/>
            <w:hideMark/>
          </w:tcPr>
          <w:p w14:paraId="074BE31D"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noWrap/>
            <w:vAlign w:val="bottom"/>
            <w:hideMark/>
          </w:tcPr>
          <w:p w14:paraId="05547F7E"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noWrap/>
            <w:vAlign w:val="bottom"/>
            <w:hideMark/>
          </w:tcPr>
          <w:p w14:paraId="15ABC1D8"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noWrap/>
            <w:vAlign w:val="bottom"/>
            <w:hideMark/>
          </w:tcPr>
          <w:p w14:paraId="7938305D"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noWrap/>
            <w:vAlign w:val="bottom"/>
            <w:hideMark/>
          </w:tcPr>
          <w:p w14:paraId="7BA46920"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noWrap/>
            <w:vAlign w:val="bottom"/>
            <w:hideMark/>
          </w:tcPr>
          <w:p w14:paraId="6D61EEE0"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noWrap/>
            <w:vAlign w:val="bottom"/>
            <w:hideMark/>
          </w:tcPr>
          <w:p w14:paraId="61160A20"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noWrap/>
            <w:vAlign w:val="bottom"/>
            <w:hideMark/>
          </w:tcPr>
          <w:p w14:paraId="258F461E"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4</w:t>
            </w:r>
          </w:p>
        </w:tc>
      </w:tr>
      <w:tr w:rsidR="00F84773" w:rsidRPr="00D97927" w14:paraId="444FAEAF"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bottom"/>
            <w:hideMark/>
          </w:tcPr>
          <w:p w14:paraId="7EEC1246" w14:textId="77777777" w:rsidR="009E2410" w:rsidRPr="00D97927" w:rsidRDefault="009E2410" w:rsidP="009E2410">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Steele 2005</w:t>
            </w:r>
          </w:p>
        </w:tc>
        <w:tc>
          <w:tcPr>
            <w:tcW w:w="678" w:type="pct"/>
            <w:tcBorders>
              <w:top w:val="nil"/>
              <w:left w:val="nil"/>
              <w:bottom w:val="single" w:sz="4" w:space="0" w:color="auto"/>
              <w:right w:val="single" w:sz="4" w:space="0" w:color="auto"/>
            </w:tcBorders>
            <w:shd w:val="clear" w:color="000000" w:fill="D9D9D9"/>
            <w:noWrap/>
            <w:vAlign w:val="bottom"/>
            <w:hideMark/>
          </w:tcPr>
          <w:p w14:paraId="4185F546"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noWrap/>
            <w:vAlign w:val="bottom"/>
            <w:hideMark/>
          </w:tcPr>
          <w:p w14:paraId="4B1F635C"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noWrap/>
            <w:vAlign w:val="bottom"/>
            <w:hideMark/>
          </w:tcPr>
          <w:p w14:paraId="0E338D9A"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noWrap/>
            <w:vAlign w:val="bottom"/>
            <w:hideMark/>
          </w:tcPr>
          <w:p w14:paraId="6ACC03DE"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noWrap/>
            <w:vAlign w:val="bottom"/>
            <w:hideMark/>
          </w:tcPr>
          <w:p w14:paraId="2FBD3AF5"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noWrap/>
            <w:vAlign w:val="bottom"/>
            <w:hideMark/>
          </w:tcPr>
          <w:p w14:paraId="098BA4A5"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noWrap/>
            <w:vAlign w:val="bottom"/>
            <w:hideMark/>
          </w:tcPr>
          <w:p w14:paraId="4D380709"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noWrap/>
            <w:vAlign w:val="bottom"/>
            <w:hideMark/>
          </w:tcPr>
          <w:p w14:paraId="7972CDD7"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r w:rsidR="00F84773" w:rsidRPr="00D97927" w14:paraId="6A83D606" w14:textId="77777777" w:rsidTr="0095468D">
        <w:trPr>
          <w:trHeight w:val="300"/>
        </w:trPr>
        <w:tc>
          <w:tcPr>
            <w:tcW w:w="606" w:type="pct"/>
            <w:tcBorders>
              <w:top w:val="nil"/>
              <w:left w:val="single" w:sz="4" w:space="0" w:color="auto"/>
              <w:bottom w:val="single" w:sz="4" w:space="0" w:color="auto"/>
              <w:right w:val="single" w:sz="4" w:space="0" w:color="auto"/>
            </w:tcBorders>
            <w:shd w:val="clear" w:color="auto" w:fill="auto"/>
            <w:vAlign w:val="bottom"/>
            <w:hideMark/>
          </w:tcPr>
          <w:p w14:paraId="3FED59E6" w14:textId="77777777" w:rsidR="009E2410" w:rsidRPr="00D97927" w:rsidRDefault="009E2410" w:rsidP="009E2410">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Wang 2018</w:t>
            </w:r>
          </w:p>
        </w:tc>
        <w:tc>
          <w:tcPr>
            <w:tcW w:w="678" w:type="pct"/>
            <w:tcBorders>
              <w:top w:val="nil"/>
              <w:left w:val="nil"/>
              <w:bottom w:val="single" w:sz="4" w:space="0" w:color="auto"/>
              <w:right w:val="single" w:sz="4" w:space="0" w:color="auto"/>
            </w:tcBorders>
            <w:shd w:val="clear" w:color="auto" w:fill="auto"/>
            <w:noWrap/>
            <w:vAlign w:val="bottom"/>
            <w:hideMark/>
          </w:tcPr>
          <w:p w14:paraId="0F9E9CBB"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noWrap/>
            <w:vAlign w:val="bottom"/>
            <w:hideMark/>
          </w:tcPr>
          <w:p w14:paraId="52EF730C"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noWrap/>
            <w:vAlign w:val="bottom"/>
            <w:hideMark/>
          </w:tcPr>
          <w:p w14:paraId="471D6747"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noWrap/>
            <w:vAlign w:val="bottom"/>
            <w:hideMark/>
          </w:tcPr>
          <w:p w14:paraId="4E0FF96A"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noWrap/>
            <w:vAlign w:val="bottom"/>
            <w:hideMark/>
          </w:tcPr>
          <w:p w14:paraId="55E0438E"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noWrap/>
            <w:vAlign w:val="bottom"/>
            <w:hideMark/>
          </w:tcPr>
          <w:p w14:paraId="178C7595"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noWrap/>
            <w:vAlign w:val="bottom"/>
            <w:hideMark/>
          </w:tcPr>
          <w:p w14:paraId="02878430"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noWrap/>
            <w:vAlign w:val="bottom"/>
            <w:hideMark/>
          </w:tcPr>
          <w:p w14:paraId="23E6DB9D"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r w:rsidR="00F84773" w:rsidRPr="00D97927" w14:paraId="7B771763" w14:textId="77777777" w:rsidTr="0095468D">
        <w:trPr>
          <w:trHeight w:val="300"/>
        </w:trPr>
        <w:tc>
          <w:tcPr>
            <w:tcW w:w="606" w:type="pct"/>
            <w:tcBorders>
              <w:top w:val="nil"/>
              <w:left w:val="single" w:sz="4" w:space="0" w:color="auto"/>
              <w:bottom w:val="single" w:sz="4" w:space="0" w:color="auto"/>
              <w:right w:val="single" w:sz="4" w:space="0" w:color="auto"/>
            </w:tcBorders>
            <w:shd w:val="clear" w:color="000000" w:fill="D9D9D9"/>
            <w:vAlign w:val="bottom"/>
            <w:hideMark/>
          </w:tcPr>
          <w:p w14:paraId="5EB699AA" w14:textId="77777777" w:rsidR="009E2410" w:rsidRPr="00D97927" w:rsidRDefault="009E2410" w:rsidP="009E2410">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Wang 2015</w:t>
            </w:r>
          </w:p>
        </w:tc>
        <w:tc>
          <w:tcPr>
            <w:tcW w:w="678" w:type="pct"/>
            <w:tcBorders>
              <w:top w:val="nil"/>
              <w:left w:val="nil"/>
              <w:bottom w:val="single" w:sz="4" w:space="0" w:color="auto"/>
              <w:right w:val="single" w:sz="4" w:space="0" w:color="auto"/>
            </w:tcBorders>
            <w:shd w:val="clear" w:color="000000" w:fill="D9D9D9"/>
            <w:noWrap/>
            <w:vAlign w:val="bottom"/>
            <w:hideMark/>
          </w:tcPr>
          <w:p w14:paraId="1E3207C5"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000000" w:fill="D9D9D9"/>
            <w:noWrap/>
            <w:vAlign w:val="bottom"/>
            <w:hideMark/>
          </w:tcPr>
          <w:p w14:paraId="0060D175"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000000" w:fill="D9D9D9"/>
            <w:noWrap/>
            <w:vAlign w:val="bottom"/>
            <w:hideMark/>
          </w:tcPr>
          <w:p w14:paraId="1D503485"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000000" w:fill="D9D9D9"/>
            <w:noWrap/>
            <w:vAlign w:val="bottom"/>
            <w:hideMark/>
          </w:tcPr>
          <w:p w14:paraId="28FBA2F1"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000000" w:fill="D9D9D9"/>
            <w:noWrap/>
            <w:vAlign w:val="bottom"/>
            <w:hideMark/>
          </w:tcPr>
          <w:p w14:paraId="58A6CA7F"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000000" w:fill="D9D9D9"/>
            <w:noWrap/>
            <w:vAlign w:val="bottom"/>
            <w:hideMark/>
          </w:tcPr>
          <w:p w14:paraId="11B346E7"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000000" w:fill="D9D9D9"/>
            <w:noWrap/>
            <w:vAlign w:val="bottom"/>
            <w:hideMark/>
          </w:tcPr>
          <w:p w14:paraId="25B3BA73"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000000" w:fill="D9D9D9"/>
            <w:noWrap/>
            <w:vAlign w:val="bottom"/>
            <w:hideMark/>
          </w:tcPr>
          <w:p w14:paraId="7B049FE5"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r w:rsidR="00017D40" w:rsidRPr="00D97927" w14:paraId="7420AA2A" w14:textId="77777777" w:rsidTr="0095468D">
        <w:trPr>
          <w:trHeight w:val="300"/>
        </w:trPr>
        <w:tc>
          <w:tcPr>
            <w:tcW w:w="606" w:type="pct"/>
            <w:tcBorders>
              <w:top w:val="nil"/>
              <w:left w:val="single" w:sz="4" w:space="0" w:color="auto"/>
              <w:bottom w:val="single" w:sz="4" w:space="0" w:color="auto"/>
              <w:right w:val="single" w:sz="4" w:space="0" w:color="auto"/>
            </w:tcBorders>
            <w:shd w:val="clear" w:color="auto" w:fill="auto"/>
            <w:vAlign w:val="bottom"/>
          </w:tcPr>
          <w:p w14:paraId="7E200552" w14:textId="73D57BE1" w:rsidR="00017D40" w:rsidRPr="00D97927" w:rsidRDefault="00017D40" w:rsidP="009E2410">
            <w:pPr>
              <w:rPr>
                <w:rFonts w:ascii="Arial" w:eastAsia="Times New Roman" w:hAnsi="Arial" w:cs="Arial"/>
                <w:color w:val="000000"/>
                <w:sz w:val="18"/>
                <w:szCs w:val="18"/>
                <w:lang w:val="en-US"/>
              </w:rPr>
            </w:pPr>
            <w:r>
              <w:rPr>
                <w:rFonts w:ascii="Arial" w:eastAsia="Times New Roman" w:hAnsi="Arial" w:cs="Arial"/>
                <w:color w:val="000000"/>
                <w:sz w:val="18"/>
                <w:szCs w:val="18"/>
                <w:lang w:val="en-US"/>
              </w:rPr>
              <w:t>Wang 2023</w:t>
            </w:r>
          </w:p>
        </w:tc>
        <w:tc>
          <w:tcPr>
            <w:tcW w:w="678" w:type="pct"/>
            <w:tcBorders>
              <w:top w:val="nil"/>
              <w:left w:val="nil"/>
              <w:bottom w:val="single" w:sz="4" w:space="0" w:color="auto"/>
              <w:right w:val="single" w:sz="4" w:space="0" w:color="auto"/>
            </w:tcBorders>
            <w:shd w:val="clear" w:color="auto" w:fill="auto"/>
            <w:noWrap/>
            <w:vAlign w:val="bottom"/>
          </w:tcPr>
          <w:p w14:paraId="2D79039D" w14:textId="5FFE5CF9" w:rsidR="00017D40" w:rsidRPr="00D97927" w:rsidRDefault="00017D4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noWrap/>
            <w:vAlign w:val="bottom"/>
          </w:tcPr>
          <w:p w14:paraId="168C7C5F" w14:textId="6588970D" w:rsidR="00017D40" w:rsidRPr="00D97927" w:rsidRDefault="00017D4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noWrap/>
            <w:vAlign w:val="bottom"/>
          </w:tcPr>
          <w:p w14:paraId="268C164A" w14:textId="4417A7B6" w:rsidR="00017D40" w:rsidRPr="00D97927" w:rsidRDefault="00017D4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noWrap/>
            <w:vAlign w:val="bottom"/>
          </w:tcPr>
          <w:p w14:paraId="673FDD30" w14:textId="5A89D0B9" w:rsidR="00017D40" w:rsidRPr="00D97927" w:rsidRDefault="00017D4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noWrap/>
            <w:vAlign w:val="bottom"/>
          </w:tcPr>
          <w:p w14:paraId="18155F25" w14:textId="741940B7" w:rsidR="00017D40" w:rsidRPr="00D97927" w:rsidRDefault="00017D40"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noWrap/>
            <w:vAlign w:val="bottom"/>
          </w:tcPr>
          <w:p w14:paraId="06EFC6B7" w14:textId="05EDC2D7" w:rsidR="00017D40" w:rsidRPr="00D97927" w:rsidRDefault="00A4322C"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noWrap/>
            <w:vAlign w:val="bottom"/>
          </w:tcPr>
          <w:p w14:paraId="37A71DC4" w14:textId="0D585493" w:rsidR="00017D40" w:rsidRPr="00D97927" w:rsidRDefault="00A4322C"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noWrap/>
            <w:vAlign w:val="bottom"/>
          </w:tcPr>
          <w:p w14:paraId="212DC664" w14:textId="63B8D2F1" w:rsidR="00017D40" w:rsidRPr="00D97927" w:rsidRDefault="00A4322C" w:rsidP="009E2410">
            <w:pPr>
              <w:jc w:val="center"/>
              <w:rPr>
                <w:rFonts w:ascii="Arial" w:eastAsia="Times New Roman" w:hAnsi="Arial" w:cs="Arial"/>
                <w:color w:val="000000"/>
                <w:sz w:val="18"/>
                <w:szCs w:val="18"/>
                <w:lang w:val="en-US"/>
              </w:rPr>
            </w:pPr>
            <w:r>
              <w:rPr>
                <w:rFonts w:ascii="Arial" w:eastAsia="Times New Roman" w:hAnsi="Arial" w:cs="Arial"/>
                <w:color w:val="000000"/>
                <w:sz w:val="18"/>
                <w:szCs w:val="18"/>
                <w:lang w:val="en-US"/>
              </w:rPr>
              <w:t>4</w:t>
            </w:r>
          </w:p>
        </w:tc>
      </w:tr>
      <w:tr w:rsidR="00F84773" w:rsidRPr="00D97927" w14:paraId="3759720F" w14:textId="77777777" w:rsidTr="0095468D">
        <w:trPr>
          <w:trHeight w:val="300"/>
        </w:trPr>
        <w:tc>
          <w:tcPr>
            <w:tcW w:w="606" w:type="pct"/>
            <w:tcBorders>
              <w:top w:val="nil"/>
              <w:left w:val="single" w:sz="4" w:space="0" w:color="auto"/>
              <w:bottom w:val="single" w:sz="4" w:space="0" w:color="auto"/>
              <w:right w:val="single" w:sz="4" w:space="0" w:color="auto"/>
            </w:tcBorders>
            <w:shd w:val="clear" w:color="auto" w:fill="auto"/>
            <w:vAlign w:val="bottom"/>
            <w:hideMark/>
          </w:tcPr>
          <w:p w14:paraId="22C93344" w14:textId="77777777" w:rsidR="009E2410" w:rsidRPr="00D97927" w:rsidRDefault="009E2410" w:rsidP="009E2410">
            <w:pP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Zheng 2022</w:t>
            </w:r>
          </w:p>
        </w:tc>
        <w:tc>
          <w:tcPr>
            <w:tcW w:w="678" w:type="pct"/>
            <w:tcBorders>
              <w:top w:val="nil"/>
              <w:left w:val="nil"/>
              <w:bottom w:val="single" w:sz="4" w:space="0" w:color="auto"/>
              <w:right w:val="single" w:sz="4" w:space="0" w:color="auto"/>
            </w:tcBorders>
            <w:shd w:val="clear" w:color="auto" w:fill="auto"/>
            <w:noWrap/>
            <w:vAlign w:val="bottom"/>
            <w:hideMark/>
          </w:tcPr>
          <w:p w14:paraId="1BC08CC0"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15" w:type="pct"/>
            <w:tcBorders>
              <w:top w:val="nil"/>
              <w:left w:val="nil"/>
              <w:bottom w:val="single" w:sz="4" w:space="0" w:color="auto"/>
              <w:right w:val="single" w:sz="4" w:space="0" w:color="auto"/>
            </w:tcBorders>
            <w:shd w:val="clear" w:color="auto" w:fill="auto"/>
            <w:noWrap/>
            <w:vAlign w:val="bottom"/>
            <w:hideMark/>
          </w:tcPr>
          <w:p w14:paraId="44E45B72"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624" w:type="pct"/>
            <w:tcBorders>
              <w:top w:val="nil"/>
              <w:left w:val="nil"/>
              <w:bottom w:val="single" w:sz="4" w:space="0" w:color="auto"/>
              <w:right w:val="single" w:sz="4" w:space="0" w:color="auto"/>
            </w:tcBorders>
            <w:shd w:val="clear" w:color="auto" w:fill="auto"/>
            <w:noWrap/>
            <w:vAlign w:val="bottom"/>
            <w:hideMark/>
          </w:tcPr>
          <w:p w14:paraId="0794F903"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703" w:type="pct"/>
            <w:tcBorders>
              <w:top w:val="nil"/>
              <w:left w:val="nil"/>
              <w:bottom w:val="single" w:sz="4" w:space="0" w:color="auto"/>
              <w:right w:val="single" w:sz="4" w:space="0" w:color="auto"/>
            </w:tcBorders>
            <w:shd w:val="clear" w:color="auto" w:fill="auto"/>
            <w:noWrap/>
            <w:vAlign w:val="bottom"/>
            <w:hideMark/>
          </w:tcPr>
          <w:p w14:paraId="79219E56"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77" w:type="pct"/>
            <w:tcBorders>
              <w:top w:val="nil"/>
              <w:left w:val="nil"/>
              <w:bottom w:val="single" w:sz="4" w:space="0" w:color="auto"/>
              <w:right w:val="single" w:sz="4" w:space="0" w:color="auto"/>
            </w:tcBorders>
            <w:shd w:val="clear" w:color="auto" w:fill="auto"/>
            <w:noWrap/>
            <w:vAlign w:val="bottom"/>
            <w:hideMark/>
          </w:tcPr>
          <w:p w14:paraId="19C43691"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546" w:type="pct"/>
            <w:tcBorders>
              <w:top w:val="nil"/>
              <w:left w:val="nil"/>
              <w:bottom w:val="single" w:sz="4" w:space="0" w:color="auto"/>
              <w:right w:val="single" w:sz="4" w:space="0" w:color="auto"/>
            </w:tcBorders>
            <w:shd w:val="clear" w:color="auto" w:fill="auto"/>
            <w:noWrap/>
            <w:vAlign w:val="bottom"/>
            <w:hideMark/>
          </w:tcPr>
          <w:p w14:paraId="176E0CC1"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456" w:type="pct"/>
            <w:tcBorders>
              <w:top w:val="nil"/>
              <w:left w:val="nil"/>
              <w:bottom w:val="single" w:sz="4" w:space="0" w:color="auto"/>
              <w:right w:val="single" w:sz="4" w:space="0" w:color="auto"/>
            </w:tcBorders>
            <w:shd w:val="clear" w:color="auto" w:fill="auto"/>
            <w:noWrap/>
            <w:vAlign w:val="bottom"/>
            <w:hideMark/>
          </w:tcPr>
          <w:p w14:paraId="73EC04CD"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w:t>
            </w:r>
          </w:p>
        </w:tc>
        <w:tc>
          <w:tcPr>
            <w:tcW w:w="296" w:type="pct"/>
            <w:tcBorders>
              <w:top w:val="nil"/>
              <w:left w:val="nil"/>
              <w:bottom w:val="single" w:sz="4" w:space="0" w:color="auto"/>
              <w:right w:val="single" w:sz="4" w:space="0" w:color="auto"/>
            </w:tcBorders>
            <w:shd w:val="clear" w:color="auto" w:fill="auto"/>
            <w:noWrap/>
            <w:vAlign w:val="bottom"/>
            <w:hideMark/>
          </w:tcPr>
          <w:p w14:paraId="4081319F" w14:textId="77777777" w:rsidR="009E2410" w:rsidRPr="00D97927" w:rsidRDefault="009E2410" w:rsidP="009E2410">
            <w:pPr>
              <w:jc w:val="center"/>
              <w:rPr>
                <w:rFonts w:ascii="Arial" w:eastAsia="Times New Roman" w:hAnsi="Arial" w:cs="Arial"/>
                <w:color w:val="000000"/>
                <w:sz w:val="18"/>
                <w:szCs w:val="18"/>
                <w:lang w:val="en-US"/>
              </w:rPr>
            </w:pPr>
            <w:r w:rsidRPr="00D97927">
              <w:rPr>
                <w:rFonts w:ascii="Arial" w:eastAsia="Times New Roman" w:hAnsi="Arial" w:cs="Arial"/>
                <w:color w:val="000000"/>
                <w:sz w:val="18"/>
                <w:szCs w:val="18"/>
                <w:lang w:val="en-US"/>
              </w:rPr>
              <w:t>5</w:t>
            </w:r>
          </w:p>
        </w:tc>
      </w:tr>
    </w:tbl>
    <w:p w14:paraId="7D79865B" w14:textId="77777777" w:rsidR="00D71129" w:rsidRPr="00D97927" w:rsidRDefault="00D71129" w:rsidP="00D71129">
      <w:pPr>
        <w:rPr>
          <w:rFonts w:ascii="Arial" w:hAnsi="Arial" w:cs="Arial"/>
          <w:b/>
          <w:sz w:val="18"/>
          <w:szCs w:val="18"/>
        </w:rPr>
      </w:pPr>
    </w:p>
    <w:p w14:paraId="3A245A41" w14:textId="77777777" w:rsidR="00D71129" w:rsidRPr="00D97927" w:rsidRDefault="00D71129" w:rsidP="00D71129">
      <w:pPr>
        <w:rPr>
          <w:rFonts w:ascii="Arial" w:hAnsi="Arial" w:cs="Arial"/>
          <w:b/>
          <w:sz w:val="18"/>
          <w:szCs w:val="18"/>
        </w:rPr>
      </w:pPr>
    </w:p>
    <w:p w14:paraId="1FA73992" w14:textId="77777777" w:rsidR="00D71129" w:rsidRPr="00D97927" w:rsidRDefault="00D71129" w:rsidP="00D71129">
      <w:pPr>
        <w:rPr>
          <w:rFonts w:ascii="Arial" w:hAnsi="Arial" w:cs="Arial"/>
          <w:b/>
          <w:sz w:val="18"/>
          <w:szCs w:val="18"/>
        </w:rPr>
      </w:pPr>
    </w:p>
    <w:p w14:paraId="2D86EB54" w14:textId="5535D6EA" w:rsidR="00D71129" w:rsidRDefault="00D71129" w:rsidP="00D71129">
      <w:pPr>
        <w:rPr>
          <w:rFonts w:ascii="Arial" w:hAnsi="Arial" w:cs="Arial"/>
          <w:b/>
          <w:sz w:val="22"/>
          <w:szCs w:val="22"/>
        </w:rPr>
      </w:pPr>
    </w:p>
    <w:sectPr w:rsidR="00D71129" w:rsidSect="005812E1">
      <w:footerReference w:type="even" r:id="rId9"/>
      <w:footerReference w:type="default" r:id="rId10"/>
      <w:pgSz w:w="12240" w:h="15840"/>
      <w:pgMar w:top="720" w:right="720" w:bottom="720" w:left="720" w:header="708" w:footer="708" w:gutter="0"/>
      <w:lnNumType w:countBy="1" w:restart="continuou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1F924" w14:textId="77777777" w:rsidR="0052772E" w:rsidRDefault="0052772E" w:rsidP="002B6C71">
      <w:r>
        <w:separator/>
      </w:r>
    </w:p>
  </w:endnote>
  <w:endnote w:type="continuationSeparator" w:id="0">
    <w:p w14:paraId="7C2820C3" w14:textId="77777777" w:rsidR="0052772E" w:rsidRDefault="0052772E" w:rsidP="002B6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4990265"/>
      <w:docPartObj>
        <w:docPartGallery w:val="Page Numbers (Bottom of Page)"/>
        <w:docPartUnique/>
      </w:docPartObj>
    </w:sdtPr>
    <w:sdtEndPr>
      <w:rPr>
        <w:rStyle w:val="PageNumber"/>
      </w:rPr>
    </w:sdtEndPr>
    <w:sdtContent>
      <w:p w14:paraId="49153A7D" w14:textId="78C57872" w:rsidR="000219B1" w:rsidRDefault="000219B1" w:rsidP="009F07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7971F3" w14:textId="77777777" w:rsidR="000219B1" w:rsidRDefault="000219B1" w:rsidP="002B6C7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6113322"/>
      <w:docPartObj>
        <w:docPartGallery w:val="Page Numbers (Bottom of Page)"/>
        <w:docPartUnique/>
      </w:docPartObj>
    </w:sdtPr>
    <w:sdtEndPr>
      <w:rPr>
        <w:rStyle w:val="PageNumber"/>
      </w:rPr>
    </w:sdtEndPr>
    <w:sdtContent>
      <w:p w14:paraId="47035750" w14:textId="408DE8C0" w:rsidR="000219B1" w:rsidRDefault="000219B1" w:rsidP="001B10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0844089B" w14:textId="77777777" w:rsidR="000219B1" w:rsidRDefault="000219B1" w:rsidP="002B6C7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A529D" w14:textId="77777777" w:rsidR="0052772E" w:rsidRDefault="0052772E" w:rsidP="002B6C71">
      <w:r>
        <w:separator/>
      </w:r>
    </w:p>
  </w:footnote>
  <w:footnote w:type="continuationSeparator" w:id="0">
    <w:p w14:paraId="7D8D4DE9" w14:textId="77777777" w:rsidR="0052772E" w:rsidRDefault="0052772E" w:rsidP="002B6C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682"/>
    <w:multiLevelType w:val="multilevel"/>
    <w:tmpl w:val="6E0AE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E0A38"/>
    <w:multiLevelType w:val="hybridMultilevel"/>
    <w:tmpl w:val="5BB6B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D32BD6"/>
    <w:multiLevelType w:val="hybridMultilevel"/>
    <w:tmpl w:val="CA70B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2448211">
    <w:abstractNumId w:val="1"/>
  </w:num>
  <w:num w:numId="2" w16cid:durableId="1885174211">
    <w:abstractNumId w:val="2"/>
  </w:num>
  <w:num w:numId="3" w16cid:durableId="1573739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6DD"/>
    <w:rsid w:val="00004172"/>
    <w:rsid w:val="00010EAD"/>
    <w:rsid w:val="00010F05"/>
    <w:rsid w:val="00014DF2"/>
    <w:rsid w:val="00016FB1"/>
    <w:rsid w:val="0001705C"/>
    <w:rsid w:val="00017D40"/>
    <w:rsid w:val="000219B1"/>
    <w:rsid w:val="0002620F"/>
    <w:rsid w:val="00037AB0"/>
    <w:rsid w:val="000459C9"/>
    <w:rsid w:val="0004710D"/>
    <w:rsid w:val="00047270"/>
    <w:rsid w:val="00051C47"/>
    <w:rsid w:val="0005352F"/>
    <w:rsid w:val="00055976"/>
    <w:rsid w:val="0005752F"/>
    <w:rsid w:val="0006172F"/>
    <w:rsid w:val="00062596"/>
    <w:rsid w:val="00065121"/>
    <w:rsid w:val="00067346"/>
    <w:rsid w:val="00067E1B"/>
    <w:rsid w:val="00071CB5"/>
    <w:rsid w:val="000814DB"/>
    <w:rsid w:val="0008240E"/>
    <w:rsid w:val="000827D1"/>
    <w:rsid w:val="00084E00"/>
    <w:rsid w:val="00086A29"/>
    <w:rsid w:val="000903B2"/>
    <w:rsid w:val="0009066E"/>
    <w:rsid w:val="00092641"/>
    <w:rsid w:val="0009697A"/>
    <w:rsid w:val="00097132"/>
    <w:rsid w:val="000A0D55"/>
    <w:rsid w:val="000A38BC"/>
    <w:rsid w:val="000A5E06"/>
    <w:rsid w:val="000A6605"/>
    <w:rsid w:val="000B1444"/>
    <w:rsid w:val="000B1C1F"/>
    <w:rsid w:val="000B2CAF"/>
    <w:rsid w:val="000C0D44"/>
    <w:rsid w:val="000C2759"/>
    <w:rsid w:val="000C53C8"/>
    <w:rsid w:val="000E1606"/>
    <w:rsid w:val="000E1FC2"/>
    <w:rsid w:val="000E59C4"/>
    <w:rsid w:val="000E6BE7"/>
    <w:rsid w:val="000E7772"/>
    <w:rsid w:val="000F632C"/>
    <w:rsid w:val="00100C57"/>
    <w:rsid w:val="00104486"/>
    <w:rsid w:val="00106866"/>
    <w:rsid w:val="00114822"/>
    <w:rsid w:val="00121B05"/>
    <w:rsid w:val="001243F3"/>
    <w:rsid w:val="0013182D"/>
    <w:rsid w:val="00133C22"/>
    <w:rsid w:val="00146851"/>
    <w:rsid w:val="001512FB"/>
    <w:rsid w:val="00152BFC"/>
    <w:rsid w:val="001555F8"/>
    <w:rsid w:val="00156D45"/>
    <w:rsid w:val="00157212"/>
    <w:rsid w:val="0015796D"/>
    <w:rsid w:val="00162BB4"/>
    <w:rsid w:val="00163CED"/>
    <w:rsid w:val="0017539C"/>
    <w:rsid w:val="001775A7"/>
    <w:rsid w:val="00193662"/>
    <w:rsid w:val="001A0705"/>
    <w:rsid w:val="001A345F"/>
    <w:rsid w:val="001A3A32"/>
    <w:rsid w:val="001A3A68"/>
    <w:rsid w:val="001A47F1"/>
    <w:rsid w:val="001B1049"/>
    <w:rsid w:val="001B784D"/>
    <w:rsid w:val="001C2354"/>
    <w:rsid w:val="001C4E2B"/>
    <w:rsid w:val="001D2EC3"/>
    <w:rsid w:val="001D4AAF"/>
    <w:rsid w:val="001D553C"/>
    <w:rsid w:val="001D6C50"/>
    <w:rsid w:val="001D7B97"/>
    <w:rsid w:val="001E0795"/>
    <w:rsid w:val="001E2FFD"/>
    <w:rsid w:val="001E7F42"/>
    <w:rsid w:val="001F1EED"/>
    <w:rsid w:val="00201CF1"/>
    <w:rsid w:val="00203F92"/>
    <w:rsid w:val="00214726"/>
    <w:rsid w:val="00221505"/>
    <w:rsid w:val="00221626"/>
    <w:rsid w:val="00221722"/>
    <w:rsid w:val="00221A98"/>
    <w:rsid w:val="002350F8"/>
    <w:rsid w:val="00240501"/>
    <w:rsid w:val="00241736"/>
    <w:rsid w:val="00243A44"/>
    <w:rsid w:val="00245CFF"/>
    <w:rsid w:val="0024702B"/>
    <w:rsid w:val="002472CA"/>
    <w:rsid w:val="00250877"/>
    <w:rsid w:val="00250FC0"/>
    <w:rsid w:val="00251889"/>
    <w:rsid w:val="002520D7"/>
    <w:rsid w:val="00255508"/>
    <w:rsid w:val="00261E26"/>
    <w:rsid w:val="0027181D"/>
    <w:rsid w:val="00274DA2"/>
    <w:rsid w:val="00277439"/>
    <w:rsid w:val="00283A8A"/>
    <w:rsid w:val="00286493"/>
    <w:rsid w:val="002A4D9C"/>
    <w:rsid w:val="002B1F15"/>
    <w:rsid w:val="002B4910"/>
    <w:rsid w:val="002B563E"/>
    <w:rsid w:val="002B565F"/>
    <w:rsid w:val="002B6C71"/>
    <w:rsid w:val="002C28E0"/>
    <w:rsid w:val="002C2CCB"/>
    <w:rsid w:val="002C76DD"/>
    <w:rsid w:val="002D03ED"/>
    <w:rsid w:val="002D13CB"/>
    <w:rsid w:val="002D42FD"/>
    <w:rsid w:val="002D58AC"/>
    <w:rsid w:val="002E3F11"/>
    <w:rsid w:val="002E55A5"/>
    <w:rsid w:val="002F0B46"/>
    <w:rsid w:val="002F4873"/>
    <w:rsid w:val="00300BF6"/>
    <w:rsid w:val="003078C6"/>
    <w:rsid w:val="003170D5"/>
    <w:rsid w:val="00325800"/>
    <w:rsid w:val="00326ADD"/>
    <w:rsid w:val="00327C65"/>
    <w:rsid w:val="00332E70"/>
    <w:rsid w:val="003342E3"/>
    <w:rsid w:val="003539F5"/>
    <w:rsid w:val="0035433C"/>
    <w:rsid w:val="0035490E"/>
    <w:rsid w:val="0036431A"/>
    <w:rsid w:val="003655B4"/>
    <w:rsid w:val="0036749E"/>
    <w:rsid w:val="003710AA"/>
    <w:rsid w:val="003716A2"/>
    <w:rsid w:val="00372849"/>
    <w:rsid w:val="00372D46"/>
    <w:rsid w:val="003819FD"/>
    <w:rsid w:val="00386C8F"/>
    <w:rsid w:val="00390AAA"/>
    <w:rsid w:val="0039196B"/>
    <w:rsid w:val="00391D13"/>
    <w:rsid w:val="00392CED"/>
    <w:rsid w:val="00397EAE"/>
    <w:rsid w:val="003A1D3A"/>
    <w:rsid w:val="003A3628"/>
    <w:rsid w:val="003A4BA4"/>
    <w:rsid w:val="003B036A"/>
    <w:rsid w:val="003B5078"/>
    <w:rsid w:val="003B6842"/>
    <w:rsid w:val="003B7BF4"/>
    <w:rsid w:val="003C0A6C"/>
    <w:rsid w:val="003C0C87"/>
    <w:rsid w:val="003C39F6"/>
    <w:rsid w:val="003C4E25"/>
    <w:rsid w:val="003C71EC"/>
    <w:rsid w:val="003C7CC2"/>
    <w:rsid w:val="003D0ED1"/>
    <w:rsid w:val="003D0F91"/>
    <w:rsid w:val="003D1934"/>
    <w:rsid w:val="003D412E"/>
    <w:rsid w:val="003F3B49"/>
    <w:rsid w:val="003F5D58"/>
    <w:rsid w:val="003F6062"/>
    <w:rsid w:val="003F64DD"/>
    <w:rsid w:val="003F76C6"/>
    <w:rsid w:val="004009A2"/>
    <w:rsid w:val="00404E01"/>
    <w:rsid w:val="00411E27"/>
    <w:rsid w:val="0041487F"/>
    <w:rsid w:val="00414933"/>
    <w:rsid w:val="0043377F"/>
    <w:rsid w:val="00434A01"/>
    <w:rsid w:val="00435842"/>
    <w:rsid w:val="00436190"/>
    <w:rsid w:val="004433EB"/>
    <w:rsid w:val="004470A5"/>
    <w:rsid w:val="00451AAF"/>
    <w:rsid w:val="00452DC1"/>
    <w:rsid w:val="00454326"/>
    <w:rsid w:val="004558C6"/>
    <w:rsid w:val="00455ED3"/>
    <w:rsid w:val="00457A7E"/>
    <w:rsid w:val="00463959"/>
    <w:rsid w:val="0046489A"/>
    <w:rsid w:val="004653DB"/>
    <w:rsid w:val="00465E41"/>
    <w:rsid w:val="00471FF8"/>
    <w:rsid w:val="00474EE8"/>
    <w:rsid w:val="00481873"/>
    <w:rsid w:val="00481A16"/>
    <w:rsid w:val="00491A55"/>
    <w:rsid w:val="00496401"/>
    <w:rsid w:val="004A6671"/>
    <w:rsid w:val="004A7C3F"/>
    <w:rsid w:val="004B165B"/>
    <w:rsid w:val="004B263F"/>
    <w:rsid w:val="004B36FA"/>
    <w:rsid w:val="004B3E83"/>
    <w:rsid w:val="004B4B81"/>
    <w:rsid w:val="004B58C3"/>
    <w:rsid w:val="004C54D8"/>
    <w:rsid w:val="004C6966"/>
    <w:rsid w:val="004C7A2E"/>
    <w:rsid w:val="004D2F06"/>
    <w:rsid w:val="004D301A"/>
    <w:rsid w:val="004D3FD3"/>
    <w:rsid w:val="004D4E08"/>
    <w:rsid w:val="004E47B4"/>
    <w:rsid w:val="004F0C5B"/>
    <w:rsid w:val="004F356F"/>
    <w:rsid w:val="00500939"/>
    <w:rsid w:val="005041F3"/>
    <w:rsid w:val="0051025F"/>
    <w:rsid w:val="0052251B"/>
    <w:rsid w:val="00522ECC"/>
    <w:rsid w:val="0052772E"/>
    <w:rsid w:val="00533C54"/>
    <w:rsid w:val="00533F05"/>
    <w:rsid w:val="00540DF8"/>
    <w:rsid w:val="00541970"/>
    <w:rsid w:val="00542B27"/>
    <w:rsid w:val="0054452F"/>
    <w:rsid w:val="0054710E"/>
    <w:rsid w:val="005512CC"/>
    <w:rsid w:val="00552E93"/>
    <w:rsid w:val="005551DD"/>
    <w:rsid w:val="00563203"/>
    <w:rsid w:val="00563855"/>
    <w:rsid w:val="00564ABB"/>
    <w:rsid w:val="0057106F"/>
    <w:rsid w:val="005711DB"/>
    <w:rsid w:val="00571B7B"/>
    <w:rsid w:val="005737A4"/>
    <w:rsid w:val="00573E9F"/>
    <w:rsid w:val="00574858"/>
    <w:rsid w:val="005763CC"/>
    <w:rsid w:val="005812E1"/>
    <w:rsid w:val="00592547"/>
    <w:rsid w:val="00596373"/>
    <w:rsid w:val="005A044B"/>
    <w:rsid w:val="005A0EF9"/>
    <w:rsid w:val="005A12A5"/>
    <w:rsid w:val="005A1BBF"/>
    <w:rsid w:val="005A251A"/>
    <w:rsid w:val="005A2FCD"/>
    <w:rsid w:val="005A714A"/>
    <w:rsid w:val="005B1299"/>
    <w:rsid w:val="005B5C56"/>
    <w:rsid w:val="005B5D18"/>
    <w:rsid w:val="005B6488"/>
    <w:rsid w:val="005C06A8"/>
    <w:rsid w:val="005C0761"/>
    <w:rsid w:val="005C119B"/>
    <w:rsid w:val="005C4CA1"/>
    <w:rsid w:val="005D0E60"/>
    <w:rsid w:val="005D2881"/>
    <w:rsid w:val="005D297C"/>
    <w:rsid w:val="005E315E"/>
    <w:rsid w:val="005E3D34"/>
    <w:rsid w:val="005F0D65"/>
    <w:rsid w:val="005F65FE"/>
    <w:rsid w:val="005F7E2B"/>
    <w:rsid w:val="005F7FB5"/>
    <w:rsid w:val="00602D94"/>
    <w:rsid w:val="0060340A"/>
    <w:rsid w:val="0060388A"/>
    <w:rsid w:val="00605CB0"/>
    <w:rsid w:val="00606C2F"/>
    <w:rsid w:val="0061087D"/>
    <w:rsid w:val="00612729"/>
    <w:rsid w:val="00615D3F"/>
    <w:rsid w:val="00623AA8"/>
    <w:rsid w:val="006339F3"/>
    <w:rsid w:val="0064392F"/>
    <w:rsid w:val="00644C6D"/>
    <w:rsid w:val="00661EF5"/>
    <w:rsid w:val="00661FF2"/>
    <w:rsid w:val="00664ACF"/>
    <w:rsid w:val="00665B37"/>
    <w:rsid w:val="0067241D"/>
    <w:rsid w:val="006779FB"/>
    <w:rsid w:val="00680C9D"/>
    <w:rsid w:val="006812C0"/>
    <w:rsid w:val="00681340"/>
    <w:rsid w:val="00682D82"/>
    <w:rsid w:val="00684CDB"/>
    <w:rsid w:val="00685364"/>
    <w:rsid w:val="006866F8"/>
    <w:rsid w:val="006922F7"/>
    <w:rsid w:val="00692C99"/>
    <w:rsid w:val="00697F38"/>
    <w:rsid w:val="006A58CA"/>
    <w:rsid w:val="006B6842"/>
    <w:rsid w:val="006C4377"/>
    <w:rsid w:val="006C4536"/>
    <w:rsid w:val="006C683E"/>
    <w:rsid w:val="006C6D77"/>
    <w:rsid w:val="006D1BCA"/>
    <w:rsid w:val="006D37D5"/>
    <w:rsid w:val="006D6E4D"/>
    <w:rsid w:val="006E102A"/>
    <w:rsid w:val="006E3353"/>
    <w:rsid w:val="006E5C9D"/>
    <w:rsid w:val="006E7A4C"/>
    <w:rsid w:val="006F3183"/>
    <w:rsid w:val="00703BD2"/>
    <w:rsid w:val="00704DEB"/>
    <w:rsid w:val="00706121"/>
    <w:rsid w:val="00706936"/>
    <w:rsid w:val="00706DB9"/>
    <w:rsid w:val="0070731B"/>
    <w:rsid w:val="00712EF8"/>
    <w:rsid w:val="00713535"/>
    <w:rsid w:val="00715B97"/>
    <w:rsid w:val="007164B1"/>
    <w:rsid w:val="00716A59"/>
    <w:rsid w:val="0072085E"/>
    <w:rsid w:val="00722BE3"/>
    <w:rsid w:val="00725A73"/>
    <w:rsid w:val="0073161F"/>
    <w:rsid w:val="00731BD7"/>
    <w:rsid w:val="007353B9"/>
    <w:rsid w:val="00742BA6"/>
    <w:rsid w:val="0074398E"/>
    <w:rsid w:val="007514F4"/>
    <w:rsid w:val="00753AB8"/>
    <w:rsid w:val="007579B4"/>
    <w:rsid w:val="007625FF"/>
    <w:rsid w:val="00765472"/>
    <w:rsid w:val="007656EF"/>
    <w:rsid w:val="00765A17"/>
    <w:rsid w:val="00765B5B"/>
    <w:rsid w:val="00775E7D"/>
    <w:rsid w:val="00783A6C"/>
    <w:rsid w:val="00785C30"/>
    <w:rsid w:val="0078700F"/>
    <w:rsid w:val="00791BC2"/>
    <w:rsid w:val="00794817"/>
    <w:rsid w:val="00795B69"/>
    <w:rsid w:val="007A78BE"/>
    <w:rsid w:val="007B22DB"/>
    <w:rsid w:val="007B25D1"/>
    <w:rsid w:val="007B3174"/>
    <w:rsid w:val="007B6B4D"/>
    <w:rsid w:val="007C5B71"/>
    <w:rsid w:val="007D1FCB"/>
    <w:rsid w:val="007D2888"/>
    <w:rsid w:val="007D2DAA"/>
    <w:rsid w:val="007D30F6"/>
    <w:rsid w:val="007E0684"/>
    <w:rsid w:val="007E077A"/>
    <w:rsid w:val="007E25E5"/>
    <w:rsid w:val="007E31F2"/>
    <w:rsid w:val="007E7B83"/>
    <w:rsid w:val="007F2EBE"/>
    <w:rsid w:val="007F38EA"/>
    <w:rsid w:val="007F3F89"/>
    <w:rsid w:val="00800A5A"/>
    <w:rsid w:val="00806B0F"/>
    <w:rsid w:val="0081046B"/>
    <w:rsid w:val="00813EB7"/>
    <w:rsid w:val="008153F4"/>
    <w:rsid w:val="00816075"/>
    <w:rsid w:val="00820A8A"/>
    <w:rsid w:val="00832682"/>
    <w:rsid w:val="008408BE"/>
    <w:rsid w:val="008423D4"/>
    <w:rsid w:val="00844D14"/>
    <w:rsid w:val="008456B1"/>
    <w:rsid w:val="00851F29"/>
    <w:rsid w:val="008538DE"/>
    <w:rsid w:val="008621C9"/>
    <w:rsid w:val="00875729"/>
    <w:rsid w:val="00886DA7"/>
    <w:rsid w:val="008918E3"/>
    <w:rsid w:val="008A134A"/>
    <w:rsid w:val="008A4CDA"/>
    <w:rsid w:val="008A6971"/>
    <w:rsid w:val="008A7372"/>
    <w:rsid w:val="008A7D78"/>
    <w:rsid w:val="008B6D57"/>
    <w:rsid w:val="008C1C2E"/>
    <w:rsid w:val="008C3637"/>
    <w:rsid w:val="008D6467"/>
    <w:rsid w:val="008D739D"/>
    <w:rsid w:val="008E0DC1"/>
    <w:rsid w:val="008E2B2E"/>
    <w:rsid w:val="008E3131"/>
    <w:rsid w:val="008E6283"/>
    <w:rsid w:val="008F1CA0"/>
    <w:rsid w:val="008F32A1"/>
    <w:rsid w:val="009028A8"/>
    <w:rsid w:val="00903B59"/>
    <w:rsid w:val="00906F9A"/>
    <w:rsid w:val="00907FB0"/>
    <w:rsid w:val="0091300B"/>
    <w:rsid w:val="00913E59"/>
    <w:rsid w:val="00915725"/>
    <w:rsid w:val="009164E7"/>
    <w:rsid w:val="00916EAC"/>
    <w:rsid w:val="0092700A"/>
    <w:rsid w:val="00930E46"/>
    <w:rsid w:val="0093202C"/>
    <w:rsid w:val="0093334F"/>
    <w:rsid w:val="00940A04"/>
    <w:rsid w:val="0094123D"/>
    <w:rsid w:val="00942204"/>
    <w:rsid w:val="00942A33"/>
    <w:rsid w:val="00943EEA"/>
    <w:rsid w:val="009459CC"/>
    <w:rsid w:val="00945B7A"/>
    <w:rsid w:val="0095468D"/>
    <w:rsid w:val="009605C7"/>
    <w:rsid w:val="00961D8C"/>
    <w:rsid w:val="00961F4F"/>
    <w:rsid w:val="0096455F"/>
    <w:rsid w:val="00966DDD"/>
    <w:rsid w:val="00967188"/>
    <w:rsid w:val="00973922"/>
    <w:rsid w:val="00993202"/>
    <w:rsid w:val="009974F0"/>
    <w:rsid w:val="009A1751"/>
    <w:rsid w:val="009A29FB"/>
    <w:rsid w:val="009A7FB4"/>
    <w:rsid w:val="009C1214"/>
    <w:rsid w:val="009C1424"/>
    <w:rsid w:val="009C1817"/>
    <w:rsid w:val="009C2212"/>
    <w:rsid w:val="009C6954"/>
    <w:rsid w:val="009D24F4"/>
    <w:rsid w:val="009D33C1"/>
    <w:rsid w:val="009D609E"/>
    <w:rsid w:val="009D6994"/>
    <w:rsid w:val="009D6AA9"/>
    <w:rsid w:val="009E1771"/>
    <w:rsid w:val="009E2410"/>
    <w:rsid w:val="009E5B94"/>
    <w:rsid w:val="009F07D1"/>
    <w:rsid w:val="009F46C1"/>
    <w:rsid w:val="009F55DB"/>
    <w:rsid w:val="00A05D87"/>
    <w:rsid w:val="00A0720A"/>
    <w:rsid w:val="00A137A1"/>
    <w:rsid w:val="00A15863"/>
    <w:rsid w:val="00A17E14"/>
    <w:rsid w:val="00A214B8"/>
    <w:rsid w:val="00A21C5F"/>
    <w:rsid w:val="00A31A6F"/>
    <w:rsid w:val="00A4322C"/>
    <w:rsid w:val="00A4352E"/>
    <w:rsid w:val="00A437D5"/>
    <w:rsid w:val="00A451A7"/>
    <w:rsid w:val="00A46FDB"/>
    <w:rsid w:val="00A52883"/>
    <w:rsid w:val="00A553E0"/>
    <w:rsid w:val="00A5779C"/>
    <w:rsid w:val="00A577B4"/>
    <w:rsid w:val="00A646CD"/>
    <w:rsid w:val="00A711EA"/>
    <w:rsid w:val="00A7180F"/>
    <w:rsid w:val="00A73573"/>
    <w:rsid w:val="00A76188"/>
    <w:rsid w:val="00A81141"/>
    <w:rsid w:val="00A81EF0"/>
    <w:rsid w:val="00A85446"/>
    <w:rsid w:val="00A86179"/>
    <w:rsid w:val="00A922C2"/>
    <w:rsid w:val="00A95F11"/>
    <w:rsid w:val="00A962D8"/>
    <w:rsid w:val="00AA3C8F"/>
    <w:rsid w:val="00AA5835"/>
    <w:rsid w:val="00AA6830"/>
    <w:rsid w:val="00AA6A91"/>
    <w:rsid w:val="00AB22E4"/>
    <w:rsid w:val="00AB4BAB"/>
    <w:rsid w:val="00AC20FC"/>
    <w:rsid w:val="00AC50D3"/>
    <w:rsid w:val="00AD2B70"/>
    <w:rsid w:val="00AD5119"/>
    <w:rsid w:val="00AD588E"/>
    <w:rsid w:val="00AD5928"/>
    <w:rsid w:val="00AD7773"/>
    <w:rsid w:val="00AE0D4B"/>
    <w:rsid w:val="00AE3DDF"/>
    <w:rsid w:val="00AE68CB"/>
    <w:rsid w:val="00AE6D28"/>
    <w:rsid w:val="00AF2816"/>
    <w:rsid w:val="00B0258D"/>
    <w:rsid w:val="00B030B9"/>
    <w:rsid w:val="00B06478"/>
    <w:rsid w:val="00B1454A"/>
    <w:rsid w:val="00B178BA"/>
    <w:rsid w:val="00B17AC1"/>
    <w:rsid w:val="00B20228"/>
    <w:rsid w:val="00B22758"/>
    <w:rsid w:val="00B24553"/>
    <w:rsid w:val="00B24860"/>
    <w:rsid w:val="00B30E98"/>
    <w:rsid w:val="00B4303B"/>
    <w:rsid w:val="00B47B14"/>
    <w:rsid w:val="00B53949"/>
    <w:rsid w:val="00B56110"/>
    <w:rsid w:val="00B61FB3"/>
    <w:rsid w:val="00B624AB"/>
    <w:rsid w:val="00B7138B"/>
    <w:rsid w:val="00B76C0D"/>
    <w:rsid w:val="00B807AB"/>
    <w:rsid w:val="00B82223"/>
    <w:rsid w:val="00B8472B"/>
    <w:rsid w:val="00B85719"/>
    <w:rsid w:val="00B87403"/>
    <w:rsid w:val="00B87D10"/>
    <w:rsid w:val="00B95809"/>
    <w:rsid w:val="00BA04A8"/>
    <w:rsid w:val="00BA0A62"/>
    <w:rsid w:val="00BA211A"/>
    <w:rsid w:val="00BA7BF7"/>
    <w:rsid w:val="00BB22C6"/>
    <w:rsid w:val="00BB4E66"/>
    <w:rsid w:val="00BB4F09"/>
    <w:rsid w:val="00BC29D4"/>
    <w:rsid w:val="00BC4953"/>
    <w:rsid w:val="00BD1B30"/>
    <w:rsid w:val="00BD250F"/>
    <w:rsid w:val="00BD2632"/>
    <w:rsid w:val="00BD445D"/>
    <w:rsid w:val="00BD4B27"/>
    <w:rsid w:val="00BD5685"/>
    <w:rsid w:val="00BE0E84"/>
    <w:rsid w:val="00BE5F95"/>
    <w:rsid w:val="00BE6A2A"/>
    <w:rsid w:val="00C001ED"/>
    <w:rsid w:val="00C002D2"/>
    <w:rsid w:val="00C01DDC"/>
    <w:rsid w:val="00C0376D"/>
    <w:rsid w:val="00C05DC7"/>
    <w:rsid w:val="00C11851"/>
    <w:rsid w:val="00C12B2B"/>
    <w:rsid w:val="00C146E2"/>
    <w:rsid w:val="00C1526C"/>
    <w:rsid w:val="00C16ECB"/>
    <w:rsid w:val="00C17C09"/>
    <w:rsid w:val="00C22D26"/>
    <w:rsid w:val="00C26C42"/>
    <w:rsid w:val="00C40CF7"/>
    <w:rsid w:val="00C41EB6"/>
    <w:rsid w:val="00C477DD"/>
    <w:rsid w:val="00C50699"/>
    <w:rsid w:val="00C516D0"/>
    <w:rsid w:val="00C529FE"/>
    <w:rsid w:val="00C54B81"/>
    <w:rsid w:val="00C605DB"/>
    <w:rsid w:val="00C717B7"/>
    <w:rsid w:val="00C71955"/>
    <w:rsid w:val="00C71CF7"/>
    <w:rsid w:val="00C758F6"/>
    <w:rsid w:val="00C765E3"/>
    <w:rsid w:val="00C77971"/>
    <w:rsid w:val="00C8067F"/>
    <w:rsid w:val="00C845F0"/>
    <w:rsid w:val="00C84CE4"/>
    <w:rsid w:val="00C874BE"/>
    <w:rsid w:val="00C90011"/>
    <w:rsid w:val="00C90923"/>
    <w:rsid w:val="00C91D3C"/>
    <w:rsid w:val="00C92FE4"/>
    <w:rsid w:val="00C93009"/>
    <w:rsid w:val="00CA0F77"/>
    <w:rsid w:val="00CA2B74"/>
    <w:rsid w:val="00CB09E6"/>
    <w:rsid w:val="00CB35A4"/>
    <w:rsid w:val="00CB6755"/>
    <w:rsid w:val="00CB7FB0"/>
    <w:rsid w:val="00CC58C0"/>
    <w:rsid w:val="00CD182D"/>
    <w:rsid w:val="00CD4853"/>
    <w:rsid w:val="00CD65A1"/>
    <w:rsid w:val="00CE0CCB"/>
    <w:rsid w:val="00CE2378"/>
    <w:rsid w:val="00CE61E9"/>
    <w:rsid w:val="00CF130A"/>
    <w:rsid w:val="00D028FE"/>
    <w:rsid w:val="00D04157"/>
    <w:rsid w:val="00D04B26"/>
    <w:rsid w:val="00D05601"/>
    <w:rsid w:val="00D10F3A"/>
    <w:rsid w:val="00D1103B"/>
    <w:rsid w:val="00D22318"/>
    <w:rsid w:val="00D225C6"/>
    <w:rsid w:val="00D22823"/>
    <w:rsid w:val="00D22F78"/>
    <w:rsid w:val="00D246A8"/>
    <w:rsid w:val="00D2495C"/>
    <w:rsid w:val="00D27F27"/>
    <w:rsid w:val="00D4029E"/>
    <w:rsid w:val="00D44126"/>
    <w:rsid w:val="00D45038"/>
    <w:rsid w:val="00D50092"/>
    <w:rsid w:val="00D579A4"/>
    <w:rsid w:val="00D62DB1"/>
    <w:rsid w:val="00D64462"/>
    <w:rsid w:val="00D71129"/>
    <w:rsid w:val="00D72755"/>
    <w:rsid w:val="00D72DE1"/>
    <w:rsid w:val="00D73D2F"/>
    <w:rsid w:val="00D74B04"/>
    <w:rsid w:val="00D91F0E"/>
    <w:rsid w:val="00DA25E7"/>
    <w:rsid w:val="00DA2A1A"/>
    <w:rsid w:val="00DA3BEE"/>
    <w:rsid w:val="00DB5F08"/>
    <w:rsid w:val="00DB6533"/>
    <w:rsid w:val="00DB7CFB"/>
    <w:rsid w:val="00DC7A77"/>
    <w:rsid w:val="00DD282B"/>
    <w:rsid w:val="00DE6412"/>
    <w:rsid w:val="00E00684"/>
    <w:rsid w:val="00E10173"/>
    <w:rsid w:val="00E1254D"/>
    <w:rsid w:val="00E170EB"/>
    <w:rsid w:val="00E24C58"/>
    <w:rsid w:val="00E26013"/>
    <w:rsid w:val="00E3364D"/>
    <w:rsid w:val="00E34383"/>
    <w:rsid w:val="00E34655"/>
    <w:rsid w:val="00E44F92"/>
    <w:rsid w:val="00E45FCE"/>
    <w:rsid w:val="00E46546"/>
    <w:rsid w:val="00E5158C"/>
    <w:rsid w:val="00E53298"/>
    <w:rsid w:val="00E75A08"/>
    <w:rsid w:val="00E76725"/>
    <w:rsid w:val="00E80134"/>
    <w:rsid w:val="00E809DD"/>
    <w:rsid w:val="00E81996"/>
    <w:rsid w:val="00E83730"/>
    <w:rsid w:val="00E875E1"/>
    <w:rsid w:val="00E931C0"/>
    <w:rsid w:val="00E95D93"/>
    <w:rsid w:val="00EA0E68"/>
    <w:rsid w:val="00EA64D4"/>
    <w:rsid w:val="00EB29EB"/>
    <w:rsid w:val="00EB56E4"/>
    <w:rsid w:val="00EB5848"/>
    <w:rsid w:val="00EC2CF9"/>
    <w:rsid w:val="00EC33F5"/>
    <w:rsid w:val="00EC42CC"/>
    <w:rsid w:val="00EC61CB"/>
    <w:rsid w:val="00ED1205"/>
    <w:rsid w:val="00ED2279"/>
    <w:rsid w:val="00ED35A5"/>
    <w:rsid w:val="00ED556D"/>
    <w:rsid w:val="00ED7C15"/>
    <w:rsid w:val="00EE547C"/>
    <w:rsid w:val="00EF3DBC"/>
    <w:rsid w:val="00F007C1"/>
    <w:rsid w:val="00F03BF4"/>
    <w:rsid w:val="00F107A6"/>
    <w:rsid w:val="00F12219"/>
    <w:rsid w:val="00F21365"/>
    <w:rsid w:val="00F223C5"/>
    <w:rsid w:val="00F2719C"/>
    <w:rsid w:val="00F3017F"/>
    <w:rsid w:val="00F40223"/>
    <w:rsid w:val="00F406B7"/>
    <w:rsid w:val="00F41B2A"/>
    <w:rsid w:val="00F44E28"/>
    <w:rsid w:val="00F540B6"/>
    <w:rsid w:val="00F5579C"/>
    <w:rsid w:val="00F57758"/>
    <w:rsid w:val="00F60A63"/>
    <w:rsid w:val="00F65065"/>
    <w:rsid w:val="00F65A3F"/>
    <w:rsid w:val="00F71AB8"/>
    <w:rsid w:val="00F726C5"/>
    <w:rsid w:val="00F73C71"/>
    <w:rsid w:val="00F84773"/>
    <w:rsid w:val="00F93A45"/>
    <w:rsid w:val="00F95337"/>
    <w:rsid w:val="00FA20D3"/>
    <w:rsid w:val="00FA7242"/>
    <w:rsid w:val="00FB1F7B"/>
    <w:rsid w:val="00FB48C3"/>
    <w:rsid w:val="00FB56DC"/>
    <w:rsid w:val="00FB5B3B"/>
    <w:rsid w:val="00FB5C2F"/>
    <w:rsid w:val="00FB7DBC"/>
    <w:rsid w:val="00FC25A3"/>
    <w:rsid w:val="00FC66BB"/>
    <w:rsid w:val="00FD29C2"/>
    <w:rsid w:val="00FD4502"/>
    <w:rsid w:val="00FD6625"/>
    <w:rsid w:val="00FD6FBB"/>
    <w:rsid w:val="00FF4293"/>
    <w:rsid w:val="00FF5613"/>
    <w:rsid w:val="00FF66A2"/>
    <w:rsid w:val="00FF75CA"/>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8FE5C5"/>
  <w15:chartTrackingRefBased/>
  <w15:docId w15:val="{7811C0FE-9D69-564B-82CA-69223C049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FCB"/>
  </w:style>
  <w:style w:type="paragraph" w:styleId="Heading1">
    <w:name w:val="heading 1"/>
    <w:basedOn w:val="Normal"/>
    <w:next w:val="Normal"/>
    <w:link w:val="Heading1Char"/>
    <w:uiPriority w:val="9"/>
    <w:qFormat/>
    <w:rsid w:val="00563855"/>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B7FB0"/>
    <w:rPr>
      <w:sz w:val="16"/>
      <w:szCs w:val="16"/>
    </w:rPr>
  </w:style>
  <w:style w:type="paragraph" w:styleId="CommentText">
    <w:name w:val="annotation text"/>
    <w:basedOn w:val="Normal"/>
    <w:link w:val="CommentTextChar"/>
    <w:uiPriority w:val="99"/>
    <w:unhideWhenUsed/>
    <w:rsid w:val="00CB7FB0"/>
    <w:rPr>
      <w:sz w:val="20"/>
      <w:szCs w:val="20"/>
    </w:rPr>
  </w:style>
  <w:style w:type="character" w:customStyle="1" w:styleId="CommentTextChar">
    <w:name w:val="Comment Text Char"/>
    <w:basedOn w:val="DefaultParagraphFont"/>
    <w:link w:val="CommentText"/>
    <w:uiPriority w:val="99"/>
    <w:rsid w:val="00CB7FB0"/>
    <w:rPr>
      <w:sz w:val="20"/>
      <w:szCs w:val="20"/>
    </w:rPr>
  </w:style>
  <w:style w:type="paragraph" w:styleId="CommentSubject">
    <w:name w:val="annotation subject"/>
    <w:basedOn w:val="CommentText"/>
    <w:next w:val="CommentText"/>
    <w:link w:val="CommentSubjectChar"/>
    <w:uiPriority w:val="99"/>
    <w:semiHidden/>
    <w:unhideWhenUsed/>
    <w:rsid w:val="00CB7FB0"/>
    <w:rPr>
      <w:b/>
      <w:bCs/>
    </w:rPr>
  </w:style>
  <w:style w:type="character" w:customStyle="1" w:styleId="CommentSubjectChar">
    <w:name w:val="Comment Subject Char"/>
    <w:basedOn w:val="CommentTextChar"/>
    <w:link w:val="CommentSubject"/>
    <w:uiPriority w:val="99"/>
    <w:semiHidden/>
    <w:rsid w:val="00CB7FB0"/>
    <w:rPr>
      <w:b/>
      <w:bCs/>
      <w:sz w:val="20"/>
      <w:szCs w:val="20"/>
    </w:rPr>
  </w:style>
  <w:style w:type="paragraph" w:styleId="BalloonText">
    <w:name w:val="Balloon Text"/>
    <w:basedOn w:val="Normal"/>
    <w:link w:val="BalloonTextChar"/>
    <w:uiPriority w:val="99"/>
    <w:semiHidden/>
    <w:unhideWhenUsed/>
    <w:rsid w:val="00CB7FB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B7FB0"/>
    <w:rPr>
      <w:rFonts w:ascii="Times New Roman" w:hAnsi="Times New Roman" w:cs="Times New Roman"/>
      <w:sz w:val="18"/>
      <w:szCs w:val="18"/>
    </w:rPr>
  </w:style>
  <w:style w:type="paragraph" w:styleId="Bibliography">
    <w:name w:val="Bibliography"/>
    <w:basedOn w:val="Normal"/>
    <w:next w:val="Normal"/>
    <w:uiPriority w:val="37"/>
    <w:unhideWhenUsed/>
    <w:rsid w:val="004B165B"/>
    <w:pPr>
      <w:tabs>
        <w:tab w:val="left" w:pos="380"/>
        <w:tab w:val="left" w:pos="500"/>
      </w:tabs>
      <w:ind w:left="504" w:hanging="504"/>
    </w:pPr>
  </w:style>
  <w:style w:type="paragraph" w:styleId="Revision">
    <w:name w:val="Revision"/>
    <w:hidden/>
    <w:uiPriority w:val="99"/>
    <w:semiHidden/>
    <w:rsid w:val="005D2881"/>
  </w:style>
  <w:style w:type="paragraph" w:styleId="ListParagraph">
    <w:name w:val="List Paragraph"/>
    <w:basedOn w:val="Normal"/>
    <w:uiPriority w:val="34"/>
    <w:qFormat/>
    <w:rsid w:val="005041F3"/>
    <w:pPr>
      <w:ind w:left="720"/>
      <w:contextualSpacing/>
    </w:pPr>
  </w:style>
  <w:style w:type="character" w:styleId="Hyperlink">
    <w:name w:val="Hyperlink"/>
    <w:basedOn w:val="DefaultParagraphFont"/>
    <w:uiPriority w:val="99"/>
    <w:unhideWhenUsed/>
    <w:rsid w:val="009C1817"/>
    <w:rPr>
      <w:color w:val="0563C1" w:themeColor="hyperlink"/>
      <w:u w:val="single"/>
    </w:rPr>
  </w:style>
  <w:style w:type="character" w:styleId="UnresolvedMention">
    <w:name w:val="Unresolved Mention"/>
    <w:basedOn w:val="DefaultParagraphFont"/>
    <w:uiPriority w:val="99"/>
    <w:semiHidden/>
    <w:unhideWhenUsed/>
    <w:rsid w:val="009C1817"/>
    <w:rPr>
      <w:color w:val="605E5C"/>
      <w:shd w:val="clear" w:color="auto" w:fill="E1DFDD"/>
    </w:rPr>
  </w:style>
  <w:style w:type="character" w:styleId="FollowedHyperlink">
    <w:name w:val="FollowedHyperlink"/>
    <w:basedOn w:val="DefaultParagraphFont"/>
    <w:uiPriority w:val="99"/>
    <w:semiHidden/>
    <w:unhideWhenUsed/>
    <w:rsid w:val="0004710D"/>
    <w:rPr>
      <w:color w:val="954F72" w:themeColor="followedHyperlink"/>
      <w:u w:val="single"/>
    </w:rPr>
  </w:style>
  <w:style w:type="paragraph" w:styleId="Footer">
    <w:name w:val="footer"/>
    <w:basedOn w:val="Normal"/>
    <w:link w:val="FooterChar"/>
    <w:uiPriority w:val="99"/>
    <w:unhideWhenUsed/>
    <w:rsid w:val="002B6C71"/>
    <w:pPr>
      <w:tabs>
        <w:tab w:val="center" w:pos="4680"/>
        <w:tab w:val="right" w:pos="9360"/>
      </w:tabs>
    </w:pPr>
  </w:style>
  <w:style w:type="character" w:customStyle="1" w:styleId="FooterChar">
    <w:name w:val="Footer Char"/>
    <w:basedOn w:val="DefaultParagraphFont"/>
    <w:link w:val="Footer"/>
    <w:uiPriority w:val="99"/>
    <w:rsid w:val="002B6C71"/>
  </w:style>
  <w:style w:type="character" w:styleId="PageNumber">
    <w:name w:val="page number"/>
    <w:basedOn w:val="DefaultParagraphFont"/>
    <w:uiPriority w:val="99"/>
    <w:semiHidden/>
    <w:unhideWhenUsed/>
    <w:rsid w:val="002B6C71"/>
  </w:style>
  <w:style w:type="table" w:styleId="GridTable1Light">
    <w:name w:val="Grid Table 1 Light"/>
    <w:basedOn w:val="TableNormal"/>
    <w:uiPriority w:val="46"/>
    <w:rsid w:val="00D7112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59"/>
    <w:rsid w:val="004648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63855"/>
    <w:rPr>
      <w:rFonts w:asciiTheme="majorHAnsi" w:eastAsiaTheme="majorEastAsia" w:hAnsiTheme="majorHAnsi" w:cstheme="majorBidi"/>
      <w:color w:val="2F5496" w:themeColor="accent1" w:themeShade="BF"/>
      <w:sz w:val="32"/>
      <w:szCs w:val="32"/>
      <w:lang w:val="en-US"/>
    </w:rPr>
  </w:style>
  <w:style w:type="paragraph" w:customStyle="1" w:styleId="Default">
    <w:name w:val="Default"/>
    <w:rsid w:val="00563855"/>
    <w:pPr>
      <w:widowControl w:val="0"/>
      <w:autoSpaceDE w:val="0"/>
      <w:autoSpaceDN w:val="0"/>
      <w:adjustRightInd w:val="0"/>
    </w:pPr>
    <w:rPr>
      <w:rFonts w:ascii="Calibri" w:eastAsia="Times New Roman" w:hAnsi="Calibri" w:cs="Calibri"/>
      <w:color w:val="000000"/>
      <w:lang w:eastAsia="en-CA"/>
    </w:rPr>
  </w:style>
  <w:style w:type="character" w:styleId="LineNumber">
    <w:name w:val="line number"/>
    <w:basedOn w:val="DefaultParagraphFont"/>
    <w:uiPriority w:val="99"/>
    <w:semiHidden/>
    <w:unhideWhenUsed/>
    <w:rsid w:val="009D6994"/>
  </w:style>
  <w:style w:type="table" w:styleId="GridTable3">
    <w:name w:val="Grid Table 3"/>
    <w:basedOn w:val="TableNormal"/>
    <w:uiPriority w:val="48"/>
    <w:rsid w:val="008A697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8A697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6Colourful">
    <w:name w:val="Grid Table 6 Colorful"/>
    <w:basedOn w:val="TableNormal"/>
    <w:uiPriority w:val="51"/>
    <w:rsid w:val="008A697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6">
    <w:name w:val="Grid Table 5 Dark Accent 6"/>
    <w:basedOn w:val="TableNormal"/>
    <w:uiPriority w:val="50"/>
    <w:rsid w:val="008A697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7ColourfulAccent3">
    <w:name w:val="Grid Table 7 Colorful Accent 3"/>
    <w:basedOn w:val="TableNormal"/>
    <w:uiPriority w:val="52"/>
    <w:rsid w:val="008A6971"/>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6ColourfulAccent3">
    <w:name w:val="Grid Table 6 Colorful Accent 3"/>
    <w:basedOn w:val="TableNormal"/>
    <w:uiPriority w:val="51"/>
    <w:rsid w:val="008A6971"/>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383605">
      <w:bodyDiv w:val="1"/>
      <w:marLeft w:val="0"/>
      <w:marRight w:val="0"/>
      <w:marTop w:val="0"/>
      <w:marBottom w:val="0"/>
      <w:divBdr>
        <w:top w:val="none" w:sz="0" w:space="0" w:color="auto"/>
        <w:left w:val="none" w:sz="0" w:space="0" w:color="auto"/>
        <w:bottom w:val="none" w:sz="0" w:space="0" w:color="auto"/>
        <w:right w:val="none" w:sz="0" w:space="0" w:color="auto"/>
      </w:divBdr>
    </w:div>
    <w:div w:id="212541340">
      <w:bodyDiv w:val="1"/>
      <w:marLeft w:val="0"/>
      <w:marRight w:val="0"/>
      <w:marTop w:val="0"/>
      <w:marBottom w:val="0"/>
      <w:divBdr>
        <w:top w:val="none" w:sz="0" w:space="0" w:color="auto"/>
        <w:left w:val="none" w:sz="0" w:space="0" w:color="auto"/>
        <w:bottom w:val="none" w:sz="0" w:space="0" w:color="auto"/>
        <w:right w:val="none" w:sz="0" w:space="0" w:color="auto"/>
      </w:divBdr>
    </w:div>
    <w:div w:id="428086285">
      <w:bodyDiv w:val="1"/>
      <w:marLeft w:val="0"/>
      <w:marRight w:val="0"/>
      <w:marTop w:val="0"/>
      <w:marBottom w:val="0"/>
      <w:divBdr>
        <w:top w:val="none" w:sz="0" w:space="0" w:color="auto"/>
        <w:left w:val="none" w:sz="0" w:space="0" w:color="auto"/>
        <w:bottom w:val="none" w:sz="0" w:space="0" w:color="auto"/>
        <w:right w:val="none" w:sz="0" w:space="0" w:color="auto"/>
      </w:divBdr>
    </w:div>
    <w:div w:id="597755927">
      <w:bodyDiv w:val="1"/>
      <w:marLeft w:val="0"/>
      <w:marRight w:val="0"/>
      <w:marTop w:val="0"/>
      <w:marBottom w:val="0"/>
      <w:divBdr>
        <w:top w:val="none" w:sz="0" w:space="0" w:color="auto"/>
        <w:left w:val="none" w:sz="0" w:space="0" w:color="auto"/>
        <w:bottom w:val="none" w:sz="0" w:space="0" w:color="auto"/>
        <w:right w:val="none" w:sz="0" w:space="0" w:color="auto"/>
      </w:divBdr>
    </w:div>
    <w:div w:id="628315459">
      <w:bodyDiv w:val="1"/>
      <w:marLeft w:val="0"/>
      <w:marRight w:val="0"/>
      <w:marTop w:val="0"/>
      <w:marBottom w:val="0"/>
      <w:divBdr>
        <w:top w:val="none" w:sz="0" w:space="0" w:color="auto"/>
        <w:left w:val="none" w:sz="0" w:space="0" w:color="auto"/>
        <w:bottom w:val="none" w:sz="0" w:space="0" w:color="auto"/>
        <w:right w:val="none" w:sz="0" w:space="0" w:color="auto"/>
      </w:divBdr>
    </w:div>
    <w:div w:id="628436420">
      <w:bodyDiv w:val="1"/>
      <w:marLeft w:val="0"/>
      <w:marRight w:val="0"/>
      <w:marTop w:val="0"/>
      <w:marBottom w:val="0"/>
      <w:divBdr>
        <w:top w:val="none" w:sz="0" w:space="0" w:color="auto"/>
        <w:left w:val="none" w:sz="0" w:space="0" w:color="auto"/>
        <w:bottom w:val="none" w:sz="0" w:space="0" w:color="auto"/>
        <w:right w:val="none" w:sz="0" w:space="0" w:color="auto"/>
      </w:divBdr>
    </w:div>
    <w:div w:id="680280645">
      <w:bodyDiv w:val="1"/>
      <w:marLeft w:val="0"/>
      <w:marRight w:val="0"/>
      <w:marTop w:val="0"/>
      <w:marBottom w:val="0"/>
      <w:divBdr>
        <w:top w:val="none" w:sz="0" w:space="0" w:color="auto"/>
        <w:left w:val="none" w:sz="0" w:space="0" w:color="auto"/>
        <w:bottom w:val="none" w:sz="0" w:space="0" w:color="auto"/>
        <w:right w:val="none" w:sz="0" w:space="0" w:color="auto"/>
      </w:divBdr>
      <w:divsChild>
        <w:div w:id="902831507">
          <w:marLeft w:val="0"/>
          <w:marRight w:val="0"/>
          <w:marTop w:val="0"/>
          <w:marBottom w:val="0"/>
          <w:divBdr>
            <w:top w:val="none" w:sz="0" w:space="0" w:color="auto"/>
            <w:left w:val="none" w:sz="0" w:space="0" w:color="auto"/>
            <w:bottom w:val="none" w:sz="0" w:space="0" w:color="auto"/>
            <w:right w:val="none" w:sz="0" w:space="0" w:color="auto"/>
          </w:divBdr>
        </w:div>
      </w:divsChild>
    </w:div>
    <w:div w:id="1360281884">
      <w:bodyDiv w:val="1"/>
      <w:marLeft w:val="0"/>
      <w:marRight w:val="0"/>
      <w:marTop w:val="0"/>
      <w:marBottom w:val="0"/>
      <w:divBdr>
        <w:top w:val="none" w:sz="0" w:space="0" w:color="auto"/>
        <w:left w:val="none" w:sz="0" w:space="0" w:color="auto"/>
        <w:bottom w:val="none" w:sz="0" w:space="0" w:color="auto"/>
        <w:right w:val="none" w:sz="0" w:space="0" w:color="auto"/>
      </w:divBdr>
    </w:div>
    <w:div w:id="1399748437">
      <w:bodyDiv w:val="1"/>
      <w:marLeft w:val="0"/>
      <w:marRight w:val="0"/>
      <w:marTop w:val="0"/>
      <w:marBottom w:val="0"/>
      <w:divBdr>
        <w:top w:val="none" w:sz="0" w:space="0" w:color="auto"/>
        <w:left w:val="none" w:sz="0" w:space="0" w:color="auto"/>
        <w:bottom w:val="none" w:sz="0" w:space="0" w:color="auto"/>
        <w:right w:val="none" w:sz="0" w:space="0" w:color="auto"/>
      </w:divBdr>
      <w:divsChild>
        <w:div w:id="531267468">
          <w:marLeft w:val="0"/>
          <w:marRight w:val="0"/>
          <w:marTop w:val="0"/>
          <w:marBottom w:val="0"/>
          <w:divBdr>
            <w:top w:val="none" w:sz="0" w:space="0" w:color="auto"/>
            <w:left w:val="none" w:sz="0" w:space="0" w:color="auto"/>
            <w:bottom w:val="none" w:sz="0" w:space="0" w:color="auto"/>
            <w:right w:val="none" w:sz="0" w:space="0" w:color="auto"/>
          </w:divBdr>
        </w:div>
      </w:divsChild>
    </w:div>
    <w:div w:id="1416245078">
      <w:bodyDiv w:val="1"/>
      <w:marLeft w:val="0"/>
      <w:marRight w:val="0"/>
      <w:marTop w:val="0"/>
      <w:marBottom w:val="0"/>
      <w:divBdr>
        <w:top w:val="none" w:sz="0" w:space="0" w:color="auto"/>
        <w:left w:val="none" w:sz="0" w:space="0" w:color="auto"/>
        <w:bottom w:val="none" w:sz="0" w:space="0" w:color="auto"/>
        <w:right w:val="none" w:sz="0" w:space="0" w:color="auto"/>
      </w:divBdr>
    </w:div>
    <w:div w:id="1940288011">
      <w:bodyDiv w:val="1"/>
      <w:marLeft w:val="0"/>
      <w:marRight w:val="0"/>
      <w:marTop w:val="0"/>
      <w:marBottom w:val="0"/>
      <w:divBdr>
        <w:top w:val="none" w:sz="0" w:space="0" w:color="auto"/>
        <w:left w:val="none" w:sz="0" w:space="0" w:color="auto"/>
        <w:bottom w:val="none" w:sz="0" w:space="0" w:color="auto"/>
        <w:right w:val="none" w:sz="0" w:space="0" w:color="auto"/>
      </w:divBdr>
    </w:div>
    <w:div w:id="1949653497">
      <w:bodyDiv w:val="1"/>
      <w:marLeft w:val="0"/>
      <w:marRight w:val="0"/>
      <w:marTop w:val="0"/>
      <w:marBottom w:val="0"/>
      <w:divBdr>
        <w:top w:val="none" w:sz="0" w:space="0" w:color="auto"/>
        <w:left w:val="none" w:sz="0" w:space="0" w:color="auto"/>
        <w:bottom w:val="none" w:sz="0" w:space="0" w:color="auto"/>
        <w:right w:val="none" w:sz="0" w:space="0" w:color="auto"/>
      </w:divBdr>
    </w:div>
    <w:div w:id="2059741556">
      <w:bodyDiv w:val="1"/>
      <w:marLeft w:val="0"/>
      <w:marRight w:val="0"/>
      <w:marTop w:val="0"/>
      <w:marBottom w:val="0"/>
      <w:divBdr>
        <w:top w:val="none" w:sz="0" w:space="0" w:color="auto"/>
        <w:left w:val="none" w:sz="0" w:space="0" w:color="auto"/>
        <w:bottom w:val="none" w:sz="0" w:space="0" w:color="auto"/>
        <w:right w:val="none" w:sz="0" w:space="0" w:color="auto"/>
      </w:divBdr>
      <w:divsChild>
        <w:div w:id="313803707">
          <w:marLeft w:val="0"/>
          <w:marRight w:val="0"/>
          <w:marTop w:val="0"/>
          <w:marBottom w:val="0"/>
          <w:divBdr>
            <w:top w:val="none" w:sz="0" w:space="0" w:color="auto"/>
            <w:left w:val="none" w:sz="0" w:space="0" w:color="auto"/>
            <w:bottom w:val="none" w:sz="0" w:space="0" w:color="auto"/>
            <w:right w:val="none" w:sz="0" w:space="0" w:color="auto"/>
          </w:divBdr>
        </w:div>
        <w:div w:id="160436227">
          <w:marLeft w:val="0"/>
          <w:marRight w:val="0"/>
          <w:marTop w:val="0"/>
          <w:marBottom w:val="0"/>
          <w:divBdr>
            <w:top w:val="none" w:sz="0" w:space="0" w:color="auto"/>
            <w:left w:val="none" w:sz="0" w:space="0" w:color="auto"/>
            <w:bottom w:val="none" w:sz="0" w:space="0" w:color="auto"/>
            <w:right w:val="none" w:sz="0" w:space="0" w:color="auto"/>
          </w:divBdr>
        </w:div>
        <w:div w:id="1106390352">
          <w:marLeft w:val="0"/>
          <w:marRight w:val="0"/>
          <w:marTop w:val="0"/>
          <w:marBottom w:val="0"/>
          <w:divBdr>
            <w:top w:val="none" w:sz="0" w:space="0" w:color="auto"/>
            <w:left w:val="none" w:sz="0" w:space="0" w:color="auto"/>
            <w:bottom w:val="none" w:sz="0" w:space="0" w:color="auto"/>
            <w:right w:val="none" w:sz="0" w:space="0" w:color="auto"/>
          </w:divBdr>
        </w:div>
      </w:divsChild>
    </w:div>
    <w:div w:id="209007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vidence.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BB8FD-C7D4-424F-B7A7-6A32D9AA8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21943</Words>
  <Characters>125076</Characters>
  <Application>Microsoft Office Word</Application>
  <DocSecurity>4</DocSecurity>
  <Lines>1042</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Johannson</dc:creator>
  <cp:keywords/>
  <dc:description/>
  <cp:lastModifiedBy>Feary, Johanna</cp:lastModifiedBy>
  <cp:revision>2</cp:revision>
  <dcterms:created xsi:type="dcterms:W3CDTF">2025-05-15T08:18:00Z</dcterms:created>
  <dcterms:modified xsi:type="dcterms:W3CDTF">2025-05-15T08:18:00Z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id="sQPELaEq"/&gt;&lt;style id="http://www.zotero.org/styles/ieee" locale="en-US" hasBibliography="1" bibliographyStyleHasBeenSet="1"/&gt;&lt;prefs&gt;&lt;pref name="fieldType" value="Field"/&gt;&lt;/prefs&gt;&lt;/data&gt;</vt:lpwstr>
  </property>
</Properties>
</file>