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51302" w14:textId="77777777" w:rsidR="00D22A28" w:rsidRPr="0087244D" w:rsidRDefault="00D22A28" w:rsidP="008B0A52">
      <w:pPr>
        <w:spacing w:after="0" w:line="480" w:lineRule="auto"/>
        <w:rPr>
          <w:rFonts w:cstheme="minorHAnsi"/>
          <w:b/>
          <w:sz w:val="24"/>
          <w:szCs w:val="24"/>
        </w:rPr>
      </w:pPr>
      <w:r w:rsidRPr="0087244D">
        <w:rPr>
          <w:rFonts w:cstheme="minorHAnsi"/>
          <w:b/>
          <w:sz w:val="24"/>
          <w:szCs w:val="24"/>
          <w:lang w:val="en-US"/>
        </w:rPr>
        <w:t>TITLE PAGE</w:t>
      </w:r>
    </w:p>
    <w:p w14:paraId="1647313C" w14:textId="424CD5A6" w:rsidR="00D22A28" w:rsidRPr="009A2BC3" w:rsidRDefault="00D22A28" w:rsidP="008B0A52">
      <w:pPr>
        <w:spacing w:after="0" w:line="480" w:lineRule="auto"/>
        <w:ind w:hanging="6"/>
        <w:outlineLvl w:val="0"/>
        <w:rPr>
          <w:rFonts w:cstheme="minorHAnsi"/>
          <w:sz w:val="24"/>
          <w:szCs w:val="24"/>
        </w:rPr>
      </w:pPr>
      <w:r w:rsidRPr="0087244D">
        <w:rPr>
          <w:rFonts w:cstheme="minorHAnsi"/>
          <w:b/>
          <w:sz w:val="24"/>
          <w:szCs w:val="24"/>
        </w:rPr>
        <w:t xml:space="preserve">Title: </w:t>
      </w:r>
      <w:r w:rsidR="000C07F0" w:rsidRPr="00DB47BC">
        <w:rPr>
          <w:rFonts w:cstheme="minorHAnsi"/>
          <w:szCs w:val="24"/>
        </w:rPr>
        <w:t>Real world effects of</w:t>
      </w:r>
      <w:r w:rsidR="000C07F0">
        <w:rPr>
          <w:rFonts w:cstheme="minorHAnsi"/>
          <w:szCs w:val="24"/>
        </w:rPr>
        <w:t xml:space="preserve"> COPD</w:t>
      </w:r>
      <w:r w:rsidR="000C07F0" w:rsidRPr="00DB47BC">
        <w:rPr>
          <w:rFonts w:cstheme="minorHAnsi"/>
          <w:szCs w:val="24"/>
        </w:rPr>
        <w:t xml:space="preserve"> medication</w:t>
      </w:r>
      <w:r w:rsidR="000C07F0">
        <w:rPr>
          <w:rFonts w:cstheme="minorHAnsi"/>
          <w:szCs w:val="24"/>
        </w:rPr>
        <w:t>s</w:t>
      </w:r>
      <w:r w:rsidR="000C07F0" w:rsidRPr="00DB47BC">
        <w:rPr>
          <w:rFonts w:cstheme="minorHAnsi"/>
          <w:szCs w:val="24"/>
        </w:rPr>
        <w:t>: a cohort study</w:t>
      </w:r>
      <w:r w:rsidR="000C07F0">
        <w:rPr>
          <w:rFonts w:cstheme="minorHAnsi"/>
          <w:szCs w:val="24"/>
        </w:rPr>
        <w:t xml:space="preserve"> </w:t>
      </w:r>
      <w:r w:rsidR="000013A5">
        <w:rPr>
          <w:rFonts w:cstheme="minorHAnsi"/>
          <w:szCs w:val="24"/>
        </w:rPr>
        <w:t>with validation against</w:t>
      </w:r>
      <w:r w:rsidR="001304EA">
        <w:rPr>
          <w:rFonts w:cstheme="minorHAnsi"/>
          <w:szCs w:val="24"/>
        </w:rPr>
        <w:t xml:space="preserve"> </w:t>
      </w:r>
      <w:r w:rsidR="000013A5">
        <w:rPr>
          <w:rFonts w:cstheme="minorHAnsi"/>
          <w:szCs w:val="24"/>
        </w:rPr>
        <w:t>RCT results</w:t>
      </w:r>
    </w:p>
    <w:p w14:paraId="443887DD" w14:textId="77777777" w:rsidR="00D22A28" w:rsidRPr="0087244D" w:rsidRDefault="00D22A28" w:rsidP="008B0A52">
      <w:pPr>
        <w:spacing w:after="0" w:line="480" w:lineRule="auto"/>
        <w:rPr>
          <w:rFonts w:cstheme="minorHAnsi"/>
          <w:b/>
          <w:sz w:val="24"/>
          <w:szCs w:val="24"/>
        </w:rPr>
      </w:pPr>
      <w:r w:rsidRPr="0087244D">
        <w:rPr>
          <w:rFonts w:cstheme="minorHAnsi"/>
          <w:b/>
          <w:sz w:val="24"/>
          <w:szCs w:val="24"/>
        </w:rPr>
        <w:t>Authors:</w:t>
      </w:r>
    </w:p>
    <w:p w14:paraId="47C1048C" w14:textId="05A286D8" w:rsidR="00D22A28" w:rsidRPr="00FA0413" w:rsidRDefault="00D22A28" w:rsidP="008B0A52">
      <w:pPr>
        <w:spacing w:after="0" w:line="480" w:lineRule="auto"/>
        <w:rPr>
          <w:rFonts w:cstheme="minorHAnsi"/>
          <w:szCs w:val="24"/>
        </w:rPr>
      </w:pPr>
      <w:r w:rsidRPr="00DB47BC">
        <w:rPr>
          <w:rFonts w:cstheme="minorHAnsi"/>
          <w:szCs w:val="24"/>
        </w:rPr>
        <w:t>Kevin Wing</w:t>
      </w:r>
      <w:r w:rsidRPr="00DB47BC">
        <w:rPr>
          <w:rFonts w:cstheme="minorHAnsi"/>
          <w:szCs w:val="24"/>
          <w:vertAlign w:val="superscript"/>
        </w:rPr>
        <w:t>1*</w:t>
      </w:r>
    </w:p>
    <w:p w14:paraId="52D851D7" w14:textId="600C7FB4" w:rsidR="00D22A28" w:rsidRPr="00FA0413" w:rsidRDefault="00D22A28" w:rsidP="008B0A52">
      <w:pPr>
        <w:spacing w:after="0" w:line="480" w:lineRule="auto"/>
        <w:rPr>
          <w:rFonts w:cstheme="minorHAnsi"/>
          <w:szCs w:val="24"/>
        </w:rPr>
      </w:pPr>
      <w:r w:rsidRPr="00DB47BC">
        <w:rPr>
          <w:rFonts w:cstheme="minorHAnsi"/>
          <w:szCs w:val="24"/>
        </w:rPr>
        <w:t>Elizabeth Williamson</w:t>
      </w:r>
      <w:r w:rsidRPr="00DB47BC">
        <w:rPr>
          <w:rFonts w:cstheme="minorHAnsi"/>
          <w:szCs w:val="24"/>
          <w:vertAlign w:val="superscript"/>
        </w:rPr>
        <w:t>2</w:t>
      </w:r>
    </w:p>
    <w:p w14:paraId="4FC87CEC" w14:textId="6261C64B" w:rsidR="00D22A28" w:rsidRPr="002D41CE" w:rsidRDefault="00D22A28" w:rsidP="008B0A52">
      <w:pPr>
        <w:spacing w:after="0" w:line="480" w:lineRule="auto"/>
        <w:rPr>
          <w:rFonts w:cstheme="minorHAnsi"/>
          <w:szCs w:val="24"/>
        </w:rPr>
      </w:pPr>
      <w:r w:rsidRPr="00DB47BC">
        <w:rPr>
          <w:rFonts w:cstheme="minorHAnsi"/>
          <w:szCs w:val="24"/>
        </w:rPr>
        <w:t>James</w:t>
      </w:r>
      <w:r w:rsidR="00BE16E5">
        <w:rPr>
          <w:rFonts w:cstheme="minorHAnsi"/>
          <w:szCs w:val="24"/>
        </w:rPr>
        <w:t xml:space="preserve"> R</w:t>
      </w:r>
      <w:r w:rsidRPr="00DB47BC">
        <w:rPr>
          <w:rFonts w:cstheme="minorHAnsi"/>
          <w:szCs w:val="24"/>
        </w:rPr>
        <w:t xml:space="preserve"> Carpenter</w:t>
      </w:r>
      <w:r w:rsidRPr="00DB47BC">
        <w:rPr>
          <w:rFonts w:cstheme="minorHAnsi"/>
          <w:szCs w:val="24"/>
          <w:vertAlign w:val="superscript"/>
        </w:rPr>
        <w:t>2</w:t>
      </w:r>
    </w:p>
    <w:p w14:paraId="596D3F14" w14:textId="2F777FCB" w:rsidR="00D22A28" w:rsidRPr="00AF0CDE" w:rsidRDefault="00D22A28" w:rsidP="008B0A52">
      <w:pPr>
        <w:spacing w:after="0" w:line="480" w:lineRule="auto"/>
        <w:rPr>
          <w:rFonts w:cstheme="minorHAnsi"/>
          <w:szCs w:val="24"/>
        </w:rPr>
      </w:pPr>
      <w:r w:rsidRPr="00DB47BC">
        <w:rPr>
          <w:rFonts w:cstheme="minorHAnsi"/>
          <w:szCs w:val="24"/>
        </w:rPr>
        <w:t>Lesley Wise</w:t>
      </w:r>
      <w:r w:rsidRPr="00DB47BC">
        <w:rPr>
          <w:rFonts w:cstheme="minorHAnsi"/>
          <w:szCs w:val="24"/>
          <w:vertAlign w:val="superscript"/>
        </w:rPr>
        <w:t>1</w:t>
      </w:r>
    </w:p>
    <w:p w14:paraId="4F19B7D5" w14:textId="5E360F17" w:rsidR="00D22A28" w:rsidRPr="008744DA" w:rsidRDefault="00D22A28" w:rsidP="008B0A52">
      <w:pPr>
        <w:spacing w:after="0" w:line="480" w:lineRule="auto"/>
        <w:rPr>
          <w:rFonts w:cstheme="minorHAnsi"/>
          <w:szCs w:val="24"/>
        </w:rPr>
      </w:pPr>
      <w:r w:rsidRPr="00DB47BC">
        <w:rPr>
          <w:rFonts w:cstheme="minorHAnsi"/>
          <w:szCs w:val="24"/>
        </w:rPr>
        <w:t>Sebastian Schneeweiss</w:t>
      </w:r>
      <w:r w:rsidRPr="00DB47BC">
        <w:rPr>
          <w:rFonts w:cstheme="minorHAnsi"/>
          <w:szCs w:val="24"/>
          <w:vertAlign w:val="superscript"/>
        </w:rPr>
        <w:t>3,4</w:t>
      </w:r>
    </w:p>
    <w:p w14:paraId="28AE50DB" w14:textId="72CEB927" w:rsidR="00D22A28" w:rsidRPr="00AD6367" w:rsidRDefault="00D22A28" w:rsidP="008B0A52">
      <w:pPr>
        <w:spacing w:after="0" w:line="480" w:lineRule="auto"/>
        <w:rPr>
          <w:rFonts w:cstheme="minorHAnsi"/>
          <w:szCs w:val="24"/>
        </w:rPr>
      </w:pPr>
      <w:r w:rsidRPr="00DB47BC">
        <w:rPr>
          <w:rFonts w:cstheme="minorHAnsi"/>
          <w:szCs w:val="24"/>
        </w:rPr>
        <w:t>Liam Smeeth</w:t>
      </w:r>
      <w:r w:rsidRPr="00DB47BC">
        <w:rPr>
          <w:rFonts w:cstheme="minorHAnsi"/>
          <w:szCs w:val="24"/>
          <w:vertAlign w:val="superscript"/>
        </w:rPr>
        <w:t>1</w:t>
      </w:r>
    </w:p>
    <w:p w14:paraId="4260994E" w14:textId="7FA2105D" w:rsidR="00D22A28" w:rsidRPr="00984396" w:rsidRDefault="00D22A28" w:rsidP="008B0A52">
      <w:pPr>
        <w:spacing w:after="0" w:line="480" w:lineRule="auto"/>
        <w:rPr>
          <w:rFonts w:cstheme="minorHAnsi"/>
          <w:szCs w:val="24"/>
        </w:rPr>
      </w:pPr>
      <w:r w:rsidRPr="00DB47BC">
        <w:rPr>
          <w:rFonts w:cstheme="minorHAnsi"/>
          <w:szCs w:val="24"/>
        </w:rPr>
        <w:t>Jennifer</w:t>
      </w:r>
      <w:r w:rsidR="00BE16E5">
        <w:rPr>
          <w:rFonts w:cstheme="minorHAnsi"/>
          <w:szCs w:val="24"/>
        </w:rPr>
        <w:t xml:space="preserve"> K</w:t>
      </w:r>
      <w:r w:rsidRPr="00DB47BC">
        <w:rPr>
          <w:rFonts w:cstheme="minorHAnsi"/>
          <w:szCs w:val="24"/>
        </w:rPr>
        <w:t xml:space="preserve"> Quint</w:t>
      </w:r>
      <w:r w:rsidRPr="00DB47BC">
        <w:rPr>
          <w:rFonts w:cstheme="minorHAnsi"/>
          <w:szCs w:val="24"/>
          <w:vertAlign w:val="superscript"/>
        </w:rPr>
        <w:t>5</w:t>
      </w:r>
    </w:p>
    <w:p w14:paraId="0EE62493" w14:textId="075AC217" w:rsidR="00D22A28" w:rsidRPr="00D30726" w:rsidRDefault="00D22A28" w:rsidP="008B0A52">
      <w:pPr>
        <w:spacing w:after="0" w:line="480" w:lineRule="auto"/>
        <w:rPr>
          <w:rFonts w:cstheme="minorHAnsi"/>
          <w:szCs w:val="24"/>
        </w:rPr>
      </w:pPr>
      <w:r w:rsidRPr="00DB47BC">
        <w:rPr>
          <w:rFonts w:cstheme="minorHAnsi"/>
          <w:szCs w:val="24"/>
        </w:rPr>
        <w:t>Ian Douglas</w:t>
      </w:r>
      <w:r w:rsidRPr="00DB47BC">
        <w:rPr>
          <w:rFonts w:cstheme="minorHAnsi"/>
          <w:szCs w:val="24"/>
          <w:vertAlign w:val="superscript"/>
        </w:rPr>
        <w:t>1</w:t>
      </w:r>
    </w:p>
    <w:p w14:paraId="2E15C9B6" w14:textId="77777777" w:rsidR="00D22A28" w:rsidRDefault="00D22A28" w:rsidP="008B0A52">
      <w:pPr>
        <w:spacing w:after="0" w:line="480" w:lineRule="auto"/>
        <w:rPr>
          <w:rFonts w:cstheme="minorHAnsi"/>
          <w:sz w:val="20"/>
          <w:szCs w:val="24"/>
        </w:rPr>
      </w:pPr>
      <w:r w:rsidRPr="0087244D">
        <w:rPr>
          <w:rFonts w:cstheme="minorHAnsi"/>
          <w:sz w:val="20"/>
          <w:szCs w:val="24"/>
          <w:vertAlign w:val="superscript"/>
        </w:rPr>
        <w:t>1</w:t>
      </w:r>
      <w:r w:rsidRPr="0087244D">
        <w:rPr>
          <w:rFonts w:cstheme="minorHAnsi"/>
          <w:sz w:val="20"/>
          <w:szCs w:val="24"/>
        </w:rPr>
        <w:t>Department of Non-communicable Disease Epidemiology,</w:t>
      </w:r>
      <w:r>
        <w:rPr>
          <w:rFonts w:cstheme="minorHAnsi"/>
          <w:sz w:val="20"/>
          <w:szCs w:val="24"/>
        </w:rPr>
        <w:t xml:space="preserve"> Faculty of Epidemiology and Population Health,</w:t>
      </w:r>
      <w:r w:rsidRPr="0087244D">
        <w:rPr>
          <w:rFonts w:cstheme="minorHAnsi"/>
          <w:sz w:val="20"/>
          <w:szCs w:val="24"/>
        </w:rPr>
        <w:t xml:space="preserve"> London School of Hygiene and Tropical Medicine, London, UK</w:t>
      </w:r>
    </w:p>
    <w:p w14:paraId="14E80856" w14:textId="77777777" w:rsidR="00D22A28" w:rsidRDefault="00D22A28" w:rsidP="008B0A52">
      <w:pPr>
        <w:spacing w:after="0" w:line="480" w:lineRule="auto"/>
        <w:rPr>
          <w:rFonts w:cstheme="minorHAnsi"/>
          <w:sz w:val="20"/>
          <w:szCs w:val="24"/>
        </w:rPr>
      </w:pPr>
      <w:r>
        <w:rPr>
          <w:rFonts w:cstheme="minorHAnsi"/>
          <w:sz w:val="20"/>
          <w:szCs w:val="24"/>
          <w:vertAlign w:val="superscript"/>
        </w:rPr>
        <w:t>2</w:t>
      </w:r>
      <w:r w:rsidRPr="0087244D">
        <w:rPr>
          <w:rFonts w:cstheme="minorHAnsi"/>
          <w:sz w:val="20"/>
          <w:szCs w:val="24"/>
        </w:rPr>
        <w:t xml:space="preserve">Department of </w:t>
      </w:r>
      <w:r>
        <w:rPr>
          <w:rFonts w:cstheme="minorHAnsi"/>
          <w:sz w:val="20"/>
          <w:szCs w:val="24"/>
        </w:rPr>
        <w:t>Medical Statistics</w:t>
      </w:r>
      <w:r w:rsidRPr="0087244D">
        <w:rPr>
          <w:rFonts w:cstheme="minorHAnsi"/>
          <w:sz w:val="20"/>
          <w:szCs w:val="24"/>
        </w:rPr>
        <w:t>,</w:t>
      </w:r>
      <w:r>
        <w:rPr>
          <w:rFonts w:cstheme="minorHAnsi"/>
          <w:sz w:val="20"/>
          <w:szCs w:val="24"/>
        </w:rPr>
        <w:t xml:space="preserve"> Faculty of Epidemiology and Population Health,</w:t>
      </w:r>
      <w:r w:rsidRPr="0087244D">
        <w:rPr>
          <w:rFonts w:cstheme="minorHAnsi"/>
          <w:sz w:val="20"/>
          <w:szCs w:val="24"/>
        </w:rPr>
        <w:t xml:space="preserve"> London School of Hygiene and Tropical Medicine, London, UK</w:t>
      </w:r>
    </w:p>
    <w:p w14:paraId="24948E15" w14:textId="77777777" w:rsidR="00D22A28" w:rsidRDefault="00D22A28" w:rsidP="008B0A52">
      <w:pPr>
        <w:spacing w:after="0" w:line="480" w:lineRule="auto"/>
        <w:rPr>
          <w:rFonts w:cstheme="minorHAnsi"/>
          <w:sz w:val="20"/>
          <w:szCs w:val="24"/>
        </w:rPr>
      </w:pPr>
      <w:r>
        <w:rPr>
          <w:rFonts w:cstheme="minorHAnsi"/>
          <w:sz w:val="20"/>
          <w:szCs w:val="24"/>
          <w:vertAlign w:val="superscript"/>
        </w:rPr>
        <w:t>3</w:t>
      </w:r>
      <w:r>
        <w:rPr>
          <w:rFonts w:cstheme="minorHAnsi"/>
          <w:sz w:val="20"/>
          <w:szCs w:val="24"/>
        </w:rPr>
        <w:t>Department of Epidemiology, Harvard Medical School.</w:t>
      </w:r>
    </w:p>
    <w:p w14:paraId="721B7000" w14:textId="77777777" w:rsidR="00D22A28" w:rsidRDefault="00D22A28" w:rsidP="008B0A52">
      <w:pPr>
        <w:spacing w:after="0" w:line="480" w:lineRule="auto"/>
        <w:rPr>
          <w:rFonts w:cstheme="minorHAnsi"/>
          <w:sz w:val="20"/>
          <w:szCs w:val="24"/>
        </w:rPr>
      </w:pPr>
      <w:r>
        <w:rPr>
          <w:rFonts w:cstheme="minorHAnsi"/>
          <w:sz w:val="20"/>
          <w:szCs w:val="24"/>
          <w:vertAlign w:val="superscript"/>
        </w:rPr>
        <w:t>4</w:t>
      </w:r>
      <w:r>
        <w:rPr>
          <w:rFonts w:cstheme="minorHAnsi"/>
          <w:sz w:val="20"/>
          <w:szCs w:val="24"/>
        </w:rPr>
        <w:t>Division of Pharmacoepidemiology and Pharmacoeconomics, Department of Medicine, Brigham &amp; Women’s Hospital</w:t>
      </w:r>
    </w:p>
    <w:p w14:paraId="21A4AEEE" w14:textId="77777777" w:rsidR="00D22A28" w:rsidRDefault="00D22A28" w:rsidP="008B0A52">
      <w:pPr>
        <w:spacing w:after="0" w:line="480" w:lineRule="auto"/>
        <w:rPr>
          <w:rFonts w:cstheme="minorHAnsi"/>
          <w:sz w:val="20"/>
          <w:szCs w:val="24"/>
        </w:rPr>
      </w:pPr>
      <w:r>
        <w:rPr>
          <w:rFonts w:cstheme="minorHAnsi"/>
          <w:sz w:val="20"/>
          <w:szCs w:val="24"/>
          <w:vertAlign w:val="superscript"/>
        </w:rPr>
        <w:t>5</w:t>
      </w:r>
      <w:r w:rsidRPr="00024167">
        <w:rPr>
          <w:rFonts w:cstheme="minorHAnsi"/>
          <w:sz w:val="20"/>
          <w:szCs w:val="24"/>
        </w:rPr>
        <w:t>National Heart and Lung Institute, Imperial College London, London, United Kingdom</w:t>
      </w:r>
    </w:p>
    <w:p w14:paraId="45D7AEE9" w14:textId="77777777" w:rsidR="00D22A28" w:rsidRDefault="00D22A28" w:rsidP="008B0A52">
      <w:pPr>
        <w:spacing w:after="0" w:line="480" w:lineRule="auto"/>
        <w:rPr>
          <w:rFonts w:cstheme="minorHAnsi"/>
          <w:sz w:val="20"/>
          <w:szCs w:val="24"/>
        </w:rPr>
      </w:pPr>
    </w:p>
    <w:p w14:paraId="7E5E014C" w14:textId="77777777" w:rsidR="00D22A28" w:rsidRDefault="00D22A28" w:rsidP="008B0A52">
      <w:pPr>
        <w:spacing w:after="0" w:line="480" w:lineRule="auto"/>
        <w:rPr>
          <w:rFonts w:cstheme="minorHAnsi"/>
          <w:sz w:val="24"/>
          <w:szCs w:val="24"/>
        </w:rPr>
      </w:pPr>
      <w:r>
        <w:rPr>
          <w:rFonts w:cstheme="minorHAnsi"/>
          <w:b/>
          <w:sz w:val="24"/>
          <w:szCs w:val="24"/>
        </w:rPr>
        <w:t>*</w:t>
      </w:r>
      <w:r w:rsidRPr="0087244D">
        <w:rPr>
          <w:rFonts w:cstheme="minorHAnsi"/>
          <w:b/>
          <w:sz w:val="24"/>
          <w:szCs w:val="24"/>
        </w:rPr>
        <w:t xml:space="preserve">Submitting and corresponding author: </w:t>
      </w:r>
      <w:r w:rsidRPr="00DB47BC">
        <w:rPr>
          <w:rFonts w:cstheme="minorHAnsi"/>
          <w:szCs w:val="24"/>
        </w:rPr>
        <w:t>Kevin Wing (</w:t>
      </w:r>
      <w:hyperlink r:id="rId8" w:history="1">
        <w:r w:rsidRPr="00DB47BC">
          <w:rPr>
            <w:rFonts w:cstheme="minorHAnsi"/>
            <w:color w:val="0000FF" w:themeColor="hyperlink"/>
            <w:u w:val="single"/>
          </w:rPr>
          <w:t>kevin.wing@lshtm.ac.uk</w:t>
        </w:r>
      </w:hyperlink>
      <w:r w:rsidRPr="00DB47BC">
        <w:rPr>
          <w:rFonts w:cstheme="minorHAnsi"/>
          <w:szCs w:val="24"/>
        </w:rPr>
        <w:t>), London School of Hygiene and Tropical Medicine, Keppel Street, London WC1E 7HT. Tel: +44 20 7636 8636, Fax: +44 20 7436 5389</w:t>
      </w:r>
    </w:p>
    <w:p w14:paraId="078F2218" w14:textId="70CBD3CA" w:rsidR="00D22A28" w:rsidRDefault="00D22A28" w:rsidP="008B0A52">
      <w:pPr>
        <w:spacing w:after="0" w:line="480" w:lineRule="auto"/>
        <w:rPr>
          <w:rFonts w:cstheme="minorHAnsi"/>
          <w:bCs/>
          <w:sz w:val="24"/>
          <w:szCs w:val="24"/>
        </w:rPr>
      </w:pPr>
      <w:r>
        <w:rPr>
          <w:rFonts w:cstheme="minorHAnsi"/>
          <w:b/>
          <w:sz w:val="24"/>
          <w:szCs w:val="24"/>
        </w:rPr>
        <w:t xml:space="preserve">Word count (not including </w:t>
      </w:r>
      <w:r w:rsidR="006A25A9">
        <w:rPr>
          <w:rFonts w:cstheme="minorHAnsi"/>
          <w:b/>
          <w:sz w:val="24"/>
          <w:szCs w:val="24"/>
        </w:rPr>
        <w:t xml:space="preserve">title, </w:t>
      </w:r>
      <w:r>
        <w:rPr>
          <w:rFonts w:cstheme="minorHAnsi"/>
          <w:b/>
          <w:sz w:val="24"/>
          <w:szCs w:val="24"/>
        </w:rPr>
        <w:t>abstract,</w:t>
      </w:r>
      <w:r w:rsidR="006A25A9">
        <w:rPr>
          <w:rFonts w:cstheme="minorHAnsi"/>
          <w:b/>
          <w:sz w:val="24"/>
          <w:szCs w:val="24"/>
        </w:rPr>
        <w:t xml:space="preserve"> acknowledgement,</w:t>
      </w:r>
      <w:r>
        <w:rPr>
          <w:rFonts w:cstheme="minorHAnsi"/>
          <w:b/>
          <w:sz w:val="24"/>
          <w:szCs w:val="24"/>
        </w:rPr>
        <w:t xml:space="preserve"> </w:t>
      </w:r>
      <w:r w:rsidR="00D3075C">
        <w:rPr>
          <w:rFonts w:cstheme="minorHAnsi"/>
          <w:b/>
          <w:sz w:val="24"/>
          <w:szCs w:val="24"/>
        </w:rPr>
        <w:t>references, tables, and figure legends</w:t>
      </w:r>
      <w:r>
        <w:rPr>
          <w:rFonts w:cstheme="minorHAnsi"/>
          <w:b/>
          <w:sz w:val="24"/>
          <w:szCs w:val="24"/>
        </w:rPr>
        <w:t xml:space="preserve">):  </w:t>
      </w:r>
      <w:r w:rsidR="00D93845">
        <w:rPr>
          <w:rFonts w:cstheme="minorHAnsi"/>
          <w:bCs/>
          <w:sz w:val="24"/>
          <w:szCs w:val="24"/>
        </w:rPr>
        <w:t>3000</w:t>
      </w:r>
    </w:p>
    <w:p w14:paraId="67F7C05A" w14:textId="4E182A73" w:rsidR="00096876" w:rsidRDefault="00096876" w:rsidP="00096876">
      <w:pPr>
        <w:keepNext/>
        <w:spacing w:after="0" w:line="480" w:lineRule="auto"/>
        <w:rPr>
          <w:rFonts w:cstheme="minorHAnsi"/>
          <w:b/>
          <w:sz w:val="24"/>
          <w:szCs w:val="24"/>
        </w:rPr>
      </w:pPr>
      <w:r w:rsidRPr="00096876">
        <w:rPr>
          <w:rFonts w:cstheme="minorHAnsi"/>
          <w:b/>
          <w:sz w:val="24"/>
          <w:szCs w:val="24"/>
        </w:rPr>
        <w:lastRenderedPageBreak/>
        <w:t>Take home message</w:t>
      </w:r>
    </w:p>
    <w:p w14:paraId="69B53F5F" w14:textId="06166D62" w:rsidR="00096876" w:rsidRPr="008F3E52" w:rsidRDefault="00096876" w:rsidP="00096876">
      <w:pPr>
        <w:spacing w:after="0" w:line="480" w:lineRule="auto"/>
        <w:rPr>
          <w:szCs w:val="24"/>
        </w:rPr>
      </w:pPr>
      <w:r>
        <w:rPr>
          <w:szCs w:val="24"/>
        </w:rPr>
        <w:t>In COPD patients selected from real-world data based on similarity to participants of the TORCH RCT, non-interventional methods generated comparable results to the</w:t>
      </w:r>
      <w:r w:rsidR="009F7495">
        <w:rPr>
          <w:szCs w:val="24"/>
        </w:rPr>
        <w:t xml:space="preserve"> TORCH</w:t>
      </w:r>
      <w:r>
        <w:rPr>
          <w:szCs w:val="24"/>
        </w:rPr>
        <w:t xml:space="preserve"> analysis of LABA-ICS vs LABA in relation to exacerbations, mortality and pneumonia.</w:t>
      </w:r>
    </w:p>
    <w:p w14:paraId="1021548C" w14:textId="77777777" w:rsidR="00096876" w:rsidRPr="00096876" w:rsidRDefault="00096876" w:rsidP="008B0A52">
      <w:pPr>
        <w:spacing w:after="0" w:line="480" w:lineRule="auto"/>
        <w:rPr>
          <w:rFonts w:cstheme="minorHAnsi"/>
          <w:b/>
          <w:sz w:val="24"/>
          <w:szCs w:val="24"/>
        </w:rPr>
      </w:pPr>
    </w:p>
    <w:p w14:paraId="10849E4A" w14:textId="7AE075BF" w:rsidR="006D7D17" w:rsidRPr="00AE283A" w:rsidRDefault="006D7D17" w:rsidP="008B0A52">
      <w:pPr>
        <w:pStyle w:val="Heading1NoNumber0"/>
        <w:spacing w:line="480" w:lineRule="auto"/>
        <w:ind w:left="0" w:firstLine="0"/>
        <w:rPr>
          <w:b w:val="0"/>
          <w:color w:val="FF0000"/>
        </w:rPr>
      </w:pPr>
    </w:p>
    <w:p w14:paraId="550E5A79" w14:textId="77777777" w:rsidR="00D22A28" w:rsidRDefault="00D22A28" w:rsidP="008B0A52">
      <w:pPr>
        <w:spacing w:after="0" w:line="480" w:lineRule="auto"/>
        <w:rPr>
          <w:szCs w:val="20"/>
        </w:rPr>
      </w:pPr>
      <w:r>
        <w:rPr>
          <w:szCs w:val="20"/>
        </w:rPr>
        <w:br w:type="page"/>
      </w:r>
    </w:p>
    <w:p w14:paraId="25795611" w14:textId="2120EC47" w:rsidR="00AE283A" w:rsidRDefault="00AE283A" w:rsidP="008B0A52">
      <w:pPr>
        <w:pStyle w:val="Heading1NoNumber0"/>
        <w:spacing w:line="480" w:lineRule="auto"/>
        <w:ind w:left="0" w:firstLine="0"/>
      </w:pPr>
      <w:r>
        <w:lastRenderedPageBreak/>
        <w:t>Abstract</w:t>
      </w:r>
    </w:p>
    <w:p w14:paraId="2EBAA8B4" w14:textId="63F45A9F" w:rsidR="00A73361" w:rsidRPr="00016CC2" w:rsidRDefault="00A73361" w:rsidP="00016CC2">
      <w:pPr>
        <w:spacing w:after="0" w:line="480" w:lineRule="auto"/>
        <w:ind w:hanging="11"/>
        <w:outlineLvl w:val="1"/>
        <w:rPr>
          <w:rFonts w:eastAsia="Times New Roman"/>
          <w:lang w:eastAsia="en-GB"/>
        </w:rPr>
      </w:pPr>
      <w:r w:rsidRPr="00F127A7">
        <w:rPr>
          <w:rFonts w:eastAsia="Times New Roman"/>
          <w:lang w:eastAsia="en-GB"/>
        </w:rPr>
        <w:t>Real-world data provide the potential for generating evidence o</w:t>
      </w:r>
      <w:r>
        <w:rPr>
          <w:rFonts w:eastAsia="Times New Roman"/>
          <w:lang w:eastAsia="en-GB"/>
        </w:rPr>
        <w:t xml:space="preserve">n drug </w:t>
      </w:r>
      <w:r w:rsidRPr="00F127A7">
        <w:rPr>
          <w:rFonts w:eastAsia="Times New Roman"/>
          <w:lang w:eastAsia="en-GB"/>
        </w:rPr>
        <w:t>treatment effects in groups excluded from trials, but rigorous, validated methodology for doing so is lacking.</w:t>
      </w:r>
      <w:r>
        <w:rPr>
          <w:rFonts w:eastAsia="Times New Roman"/>
          <w:lang w:eastAsia="en-GB"/>
        </w:rPr>
        <w:t xml:space="preserve"> </w:t>
      </w:r>
      <w:r w:rsidR="00641CA9">
        <w:rPr>
          <w:rFonts w:eastAsia="Times New Roman"/>
          <w:lang w:eastAsia="en-GB"/>
        </w:rPr>
        <w:t xml:space="preserve">We </w:t>
      </w:r>
      <w:r w:rsidR="00A25427">
        <w:rPr>
          <w:rFonts w:eastAsia="Times New Roman"/>
          <w:lang w:eastAsia="en-GB"/>
        </w:rPr>
        <w:t>investigated</w:t>
      </w:r>
      <w:r w:rsidR="00016CC2">
        <w:rPr>
          <w:rFonts w:eastAsia="Times New Roman"/>
          <w:lang w:eastAsia="en-GB"/>
        </w:rPr>
        <w:t xml:space="preserve"> </w:t>
      </w:r>
      <w:r>
        <w:rPr>
          <w:rFonts w:eastAsia="Times New Roman"/>
          <w:lang w:eastAsia="en-GB"/>
        </w:rPr>
        <w:t xml:space="preserve">whether non-interventional methods applied to real-world data </w:t>
      </w:r>
      <w:r w:rsidR="00016CC2">
        <w:rPr>
          <w:rFonts w:eastAsia="Times New Roman"/>
          <w:lang w:eastAsia="en-GB"/>
        </w:rPr>
        <w:t>could</w:t>
      </w:r>
      <w:r>
        <w:rPr>
          <w:rFonts w:eastAsia="Times New Roman"/>
          <w:lang w:eastAsia="en-GB"/>
        </w:rPr>
        <w:t xml:space="preserve"> reproduce results from the landmark TORCH COPD trial.</w:t>
      </w:r>
    </w:p>
    <w:p w14:paraId="4E26AD83" w14:textId="063C2D6C" w:rsidR="00260AF4" w:rsidRDefault="00260AF4" w:rsidP="00F8699D">
      <w:pPr>
        <w:spacing w:after="0" w:line="480" w:lineRule="auto"/>
        <w:ind w:hanging="11"/>
        <w:outlineLvl w:val="1"/>
        <w:rPr>
          <w:rFonts w:eastAsia="Times New Roman"/>
          <w:lang w:eastAsia="en-GB"/>
        </w:rPr>
      </w:pPr>
      <w:r>
        <w:rPr>
          <w:rFonts w:eastAsia="Times New Roman"/>
          <w:lang w:eastAsia="en-GB"/>
        </w:rPr>
        <w:t>We performed a historical cohort study</w:t>
      </w:r>
      <w:r w:rsidR="00CA6A59">
        <w:rPr>
          <w:rFonts w:eastAsia="Times New Roman"/>
          <w:lang w:eastAsia="en-GB"/>
        </w:rPr>
        <w:t xml:space="preserve"> (2000-2017)</w:t>
      </w:r>
      <w:r>
        <w:rPr>
          <w:rFonts w:eastAsia="Times New Roman"/>
          <w:lang w:eastAsia="en-GB"/>
        </w:rPr>
        <w:t xml:space="preserve"> of COPD drug treatment effects in the UK Clinical Practice Research Datalink (CPRD).</w:t>
      </w:r>
      <w:r w:rsidR="008007CB">
        <w:rPr>
          <w:rFonts w:eastAsia="Times New Roman"/>
          <w:lang w:eastAsia="en-GB"/>
        </w:rPr>
        <w:t xml:space="preserve"> </w:t>
      </w:r>
      <w:r w:rsidR="008007CB">
        <w:t>Two control groups were selected from CPRD by applying TORCH inclusion/exclusion</w:t>
      </w:r>
      <w:r w:rsidR="00AB0EF1">
        <w:t xml:space="preserve"> criteria</w:t>
      </w:r>
      <w:r w:rsidR="008007CB">
        <w:t xml:space="preserve"> and 1:1 matching to TORCH participants: control group 1 - people with COPD not </w:t>
      </w:r>
      <w:r w:rsidR="00FE15E1">
        <w:t>prescribed</w:t>
      </w:r>
      <w:r w:rsidR="008007CB">
        <w:t xml:space="preserve"> </w:t>
      </w:r>
      <w:r w:rsidR="008007CB">
        <w:rPr>
          <w:rFonts w:ascii="Calibri" w:eastAsia="Times New Roman" w:hAnsi="Calibri"/>
        </w:rPr>
        <w:t>f</w:t>
      </w:r>
      <w:r w:rsidR="008007CB" w:rsidRPr="00F127A7">
        <w:rPr>
          <w:rFonts w:eastAsia="Times New Roman"/>
          <w:lang w:eastAsia="en-GB"/>
        </w:rPr>
        <w:t>luticasone propionate</w:t>
      </w:r>
      <w:r w:rsidR="008007CB">
        <w:rPr>
          <w:rFonts w:eastAsia="Times New Roman"/>
          <w:lang w:eastAsia="en-GB"/>
        </w:rPr>
        <w:t>-</w:t>
      </w:r>
      <w:r w:rsidR="008007CB" w:rsidRPr="00F127A7">
        <w:rPr>
          <w:rFonts w:eastAsia="Times New Roman"/>
          <w:lang w:eastAsia="en-GB"/>
        </w:rPr>
        <w:t>salmeterol (FP-SAL)</w:t>
      </w:r>
      <w:r w:rsidR="008007CB">
        <w:rPr>
          <w:rFonts w:eastAsia="Times New Roman"/>
          <w:lang w:eastAsia="en-GB"/>
        </w:rPr>
        <w:t xml:space="preserve">, control group 2 - </w:t>
      </w:r>
      <w:r w:rsidR="008007CB">
        <w:t xml:space="preserve">people with COPD </w:t>
      </w:r>
      <w:r w:rsidR="00FE15E1">
        <w:rPr>
          <w:rFonts w:ascii="Calibri" w:eastAsia="Times New Roman" w:hAnsi="Calibri"/>
        </w:rPr>
        <w:t>prescribed</w:t>
      </w:r>
      <w:r w:rsidR="008007CB" w:rsidRPr="00F127A7">
        <w:rPr>
          <w:rFonts w:ascii="Calibri" w:eastAsia="Times New Roman" w:hAnsi="Calibri"/>
        </w:rPr>
        <w:t xml:space="preserve"> salmeterol (SAL)</w:t>
      </w:r>
      <w:r w:rsidR="008007CB">
        <w:rPr>
          <w:rFonts w:ascii="Calibri" w:eastAsia="Times New Roman" w:hAnsi="Calibri"/>
        </w:rPr>
        <w:t xml:space="preserve">. </w:t>
      </w:r>
      <w:r w:rsidR="008007CB">
        <w:t xml:space="preserve"> </w:t>
      </w:r>
      <w:r w:rsidR="008007CB">
        <w:rPr>
          <w:rFonts w:ascii="Calibri" w:eastAsia="Times New Roman" w:hAnsi="Calibri"/>
        </w:rPr>
        <w:t xml:space="preserve">FP-SAL exposed groups were then selected from CPRD by </w:t>
      </w:r>
      <w:r w:rsidR="008007CB" w:rsidRPr="00F127A7">
        <w:rPr>
          <w:rFonts w:ascii="Calibri" w:eastAsia="Times New Roman" w:hAnsi="Calibri"/>
        </w:rPr>
        <w:t>propensity-score match</w:t>
      </w:r>
      <w:r w:rsidR="008007CB">
        <w:rPr>
          <w:rFonts w:ascii="Calibri" w:eastAsia="Times New Roman" w:hAnsi="Calibri"/>
        </w:rPr>
        <w:t xml:space="preserve">ing to each control group. </w:t>
      </w:r>
      <w:r w:rsidR="00F8699D">
        <w:rPr>
          <w:rFonts w:eastAsia="Times New Roman"/>
          <w:lang w:eastAsia="en-GB"/>
        </w:rPr>
        <w:t>Outcomes studied were</w:t>
      </w:r>
      <w:r w:rsidR="000A3F3B">
        <w:rPr>
          <w:rFonts w:eastAsia="Times New Roman"/>
          <w:lang w:eastAsia="en-GB"/>
        </w:rPr>
        <w:t xml:space="preserve"> </w:t>
      </w:r>
      <w:r w:rsidR="000A3F3B" w:rsidRPr="00F127A7">
        <w:rPr>
          <w:rFonts w:eastAsia="Times New Roman"/>
          <w:lang w:eastAsia="en-GB"/>
        </w:rPr>
        <w:t>COPD exacerbations</w:t>
      </w:r>
      <w:r w:rsidR="000A3F3B">
        <w:rPr>
          <w:rFonts w:eastAsia="Times New Roman"/>
          <w:lang w:eastAsia="en-GB"/>
        </w:rPr>
        <w:t xml:space="preserve">, death from any cause and </w:t>
      </w:r>
      <w:r w:rsidR="000A3F3B" w:rsidRPr="00F127A7">
        <w:rPr>
          <w:rFonts w:eastAsia="Times New Roman"/>
          <w:lang w:eastAsia="en-GB"/>
        </w:rPr>
        <w:t xml:space="preserve">pneumonia.  </w:t>
      </w:r>
    </w:p>
    <w:p w14:paraId="2781ED23" w14:textId="436FA1DA" w:rsidR="000A3F3B" w:rsidRPr="005037DE" w:rsidRDefault="000A3F3B" w:rsidP="005037DE">
      <w:pPr>
        <w:spacing w:after="0" w:line="480" w:lineRule="auto"/>
        <w:outlineLvl w:val="1"/>
        <w:rPr>
          <w:rFonts w:ascii="Calibri" w:eastAsia="Times New Roman" w:hAnsi="Calibri"/>
        </w:rPr>
      </w:pPr>
      <w:r>
        <w:rPr>
          <w:rFonts w:ascii="Calibri" w:eastAsia="Times New Roman" w:hAnsi="Calibri"/>
        </w:rPr>
        <w:t xml:space="preserve">2652 FP-SAL exposed people were propensity-score matched to 2652 FP-SAL unexposed people while 991 FP-SAL exposed people were propensity-score matched to 991 SAL exposed people. </w:t>
      </w:r>
      <w:r w:rsidR="00A154AF">
        <w:rPr>
          <w:rFonts w:ascii="Calibri" w:eastAsia="Times New Roman" w:hAnsi="Calibri"/>
        </w:rPr>
        <w:t>E</w:t>
      </w:r>
      <w:r w:rsidR="00A154AF" w:rsidRPr="00F127A7">
        <w:rPr>
          <w:rFonts w:ascii="Calibri" w:eastAsia="Times New Roman" w:hAnsi="Calibri"/>
        </w:rPr>
        <w:t>xacerbation rate</w:t>
      </w:r>
      <w:r w:rsidR="002D0133">
        <w:rPr>
          <w:rFonts w:ascii="Calibri" w:eastAsia="Times New Roman" w:hAnsi="Calibri"/>
        </w:rPr>
        <w:t xml:space="preserve"> ratio</w:t>
      </w:r>
      <w:r w:rsidR="001E2FD1">
        <w:rPr>
          <w:rFonts w:ascii="Calibri" w:eastAsia="Times New Roman" w:hAnsi="Calibri"/>
        </w:rPr>
        <w:t xml:space="preserve"> </w:t>
      </w:r>
      <w:r w:rsidR="001E2FD1" w:rsidRPr="00F127A7">
        <w:rPr>
          <w:rFonts w:ascii="Calibri" w:eastAsia="Times New Roman" w:hAnsi="Calibri"/>
        </w:rPr>
        <w:t>was comparable to TORCH</w:t>
      </w:r>
      <w:r w:rsidR="00A154AF">
        <w:rPr>
          <w:rFonts w:ascii="Calibri" w:eastAsia="Times New Roman" w:hAnsi="Calibri"/>
        </w:rPr>
        <w:t xml:space="preserve"> for</w:t>
      </w:r>
      <w:r w:rsidR="00A154AF" w:rsidRPr="00F127A7">
        <w:rPr>
          <w:rFonts w:ascii="Calibri" w:eastAsia="Times New Roman" w:hAnsi="Calibri"/>
        </w:rPr>
        <w:t xml:space="preserve"> </w:t>
      </w:r>
      <w:r w:rsidRPr="00F127A7">
        <w:rPr>
          <w:rFonts w:ascii="Calibri" w:eastAsia="Times New Roman" w:hAnsi="Calibri"/>
        </w:rPr>
        <w:t xml:space="preserve">FP-SAL versus </w:t>
      </w:r>
      <w:r>
        <w:rPr>
          <w:rFonts w:ascii="Calibri" w:eastAsia="Times New Roman" w:hAnsi="Calibri"/>
        </w:rPr>
        <w:t>SAL</w:t>
      </w:r>
      <w:r w:rsidRPr="00F127A7">
        <w:rPr>
          <w:rFonts w:ascii="Calibri" w:eastAsia="Times New Roman" w:hAnsi="Calibri"/>
        </w:rPr>
        <w:t xml:space="preserve"> (0.8</w:t>
      </w:r>
      <w:r>
        <w:rPr>
          <w:rFonts w:ascii="Calibri" w:eastAsia="Times New Roman" w:hAnsi="Calibri"/>
        </w:rPr>
        <w:t>5</w:t>
      </w:r>
      <w:r w:rsidRPr="00F127A7">
        <w:rPr>
          <w:rFonts w:ascii="Calibri" w:eastAsia="Times New Roman" w:hAnsi="Calibri"/>
        </w:rPr>
        <w:t>, 95% CI 0.7</w:t>
      </w:r>
      <w:r>
        <w:rPr>
          <w:rFonts w:ascii="Calibri" w:eastAsia="Times New Roman" w:hAnsi="Calibri"/>
        </w:rPr>
        <w:t>4</w:t>
      </w:r>
      <w:r w:rsidRPr="00F127A7">
        <w:rPr>
          <w:rFonts w:ascii="Calibri" w:eastAsia="Times New Roman" w:hAnsi="Calibri"/>
        </w:rPr>
        <w:t>-0.9</w:t>
      </w:r>
      <w:r>
        <w:rPr>
          <w:rFonts w:ascii="Calibri" w:eastAsia="Times New Roman" w:hAnsi="Calibri"/>
        </w:rPr>
        <w:t>7</w:t>
      </w:r>
      <w:r w:rsidR="001E2FD1">
        <w:rPr>
          <w:rFonts w:ascii="Calibri" w:eastAsia="Times New Roman" w:hAnsi="Calibri"/>
        </w:rPr>
        <w:t xml:space="preserve"> vs</w:t>
      </w:r>
      <w:r w:rsidRPr="00F127A7">
        <w:rPr>
          <w:rFonts w:ascii="Calibri" w:eastAsia="Times New Roman" w:hAnsi="Calibri"/>
        </w:rPr>
        <w:t xml:space="preserve"> 0.88, 0.81-0.95)</w:t>
      </w:r>
      <w:r w:rsidR="001E2FD1">
        <w:rPr>
          <w:rFonts w:ascii="Calibri" w:eastAsia="Times New Roman" w:hAnsi="Calibri"/>
        </w:rPr>
        <w:t xml:space="preserve"> </w:t>
      </w:r>
      <w:r w:rsidR="00F17CED">
        <w:rPr>
          <w:rFonts w:ascii="Calibri" w:eastAsia="Times New Roman" w:hAnsi="Calibri"/>
        </w:rPr>
        <w:t>but</w:t>
      </w:r>
      <w:r w:rsidR="001D405F">
        <w:rPr>
          <w:rFonts w:ascii="Calibri" w:eastAsia="Times New Roman" w:hAnsi="Calibri"/>
        </w:rPr>
        <w:t xml:space="preserve"> </w:t>
      </w:r>
      <w:r w:rsidR="001E2FD1">
        <w:rPr>
          <w:rFonts w:ascii="Calibri" w:eastAsia="Times New Roman" w:hAnsi="Calibri"/>
        </w:rPr>
        <w:t xml:space="preserve">not for </w:t>
      </w:r>
      <w:r w:rsidRPr="00F127A7">
        <w:rPr>
          <w:rFonts w:ascii="Calibri" w:eastAsia="Times New Roman" w:hAnsi="Calibri"/>
        </w:rPr>
        <w:t>FP-SAL versus no FP-SAL (1.3</w:t>
      </w:r>
      <w:r>
        <w:rPr>
          <w:rFonts w:ascii="Calibri" w:eastAsia="Times New Roman" w:hAnsi="Calibri"/>
        </w:rPr>
        <w:t>0</w:t>
      </w:r>
      <w:r w:rsidRPr="00F127A7">
        <w:rPr>
          <w:rFonts w:ascii="Calibri" w:eastAsia="Times New Roman" w:hAnsi="Calibri"/>
        </w:rPr>
        <w:t>, 1.</w:t>
      </w:r>
      <w:r>
        <w:rPr>
          <w:rFonts w:ascii="Calibri" w:eastAsia="Times New Roman" w:hAnsi="Calibri"/>
        </w:rPr>
        <w:t>19</w:t>
      </w:r>
      <w:r w:rsidRPr="00F127A7">
        <w:rPr>
          <w:rFonts w:ascii="Calibri" w:eastAsia="Times New Roman" w:hAnsi="Calibri"/>
        </w:rPr>
        <w:t>-1.4</w:t>
      </w:r>
      <w:r>
        <w:rPr>
          <w:rFonts w:ascii="Calibri" w:eastAsia="Times New Roman" w:hAnsi="Calibri"/>
        </w:rPr>
        <w:t>2</w:t>
      </w:r>
      <w:r w:rsidR="001E2FD1">
        <w:rPr>
          <w:rFonts w:ascii="Calibri" w:eastAsia="Times New Roman" w:hAnsi="Calibri"/>
        </w:rPr>
        <w:t xml:space="preserve"> vs</w:t>
      </w:r>
      <w:r w:rsidR="00B4086D">
        <w:rPr>
          <w:rFonts w:ascii="Calibri" w:eastAsia="Times New Roman" w:hAnsi="Calibri"/>
        </w:rPr>
        <w:t xml:space="preserve"> </w:t>
      </w:r>
      <w:r w:rsidRPr="00F127A7">
        <w:rPr>
          <w:rFonts w:ascii="Calibri" w:eastAsia="Times New Roman" w:hAnsi="Calibri"/>
        </w:rPr>
        <w:t>0.75, 0.69-0.81). Active comparator results were also consistent with TORCH for mortality (</w:t>
      </w:r>
      <w:r>
        <w:rPr>
          <w:rFonts w:ascii="Calibri" w:eastAsia="Times New Roman" w:hAnsi="Calibri"/>
        </w:rPr>
        <w:t>hazard ratio 0.93, 0.65-1.32</w:t>
      </w:r>
      <w:r w:rsidRPr="00F127A7">
        <w:rPr>
          <w:rFonts w:ascii="Calibri" w:eastAsia="Times New Roman" w:hAnsi="Calibri"/>
        </w:rPr>
        <w:t xml:space="preserve"> vs 0.93, 0.77-1.13) and pneumonia (</w:t>
      </w:r>
      <w:r>
        <w:rPr>
          <w:rFonts w:ascii="Calibri" w:eastAsia="Times New Roman" w:hAnsi="Calibri"/>
        </w:rPr>
        <w:t xml:space="preserve">risk ratio </w:t>
      </w:r>
      <w:r w:rsidRPr="00F127A7">
        <w:rPr>
          <w:rFonts w:ascii="Calibri" w:eastAsia="Times New Roman" w:hAnsi="Calibri"/>
        </w:rPr>
        <w:t>1.</w:t>
      </w:r>
      <w:r>
        <w:rPr>
          <w:rFonts w:ascii="Calibri" w:eastAsia="Times New Roman" w:hAnsi="Calibri"/>
        </w:rPr>
        <w:t>39</w:t>
      </w:r>
      <w:r w:rsidRPr="00F127A7">
        <w:rPr>
          <w:rFonts w:ascii="Calibri" w:eastAsia="Times New Roman" w:hAnsi="Calibri"/>
        </w:rPr>
        <w:t xml:space="preserve">, </w:t>
      </w:r>
      <w:r>
        <w:rPr>
          <w:rFonts w:ascii="Calibri" w:eastAsia="Times New Roman" w:hAnsi="Calibri"/>
        </w:rPr>
        <w:t>1.04</w:t>
      </w:r>
      <w:r w:rsidRPr="00F127A7">
        <w:rPr>
          <w:rFonts w:ascii="Calibri" w:eastAsia="Times New Roman" w:hAnsi="Calibri"/>
        </w:rPr>
        <w:t>-1.</w:t>
      </w:r>
      <w:r>
        <w:rPr>
          <w:rFonts w:ascii="Calibri" w:eastAsia="Times New Roman" w:hAnsi="Calibri"/>
        </w:rPr>
        <w:t>87</w:t>
      </w:r>
      <w:r w:rsidRPr="00F127A7">
        <w:rPr>
          <w:rFonts w:ascii="Calibri" w:eastAsia="Times New Roman" w:hAnsi="Calibri"/>
        </w:rPr>
        <w:t xml:space="preserve"> vs 1.47, 1.25-1.73).</w:t>
      </w:r>
    </w:p>
    <w:p w14:paraId="11417A6C" w14:textId="2B07CABE" w:rsidR="00B153EC" w:rsidRPr="004D19CD" w:rsidRDefault="00F34EDF" w:rsidP="008B0A52">
      <w:pPr>
        <w:spacing w:line="480" w:lineRule="auto"/>
        <w:jc w:val="both"/>
        <w:rPr>
          <w:rFonts w:ascii="Calibri" w:hAnsi="Calibri" w:cs="Calibri"/>
        </w:rPr>
      </w:pPr>
      <w:r>
        <w:rPr>
          <w:rFonts w:ascii="Calibri" w:eastAsia="Times New Roman" w:hAnsi="Calibri"/>
        </w:rPr>
        <w:t>We obtained</w:t>
      </w:r>
      <w:r w:rsidR="00DD4910">
        <w:rPr>
          <w:rFonts w:ascii="Calibri" w:eastAsia="Times New Roman" w:hAnsi="Calibri"/>
        </w:rPr>
        <w:t xml:space="preserve"> </w:t>
      </w:r>
      <w:r w:rsidR="006A5FE4">
        <w:rPr>
          <w:rFonts w:ascii="Calibri" w:eastAsia="Times New Roman" w:hAnsi="Calibri"/>
        </w:rPr>
        <w:t>very similar</w:t>
      </w:r>
      <w:r>
        <w:rPr>
          <w:rFonts w:ascii="Calibri" w:eastAsia="Times New Roman" w:hAnsi="Calibri"/>
        </w:rPr>
        <w:t xml:space="preserve"> results</w:t>
      </w:r>
      <w:r w:rsidR="006A5FE4">
        <w:rPr>
          <w:rFonts w:ascii="Calibri" w:eastAsia="Times New Roman" w:hAnsi="Calibri"/>
        </w:rPr>
        <w:t xml:space="preserve"> to the TORCH trial</w:t>
      </w:r>
      <w:r w:rsidR="00B153EC" w:rsidRPr="00F127A7">
        <w:rPr>
          <w:rFonts w:ascii="Calibri" w:eastAsia="Times New Roman" w:hAnsi="Calibri"/>
        </w:rPr>
        <w:t xml:space="preserve"> for active comparator </w:t>
      </w:r>
      <w:proofErr w:type="gramStart"/>
      <w:r w:rsidR="00B153EC" w:rsidRPr="00F127A7">
        <w:rPr>
          <w:rFonts w:ascii="Calibri" w:eastAsia="Times New Roman" w:hAnsi="Calibri"/>
        </w:rPr>
        <w:t>analyses</w:t>
      </w:r>
      <w:r w:rsidR="00125EE0">
        <w:rPr>
          <w:rFonts w:ascii="Calibri" w:eastAsia="Times New Roman" w:hAnsi="Calibri"/>
        </w:rPr>
        <w:t>, but</w:t>
      </w:r>
      <w:proofErr w:type="gramEnd"/>
      <w:r w:rsidR="00125EE0">
        <w:rPr>
          <w:rFonts w:ascii="Calibri" w:eastAsia="Times New Roman" w:hAnsi="Calibri"/>
        </w:rPr>
        <w:t xml:space="preserve"> were unable to reproduce placebo-controlled results</w:t>
      </w:r>
      <w:r w:rsidR="00B153EC" w:rsidRPr="00F127A7">
        <w:rPr>
          <w:rFonts w:ascii="Calibri" w:eastAsia="Times New Roman" w:hAnsi="Calibri"/>
        </w:rPr>
        <w:t>.</w:t>
      </w:r>
      <w:r w:rsidR="002B7675">
        <w:rPr>
          <w:rFonts w:ascii="Calibri" w:eastAsia="Times New Roman" w:hAnsi="Calibri"/>
        </w:rPr>
        <w:t xml:space="preserve"> </w:t>
      </w:r>
      <w:r w:rsidR="00B153EC" w:rsidRPr="00F127A7">
        <w:rPr>
          <w:rFonts w:ascii="Calibri" w:eastAsia="Times New Roman" w:hAnsi="Calibri"/>
        </w:rPr>
        <w:t>Application of these validated methods</w:t>
      </w:r>
      <w:r w:rsidR="00125EE0">
        <w:rPr>
          <w:rFonts w:ascii="Calibri" w:eastAsia="Times New Roman" w:hAnsi="Calibri"/>
        </w:rPr>
        <w:t xml:space="preserve"> for active comparator analyses </w:t>
      </w:r>
      <w:r w:rsidR="00B153EC" w:rsidRPr="00F127A7">
        <w:rPr>
          <w:rFonts w:ascii="Calibri" w:eastAsia="Times New Roman" w:hAnsi="Calibri"/>
        </w:rPr>
        <w:t xml:space="preserve">to groups </w:t>
      </w:r>
      <w:r w:rsidR="00061A26">
        <w:rPr>
          <w:rFonts w:ascii="Calibri" w:eastAsia="Times New Roman" w:hAnsi="Calibri"/>
        </w:rPr>
        <w:t>excluded from</w:t>
      </w:r>
      <w:r w:rsidR="00B153EC" w:rsidRPr="00F127A7">
        <w:rPr>
          <w:rFonts w:ascii="Calibri" w:eastAsia="Times New Roman" w:hAnsi="Calibri"/>
        </w:rPr>
        <w:t xml:space="preserve"> </w:t>
      </w:r>
      <w:r w:rsidR="006A5FE4">
        <w:rPr>
          <w:rFonts w:ascii="Calibri" w:eastAsia="Times New Roman" w:hAnsi="Calibri"/>
        </w:rPr>
        <w:t>RCTs</w:t>
      </w:r>
      <w:r w:rsidR="00B153EC" w:rsidRPr="00F127A7">
        <w:rPr>
          <w:rFonts w:ascii="Calibri" w:eastAsia="Times New Roman" w:hAnsi="Calibri"/>
        </w:rPr>
        <w:t xml:space="preserve"> </w:t>
      </w:r>
      <w:r w:rsidR="006F38BC">
        <w:rPr>
          <w:rFonts w:ascii="Calibri" w:eastAsia="Times New Roman" w:hAnsi="Calibri"/>
        </w:rPr>
        <w:t>provide</w:t>
      </w:r>
      <w:r w:rsidR="00972653">
        <w:rPr>
          <w:rFonts w:ascii="Calibri" w:eastAsia="Times New Roman" w:hAnsi="Calibri"/>
        </w:rPr>
        <w:t>s</w:t>
      </w:r>
      <w:r w:rsidR="006F38BC">
        <w:rPr>
          <w:rFonts w:ascii="Calibri" w:eastAsia="Times New Roman" w:hAnsi="Calibri"/>
        </w:rPr>
        <w:t xml:space="preserve"> a practical way </w:t>
      </w:r>
      <w:r w:rsidR="00972653">
        <w:rPr>
          <w:rFonts w:ascii="Calibri" w:eastAsia="Times New Roman" w:hAnsi="Calibri"/>
        </w:rPr>
        <w:t xml:space="preserve">for contributing to the </w:t>
      </w:r>
      <w:r w:rsidR="00B153EC" w:rsidRPr="00F127A7">
        <w:rPr>
          <w:rFonts w:ascii="Calibri" w:eastAsia="Times New Roman" w:hAnsi="Calibri"/>
        </w:rPr>
        <w:t xml:space="preserve">evidence base and </w:t>
      </w:r>
      <w:r w:rsidR="00391574">
        <w:rPr>
          <w:rFonts w:ascii="Calibri" w:eastAsia="Times New Roman" w:hAnsi="Calibri"/>
        </w:rPr>
        <w:t xml:space="preserve">supporting </w:t>
      </w:r>
      <w:r w:rsidR="00850F0B">
        <w:rPr>
          <w:rFonts w:ascii="Calibri" w:eastAsia="Times New Roman" w:hAnsi="Calibri"/>
        </w:rPr>
        <w:t>COPD treatment decisions</w:t>
      </w:r>
      <w:r w:rsidR="00B153EC" w:rsidRPr="00F127A7">
        <w:rPr>
          <w:rFonts w:ascii="Calibri" w:eastAsia="Times New Roman" w:hAnsi="Calibri"/>
        </w:rPr>
        <w:t xml:space="preserve">. </w:t>
      </w:r>
    </w:p>
    <w:p w14:paraId="45D18C26" w14:textId="77777777" w:rsidR="00D22A28" w:rsidRPr="005E38A8" w:rsidRDefault="00D22A28" w:rsidP="008B0A52">
      <w:pPr>
        <w:spacing w:after="0" w:line="480" w:lineRule="auto"/>
        <w:outlineLvl w:val="1"/>
        <w:rPr>
          <w:rFonts w:ascii="Calibri" w:eastAsia="Calibri" w:hAnsi="Calibri"/>
          <w:b/>
          <w:sz w:val="26"/>
          <w:szCs w:val="26"/>
        </w:rPr>
      </w:pPr>
    </w:p>
    <w:p w14:paraId="36935EDD" w14:textId="77777777" w:rsidR="00000BA0" w:rsidRDefault="00000BA0" w:rsidP="008B0A52">
      <w:pPr>
        <w:spacing w:after="200" w:line="480" w:lineRule="auto"/>
        <w:rPr>
          <w:b/>
          <w:sz w:val="32"/>
          <w:szCs w:val="26"/>
        </w:rPr>
      </w:pPr>
      <w:r>
        <w:br w:type="page"/>
      </w:r>
    </w:p>
    <w:p w14:paraId="38BFA35F" w14:textId="52237D86" w:rsidR="00D27424" w:rsidRDefault="00B6103D" w:rsidP="008B0A52">
      <w:pPr>
        <w:pStyle w:val="Heading1NoNumber0"/>
        <w:spacing w:line="480" w:lineRule="auto"/>
        <w:ind w:left="0" w:firstLine="0"/>
        <w:rPr>
          <w:b w:val="0"/>
          <w:color w:val="FF0000"/>
        </w:rPr>
      </w:pPr>
      <w:r>
        <w:lastRenderedPageBreak/>
        <w:t>Introduction</w:t>
      </w:r>
      <w:r w:rsidR="00104BC7">
        <w:t xml:space="preserve"> </w:t>
      </w:r>
    </w:p>
    <w:p w14:paraId="2C4F979C" w14:textId="1484F8BD" w:rsidR="0049779A" w:rsidRDefault="0081574F" w:rsidP="008B0A52">
      <w:pPr>
        <w:spacing w:line="480" w:lineRule="auto"/>
        <w:jc w:val="both"/>
        <w:rPr>
          <w:rFonts w:eastAsia="Times New Roman"/>
          <w:lang w:eastAsia="en-GB"/>
        </w:rPr>
      </w:pPr>
      <w:r>
        <w:rPr>
          <w:rFonts w:eastAsia="Times New Roman"/>
          <w:lang w:eastAsia="en-GB"/>
        </w:rPr>
        <w:t>The</w:t>
      </w:r>
      <w:r w:rsidR="00187707">
        <w:rPr>
          <w:rFonts w:eastAsia="Times New Roman"/>
          <w:lang w:eastAsia="en-GB"/>
        </w:rPr>
        <w:t xml:space="preserve"> </w:t>
      </w:r>
      <w:r w:rsidR="00187707" w:rsidRPr="00F127A7">
        <w:rPr>
          <w:rFonts w:eastAsia="Times New Roman"/>
          <w:lang w:eastAsia="en-GB"/>
        </w:rPr>
        <w:t xml:space="preserve">long-acting </w:t>
      </w:r>
      <w:r w:rsidR="00187707" w:rsidRPr="00F127A7">
        <w:rPr>
          <w:rFonts w:eastAsia="Times New Roman" w:cs="Calibri"/>
          <w:lang w:eastAsia="en-GB"/>
        </w:rPr>
        <w:t>β</w:t>
      </w:r>
      <w:r w:rsidR="00187707" w:rsidRPr="00F127A7">
        <w:rPr>
          <w:rFonts w:eastAsia="Times New Roman"/>
          <w:vertAlign w:val="subscript"/>
          <w:lang w:eastAsia="en-GB"/>
        </w:rPr>
        <w:t>2</w:t>
      </w:r>
      <w:r w:rsidR="00187707" w:rsidRPr="00F127A7">
        <w:rPr>
          <w:rFonts w:eastAsia="Times New Roman"/>
          <w:lang w:eastAsia="en-GB"/>
        </w:rPr>
        <w:t xml:space="preserve"> agonist - inhaled corticosteroid </w:t>
      </w:r>
      <w:r w:rsidR="00187707">
        <w:rPr>
          <w:rFonts w:eastAsia="Times New Roman"/>
          <w:lang w:eastAsia="en-GB"/>
        </w:rPr>
        <w:t>(</w:t>
      </w:r>
      <w:r>
        <w:rPr>
          <w:rFonts w:eastAsia="Times New Roman"/>
          <w:lang w:eastAsia="en-GB"/>
        </w:rPr>
        <w:t>LABA-ICS</w:t>
      </w:r>
      <w:r w:rsidR="00187707">
        <w:rPr>
          <w:rFonts w:eastAsia="Times New Roman"/>
          <w:lang w:eastAsia="en-GB"/>
        </w:rPr>
        <w:t>)</w:t>
      </w:r>
      <w:r>
        <w:rPr>
          <w:rFonts w:eastAsia="Times New Roman"/>
          <w:lang w:eastAsia="en-GB"/>
        </w:rPr>
        <w:t xml:space="preserve"> combination product f</w:t>
      </w:r>
      <w:r w:rsidR="0049779A">
        <w:rPr>
          <w:rFonts w:eastAsia="Times New Roman"/>
          <w:lang w:eastAsia="en-GB"/>
        </w:rPr>
        <w:t>luticasone propionate + salmeterol (</w:t>
      </w:r>
      <w:r w:rsidR="0049779A">
        <w:t>FP</w:t>
      </w:r>
      <w:r w:rsidR="00A072F8">
        <w:t>-</w:t>
      </w:r>
      <w:r w:rsidR="0049779A">
        <w:t>SAL)</w:t>
      </w:r>
      <w:r w:rsidR="0049779A">
        <w:rPr>
          <w:rFonts w:eastAsia="Times New Roman"/>
          <w:lang w:eastAsia="en-GB"/>
        </w:rPr>
        <w:t xml:space="preserve"> </w:t>
      </w:r>
      <w:r>
        <w:rPr>
          <w:rFonts w:eastAsia="Times New Roman"/>
          <w:lang w:eastAsia="en-GB"/>
        </w:rPr>
        <w:t xml:space="preserve">is </w:t>
      </w:r>
      <w:r w:rsidR="0049779A">
        <w:rPr>
          <w:rFonts w:eastAsia="Times New Roman"/>
          <w:lang w:eastAsia="en-GB"/>
        </w:rPr>
        <w:t>one of the most widely</w:t>
      </w:r>
      <w:r w:rsidR="00965837">
        <w:rPr>
          <w:rFonts w:eastAsia="Times New Roman"/>
          <w:lang w:eastAsia="en-GB"/>
        </w:rPr>
        <w:t xml:space="preserve"> used</w:t>
      </w:r>
      <w:r w:rsidR="0049779A">
        <w:rPr>
          <w:rFonts w:eastAsia="Times New Roman"/>
          <w:lang w:eastAsia="en-GB"/>
        </w:rPr>
        <w:t xml:space="preserve"> </w:t>
      </w:r>
      <w:r w:rsidR="00881995">
        <w:rPr>
          <w:rFonts w:eastAsia="Times New Roman"/>
          <w:lang w:eastAsia="en-GB"/>
        </w:rPr>
        <w:t>chronic obstructive pulmonary disease (COPD)</w:t>
      </w:r>
      <w:r w:rsidR="008E0572">
        <w:rPr>
          <w:rFonts w:eastAsia="Times New Roman"/>
          <w:lang w:eastAsia="en-GB"/>
        </w:rPr>
        <w:t xml:space="preserve"> treatments</w:t>
      </w:r>
      <w:r w:rsidR="0049779A">
        <w:rPr>
          <w:rFonts w:eastAsia="Times New Roman"/>
          <w:lang w:eastAsia="en-GB"/>
        </w:rPr>
        <w:t>. It was studied in large randomised trials</w:t>
      </w:r>
      <w:r w:rsidR="005858FD">
        <w:rPr>
          <w:rFonts w:eastAsia="Times New Roman"/>
          <w:lang w:eastAsia="en-GB"/>
        </w:rPr>
        <w:t xml:space="preserve"> (such as the landmark TORCH study</w:t>
      </w:r>
      <w:r w:rsidR="0049779A" w:rsidRPr="00EA357A">
        <w:rPr>
          <w:rFonts w:eastAsia="Times New Roman"/>
          <w:vertAlign w:val="superscript"/>
          <w:lang w:eastAsia="en-GB"/>
        </w:rPr>
        <w:fldChar w:fldCharType="begin" w:fldLock="1"/>
      </w:r>
      <w:r w:rsidR="00B10790">
        <w:rPr>
          <w:rFonts w:eastAsia="Times New Roman"/>
          <w:vertAlign w:val="superscript"/>
          <w:lang w:eastAsia="en-GB"/>
        </w:rPr>
        <w:instrText>ADDIN CSL_CITATION {"citationItems":[{"id":"ITEM-1","itemData":{"DOI":"10.1056/NEJMoa063070","ISSN":"0028-4793","abstract":"Background Long-acting beta-agonists and inhaled corticosteroids are used to treat chronic obstructive pulmonary disease (COPD), but their effect on survival is unknown. Methods We conducted a randomized, double-blind trial comparing salmeterol at a dose of 50 μg plus fluticasone propionate at a dose of 500 μg twice daily (combination regimen), administered with a single inhaler, with placebo, salmeterol alone, or fluticasone propionate alone for a period of 3 years. The primary outcome was death from any cause for the comparison between the combination regimen and placebo; the frequency of exacerbations, health status, and spirometric values were also assessed. Results Of 6112 patients in the efficacy population, 875 died within 3 years after the start of the study treatment. All-cause mortality rates were 12.6% in the combination-therapy group, 15.2% in the placebo group, 13.5% in the salmeterol group, and 16.0% in the fluticasone group. The hazard ratio for death in the combination-therapy group, as co...","author":[{"dropping-particle":"","family":"Calverley","given":"Peter M.A.","non-dropping-particle":"","parse-names":false,"suffix":""},{"dropping-particle":"","family":"Anderson","given":"Julie A.","non-dropping-particle":"","parse-names":false,"suffix":""},{"dropping-particle":"","family":"Celli","given":"Bartolome","non-dropping-particle":"","parse-names":false,"suffix":""},{"dropping-particle":"","family":"Ferguson","given":"Gary T.","non-dropping-particle":"","parse-names":false,"suffix":""},{"dropping-particle":"","family":"Jenkins","given":"Christine","non-dropping-particle":"","parse-names":false,"suffix":""},{"dropping-particle":"","family":"Jones","given":"Paul W.","non-dropping-particle":"","parse-names":false,"suffix":""},{"dropping-particle":"","family":"Yates","given":"Julie C.","non-dropping-particle":"","parse-names":false,"suffix":""},{"dropping-particle":"","family":"Vestbo","given":"Jørgen","non-dropping-particle":"","parse-names":false,"suffix":""}],"container-title":"New England Journal of Medicine","id":"ITEM-1","issue":"8","issued":{"date-parts":[["2007","2","22"]]},"page":"775-789","publisher":"Massachusetts Medical Society","title":"Salmeterol and Fluticasone Propionate and Survival in Chronic Obstructive Pulmonary Disease","type":"article-journal","volume":"356"},"uris":["http://www.mendeley.com/documents/?uuid=10414654-4b8d-3130-a298-2bdbc5a24f7f"]}],"mendeley":{"formattedCitation":"[1]","manualFormatting":"2","plainTextFormattedCitation":"[1]","previouslyFormattedCitation":"[1]"},"properties":{"noteIndex":0},"schema":"https://github.com/citation-style-language/schema/raw/master/csl-citation.json"}</w:instrText>
      </w:r>
      <w:r w:rsidR="0049779A" w:rsidRPr="00EA357A">
        <w:rPr>
          <w:rFonts w:eastAsia="Times New Roman"/>
          <w:vertAlign w:val="superscript"/>
          <w:lang w:eastAsia="en-GB"/>
        </w:rPr>
        <w:fldChar w:fldCharType="separate"/>
      </w:r>
      <w:r w:rsidR="0049779A" w:rsidRPr="00EA357A">
        <w:rPr>
          <w:rFonts w:eastAsia="Times New Roman"/>
          <w:noProof/>
          <w:vertAlign w:val="superscript"/>
          <w:lang w:eastAsia="en-GB"/>
        </w:rPr>
        <w:t>2</w:t>
      </w:r>
      <w:r w:rsidR="0049779A" w:rsidRPr="00EA357A">
        <w:rPr>
          <w:rFonts w:eastAsia="Times New Roman"/>
          <w:vertAlign w:val="superscript"/>
          <w:lang w:eastAsia="en-GB"/>
        </w:rPr>
        <w:fldChar w:fldCharType="end"/>
      </w:r>
      <w:r w:rsidR="005858FD">
        <w:rPr>
          <w:rFonts w:eastAsia="Times New Roman"/>
          <w:lang w:eastAsia="en-GB"/>
        </w:rPr>
        <w:t>)</w:t>
      </w:r>
      <w:r w:rsidR="0049779A">
        <w:rPr>
          <w:rFonts w:eastAsia="Times New Roman"/>
          <w:lang w:eastAsia="en-GB"/>
        </w:rPr>
        <w:t xml:space="preserve"> but the effects of treatment in important patient groups who were </w:t>
      </w:r>
      <w:r w:rsidR="00386A19">
        <w:rPr>
          <w:rFonts w:eastAsia="Times New Roman"/>
          <w:lang w:eastAsia="en-GB"/>
        </w:rPr>
        <w:t xml:space="preserve">either </w:t>
      </w:r>
      <w:r w:rsidR="0049779A">
        <w:rPr>
          <w:rFonts w:eastAsia="Times New Roman"/>
          <w:lang w:eastAsia="en-GB"/>
        </w:rPr>
        <w:t xml:space="preserve">not </w:t>
      </w:r>
      <w:r w:rsidR="00386A19">
        <w:rPr>
          <w:rFonts w:eastAsia="Times New Roman"/>
          <w:lang w:eastAsia="en-GB"/>
        </w:rPr>
        <w:t xml:space="preserve">included or underrepresented in trials </w:t>
      </w:r>
      <w:r w:rsidR="0049779A">
        <w:rPr>
          <w:rFonts w:eastAsia="Times New Roman"/>
          <w:lang w:eastAsia="en-GB"/>
        </w:rPr>
        <w:t xml:space="preserve">are </w:t>
      </w:r>
      <w:r w:rsidR="00386A19">
        <w:rPr>
          <w:rFonts w:eastAsia="Times New Roman"/>
          <w:lang w:eastAsia="en-GB"/>
        </w:rPr>
        <w:t>unknown</w:t>
      </w:r>
      <w:r w:rsidR="0049779A">
        <w:rPr>
          <w:rFonts w:eastAsia="Times New Roman"/>
          <w:lang w:eastAsia="en-GB"/>
        </w:rPr>
        <w:t xml:space="preserve">. </w:t>
      </w:r>
      <w:r w:rsidR="003F7654">
        <w:rPr>
          <w:rFonts w:eastAsia="Times New Roman"/>
          <w:lang w:eastAsia="en-GB"/>
        </w:rPr>
        <w:t xml:space="preserve">Whilst real-world </w:t>
      </w:r>
      <w:r w:rsidR="0049546E">
        <w:rPr>
          <w:rFonts w:eastAsia="Times New Roman"/>
          <w:lang w:eastAsia="en-GB"/>
        </w:rPr>
        <w:t xml:space="preserve">observational </w:t>
      </w:r>
      <w:r w:rsidR="003F7654">
        <w:rPr>
          <w:rFonts w:eastAsia="Times New Roman"/>
          <w:lang w:eastAsia="en-GB"/>
        </w:rPr>
        <w:t xml:space="preserve">data </w:t>
      </w:r>
      <w:r w:rsidR="0049546E">
        <w:rPr>
          <w:rFonts w:eastAsia="Times New Roman"/>
          <w:lang w:eastAsia="en-GB"/>
        </w:rPr>
        <w:t>has</w:t>
      </w:r>
      <w:r w:rsidR="003F7654">
        <w:rPr>
          <w:rFonts w:eastAsia="Times New Roman"/>
          <w:lang w:eastAsia="en-GB"/>
        </w:rPr>
        <w:t xml:space="preserve"> the potential to </w:t>
      </w:r>
      <w:r w:rsidR="00E71A0D">
        <w:rPr>
          <w:rFonts w:eastAsia="Times New Roman"/>
          <w:lang w:eastAsia="en-GB"/>
        </w:rPr>
        <w:t>be used to carry out</w:t>
      </w:r>
      <w:r w:rsidR="003F7654">
        <w:rPr>
          <w:rFonts w:eastAsia="Times New Roman"/>
          <w:lang w:eastAsia="en-GB"/>
        </w:rPr>
        <w:t xml:space="preserve"> non-interventional studies of </w:t>
      </w:r>
      <w:r w:rsidR="00F52EA6">
        <w:rPr>
          <w:rFonts w:eastAsia="Times New Roman"/>
          <w:lang w:eastAsia="en-GB"/>
        </w:rPr>
        <w:t xml:space="preserve">COPD </w:t>
      </w:r>
      <w:r w:rsidR="003F7654">
        <w:rPr>
          <w:rFonts w:eastAsia="Times New Roman"/>
          <w:lang w:eastAsia="en-GB"/>
        </w:rPr>
        <w:t>drug treatment effects in groups excluded from trials, the use of these data for estimating treatment effectiveness</w:t>
      </w:r>
      <w:r w:rsidR="00187707">
        <w:rPr>
          <w:rFonts w:eastAsia="Times New Roman"/>
          <w:lang w:eastAsia="en-GB"/>
        </w:rPr>
        <w:t xml:space="preserve"> is</w:t>
      </w:r>
      <w:r w:rsidR="003F7654">
        <w:rPr>
          <w:rFonts w:eastAsia="Times New Roman"/>
          <w:lang w:eastAsia="en-GB"/>
        </w:rPr>
        <w:t xml:space="preserve"> in its infancy</w:t>
      </w:r>
      <w:r w:rsidR="005C6F59">
        <w:rPr>
          <w:rFonts w:eastAsia="Times New Roman"/>
          <w:lang w:eastAsia="en-GB"/>
        </w:rPr>
        <w:t xml:space="preserve">. </w:t>
      </w:r>
      <w:r w:rsidR="00A93A2B">
        <w:rPr>
          <w:rFonts w:eastAsia="Times New Roman"/>
          <w:lang w:eastAsia="en-GB"/>
        </w:rPr>
        <w:t>D</w:t>
      </w:r>
      <w:r w:rsidR="008B7EE4">
        <w:rPr>
          <w:rFonts w:eastAsia="Times New Roman"/>
          <w:lang w:eastAsia="en-GB"/>
        </w:rPr>
        <w:t>emonstrat</w:t>
      </w:r>
      <w:r w:rsidR="00464D9F">
        <w:rPr>
          <w:rFonts w:eastAsia="Times New Roman"/>
          <w:lang w:eastAsia="en-GB"/>
        </w:rPr>
        <w:t>ing</w:t>
      </w:r>
      <w:r w:rsidR="008B7EE4">
        <w:rPr>
          <w:rFonts w:eastAsia="Times New Roman"/>
          <w:lang w:eastAsia="en-GB"/>
        </w:rPr>
        <w:t xml:space="preserve"> that non-interventiona</w:t>
      </w:r>
      <w:r w:rsidR="00F178CC">
        <w:rPr>
          <w:rFonts w:eastAsia="Times New Roman"/>
          <w:lang w:eastAsia="en-GB"/>
        </w:rPr>
        <w:t>l</w:t>
      </w:r>
      <w:r w:rsidR="008B7EE4">
        <w:rPr>
          <w:rFonts w:eastAsia="Times New Roman"/>
          <w:lang w:eastAsia="en-GB"/>
        </w:rPr>
        <w:t xml:space="preserve"> methods </w:t>
      </w:r>
      <w:r w:rsidR="00E01138">
        <w:rPr>
          <w:rFonts w:eastAsia="Times New Roman"/>
          <w:lang w:eastAsia="en-GB"/>
        </w:rPr>
        <w:t>can account for the</w:t>
      </w:r>
      <w:r w:rsidR="00757B2D">
        <w:rPr>
          <w:rFonts w:eastAsia="Times New Roman"/>
          <w:lang w:eastAsia="en-GB"/>
        </w:rPr>
        <w:t xml:space="preserve"> absence of </w:t>
      </w:r>
      <w:r w:rsidR="000B7A9D">
        <w:rPr>
          <w:rFonts w:eastAsia="Times New Roman"/>
          <w:lang w:eastAsia="en-GB"/>
        </w:rPr>
        <w:t xml:space="preserve">treatment </w:t>
      </w:r>
      <w:r w:rsidR="00757B2D">
        <w:rPr>
          <w:rFonts w:eastAsia="Times New Roman"/>
          <w:lang w:eastAsia="en-GB"/>
        </w:rPr>
        <w:t>randomisation in</w:t>
      </w:r>
      <w:r w:rsidR="00F178CC">
        <w:rPr>
          <w:rFonts w:eastAsia="Times New Roman"/>
          <w:lang w:eastAsia="en-GB"/>
        </w:rPr>
        <w:t xml:space="preserve"> real-world settings</w:t>
      </w:r>
      <w:r w:rsidR="00464D9F">
        <w:rPr>
          <w:rFonts w:eastAsia="Times New Roman"/>
          <w:lang w:eastAsia="en-GB"/>
        </w:rPr>
        <w:t xml:space="preserve"> is a particular challenge. </w:t>
      </w:r>
      <w:r w:rsidR="00F43BB3">
        <w:rPr>
          <w:rFonts w:eastAsia="Times New Roman"/>
          <w:lang w:eastAsia="en-GB"/>
        </w:rPr>
        <w:t>R</w:t>
      </w:r>
      <w:r w:rsidR="003F7654">
        <w:rPr>
          <w:rFonts w:eastAsia="Times New Roman"/>
          <w:lang w:eastAsia="en-GB"/>
        </w:rPr>
        <w:t>igorous, validated methodology is needed to translate these complex data into reliable evidence.</w:t>
      </w:r>
      <w:r w:rsidR="009710AA">
        <w:rPr>
          <w:rFonts w:eastAsia="Times New Roman"/>
          <w:lang w:eastAsia="en-GB"/>
        </w:rPr>
        <w:fldChar w:fldCharType="begin" w:fldLock="1"/>
      </w:r>
      <w:r w:rsidR="00B10790">
        <w:rPr>
          <w:rFonts w:eastAsia="Times New Roman"/>
          <w:lang w:eastAsia="en-GB"/>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9710AA">
        <w:rPr>
          <w:rFonts w:eastAsia="Times New Roman"/>
          <w:lang w:eastAsia="en-GB"/>
        </w:rPr>
        <w:fldChar w:fldCharType="separate"/>
      </w:r>
      <w:r w:rsidR="00B10790" w:rsidRPr="00B10790">
        <w:rPr>
          <w:rFonts w:eastAsia="Times New Roman"/>
          <w:noProof/>
          <w:lang w:eastAsia="en-GB"/>
        </w:rPr>
        <w:t>[2]</w:t>
      </w:r>
      <w:r w:rsidR="009710AA">
        <w:rPr>
          <w:rFonts w:eastAsia="Times New Roman"/>
          <w:lang w:eastAsia="en-GB"/>
        </w:rPr>
        <w:fldChar w:fldCharType="end"/>
      </w:r>
    </w:p>
    <w:p w14:paraId="0477FE23" w14:textId="10E3B6B7" w:rsidR="0049779A" w:rsidRDefault="00ED2B7E" w:rsidP="008B0A52">
      <w:pPr>
        <w:spacing w:line="480" w:lineRule="auto"/>
        <w:jc w:val="both"/>
        <w:rPr>
          <w:rFonts w:eastAsia="Times New Roman"/>
          <w:lang w:eastAsia="en-GB"/>
        </w:rPr>
      </w:pPr>
      <w:r>
        <w:t xml:space="preserve">One </w:t>
      </w:r>
      <w:r w:rsidR="009710AA">
        <w:t xml:space="preserve">approach </w:t>
      </w:r>
      <w:r>
        <w:t>is to</w:t>
      </w:r>
      <w:r w:rsidR="008E7C2D">
        <w:t xml:space="preserve"> </w:t>
      </w:r>
      <w:r w:rsidR="003F7654">
        <w:t>analys</w:t>
      </w:r>
      <w:r>
        <w:t xml:space="preserve">e </w:t>
      </w:r>
      <w:r w:rsidR="0049779A">
        <w:t>“RCT-analogous” cohorts from non-interventional data sources</w:t>
      </w:r>
      <w:r>
        <w:t xml:space="preserve"> - if</w:t>
      </w:r>
      <w:r w:rsidR="0049779A">
        <w:t xml:space="preserve"> results are </w:t>
      </w:r>
      <w:r w:rsidR="009B2F2A">
        <w:t>comparable</w:t>
      </w:r>
      <w:r w:rsidR="0049779A">
        <w:t xml:space="preserve"> to those generated by the reference RCT, </w:t>
      </w:r>
      <w:r w:rsidR="00187707">
        <w:t>this should increase confidence</w:t>
      </w:r>
      <w:r w:rsidR="0049779A">
        <w:t xml:space="preserve"> in the validity of the results, and in the non-interventional methods used to obtain </w:t>
      </w:r>
      <w:r w:rsidR="00806762">
        <w:t>them</w:t>
      </w:r>
      <w:r w:rsidR="0049779A">
        <w:t>.</w:t>
      </w:r>
      <w:r w:rsidR="00894352">
        <w:t xml:space="preserve"> </w:t>
      </w:r>
      <w:r w:rsidR="00894352">
        <w:rPr>
          <w:rFonts w:eastAsia="Times New Roman"/>
          <w:lang w:eastAsia="en-GB"/>
        </w:rPr>
        <w:t xml:space="preserve">The validated non-interventional methodology could then go on to be used for the analysis of treatment effects within people prescribed drugs in </w:t>
      </w:r>
      <w:r w:rsidR="009B2F2A">
        <w:rPr>
          <w:rFonts w:eastAsia="Times New Roman"/>
          <w:lang w:eastAsia="en-GB"/>
        </w:rPr>
        <w:t>clinical practice</w:t>
      </w:r>
      <w:r w:rsidR="00894352">
        <w:rPr>
          <w:rFonts w:eastAsia="Times New Roman"/>
          <w:lang w:eastAsia="en-GB"/>
        </w:rPr>
        <w:t xml:space="preserve"> who would have been excluded from (or were underrepresented in) RCTs</w:t>
      </w:r>
      <w:r w:rsidR="009710AA">
        <w:rPr>
          <w:rFonts w:eastAsia="Times New Roman"/>
          <w:lang w:eastAsia="en-GB"/>
        </w:rPr>
        <w:t>.</w:t>
      </w:r>
      <w:r w:rsidR="009710AA">
        <w:rPr>
          <w:rFonts w:eastAsia="Times New Roman"/>
          <w:lang w:eastAsia="en-GB"/>
        </w:rPr>
        <w:fldChar w:fldCharType="begin" w:fldLock="1"/>
      </w:r>
      <w:r w:rsidR="00B10790">
        <w:rPr>
          <w:rFonts w:eastAsia="Times New Roman"/>
          <w:lang w:eastAsia="en-GB"/>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9710AA">
        <w:rPr>
          <w:rFonts w:eastAsia="Times New Roman"/>
          <w:lang w:eastAsia="en-GB"/>
        </w:rPr>
        <w:fldChar w:fldCharType="separate"/>
      </w:r>
      <w:r w:rsidR="00B10790" w:rsidRPr="00B10790">
        <w:rPr>
          <w:rFonts w:eastAsia="Times New Roman"/>
          <w:noProof/>
          <w:lang w:eastAsia="en-GB"/>
        </w:rPr>
        <w:t>[2]</w:t>
      </w:r>
      <w:r w:rsidR="009710AA">
        <w:rPr>
          <w:rFonts w:eastAsia="Times New Roman"/>
          <w:lang w:eastAsia="en-GB"/>
        </w:rPr>
        <w:fldChar w:fldCharType="end"/>
      </w:r>
    </w:p>
    <w:p w14:paraId="4F8F6068" w14:textId="77777777" w:rsidR="00662113" w:rsidRDefault="00F9110E" w:rsidP="008B0A52">
      <w:pPr>
        <w:spacing w:line="480" w:lineRule="auto"/>
        <w:jc w:val="both"/>
        <w:rPr>
          <w:rFonts w:eastAsia="Times New Roman"/>
          <w:lang w:eastAsia="en-GB"/>
        </w:rPr>
      </w:pPr>
      <w:r>
        <w:rPr>
          <w:rFonts w:eastAsia="Times New Roman"/>
          <w:lang w:eastAsia="en-GB"/>
        </w:rPr>
        <w:t>In this study, we</w:t>
      </w:r>
      <w:r w:rsidR="00662113">
        <w:rPr>
          <w:rFonts w:eastAsia="Times New Roman"/>
          <w:lang w:eastAsia="en-GB"/>
        </w:rPr>
        <w:t>:</w:t>
      </w:r>
    </w:p>
    <w:p w14:paraId="0B0B857A" w14:textId="0E696A38" w:rsidR="00A61BEF" w:rsidRPr="00A61BEF" w:rsidRDefault="00A61BEF" w:rsidP="008B0A52">
      <w:pPr>
        <w:pStyle w:val="ListParagraph"/>
        <w:numPr>
          <w:ilvl w:val="0"/>
          <w:numId w:val="9"/>
        </w:numPr>
        <w:spacing w:line="480" w:lineRule="auto"/>
        <w:jc w:val="both"/>
        <w:rPr>
          <w:rFonts w:eastAsia="Times New Roman"/>
          <w:lang w:eastAsia="en-GB"/>
        </w:rPr>
      </w:pPr>
      <w:r>
        <w:t xml:space="preserve">Applied trial inclusion and exclusion criteria to </w:t>
      </w:r>
      <w:r w:rsidR="009C3824">
        <w:t>detect</w:t>
      </w:r>
      <w:r>
        <w:t xml:space="preserve"> trial “eligible” participants from real-world data</w:t>
      </w:r>
    </w:p>
    <w:p w14:paraId="557ACFA2" w14:textId="41FAF8B8" w:rsidR="00453299" w:rsidRPr="00453299" w:rsidRDefault="00453299" w:rsidP="008B0A52">
      <w:pPr>
        <w:pStyle w:val="ListParagraph"/>
        <w:numPr>
          <w:ilvl w:val="0"/>
          <w:numId w:val="9"/>
        </w:numPr>
        <w:spacing w:line="480" w:lineRule="auto"/>
        <w:jc w:val="both"/>
        <w:rPr>
          <w:rFonts w:eastAsia="Times New Roman"/>
          <w:lang w:eastAsia="en-GB"/>
        </w:rPr>
      </w:pPr>
      <w:r>
        <w:t xml:space="preserve">Selected from these “eligible” participants to obtain a group who </w:t>
      </w:r>
      <w:r w:rsidR="00B10B26">
        <w:t>were</w:t>
      </w:r>
      <w:r>
        <w:t xml:space="preserve"> as similar to the TORCH participants as possible by individual matching using TORCH data.</w:t>
      </w:r>
    </w:p>
    <w:p w14:paraId="7FEB43AE" w14:textId="1160C45E" w:rsidR="00972424" w:rsidRDefault="00453299" w:rsidP="008B0A52">
      <w:pPr>
        <w:pStyle w:val="ListParagraph"/>
        <w:numPr>
          <w:ilvl w:val="0"/>
          <w:numId w:val="9"/>
        </w:numPr>
        <w:spacing w:line="480" w:lineRule="auto"/>
        <w:jc w:val="both"/>
        <w:rPr>
          <w:rFonts w:eastAsia="Times New Roman"/>
          <w:lang w:eastAsia="en-GB"/>
        </w:rPr>
      </w:pPr>
      <w:r>
        <w:t xml:space="preserve">Applied </w:t>
      </w:r>
      <w:r w:rsidR="00C227B8">
        <w:t>standard observational methods to account for confounding.</w:t>
      </w:r>
      <w:r w:rsidR="008E0572" w:rsidRPr="00972424">
        <w:rPr>
          <w:rFonts w:eastAsia="Times New Roman"/>
          <w:lang w:eastAsia="en-GB"/>
        </w:rPr>
        <w:fldChar w:fldCharType="begin" w:fldLock="1"/>
      </w:r>
      <w:r w:rsidR="00B10790">
        <w:rPr>
          <w:rFonts w:eastAsia="Times New Roman"/>
          <w:lang w:eastAsia="en-GB"/>
        </w:rPr>
        <w:instrText>ADDIN CSL_CITATION {"citationItems":[{"id":"ITEM-1","itemData":{"DOI":"10.1056/NEJMoa063070","ISSN":"0028-4793","abstract":"Background Long-acting beta-agonists and inhaled corticosteroids are used to treat chronic obstructive pulmonary disease (COPD), but their effect on survival is unknown. Methods We conducted a randomized, double-blind trial comparing salmeterol at a dose of 50 μg plus fluticasone propionate at a dose of 500 μg twice daily (combination regimen), administered with a single inhaler, with placebo, salmeterol alone, or fluticasone propionate alone for a period of 3 years. The primary outcome was death from any cause for the comparison between the combination regimen and placebo; the frequency of exacerbations, health status, and spirometric values were also assessed. Results Of 6112 patients in the efficacy population, 875 died within 3 years after the start of the study treatment. All-cause mortality rates were 12.6% in the combination-therapy group, 15.2% in the placebo group, 13.5% in the salmeterol group, and 16.0% in the fluticasone group. The hazard ratio for death in the combination-therapy group, as co...","author":[{"dropping-particle":"","family":"Calverley","given":"Peter M.A.","non-dropping-particle":"","parse-names":false,"suffix":""},{"dropping-particle":"","family":"Anderson","given":"Julie A.","non-dropping-particle":"","parse-names":false,"suffix":""},{"dropping-particle":"","family":"Celli","given":"Bartolome","non-dropping-particle":"","parse-names":false,"suffix":""},{"dropping-particle":"","family":"Ferguson","given":"Gary T.","non-dropping-particle":"","parse-names":false,"suffix":""},{"dropping-particle":"","family":"Jenkins","given":"Christine","non-dropping-particle":"","parse-names":false,"suffix":""},{"dropping-particle":"","family":"Jones","given":"Paul W.","non-dropping-particle":"","parse-names":false,"suffix":""},{"dropping-particle":"","family":"Yates","given":"Julie C.","non-dropping-particle":"","parse-names":false,"suffix":""},{"dropping-particle":"","family":"Vestbo","given":"Jørgen","non-dropping-particle":"","parse-names":false,"suffix":""}],"container-title":"New England Journal of Medicine","id":"ITEM-1","issue":"8","issued":{"date-parts":[["2007","2","22"]]},"page":"775-789","publisher":"Massachusetts Medical Society","title":"Salmeterol and Fluticasone Propionate and Survival in Chronic Obstructive Pulmonary Disease","type":"article-journal","volume":"356"},"uris":["http://www.mendeley.com/documents/?uuid=10414654-4b8d-3130-a298-2bdbc5a24f7f"]}],"mendeley":{"formattedCitation":"[1]","plainTextFormattedCitation":"[1]","previouslyFormattedCitation":"[1]"},"properties":{"noteIndex":0},"schema":"https://github.com/citation-style-language/schema/raw/master/csl-citation.json"}</w:instrText>
      </w:r>
      <w:r w:rsidR="008E0572" w:rsidRPr="00972424">
        <w:rPr>
          <w:rFonts w:eastAsia="Times New Roman"/>
          <w:lang w:eastAsia="en-GB"/>
        </w:rPr>
        <w:fldChar w:fldCharType="separate"/>
      </w:r>
      <w:r w:rsidR="00B10790" w:rsidRPr="00B10790">
        <w:rPr>
          <w:rFonts w:eastAsia="Times New Roman"/>
          <w:noProof/>
          <w:lang w:eastAsia="en-GB"/>
        </w:rPr>
        <w:t>[1]</w:t>
      </w:r>
      <w:r w:rsidR="008E0572" w:rsidRPr="00972424">
        <w:rPr>
          <w:rFonts w:eastAsia="Times New Roman"/>
          <w:lang w:eastAsia="en-GB"/>
        </w:rPr>
        <w:fldChar w:fldCharType="end"/>
      </w:r>
      <w:r w:rsidR="00806762" w:rsidRPr="00972424">
        <w:rPr>
          <w:rFonts w:eastAsia="Times New Roman"/>
          <w:lang w:eastAsia="en-GB"/>
        </w:rPr>
        <w:t xml:space="preserve"> </w:t>
      </w:r>
    </w:p>
    <w:p w14:paraId="5FAC85C6" w14:textId="3DB4BA5C" w:rsidR="00D92B87" w:rsidRPr="00972424" w:rsidRDefault="00806762" w:rsidP="008B0A52">
      <w:pPr>
        <w:spacing w:line="480" w:lineRule="auto"/>
        <w:jc w:val="both"/>
        <w:rPr>
          <w:rFonts w:eastAsia="Times New Roman"/>
          <w:lang w:eastAsia="en-GB"/>
        </w:rPr>
      </w:pPr>
      <w:r w:rsidRPr="00972424">
        <w:rPr>
          <w:rFonts w:eastAsia="Times New Roman"/>
          <w:lang w:eastAsia="en-GB"/>
        </w:rPr>
        <w:lastRenderedPageBreak/>
        <w:t>We then</w:t>
      </w:r>
      <w:r w:rsidR="00F9110E" w:rsidRPr="00972424">
        <w:rPr>
          <w:rFonts w:eastAsia="Times New Roman"/>
          <w:lang w:eastAsia="en-GB"/>
        </w:rPr>
        <w:t xml:space="preserve"> assess</w:t>
      </w:r>
      <w:r w:rsidRPr="00972424">
        <w:rPr>
          <w:rFonts w:eastAsia="Times New Roman"/>
          <w:lang w:eastAsia="en-GB"/>
        </w:rPr>
        <w:t>ed</w:t>
      </w:r>
      <w:r w:rsidR="00F9110E" w:rsidRPr="00972424">
        <w:rPr>
          <w:rFonts w:eastAsia="Times New Roman"/>
          <w:lang w:eastAsia="en-GB"/>
        </w:rPr>
        <w:t xml:space="preserve"> whether </w:t>
      </w:r>
      <w:r w:rsidR="00F740D9">
        <w:rPr>
          <w:rFonts w:eastAsia="Times New Roman"/>
          <w:lang w:eastAsia="en-GB"/>
        </w:rPr>
        <w:t>treatment effects</w:t>
      </w:r>
      <w:r w:rsidR="00A8578E">
        <w:rPr>
          <w:rFonts w:eastAsia="Times New Roman"/>
          <w:lang w:eastAsia="en-GB"/>
        </w:rPr>
        <w:t xml:space="preserve"> </w:t>
      </w:r>
      <w:r w:rsidR="000D071F">
        <w:rPr>
          <w:rFonts w:eastAsia="Times New Roman"/>
          <w:lang w:eastAsia="en-GB"/>
        </w:rPr>
        <w:t xml:space="preserve">in this real-world cohort </w:t>
      </w:r>
      <w:r w:rsidR="008615EF">
        <w:rPr>
          <w:rFonts w:eastAsia="Times New Roman"/>
          <w:lang w:eastAsia="en-GB"/>
        </w:rPr>
        <w:t>were</w:t>
      </w:r>
      <w:r w:rsidR="009C3824">
        <w:rPr>
          <w:rFonts w:eastAsia="Times New Roman"/>
          <w:lang w:eastAsia="en-GB"/>
        </w:rPr>
        <w:t xml:space="preserve"> </w:t>
      </w:r>
      <w:r w:rsidR="00F9110E" w:rsidRPr="00972424">
        <w:rPr>
          <w:rFonts w:eastAsia="Times New Roman"/>
          <w:lang w:eastAsia="en-GB"/>
        </w:rPr>
        <w:t xml:space="preserve">comparable to those </w:t>
      </w:r>
      <w:r w:rsidR="00A8578E">
        <w:rPr>
          <w:rFonts w:eastAsia="Times New Roman"/>
          <w:lang w:eastAsia="en-GB"/>
        </w:rPr>
        <w:t>measured</w:t>
      </w:r>
      <w:r w:rsidR="008615EF">
        <w:rPr>
          <w:rFonts w:eastAsia="Times New Roman"/>
          <w:lang w:eastAsia="en-GB"/>
        </w:rPr>
        <w:t xml:space="preserve"> </w:t>
      </w:r>
      <w:r w:rsidR="00B0775B" w:rsidRPr="00972424">
        <w:rPr>
          <w:rFonts w:eastAsia="Times New Roman"/>
          <w:lang w:eastAsia="en-GB"/>
        </w:rPr>
        <w:t>by</w:t>
      </w:r>
      <w:r w:rsidR="00F9110E" w:rsidRPr="00972424">
        <w:rPr>
          <w:rFonts w:eastAsia="Times New Roman"/>
          <w:lang w:eastAsia="en-GB"/>
        </w:rPr>
        <w:t xml:space="preserve"> the TORCH trial</w:t>
      </w:r>
      <w:r w:rsidR="00F52EA6" w:rsidRPr="00972424">
        <w:rPr>
          <w:rFonts w:eastAsia="Times New Roman"/>
          <w:lang w:eastAsia="en-GB"/>
        </w:rPr>
        <w:t xml:space="preserve"> in terms of the effect of</w:t>
      </w:r>
      <w:r w:rsidR="000B58B0">
        <w:rPr>
          <w:rFonts w:eastAsia="Times New Roman"/>
          <w:lang w:eastAsia="en-GB"/>
        </w:rPr>
        <w:t xml:space="preserve"> the</w:t>
      </w:r>
      <w:r w:rsidR="00F52EA6" w:rsidRPr="00972424">
        <w:rPr>
          <w:rFonts w:eastAsia="Times New Roman"/>
          <w:lang w:eastAsia="en-GB"/>
        </w:rPr>
        <w:t xml:space="preserve"> FP-SAL</w:t>
      </w:r>
      <w:r w:rsidR="000B58B0">
        <w:rPr>
          <w:rFonts w:eastAsia="Times New Roman"/>
          <w:lang w:eastAsia="en-GB"/>
        </w:rPr>
        <w:t xml:space="preserve"> fixed combination product</w:t>
      </w:r>
      <w:r w:rsidR="00F52EA6" w:rsidRPr="00972424">
        <w:rPr>
          <w:rFonts w:eastAsia="Times New Roman"/>
          <w:lang w:eastAsia="en-GB"/>
        </w:rPr>
        <w:t xml:space="preserve"> on</w:t>
      </w:r>
      <w:r w:rsidR="00187707" w:rsidRPr="00972424">
        <w:rPr>
          <w:rFonts w:eastAsia="Times New Roman"/>
          <w:lang w:eastAsia="en-GB"/>
        </w:rPr>
        <w:t xml:space="preserve"> (1)</w:t>
      </w:r>
      <w:r w:rsidR="00F52EA6" w:rsidRPr="00972424">
        <w:rPr>
          <w:rFonts w:eastAsia="Times New Roman"/>
          <w:lang w:eastAsia="en-GB"/>
        </w:rPr>
        <w:t xml:space="preserve"> exacerbations</w:t>
      </w:r>
      <w:r w:rsidR="00187707" w:rsidRPr="00972424">
        <w:rPr>
          <w:rFonts w:eastAsia="Times New Roman"/>
          <w:lang w:eastAsia="en-GB"/>
        </w:rPr>
        <w:t xml:space="preserve"> (2) </w:t>
      </w:r>
      <w:r w:rsidR="00F52EA6" w:rsidRPr="00972424">
        <w:rPr>
          <w:rFonts w:eastAsia="Times New Roman"/>
          <w:lang w:eastAsia="en-GB"/>
        </w:rPr>
        <w:t xml:space="preserve">mortality and </w:t>
      </w:r>
      <w:r w:rsidR="004F24EA">
        <w:rPr>
          <w:rFonts w:eastAsia="Times New Roman"/>
          <w:lang w:eastAsia="en-GB"/>
        </w:rPr>
        <w:t xml:space="preserve">(3) </w:t>
      </w:r>
      <w:r w:rsidR="00F52EA6" w:rsidRPr="00972424">
        <w:rPr>
          <w:rFonts w:eastAsia="Times New Roman"/>
          <w:lang w:eastAsia="en-GB"/>
        </w:rPr>
        <w:t>pneumonia</w:t>
      </w:r>
      <w:r w:rsidR="00F9110E" w:rsidRPr="00972424">
        <w:rPr>
          <w:rFonts w:eastAsia="Times New Roman"/>
          <w:lang w:eastAsia="en-GB"/>
        </w:rPr>
        <w:t>.</w:t>
      </w:r>
    </w:p>
    <w:p w14:paraId="0D723D1A" w14:textId="20D634FC" w:rsidR="007115B4" w:rsidRDefault="00D61F73" w:rsidP="008B0A52">
      <w:pPr>
        <w:pStyle w:val="Heading1NoNumber0"/>
        <w:spacing w:line="480" w:lineRule="auto"/>
      </w:pPr>
      <w:r>
        <w:t>Materials and methods</w:t>
      </w:r>
    </w:p>
    <w:p w14:paraId="729ED45A" w14:textId="22E8E93C" w:rsidR="00667546" w:rsidRDefault="00667546" w:rsidP="008B0A52">
      <w:pPr>
        <w:pStyle w:val="heading2nonumber"/>
        <w:spacing w:line="480" w:lineRule="auto"/>
      </w:pPr>
      <w:r>
        <w:t>Study design</w:t>
      </w:r>
      <w:r w:rsidR="006550D8">
        <w:t xml:space="preserve"> </w:t>
      </w:r>
    </w:p>
    <w:p w14:paraId="0707AAE4" w14:textId="22626BD2" w:rsidR="00F9110E" w:rsidRDefault="00F9110E" w:rsidP="008B0A52">
      <w:pPr>
        <w:spacing w:after="360" w:line="480" w:lineRule="auto"/>
        <w:jc w:val="both"/>
      </w:pPr>
      <w:r>
        <w:rPr>
          <w:rFonts w:eastAsia="Times New Roman"/>
          <w:lang w:eastAsia="en-GB"/>
        </w:rPr>
        <w:t>A historical cohort study, with validation against randomised controlled trial results.</w:t>
      </w:r>
    </w:p>
    <w:p w14:paraId="6D257514" w14:textId="5C48731A" w:rsidR="006550D8" w:rsidRDefault="00386DCC" w:rsidP="008B0A52">
      <w:pPr>
        <w:pStyle w:val="heading2nonumber"/>
        <w:spacing w:line="480" w:lineRule="auto"/>
        <w:ind w:left="0" w:firstLine="0"/>
      </w:pPr>
      <w:r>
        <w:t>Setting</w:t>
      </w:r>
      <w:r w:rsidR="005357E1">
        <w:t>/data sources</w:t>
      </w:r>
      <w:r>
        <w:t xml:space="preserve"> </w:t>
      </w:r>
    </w:p>
    <w:p w14:paraId="7EBA6966" w14:textId="627F7D41" w:rsidR="00F9110E" w:rsidRDefault="00F9110E" w:rsidP="008B0A52">
      <w:pPr>
        <w:spacing w:after="360" w:line="480" w:lineRule="auto"/>
        <w:jc w:val="both"/>
        <w:rPr>
          <w:rFonts w:eastAsia="Times New Roman"/>
          <w:lang w:eastAsia="en-GB"/>
        </w:rPr>
      </w:pPr>
      <w:r>
        <w:rPr>
          <w:rFonts w:eastAsia="Times New Roman"/>
          <w:lang w:eastAsia="en-GB"/>
        </w:rPr>
        <w:t>This study uses individual tr</w:t>
      </w:r>
      <w:r w:rsidR="00B0775B">
        <w:rPr>
          <w:rFonts w:eastAsia="Times New Roman"/>
          <w:lang w:eastAsia="en-GB"/>
        </w:rPr>
        <w:t>i</w:t>
      </w:r>
      <w:r>
        <w:rPr>
          <w:rFonts w:eastAsia="Times New Roman"/>
          <w:lang w:eastAsia="en-GB"/>
        </w:rPr>
        <w:t>al data from the TORCH RCT</w:t>
      </w:r>
      <w:r w:rsidR="00E27F16">
        <w:rPr>
          <w:rFonts w:eastAsia="Times New Roman"/>
          <w:lang w:eastAsia="en-GB"/>
        </w:rPr>
        <w:t xml:space="preserve"> (obtained via </w:t>
      </w:r>
      <w:hyperlink r:id="rId9" w:history="1">
        <w:r w:rsidR="00E27F16" w:rsidRPr="00106F81">
          <w:rPr>
            <w:rStyle w:val="Hyperlink"/>
            <w:rFonts w:eastAsia="Times New Roman"/>
            <w:lang w:eastAsia="en-GB"/>
          </w:rPr>
          <w:t>www.clinicalstudydatarequest.com</w:t>
        </w:r>
      </w:hyperlink>
      <w:r w:rsidR="00E27F16">
        <w:rPr>
          <w:rFonts w:eastAsia="Times New Roman"/>
          <w:lang w:eastAsia="en-GB"/>
        </w:rPr>
        <w:t>)</w:t>
      </w:r>
      <w:r>
        <w:rPr>
          <w:rFonts w:eastAsia="Times New Roman"/>
          <w:lang w:eastAsia="en-GB"/>
        </w:rPr>
        <w:t>, and non-interventional data from the UK Clinical Practice Research Datalink</w:t>
      </w:r>
      <w:r w:rsidR="009819D4">
        <w:rPr>
          <w:rFonts w:eastAsia="Times New Roman"/>
          <w:lang w:eastAsia="en-GB"/>
        </w:rPr>
        <w:t xml:space="preserve"> (CPRD)</w:t>
      </w:r>
      <w:r>
        <w:rPr>
          <w:rFonts w:eastAsia="Times New Roman"/>
          <w:lang w:eastAsia="en-GB"/>
        </w:rPr>
        <w:t xml:space="preserve"> linked to Hospital Episodes Statistics </w:t>
      </w:r>
      <w:r w:rsidR="009819D4">
        <w:rPr>
          <w:rFonts w:eastAsia="Times New Roman"/>
          <w:lang w:eastAsia="en-GB"/>
        </w:rPr>
        <w:t>(HES) data.</w:t>
      </w:r>
      <w:r w:rsidR="00806762">
        <w:rPr>
          <w:rFonts w:eastAsia="Times New Roman"/>
          <w:lang w:eastAsia="en-GB"/>
        </w:rPr>
        <w:t xml:space="preserve"> </w:t>
      </w:r>
      <w:r w:rsidR="00E27F16">
        <w:rPr>
          <w:rFonts w:eastAsia="Times New Roman"/>
          <w:lang w:eastAsia="en-GB"/>
        </w:rPr>
        <w:t xml:space="preserve">We have described the use of CPRD in this study and the characteristics of TORCH in a previous publication (also replicated in </w:t>
      </w:r>
      <w:r w:rsidR="00E27F16" w:rsidRPr="00806762">
        <w:rPr>
          <w:rFonts w:eastAsia="Times New Roman"/>
          <w:color w:val="000000" w:themeColor="text1"/>
          <w:lang w:eastAsia="en-GB"/>
        </w:rPr>
        <w:t>appendix 1</w:t>
      </w:r>
      <w:r w:rsidR="00E27F16">
        <w:rPr>
          <w:rFonts w:eastAsia="Times New Roman"/>
          <w:lang w:eastAsia="en-GB"/>
        </w:rPr>
        <w:t>).</w:t>
      </w:r>
      <w:r w:rsidR="00FF5D06">
        <w:rPr>
          <w:rFonts w:eastAsia="Times New Roman"/>
          <w:lang w:eastAsia="en-GB"/>
        </w:rPr>
        <w:fldChar w:fldCharType="begin" w:fldLock="1"/>
      </w:r>
      <w:r w:rsidR="00B10790">
        <w:rPr>
          <w:rFonts w:eastAsia="Times New Roman"/>
          <w:lang w:eastAsia="en-GB"/>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FF5D06">
        <w:rPr>
          <w:rFonts w:eastAsia="Times New Roman"/>
          <w:lang w:eastAsia="en-GB"/>
        </w:rPr>
        <w:fldChar w:fldCharType="separate"/>
      </w:r>
      <w:r w:rsidR="00B10790" w:rsidRPr="00B10790">
        <w:rPr>
          <w:rFonts w:eastAsia="Times New Roman"/>
          <w:noProof/>
          <w:lang w:eastAsia="en-GB"/>
        </w:rPr>
        <w:t>[2]</w:t>
      </w:r>
      <w:r w:rsidR="00FF5D06">
        <w:rPr>
          <w:rFonts w:eastAsia="Times New Roman"/>
          <w:lang w:eastAsia="en-GB"/>
        </w:rPr>
        <w:fldChar w:fldCharType="end"/>
      </w:r>
    </w:p>
    <w:p w14:paraId="44CDF141" w14:textId="5DBCF59F" w:rsidR="001C01F2" w:rsidRDefault="001C01F2" w:rsidP="008B0A52">
      <w:pPr>
        <w:pStyle w:val="heading2nonumber"/>
        <w:keepNext/>
        <w:spacing w:line="480" w:lineRule="auto"/>
        <w:ind w:left="0" w:firstLine="0"/>
      </w:pPr>
      <w:r>
        <w:t xml:space="preserve">Diagnostic and therapeutic </w:t>
      </w:r>
      <w:proofErr w:type="spellStart"/>
      <w:r>
        <w:t>codelists</w:t>
      </w:r>
      <w:proofErr w:type="spellEnd"/>
    </w:p>
    <w:p w14:paraId="5CC9CD18" w14:textId="7C823684" w:rsidR="001C01F2" w:rsidRPr="001C01F2" w:rsidRDefault="001C01F2" w:rsidP="008B0A52">
      <w:pPr>
        <w:spacing w:line="480" w:lineRule="auto"/>
        <w:jc w:val="both"/>
        <w:rPr>
          <w:rFonts w:ascii="Calibri" w:hAnsi="Calibri" w:cs="Calibri"/>
          <w:b/>
        </w:rPr>
      </w:pPr>
      <w:r>
        <w:rPr>
          <w:rFonts w:ascii="Calibri" w:hAnsi="Calibri" w:cs="Calibri"/>
        </w:rPr>
        <w:t xml:space="preserve">All diagnostic and therapeutic </w:t>
      </w:r>
      <w:proofErr w:type="spellStart"/>
      <w:r>
        <w:rPr>
          <w:rFonts w:ascii="Calibri" w:hAnsi="Calibri" w:cs="Calibri"/>
        </w:rPr>
        <w:t>codelist</w:t>
      </w:r>
      <w:proofErr w:type="spellEnd"/>
      <w:r>
        <w:rPr>
          <w:rFonts w:ascii="Calibri" w:hAnsi="Calibri" w:cs="Calibri"/>
        </w:rPr>
        <w:t xml:space="preserve"> files are available for download </w:t>
      </w:r>
      <w:r w:rsidR="003C77FF" w:rsidRPr="004F2A18">
        <w:rPr>
          <w:rFonts w:ascii="Calibri" w:hAnsi="Calibri" w:cs="Calibri"/>
          <w:color w:val="000000" w:themeColor="text1"/>
        </w:rPr>
        <w:t>(</w:t>
      </w:r>
      <w:hyperlink r:id="rId10" w:history="1">
        <w:r w:rsidR="0014700F" w:rsidRPr="00B30E2B">
          <w:rPr>
            <w:rStyle w:val="Hyperlink"/>
            <w:rFonts w:eastAsia="Times New Roman"/>
            <w:lang w:eastAsia="en-GB"/>
          </w:rPr>
          <w:t>https://datacompass.lshtm.ac.uk/1655/</w:t>
        </w:r>
      </w:hyperlink>
      <w:r w:rsidR="003C77FF" w:rsidRPr="004F2A18">
        <w:rPr>
          <w:rFonts w:ascii="Calibri" w:hAnsi="Calibri" w:cs="Calibri"/>
          <w:iCs/>
          <w:color w:val="000000" w:themeColor="text1"/>
        </w:rPr>
        <w:t>)</w:t>
      </w:r>
      <w:r w:rsidR="003C77FF">
        <w:rPr>
          <w:rFonts w:ascii="Calibri" w:hAnsi="Calibri" w:cs="Calibri"/>
        </w:rPr>
        <w:t>.</w:t>
      </w:r>
    </w:p>
    <w:p w14:paraId="6C83196C" w14:textId="2C9C7D62" w:rsidR="002663B4" w:rsidRDefault="005F4DBA" w:rsidP="008B0A52">
      <w:pPr>
        <w:pStyle w:val="heading2nonumber"/>
        <w:spacing w:line="480" w:lineRule="auto"/>
      </w:pPr>
      <w:bookmarkStart w:id="0" w:name="_Hlk35198134"/>
      <w:bookmarkStart w:id="1" w:name="_Hlk35196503"/>
      <w:r w:rsidRPr="00535636">
        <w:t>Selection of p</w:t>
      </w:r>
      <w:r w:rsidR="00D75182" w:rsidRPr="00535636">
        <w:t>articipants</w:t>
      </w:r>
      <w:r w:rsidR="002663B4" w:rsidRPr="00535636">
        <w:t xml:space="preserve"> </w:t>
      </w:r>
      <w:r w:rsidR="001C01F2" w:rsidRPr="00535636">
        <w:t xml:space="preserve">- </w:t>
      </w:r>
      <w:r w:rsidR="00C968DC">
        <w:t>FP-SAL</w:t>
      </w:r>
      <w:r w:rsidR="002663B4" w:rsidRPr="00535636">
        <w:t xml:space="preserve"> exposed vs unexposed</w:t>
      </w:r>
    </w:p>
    <w:p w14:paraId="4E00E936" w14:textId="5A3E4B49" w:rsidR="007656E6" w:rsidRPr="0043057E" w:rsidRDefault="007656E6" w:rsidP="008B0A52">
      <w:pPr>
        <w:spacing w:after="0" w:line="480" w:lineRule="auto"/>
        <w:jc w:val="both"/>
        <w:rPr>
          <w:rFonts w:ascii="Calibri" w:hAnsi="Calibri" w:cs="Calibri"/>
          <w:b/>
          <w:i/>
        </w:rPr>
      </w:pPr>
      <w:bookmarkStart w:id="2" w:name="_Hlk35197738"/>
      <w:bookmarkEnd w:id="0"/>
      <w:r w:rsidRPr="0043057E">
        <w:rPr>
          <w:rFonts w:ascii="Calibri" w:hAnsi="Calibri" w:cs="Calibri"/>
          <w:b/>
          <w:i/>
        </w:rPr>
        <w:t xml:space="preserve">Step 1 – </w:t>
      </w:r>
      <w:r w:rsidR="00F618F9">
        <w:rPr>
          <w:rFonts w:ascii="Calibri" w:hAnsi="Calibri" w:cs="Calibri"/>
          <w:b/>
          <w:i/>
        </w:rPr>
        <w:t xml:space="preserve">selection of </w:t>
      </w:r>
      <w:r w:rsidR="006F7854">
        <w:rPr>
          <w:rFonts w:ascii="Calibri" w:hAnsi="Calibri" w:cs="Calibri"/>
          <w:b/>
          <w:i/>
        </w:rPr>
        <w:t xml:space="preserve">all </w:t>
      </w:r>
      <w:r w:rsidR="00F618F9">
        <w:rPr>
          <w:rFonts w:ascii="Calibri" w:hAnsi="Calibri" w:cs="Calibri"/>
          <w:b/>
          <w:i/>
        </w:rPr>
        <w:t>potentially eligible patients</w:t>
      </w:r>
    </w:p>
    <w:p w14:paraId="2E57865B" w14:textId="36DC9A76" w:rsidR="00995882" w:rsidRPr="00EB41C8" w:rsidRDefault="00163952" w:rsidP="008B0A52">
      <w:pPr>
        <w:spacing w:line="480" w:lineRule="auto"/>
        <w:jc w:val="both"/>
        <w:rPr>
          <w:rFonts w:cs="Calibri"/>
          <w:color w:val="FF0000"/>
        </w:rPr>
      </w:pPr>
      <w:r>
        <w:rPr>
          <w:rFonts w:ascii="Calibri" w:hAnsi="Calibri" w:cs="Calibri"/>
        </w:rPr>
        <w:t>An initial</w:t>
      </w:r>
      <w:r w:rsidR="008148B4">
        <w:rPr>
          <w:rFonts w:ascii="Calibri" w:hAnsi="Calibri" w:cs="Calibri"/>
        </w:rPr>
        <w:t xml:space="preserve"> cohort</w:t>
      </w:r>
      <w:r>
        <w:rPr>
          <w:rFonts w:ascii="Calibri" w:hAnsi="Calibri" w:cs="Calibri"/>
        </w:rPr>
        <w:t xml:space="preserve"> </w:t>
      </w:r>
      <w:r w:rsidR="008148B4">
        <w:rPr>
          <w:rFonts w:ascii="Calibri" w:hAnsi="Calibri" w:cs="Calibri"/>
        </w:rPr>
        <w:t>was</w:t>
      </w:r>
      <w:r w:rsidR="005A182C">
        <w:rPr>
          <w:rFonts w:ascii="Calibri" w:hAnsi="Calibri" w:cs="Calibri"/>
        </w:rPr>
        <w:t xml:space="preserve"> selected from all</w:t>
      </w:r>
      <w:r w:rsidR="003C2AC2">
        <w:rPr>
          <w:rFonts w:ascii="Calibri" w:hAnsi="Calibri" w:cs="Calibri"/>
        </w:rPr>
        <w:t xml:space="preserve"> HES-linked p</w:t>
      </w:r>
      <w:r w:rsidR="003639AF">
        <w:rPr>
          <w:rFonts w:ascii="Calibri" w:hAnsi="Calibri" w:cs="Calibri"/>
        </w:rPr>
        <w:t>atients actively registered in the CPRD</w:t>
      </w:r>
      <w:r w:rsidR="003C2AC2">
        <w:rPr>
          <w:rFonts w:ascii="Calibri" w:hAnsi="Calibri" w:cs="Calibri"/>
        </w:rPr>
        <w:t xml:space="preserve"> </w:t>
      </w:r>
      <w:r w:rsidR="003639AF">
        <w:rPr>
          <w:rFonts w:ascii="Calibri" w:hAnsi="Calibri" w:cs="Calibri"/>
        </w:rPr>
        <w:t>between</w:t>
      </w:r>
      <w:r w:rsidR="003C2AC2">
        <w:rPr>
          <w:rFonts w:ascii="Calibri" w:hAnsi="Calibri" w:cs="Calibri"/>
        </w:rPr>
        <w:t xml:space="preserve"> 1</w:t>
      </w:r>
      <w:r w:rsidR="003C2AC2" w:rsidRPr="003C2AC2">
        <w:rPr>
          <w:rFonts w:ascii="Calibri" w:hAnsi="Calibri" w:cs="Calibri"/>
          <w:vertAlign w:val="superscript"/>
        </w:rPr>
        <w:t>st</w:t>
      </w:r>
      <w:r w:rsidR="003C2AC2">
        <w:rPr>
          <w:rFonts w:ascii="Calibri" w:hAnsi="Calibri" w:cs="Calibri"/>
        </w:rPr>
        <w:t xml:space="preserve"> January 2004 and 1</w:t>
      </w:r>
      <w:r w:rsidR="003C2AC2" w:rsidRPr="003C2AC2">
        <w:rPr>
          <w:rFonts w:ascii="Calibri" w:hAnsi="Calibri" w:cs="Calibri"/>
          <w:vertAlign w:val="superscript"/>
        </w:rPr>
        <w:t>st</w:t>
      </w:r>
      <w:r w:rsidR="003C2AC2">
        <w:rPr>
          <w:rFonts w:ascii="Calibri" w:hAnsi="Calibri" w:cs="Calibri"/>
        </w:rPr>
        <w:t xml:space="preserve"> January 2017, </w:t>
      </w:r>
      <w:r w:rsidR="001C2ABA">
        <w:rPr>
          <w:rFonts w:ascii="Calibri" w:hAnsi="Calibri" w:cs="Calibri"/>
        </w:rPr>
        <w:t>who fulfilled</w:t>
      </w:r>
      <w:r w:rsidR="00FE54C4">
        <w:rPr>
          <w:rFonts w:ascii="Calibri" w:hAnsi="Calibri" w:cs="Calibri"/>
        </w:rPr>
        <w:t xml:space="preserve"> the</w:t>
      </w:r>
      <w:r w:rsidR="00DB19D0">
        <w:rPr>
          <w:rFonts w:ascii="Calibri" w:hAnsi="Calibri" w:cs="Calibri"/>
        </w:rPr>
        <w:t xml:space="preserve"> TORCH inclusion criteria </w:t>
      </w:r>
      <w:r w:rsidR="00E260D8">
        <w:rPr>
          <w:rFonts w:ascii="Calibri" w:hAnsi="Calibri" w:cs="Calibri"/>
        </w:rPr>
        <w:t>(</w:t>
      </w:r>
      <w:r w:rsidR="00DB19D0" w:rsidRPr="00BA2C8E">
        <w:rPr>
          <w:rFonts w:ascii="Calibri" w:hAnsi="Calibri" w:cs="Calibri"/>
        </w:rPr>
        <w:t xml:space="preserve">Appendix </w:t>
      </w:r>
      <w:r w:rsidR="00BA2C8E" w:rsidRPr="00BA2C8E">
        <w:rPr>
          <w:rFonts w:ascii="Calibri" w:hAnsi="Calibri" w:cs="Calibri"/>
        </w:rPr>
        <w:t>Table A1-1</w:t>
      </w:r>
      <w:r w:rsidR="00E260D8">
        <w:rPr>
          <w:rFonts w:ascii="Calibri" w:hAnsi="Calibri" w:cs="Calibri"/>
        </w:rPr>
        <w:t>)</w:t>
      </w:r>
      <w:r w:rsidR="001C2ABA">
        <w:rPr>
          <w:rFonts w:ascii="Calibri" w:hAnsi="Calibri" w:cs="Calibri"/>
        </w:rPr>
        <w:t>.</w:t>
      </w:r>
      <w:r w:rsidR="00E260D8">
        <w:rPr>
          <w:rFonts w:ascii="Calibri" w:hAnsi="Calibri" w:cs="Calibri"/>
        </w:rPr>
        <w:fldChar w:fldCharType="begin" w:fldLock="1"/>
      </w:r>
      <w:r w:rsidR="00B10790">
        <w:rPr>
          <w:rFonts w:ascii="Calibri" w:hAnsi="Calibri" w:cs="Calibri"/>
        </w:rPr>
        <w:instrText>ADDIN CSL_CITATION {"citationItems":[{"id":"ITEM-1","itemData":{"DOI":"10.1056/NEJMoa063070","ISSN":"0028-4793","abstract":"Background Long-acting beta-agonists and inhaled corticosteroids are used to treat chronic obstructive pulmonary disease (COPD), but their effect on survival is unknown. Methods We conducted a randomized, double-blind trial comparing salmeterol at a dose of 50 μg plus fluticasone propionate at a dose of 500 μg twice daily (combination regimen), administered with a single inhaler, with placebo, salmeterol alone, or fluticasone propionate alone for a period of 3 years. The primary outcome was death from any cause for the comparison between the combination regimen and placebo; the frequency of exacerbations, health status, and spirometric values were also assessed. Results Of 6112 patients in the efficacy population, 875 died within 3 years after the start of the study treatment. All-cause mortality rates were 12.6% in the combination-therapy group, 15.2% in the placebo group, 13.5% in the salmeterol group, and 16.0% in the fluticasone group. The hazard ratio for death in the combination-therapy group, as co...","author":[{"dropping-particle":"","family":"Calverley","given":"Peter M.A.","non-dropping-particle":"","parse-names":false,"suffix":""},{"dropping-particle":"","family":"Anderson","given":"Julie A.","non-dropping-particle":"","parse-names":false,"suffix":""},{"dropping-particle":"","family":"Celli","given":"Bartolome","non-dropping-particle":"","parse-names":false,"suffix":""},{"dropping-particle":"","family":"Ferguson","given":"Gary T.","non-dropping-particle":"","parse-names":false,"suffix":""},{"dropping-particle":"","family":"Jenkins","given":"Christine","non-dropping-particle":"","parse-names":false,"suffix":""},{"dropping-particle":"","family":"Jones","given":"Paul W.","non-dropping-particle":"","parse-names":false,"suffix":""},{"dropping-particle":"","family":"Yates","given":"Julie C.","non-dropping-particle":"","parse-names":false,"suffix":""},{"dropping-particle":"","family":"Vestbo","given":"Jørgen","non-dropping-particle":"","parse-names":false,"suffix":""}],"container-title":"New England Journal of Medicine","id":"ITEM-1","issue":"8","issued":{"date-parts":[["2007","2","22"]]},"page":"775-789","publisher":"Massachusetts Medical Society","title":"Salmeterol and Fluticasone Propionate and Survival in Chronic Obstructive Pulmonary Disease","type":"article-journal","volume":"356"},"uris":["http://www.mendeley.com/documents/?uuid=10414654-4b8d-3130-a298-2bdbc5a24f7f"]}],"mendeley":{"formattedCitation":"[1]","plainTextFormattedCitation":"[1]","previouslyFormattedCitation":"[1]"},"properties":{"noteIndex":0},"schema":"https://github.com/citation-style-language/schema/raw/master/csl-citation.json"}</w:instrText>
      </w:r>
      <w:r w:rsidR="00E260D8">
        <w:rPr>
          <w:rFonts w:ascii="Calibri" w:hAnsi="Calibri" w:cs="Calibri"/>
        </w:rPr>
        <w:fldChar w:fldCharType="separate"/>
      </w:r>
      <w:r w:rsidR="00B10790" w:rsidRPr="00B10790">
        <w:rPr>
          <w:rFonts w:ascii="Calibri" w:hAnsi="Calibri" w:cs="Calibri"/>
          <w:noProof/>
        </w:rPr>
        <w:t>[1]</w:t>
      </w:r>
      <w:r w:rsidR="00E260D8">
        <w:rPr>
          <w:rFonts w:ascii="Calibri" w:hAnsi="Calibri" w:cs="Calibri"/>
        </w:rPr>
        <w:fldChar w:fldCharType="end"/>
      </w:r>
      <w:r w:rsidR="001C2ABA">
        <w:rPr>
          <w:rFonts w:ascii="Calibri" w:hAnsi="Calibri" w:cs="Calibri"/>
        </w:rPr>
        <w:t xml:space="preserve"> </w:t>
      </w:r>
      <w:r w:rsidR="00FE54C4">
        <w:rPr>
          <w:rFonts w:ascii="Calibri" w:hAnsi="Calibri" w:cs="Calibri"/>
        </w:rPr>
        <w:t xml:space="preserve">The date that </w:t>
      </w:r>
      <w:r w:rsidR="008E0572">
        <w:rPr>
          <w:rFonts w:ascii="Calibri" w:hAnsi="Calibri" w:cs="Calibri"/>
        </w:rPr>
        <w:t>an</w:t>
      </w:r>
      <w:r w:rsidR="00FE54C4">
        <w:rPr>
          <w:rFonts w:ascii="Calibri" w:hAnsi="Calibri" w:cs="Calibri"/>
        </w:rPr>
        <w:t xml:space="preserve"> individual met all</w:t>
      </w:r>
      <w:r w:rsidR="00BC523F">
        <w:rPr>
          <w:rFonts w:ascii="Calibri" w:hAnsi="Calibri" w:cs="Calibri"/>
        </w:rPr>
        <w:t xml:space="preserve"> </w:t>
      </w:r>
      <w:r w:rsidR="001C2ABA">
        <w:rPr>
          <w:rFonts w:ascii="Calibri" w:hAnsi="Calibri" w:cs="Calibri"/>
        </w:rPr>
        <w:t>inclusion</w:t>
      </w:r>
      <w:r w:rsidR="00BC523F">
        <w:rPr>
          <w:rFonts w:ascii="Calibri" w:hAnsi="Calibri" w:cs="Calibri"/>
        </w:rPr>
        <w:t xml:space="preserve"> criteria</w:t>
      </w:r>
      <w:r w:rsidR="00F11216">
        <w:rPr>
          <w:rFonts w:ascii="Calibri" w:hAnsi="Calibri" w:cs="Calibri"/>
        </w:rPr>
        <w:t xml:space="preserve"> with at least 12 months prior registration in the CPRD</w:t>
      </w:r>
      <w:r w:rsidR="00BC523F">
        <w:rPr>
          <w:rFonts w:ascii="Calibri" w:hAnsi="Calibri" w:cs="Calibri"/>
        </w:rPr>
        <w:t xml:space="preserve"> was the</w:t>
      </w:r>
      <w:r w:rsidR="00FA7CA1">
        <w:rPr>
          <w:rFonts w:ascii="Calibri" w:hAnsi="Calibri" w:cs="Calibri"/>
        </w:rPr>
        <w:t xml:space="preserve"> </w:t>
      </w:r>
      <w:r w:rsidR="003639AF">
        <w:rPr>
          <w:rFonts w:ascii="Calibri" w:hAnsi="Calibri" w:cs="Calibri"/>
        </w:rPr>
        <w:t>eligible-for-TORCH-inclusion date</w:t>
      </w:r>
      <w:r w:rsidR="00DD07E9">
        <w:rPr>
          <w:rFonts w:ascii="Calibri" w:hAnsi="Calibri" w:cs="Calibri"/>
        </w:rPr>
        <w:t xml:space="preserve">. </w:t>
      </w:r>
    </w:p>
    <w:p w14:paraId="75397D33" w14:textId="6DA341DD" w:rsidR="00100207" w:rsidRPr="0043057E" w:rsidRDefault="00995882" w:rsidP="008B0A52">
      <w:pPr>
        <w:keepNext/>
        <w:spacing w:before="120" w:after="0" w:line="480" w:lineRule="auto"/>
        <w:jc w:val="both"/>
        <w:rPr>
          <w:rFonts w:eastAsia="Times New Roman"/>
          <w:b/>
          <w:i/>
          <w:lang w:eastAsia="en-GB"/>
        </w:rPr>
      </w:pPr>
      <w:r w:rsidRPr="0043057E">
        <w:rPr>
          <w:rFonts w:eastAsia="Times New Roman"/>
          <w:b/>
          <w:i/>
          <w:lang w:eastAsia="en-GB"/>
        </w:rPr>
        <w:lastRenderedPageBreak/>
        <w:t>Step 2</w:t>
      </w:r>
      <w:r w:rsidR="00100207" w:rsidRPr="0043057E">
        <w:rPr>
          <w:rFonts w:eastAsia="Times New Roman"/>
          <w:b/>
          <w:i/>
          <w:lang w:eastAsia="en-GB"/>
        </w:rPr>
        <w:t xml:space="preserve"> </w:t>
      </w:r>
      <w:r w:rsidR="00A263DC" w:rsidRPr="0043057E">
        <w:rPr>
          <w:rFonts w:eastAsia="Times New Roman"/>
          <w:b/>
          <w:i/>
          <w:lang w:eastAsia="en-GB"/>
        </w:rPr>
        <w:t xml:space="preserve">– </w:t>
      </w:r>
      <w:r w:rsidR="0097240D">
        <w:rPr>
          <w:rFonts w:eastAsia="Times New Roman"/>
          <w:b/>
          <w:i/>
          <w:lang w:eastAsia="en-GB"/>
        </w:rPr>
        <w:t xml:space="preserve">selection of pool </w:t>
      </w:r>
      <w:r w:rsidR="006F7854">
        <w:rPr>
          <w:rFonts w:eastAsia="Times New Roman"/>
          <w:b/>
          <w:i/>
          <w:lang w:eastAsia="en-GB"/>
        </w:rPr>
        <w:t>of unexposed patients</w:t>
      </w:r>
    </w:p>
    <w:p w14:paraId="1B645D58" w14:textId="1A24034B" w:rsidR="00D22CA9" w:rsidRDefault="00405EC8" w:rsidP="008B0A52">
      <w:pPr>
        <w:spacing w:line="480" w:lineRule="auto"/>
        <w:jc w:val="both"/>
      </w:pPr>
      <w:bookmarkStart w:id="3" w:name="OLE_LINK5"/>
      <w:bookmarkStart w:id="4" w:name="OLE_LINK6"/>
      <w:r>
        <w:rPr>
          <w:rFonts w:ascii="Calibri" w:hAnsi="Calibri" w:cs="Calibri"/>
        </w:rPr>
        <w:t xml:space="preserve">Unexposed to </w:t>
      </w:r>
      <w:r w:rsidR="00C968DC">
        <w:rPr>
          <w:rFonts w:ascii="Calibri" w:hAnsi="Calibri" w:cs="Calibri"/>
        </w:rPr>
        <w:t>FP-SAL</w:t>
      </w:r>
      <w:r>
        <w:rPr>
          <w:rFonts w:ascii="Calibri" w:hAnsi="Calibri" w:cs="Calibri"/>
        </w:rPr>
        <w:t xml:space="preserve"> time periods that occurred on or after the eligible-for-TORCH-inclusion date and </w:t>
      </w:r>
      <w:r w:rsidR="004F1BDF">
        <w:rPr>
          <w:rFonts w:ascii="Calibri" w:hAnsi="Calibri" w:cs="Calibri"/>
        </w:rPr>
        <w:t xml:space="preserve">did not </w:t>
      </w:r>
      <w:r w:rsidR="00A00794">
        <w:rPr>
          <w:rFonts w:ascii="Calibri" w:hAnsi="Calibri" w:cs="Calibri"/>
        </w:rPr>
        <w:t xml:space="preserve">meet </w:t>
      </w:r>
      <w:r w:rsidR="004F1BDF">
        <w:rPr>
          <w:rFonts w:ascii="Calibri" w:hAnsi="Calibri" w:cs="Calibri"/>
        </w:rPr>
        <w:t xml:space="preserve">any of the </w:t>
      </w:r>
      <w:r w:rsidR="001C2ABA">
        <w:rPr>
          <w:rFonts w:ascii="Calibri" w:hAnsi="Calibri" w:cs="Calibri"/>
        </w:rPr>
        <w:t xml:space="preserve">TORCH </w:t>
      </w:r>
      <w:r w:rsidR="004F1BDF">
        <w:rPr>
          <w:rFonts w:ascii="Calibri" w:hAnsi="Calibri" w:cs="Calibri"/>
        </w:rPr>
        <w:t>drug exposure exclusion criteria</w:t>
      </w:r>
      <w:r w:rsidR="001C2ABA">
        <w:rPr>
          <w:rFonts w:ascii="Calibri" w:hAnsi="Calibri" w:cs="Calibri"/>
        </w:rPr>
        <w:t xml:space="preserve"> </w:t>
      </w:r>
      <w:r w:rsidR="00EA68D7">
        <w:rPr>
          <w:rFonts w:ascii="Calibri" w:hAnsi="Calibri" w:cs="Calibri"/>
        </w:rPr>
        <w:t>(</w:t>
      </w:r>
      <w:r w:rsidR="00BA2C8E" w:rsidRPr="00BA2C8E">
        <w:rPr>
          <w:rFonts w:ascii="Calibri" w:hAnsi="Calibri" w:cs="Calibri"/>
        </w:rPr>
        <w:t>Appendix Table A1-1</w:t>
      </w:r>
      <w:r w:rsidR="00EA68D7">
        <w:rPr>
          <w:rFonts w:ascii="Calibri" w:hAnsi="Calibri" w:cs="Calibri"/>
        </w:rPr>
        <w:t>)</w:t>
      </w:r>
      <w:r w:rsidR="004F1BDF">
        <w:rPr>
          <w:rFonts w:ascii="Calibri" w:hAnsi="Calibri" w:cs="Calibri"/>
        </w:rPr>
        <w:t xml:space="preserve"> were </w:t>
      </w:r>
      <w:r>
        <w:rPr>
          <w:rFonts w:ascii="Calibri" w:hAnsi="Calibri" w:cs="Calibri"/>
        </w:rPr>
        <w:t>selected</w:t>
      </w:r>
      <w:r w:rsidR="00B4255F">
        <w:rPr>
          <w:rFonts w:ascii="Calibri" w:hAnsi="Calibri" w:cs="Calibri"/>
        </w:rPr>
        <w:t xml:space="preserve"> (</w:t>
      </w:r>
      <w:r w:rsidR="00D36D5D">
        <w:rPr>
          <w:rFonts w:ascii="Calibri" w:hAnsi="Calibri" w:cs="Calibri"/>
        </w:rPr>
        <w:t>Appendix Figure A1-1</w:t>
      </w:r>
      <w:r w:rsidR="00B4255F">
        <w:rPr>
          <w:rFonts w:ascii="Calibri" w:hAnsi="Calibri" w:cs="Calibri"/>
        </w:rPr>
        <w:t>).</w:t>
      </w:r>
      <w:r w:rsidR="00EA68D7">
        <w:rPr>
          <w:rFonts w:ascii="Calibri" w:hAnsi="Calibri" w:cs="Calibri"/>
        </w:rPr>
        <w:fldChar w:fldCharType="begin" w:fldLock="1"/>
      </w:r>
      <w:r w:rsidR="00B10790">
        <w:rPr>
          <w:rFonts w:ascii="Calibri" w:hAnsi="Calibri" w:cs="Calibri"/>
        </w:rPr>
        <w:instrText>ADDIN CSL_CITATION {"citationItems":[{"id":"ITEM-1","itemData":{"DOI":"10.1056/NEJMoa063070","ISSN":"0028-4793","abstract":"Background Long-acting beta-agonists and inhaled corticosteroids are used to treat chronic obstructive pulmonary disease (COPD), but their effect on survival is unknown. Methods We conducted a randomized, double-blind trial comparing salmeterol at a dose of 50 μg plus fluticasone propionate at a dose of 500 μg twice daily (combination regimen), administered with a single inhaler, with placebo, salmeterol alone, or fluticasone propionate alone for a period of 3 years. The primary outcome was death from any cause for the comparison between the combination regimen and placebo; the frequency of exacerbations, health status, and spirometric values were also assessed. Results Of 6112 patients in the efficacy population, 875 died within 3 years after the start of the study treatment. All-cause mortality rates were 12.6% in the combination-therapy group, 15.2% in the placebo group, 13.5% in the salmeterol group, and 16.0% in the fluticasone group. The hazard ratio for death in the combination-therapy group, as co...","author":[{"dropping-particle":"","family":"Calverley","given":"Peter M.A.","non-dropping-particle":"","parse-names":false,"suffix":""},{"dropping-particle":"","family":"Anderson","given":"Julie A.","non-dropping-particle":"","parse-names":false,"suffix":""},{"dropping-particle":"","family":"Celli","given":"Bartolome","non-dropping-particle":"","parse-names":false,"suffix":""},{"dropping-particle":"","family":"Ferguson","given":"Gary T.","non-dropping-particle":"","parse-names":false,"suffix":""},{"dropping-particle":"","family":"Jenkins","given":"Christine","non-dropping-particle":"","parse-names":false,"suffix":""},{"dropping-particle":"","family":"Jones","given":"Paul W.","non-dropping-particle":"","parse-names":false,"suffix":""},{"dropping-particle":"","family":"Yates","given":"Julie C.","non-dropping-particle":"","parse-names":false,"suffix":""},{"dropping-particle":"","family":"Vestbo","given":"Jørgen","non-dropping-particle":"","parse-names":false,"suffix":""}],"container-title":"New England Journal of Medicine","id":"ITEM-1","issue":"8","issued":{"date-parts":[["2007","2","22"]]},"page":"775-789","publisher":"Massachusetts Medical Society","title":"Salmeterol and Fluticasone Propionate and Survival in Chronic Obstructive Pulmonary Disease","type":"article-journal","volume":"356"},"uris":["http://www.mendeley.com/documents/?uuid=10414654-4b8d-3130-a298-2bdbc5a24f7f"]}],"mendeley":{"formattedCitation":"[1]","plainTextFormattedCitation":"[1]","previouslyFormattedCitation":"[1]"},"properties":{"noteIndex":0},"schema":"https://github.com/citation-style-language/schema/raw/master/csl-citation.json"}</w:instrText>
      </w:r>
      <w:r w:rsidR="00EA68D7">
        <w:rPr>
          <w:rFonts w:ascii="Calibri" w:hAnsi="Calibri" w:cs="Calibri"/>
        </w:rPr>
        <w:fldChar w:fldCharType="separate"/>
      </w:r>
      <w:r w:rsidR="00B10790" w:rsidRPr="00B10790">
        <w:rPr>
          <w:rFonts w:ascii="Calibri" w:hAnsi="Calibri" w:cs="Calibri"/>
          <w:noProof/>
        </w:rPr>
        <w:t>[1]</w:t>
      </w:r>
      <w:r w:rsidR="00EA68D7">
        <w:rPr>
          <w:rFonts w:ascii="Calibri" w:hAnsi="Calibri" w:cs="Calibri"/>
        </w:rPr>
        <w:fldChar w:fldCharType="end"/>
      </w:r>
      <w:r w:rsidR="00305C3C">
        <w:rPr>
          <w:rFonts w:ascii="Calibri" w:hAnsi="Calibri" w:cs="Calibri"/>
        </w:rPr>
        <w:t xml:space="preserve"> The start of follow-up date (index date) for the unexposed time period was selected as a random date </w:t>
      </w:r>
      <w:r w:rsidR="00635822">
        <w:rPr>
          <w:rFonts w:ascii="Calibri" w:hAnsi="Calibri" w:cs="Calibri"/>
        </w:rPr>
        <w:t>between the start</w:t>
      </w:r>
      <w:r w:rsidR="00A81578">
        <w:rPr>
          <w:rFonts w:ascii="Calibri" w:hAnsi="Calibri" w:cs="Calibri"/>
        </w:rPr>
        <w:t xml:space="preserve"> and end</w:t>
      </w:r>
      <w:r w:rsidR="00635822">
        <w:rPr>
          <w:rFonts w:ascii="Calibri" w:hAnsi="Calibri" w:cs="Calibri"/>
        </w:rPr>
        <w:t xml:space="preserve"> of the</w:t>
      </w:r>
      <w:r w:rsidR="00305C3C">
        <w:rPr>
          <w:rFonts w:ascii="Calibri" w:hAnsi="Calibri" w:cs="Calibri"/>
        </w:rPr>
        <w:t xml:space="preserve"> unexposed period</w:t>
      </w:r>
      <w:r w:rsidR="00D56278">
        <w:rPr>
          <w:rFonts w:ascii="Calibri" w:hAnsi="Calibri" w:cs="Calibri"/>
        </w:rPr>
        <w:t xml:space="preserve"> </w:t>
      </w:r>
      <w:r w:rsidR="00305C3C">
        <w:rPr>
          <w:rFonts w:ascii="Calibri" w:hAnsi="Calibri" w:cs="Calibri"/>
        </w:rPr>
        <w:t>(</w:t>
      </w:r>
      <w:r w:rsidR="00D36D5D">
        <w:rPr>
          <w:rFonts w:ascii="Calibri" w:hAnsi="Calibri" w:cs="Calibri"/>
        </w:rPr>
        <w:t>Appendix Figure A1-1</w:t>
      </w:r>
      <w:r w:rsidR="00305C3C">
        <w:rPr>
          <w:rFonts w:ascii="Calibri" w:hAnsi="Calibri" w:cs="Calibri"/>
        </w:rPr>
        <w:t>)</w:t>
      </w:r>
      <w:r w:rsidR="005C5878">
        <w:rPr>
          <w:rFonts w:ascii="Calibri" w:hAnsi="Calibri" w:cs="Calibri"/>
        </w:rPr>
        <w:t xml:space="preserve">. </w:t>
      </w:r>
      <w:r>
        <w:rPr>
          <w:rFonts w:ascii="Calibri" w:hAnsi="Calibri" w:cs="Calibri"/>
        </w:rPr>
        <w:t xml:space="preserve">Individuals in CPRD were able to contribute more than </w:t>
      </w:r>
      <w:r w:rsidR="004F1BDF">
        <w:rPr>
          <w:rFonts w:ascii="Calibri" w:hAnsi="Calibri" w:cs="Calibri"/>
        </w:rPr>
        <w:t>one such unexposed time period to the total pool of unexposed time periods</w:t>
      </w:r>
      <w:r w:rsidR="005651FB">
        <w:rPr>
          <w:rFonts w:ascii="Calibri" w:hAnsi="Calibri" w:cs="Calibri"/>
        </w:rPr>
        <w:t xml:space="preserve"> </w:t>
      </w:r>
      <w:r>
        <w:rPr>
          <w:rFonts w:ascii="Calibri" w:hAnsi="Calibri" w:cs="Calibri"/>
        </w:rPr>
        <w:t>(</w:t>
      </w:r>
      <w:r w:rsidR="00D36D5D">
        <w:rPr>
          <w:rFonts w:ascii="Calibri" w:hAnsi="Calibri" w:cs="Calibri"/>
        </w:rPr>
        <w:t>Appendix Figure A1-1</w:t>
      </w:r>
      <w:r>
        <w:rPr>
          <w:rFonts w:ascii="Calibri" w:hAnsi="Calibri" w:cs="Calibri"/>
        </w:rPr>
        <w:t xml:space="preserve">). </w:t>
      </w:r>
      <w:r w:rsidR="001F6268">
        <w:rPr>
          <w:rFonts w:ascii="Calibri" w:hAnsi="Calibri" w:cs="Calibri"/>
        </w:rPr>
        <w:t>Unexposed time periods were then</w:t>
      </w:r>
      <w:r w:rsidR="00FA7CA1">
        <w:rPr>
          <w:rFonts w:ascii="Calibri" w:hAnsi="Calibri" w:cs="Calibri"/>
        </w:rPr>
        <w:t xml:space="preserve"> removed from the cohort </w:t>
      </w:r>
      <w:r w:rsidR="00F11216">
        <w:rPr>
          <w:rFonts w:ascii="Calibri" w:hAnsi="Calibri" w:cs="Calibri"/>
        </w:rPr>
        <w:t>if the patient met</w:t>
      </w:r>
      <w:r w:rsidR="00FA7CA1">
        <w:rPr>
          <w:rFonts w:ascii="Calibri" w:hAnsi="Calibri" w:cs="Calibri"/>
        </w:rPr>
        <w:t xml:space="preserve"> any of the </w:t>
      </w:r>
      <w:r w:rsidR="000215DF">
        <w:rPr>
          <w:rFonts w:ascii="Calibri" w:hAnsi="Calibri" w:cs="Calibri"/>
        </w:rPr>
        <w:t xml:space="preserve">remaining </w:t>
      </w:r>
      <w:r w:rsidR="00FA7CA1">
        <w:rPr>
          <w:rFonts w:ascii="Calibri" w:hAnsi="Calibri" w:cs="Calibri"/>
        </w:rPr>
        <w:t>TORCH study exclusion criteria</w:t>
      </w:r>
      <w:r w:rsidR="00F11216">
        <w:rPr>
          <w:rFonts w:ascii="Calibri" w:hAnsi="Calibri" w:cs="Calibri"/>
        </w:rPr>
        <w:t xml:space="preserve"> </w:t>
      </w:r>
      <w:r w:rsidR="00276F64">
        <w:rPr>
          <w:rFonts w:ascii="Calibri" w:hAnsi="Calibri" w:cs="Calibri"/>
        </w:rPr>
        <w:t>prior to the index date</w:t>
      </w:r>
      <w:r w:rsidR="008C2C62">
        <w:rPr>
          <w:rFonts w:ascii="Calibri" w:hAnsi="Calibri" w:cs="Calibri"/>
        </w:rPr>
        <w:t>.</w:t>
      </w:r>
      <w:r w:rsidR="00B446CF">
        <w:rPr>
          <w:rFonts w:ascii="Calibri" w:hAnsi="Calibri" w:cs="Calibri"/>
        </w:rPr>
        <w:fldChar w:fldCharType="begin" w:fldLock="1"/>
      </w:r>
      <w:r w:rsidR="00B10790">
        <w:rPr>
          <w:rFonts w:ascii="Calibri" w:hAnsi="Calibri" w:cs="Calibri"/>
        </w:rPr>
        <w:instrText>ADDIN CSL_CITATION {"citationItems":[{"id":"ITEM-1","itemData":{"DOI":"10.1056/NEJMoa063070","ISSN":"0028-4793","abstract":"Background Long-acting beta-agonists and inhaled corticosteroids are used to treat chronic obstructive pulmonary disease (COPD), but their effect on survival is unknown. Methods We conducted a randomized, double-blind trial comparing salmeterol at a dose of 50 μg plus fluticasone propionate at a dose of 500 μg twice daily (combination regimen), administered with a single inhaler, with placebo, salmeterol alone, or fluticasone propionate alone for a period of 3 years. The primary outcome was death from any cause for the comparison between the combination regimen and placebo; the frequency of exacerbations, health status, and spirometric values were also assessed. Results Of 6112 patients in the efficacy population, 875 died within 3 years after the start of the study treatment. All-cause mortality rates were 12.6% in the combination-therapy group, 15.2% in the placebo group, 13.5% in the salmeterol group, and 16.0% in the fluticasone group. The hazard ratio for death in the combination-therapy group, as co...","author":[{"dropping-particle":"","family":"Calverley","given":"Peter M.A.","non-dropping-particle":"","parse-names":false,"suffix":""},{"dropping-particle":"","family":"Anderson","given":"Julie A.","non-dropping-particle":"","parse-names":false,"suffix":""},{"dropping-particle":"","family":"Celli","given":"Bartolome","non-dropping-particle":"","parse-names":false,"suffix":""},{"dropping-particle":"","family":"Ferguson","given":"Gary T.","non-dropping-particle":"","parse-names":false,"suffix":""},{"dropping-particle":"","family":"Jenkins","given":"Christine","non-dropping-particle":"","parse-names":false,"suffix":""},{"dropping-particle":"","family":"Jones","given":"Paul W.","non-dropping-particle":"","parse-names":false,"suffix":""},{"dropping-particle":"","family":"Yates","given":"Julie C.","non-dropping-particle":"","parse-names":false,"suffix":""},{"dropping-particle":"","family":"Vestbo","given":"Jørgen","non-dropping-particle":"","parse-names":false,"suffix":""}],"container-title":"New England Journal of Medicine","id":"ITEM-1","issue":"8","issued":{"date-parts":[["2007","2","22"]]},"page":"775-789","publisher":"Massachusetts Medical Society","title":"Salmeterol and Fluticasone Propionate and Survival in Chronic Obstructive Pulmonary Disease","type":"article-journal","volume":"356"},"uris":["http://www.mendeley.com/documents/?uuid=10414654-4b8d-3130-a298-2bdbc5a24f7f"]}],"mendeley":{"formattedCitation":"[1]","plainTextFormattedCitation":"[1]","previouslyFormattedCitation":"[1]"},"properties":{"noteIndex":0},"schema":"https://github.com/citation-style-language/schema/raw/master/csl-citation.json"}</w:instrText>
      </w:r>
      <w:r w:rsidR="00B446CF">
        <w:rPr>
          <w:rFonts w:ascii="Calibri" w:hAnsi="Calibri" w:cs="Calibri"/>
        </w:rPr>
        <w:fldChar w:fldCharType="separate"/>
      </w:r>
      <w:r w:rsidR="00B10790" w:rsidRPr="00B10790">
        <w:rPr>
          <w:rFonts w:ascii="Calibri" w:hAnsi="Calibri" w:cs="Calibri"/>
          <w:noProof/>
        </w:rPr>
        <w:t>[1]</w:t>
      </w:r>
      <w:r w:rsidR="00B446CF">
        <w:rPr>
          <w:rFonts w:ascii="Calibri" w:hAnsi="Calibri" w:cs="Calibri"/>
        </w:rPr>
        <w:fldChar w:fldCharType="end"/>
      </w:r>
      <w:r w:rsidR="008C2C62">
        <w:rPr>
          <w:rFonts w:ascii="Calibri" w:hAnsi="Calibri" w:cs="Calibri"/>
        </w:rPr>
        <w:t xml:space="preserve"> </w:t>
      </w:r>
      <w:r w:rsidR="00FA7CA1">
        <w:rPr>
          <w:rFonts w:ascii="Calibri" w:hAnsi="Calibri" w:cs="Calibri"/>
        </w:rPr>
        <w:t xml:space="preserve"> </w:t>
      </w:r>
    </w:p>
    <w:bookmarkEnd w:id="3"/>
    <w:bookmarkEnd w:id="4"/>
    <w:p w14:paraId="3194897D" w14:textId="5D18660E" w:rsidR="00995882" w:rsidRPr="00CE5264" w:rsidRDefault="00995882" w:rsidP="008B0A52">
      <w:pPr>
        <w:keepNext/>
        <w:spacing w:after="0" w:line="480" w:lineRule="auto"/>
        <w:jc w:val="both"/>
        <w:rPr>
          <w:rFonts w:eastAsia="Times New Roman"/>
          <w:b/>
          <w:i/>
          <w:lang w:eastAsia="en-GB"/>
        </w:rPr>
      </w:pPr>
      <w:r w:rsidRPr="00CE5264">
        <w:rPr>
          <w:rFonts w:eastAsia="Times New Roman"/>
          <w:b/>
          <w:i/>
          <w:lang w:eastAsia="en-GB"/>
        </w:rPr>
        <w:t>Step 3</w:t>
      </w:r>
      <w:r w:rsidR="0043057E" w:rsidRPr="00CE5264">
        <w:rPr>
          <w:rFonts w:eastAsia="Times New Roman"/>
          <w:b/>
          <w:i/>
          <w:lang w:eastAsia="en-GB"/>
        </w:rPr>
        <w:t xml:space="preserve"> </w:t>
      </w:r>
      <w:r w:rsidR="002F7E84">
        <w:rPr>
          <w:rFonts w:eastAsia="Times New Roman"/>
          <w:b/>
          <w:i/>
          <w:lang w:eastAsia="en-GB"/>
        </w:rPr>
        <w:t xml:space="preserve">- </w:t>
      </w:r>
      <w:r w:rsidR="00225735">
        <w:rPr>
          <w:rFonts w:eastAsia="Times New Roman"/>
          <w:b/>
          <w:i/>
          <w:lang w:eastAsia="en-GB"/>
        </w:rPr>
        <w:t>selection</w:t>
      </w:r>
      <w:r w:rsidR="0043057E" w:rsidRPr="00CE5264">
        <w:rPr>
          <w:rFonts w:eastAsia="Times New Roman"/>
          <w:b/>
          <w:i/>
          <w:lang w:eastAsia="en-GB"/>
        </w:rPr>
        <w:t xml:space="preserve"> of unexposed </w:t>
      </w:r>
      <w:r w:rsidR="00E63E1E">
        <w:rPr>
          <w:rFonts w:eastAsia="Times New Roman"/>
          <w:b/>
          <w:i/>
          <w:lang w:eastAsia="en-GB"/>
        </w:rPr>
        <w:t xml:space="preserve">to </w:t>
      </w:r>
      <w:r w:rsidR="00C968DC">
        <w:rPr>
          <w:rFonts w:eastAsia="Times New Roman"/>
          <w:b/>
          <w:i/>
          <w:lang w:eastAsia="en-GB"/>
        </w:rPr>
        <w:t>FP-SAL</w:t>
      </w:r>
      <w:r w:rsidR="00E63E1E">
        <w:rPr>
          <w:rFonts w:eastAsia="Times New Roman"/>
          <w:b/>
          <w:i/>
          <w:lang w:eastAsia="en-GB"/>
        </w:rPr>
        <w:t xml:space="preserve"> </w:t>
      </w:r>
      <w:r w:rsidR="00782E58">
        <w:rPr>
          <w:rFonts w:eastAsia="Times New Roman"/>
          <w:b/>
          <w:i/>
          <w:lang w:eastAsia="en-GB"/>
        </w:rPr>
        <w:t>people</w:t>
      </w:r>
      <w:r w:rsidR="0043057E" w:rsidRPr="00CE5264">
        <w:rPr>
          <w:rFonts w:eastAsia="Times New Roman"/>
          <w:b/>
          <w:i/>
          <w:lang w:eastAsia="en-GB"/>
        </w:rPr>
        <w:t xml:space="preserve"> </w:t>
      </w:r>
      <w:r w:rsidR="00EB01A7">
        <w:rPr>
          <w:rFonts w:eastAsia="Times New Roman"/>
          <w:b/>
          <w:i/>
          <w:lang w:eastAsia="en-GB"/>
        </w:rPr>
        <w:t>by</w:t>
      </w:r>
      <w:r w:rsidR="00CB795D">
        <w:rPr>
          <w:rFonts w:eastAsia="Times New Roman"/>
          <w:b/>
          <w:i/>
          <w:lang w:eastAsia="en-GB"/>
        </w:rPr>
        <w:t xml:space="preserve"> 1:1</w:t>
      </w:r>
      <w:r w:rsidR="00EB01A7">
        <w:rPr>
          <w:rFonts w:eastAsia="Times New Roman"/>
          <w:b/>
          <w:i/>
          <w:lang w:eastAsia="en-GB"/>
        </w:rPr>
        <w:t xml:space="preserve"> matching</w:t>
      </w:r>
      <w:r w:rsidR="00B15312">
        <w:rPr>
          <w:rFonts w:eastAsia="Times New Roman"/>
          <w:b/>
          <w:i/>
          <w:lang w:eastAsia="en-GB"/>
        </w:rPr>
        <w:t xml:space="preserve"> FP-SAL time periods</w:t>
      </w:r>
      <w:r w:rsidR="00EB01A7">
        <w:rPr>
          <w:rFonts w:eastAsia="Times New Roman"/>
          <w:b/>
          <w:i/>
          <w:lang w:eastAsia="en-GB"/>
        </w:rPr>
        <w:t xml:space="preserve"> to</w:t>
      </w:r>
      <w:r w:rsidR="0043057E" w:rsidRPr="00CE5264">
        <w:rPr>
          <w:rFonts w:eastAsia="Times New Roman"/>
          <w:b/>
          <w:i/>
          <w:lang w:eastAsia="en-GB"/>
        </w:rPr>
        <w:t xml:space="preserve"> TORCH participants</w:t>
      </w:r>
    </w:p>
    <w:p w14:paraId="744A105A" w14:textId="0C100B58" w:rsidR="00995882" w:rsidRDefault="00EA4B5C" w:rsidP="008B0A52">
      <w:pPr>
        <w:spacing w:line="480" w:lineRule="auto"/>
        <w:rPr>
          <w:rFonts w:ascii="Calibri" w:hAnsi="Calibri" w:cs="Calibri"/>
        </w:rPr>
      </w:pPr>
      <w:r>
        <w:rPr>
          <w:rFonts w:ascii="Calibri" w:hAnsi="Calibri" w:cs="Calibri"/>
        </w:rPr>
        <w:t>E</w:t>
      </w:r>
      <w:r w:rsidR="00995882" w:rsidRPr="00A7206C">
        <w:rPr>
          <w:rFonts w:ascii="Calibri" w:hAnsi="Calibri" w:cs="Calibri"/>
        </w:rPr>
        <w:t xml:space="preserve">ach </w:t>
      </w:r>
      <w:r w:rsidR="008A1267">
        <w:rPr>
          <w:rFonts w:ascii="Calibri" w:hAnsi="Calibri" w:cs="Calibri"/>
        </w:rPr>
        <w:t xml:space="preserve">individual </w:t>
      </w:r>
      <w:r w:rsidR="00995882" w:rsidRPr="00A7206C">
        <w:rPr>
          <w:rFonts w:ascii="Calibri" w:hAnsi="Calibri" w:cs="Calibri"/>
        </w:rPr>
        <w:t>TORCH participant</w:t>
      </w:r>
      <w:r w:rsidR="008A1267">
        <w:rPr>
          <w:rFonts w:ascii="Calibri" w:hAnsi="Calibri" w:cs="Calibri"/>
        </w:rPr>
        <w:t xml:space="preserve"> </w:t>
      </w:r>
      <w:r w:rsidR="008A1267">
        <w:rPr>
          <w:rFonts w:eastAsia="Times New Roman"/>
          <w:lang w:eastAsia="en-GB"/>
        </w:rPr>
        <w:t xml:space="preserve">from the TORCH RCT (obtained via </w:t>
      </w:r>
      <w:hyperlink r:id="rId11" w:history="1">
        <w:r w:rsidR="008A1267" w:rsidRPr="00106F81">
          <w:rPr>
            <w:rStyle w:val="Hyperlink"/>
            <w:rFonts w:eastAsia="Times New Roman"/>
            <w:lang w:eastAsia="en-GB"/>
          </w:rPr>
          <w:t>www.clinicalstudydatarequest.com</w:t>
        </w:r>
      </w:hyperlink>
      <w:r w:rsidR="008A1267">
        <w:rPr>
          <w:rStyle w:val="Hyperlink"/>
          <w:rFonts w:eastAsia="Times New Roman"/>
          <w:lang w:eastAsia="en-GB"/>
        </w:rPr>
        <w:t xml:space="preserve"> as described in the setting/data sources section above</w:t>
      </w:r>
      <w:r w:rsidR="008A1267">
        <w:rPr>
          <w:rFonts w:eastAsia="Times New Roman"/>
          <w:lang w:eastAsia="en-GB"/>
        </w:rPr>
        <w:t>)</w:t>
      </w:r>
      <w:r>
        <w:rPr>
          <w:rFonts w:ascii="Calibri" w:hAnsi="Calibri" w:cs="Calibri"/>
        </w:rPr>
        <w:t xml:space="preserve"> was matched</w:t>
      </w:r>
      <w:r w:rsidR="00995882" w:rsidRPr="00A7206C">
        <w:rPr>
          <w:rFonts w:ascii="Calibri" w:hAnsi="Calibri" w:cs="Calibri"/>
        </w:rPr>
        <w:t xml:space="preserve"> 1:1 with the closest available </w:t>
      </w:r>
      <w:r w:rsidR="00995882">
        <w:rPr>
          <w:rFonts w:ascii="Calibri" w:hAnsi="Calibri" w:cs="Calibri"/>
        </w:rPr>
        <w:t>unexposed</w:t>
      </w:r>
      <w:r w:rsidR="00E63E1E">
        <w:rPr>
          <w:rFonts w:ascii="Calibri" w:hAnsi="Calibri" w:cs="Calibri"/>
        </w:rPr>
        <w:t xml:space="preserve"> to </w:t>
      </w:r>
      <w:r w:rsidR="00C968DC">
        <w:rPr>
          <w:rFonts w:ascii="Calibri" w:hAnsi="Calibri" w:cs="Calibri"/>
        </w:rPr>
        <w:t>FP-SAL</w:t>
      </w:r>
      <w:r w:rsidR="00995882">
        <w:rPr>
          <w:rFonts w:ascii="Calibri" w:hAnsi="Calibri" w:cs="Calibri"/>
        </w:rPr>
        <w:t xml:space="preserve"> </w:t>
      </w:r>
      <w:r w:rsidR="00EA0E63">
        <w:rPr>
          <w:rFonts w:ascii="Calibri" w:hAnsi="Calibri" w:cs="Calibri"/>
        </w:rPr>
        <w:t>time period</w:t>
      </w:r>
      <w:r w:rsidR="00995882" w:rsidRPr="00A7206C">
        <w:rPr>
          <w:rFonts w:ascii="Calibri" w:hAnsi="Calibri" w:cs="Calibri"/>
        </w:rPr>
        <w:t xml:space="preserve"> </w:t>
      </w:r>
      <w:r w:rsidR="00F53F34">
        <w:rPr>
          <w:rFonts w:ascii="Calibri" w:hAnsi="Calibri" w:cs="Calibri"/>
        </w:rPr>
        <w:t>on the following</w:t>
      </w:r>
      <w:r w:rsidR="00995882" w:rsidRPr="00A7206C">
        <w:rPr>
          <w:rFonts w:ascii="Calibri" w:hAnsi="Calibri" w:cs="Calibri"/>
        </w:rPr>
        <w:t xml:space="preserve"> TORCH baseline characteristics:</w:t>
      </w:r>
      <w:r w:rsidR="00034304">
        <w:rPr>
          <w:rFonts w:ascii="Calibri" w:hAnsi="Calibri" w:cs="Calibri"/>
        </w:rPr>
        <w:t xml:space="preserve"> </w:t>
      </w:r>
      <w:r w:rsidR="00995882" w:rsidRPr="00492011">
        <w:rPr>
          <w:rFonts w:cs="Calibri"/>
        </w:rPr>
        <w:t>age</w:t>
      </w:r>
      <w:r w:rsidR="00034304">
        <w:rPr>
          <w:rFonts w:cs="Calibri"/>
        </w:rPr>
        <w:t xml:space="preserve">, sex, </w:t>
      </w:r>
      <w:r w:rsidR="00995882" w:rsidRPr="00492011">
        <w:rPr>
          <w:rFonts w:cs="Calibri"/>
        </w:rPr>
        <w:t>body mass index</w:t>
      </w:r>
      <w:r w:rsidR="00034304">
        <w:rPr>
          <w:rFonts w:ascii="Calibri" w:hAnsi="Calibri" w:cs="Calibri"/>
        </w:rPr>
        <w:t>,</w:t>
      </w:r>
      <w:r w:rsidR="00F86B0C">
        <w:rPr>
          <w:rFonts w:ascii="Calibri" w:hAnsi="Calibri" w:cs="Calibri"/>
        </w:rPr>
        <w:t xml:space="preserve"> </w:t>
      </w:r>
      <w:r w:rsidR="00F11216">
        <w:rPr>
          <w:rFonts w:ascii="Calibri" w:hAnsi="Calibri" w:cs="Calibri"/>
        </w:rPr>
        <w:t xml:space="preserve">1-year </w:t>
      </w:r>
      <w:r w:rsidR="00F86B0C">
        <w:rPr>
          <w:rFonts w:ascii="Calibri" w:hAnsi="Calibri" w:cs="Calibri"/>
        </w:rPr>
        <w:t xml:space="preserve">history of exacerbations requiring hospitalisation, </w:t>
      </w:r>
      <w:r w:rsidR="00995882" w:rsidRPr="00492011">
        <w:rPr>
          <w:rFonts w:cs="Calibri"/>
        </w:rPr>
        <w:t>history of cardiovascular disease</w:t>
      </w:r>
      <w:r w:rsidR="00F86B0C">
        <w:rPr>
          <w:rFonts w:ascii="Calibri" w:hAnsi="Calibri" w:cs="Calibri"/>
        </w:rPr>
        <w:t xml:space="preserve"> and </w:t>
      </w:r>
      <w:r w:rsidR="00995882" w:rsidRPr="00492011">
        <w:rPr>
          <w:rFonts w:cs="Calibri"/>
        </w:rPr>
        <w:t>lung function</w:t>
      </w:r>
      <w:r w:rsidR="00F86B0C">
        <w:rPr>
          <w:rFonts w:cs="Calibri"/>
        </w:rPr>
        <w:t xml:space="preserve"> (FEV</w:t>
      </w:r>
      <w:r w:rsidR="00F86B0C" w:rsidRPr="00F86B0C">
        <w:rPr>
          <w:rFonts w:cs="Calibri"/>
          <w:vertAlign w:val="subscript"/>
        </w:rPr>
        <w:t>1</w:t>
      </w:r>
      <w:r w:rsidR="00F86B0C">
        <w:rPr>
          <w:rFonts w:cs="Calibri"/>
        </w:rPr>
        <w:t>)</w:t>
      </w:r>
      <w:r w:rsidR="0007620A">
        <w:rPr>
          <w:rFonts w:cs="Calibri"/>
        </w:rPr>
        <w:t xml:space="preserve"> (see Appendix 1)</w:t>
      </w:r>
      <w:r w:rsidR="00034304">
        <w:rPr>
          <w:rFonts w:cs="Calibri"/>
        </w:rPr>
        <w:t>.</w:t>
      </w:r>
      <w:r w:rsidR="00EA0E63">
        <w:rPr>
          <w:rFonts w:cs="Calibri"/>
        </w:rPr>
        <w:t xml:space="preserve"> </w:t>
      </w:r>
      <w:bookmarkStart w:id="5" w:name="OLE_LINK13"/>
      <w:bookmarkStart w:id="6" w:name="OLE_LINK14"/>
      <w:r w:rsidR="005651FB">
        <w:rPr>
          <w:rFonts w:ascii="Calibri" w:hAnsi="Calibri" w:cs="Calibri"/>
        </w:rPr>
        <w:t>A</w:t>
      </w:r>
      <w:r w:rsidR="00BC7414">
        <w:rPr>
          <w:rFonts w:ascii="Calibri" w:hAnsi="Calibri" w:cs="Calibri"/>
        </w:rPr>
        <w:t>n</w:t>
      </w:r>
      <w:r w:rsidR="00F53F34">
        <w:rPr>
          <w:rFonts w:ascii="Calibri" w:hAnsi="Calibri" w:cs="Calibri"/>
        </w:rPr>
        <w:t xml:space="preserve"> individual could</w:t>
      </w:r>
      <w:r w:rsidR="00995882">
        <w:rPr>
          <w:rFonts w:ascii="Calibri" w:hAnsi="Calibri" w:cs="Calibri"/>
        </w:rPr>
        <w:t xml:space="preserve"> only </w:t>
      </w:r>
      <w:r w:rsidR="00BC7414">
        <w:rPr>
          <w:rFonts w:ascii="Calibri" w:hAnsi="Calibri" w:cs="Calibri"/>
        </w:rPr>
        <w:t>contribute one unexposed period to</w:t>
      </w:r>
      <w:r w:rsidR="00995882">
        <w:rPr>
          <w:rFonts w:ascii="Calibri" w:hAnsi="Calibri" w:cs="Calibri"/>
        </w:rPr>
        <w:t xml:space="preserve"> the final TORCH-matched unexposed cohort</w:t>
      </w:r>
      <w:r w:rsidR="003C77FF">
        <w:rPr>
          <w:rFonts w:ascii="Calibri" w:hAnsi="Calibri" w:cs="Calibri"/>
        </w:rPr>
        <w:t xml:space="preserve"> (Appendix Figure A1-1)</w:t>
      </w:r>
      <w:r w:rsidR="009A1F42">
        <w:rPr>
          <w:rFonts w:ascii="Calibri" w:hAnsi="Calibri" w:cs="Calibri"/>
        </w:rPr>
        <w:t xml:space="preserve">, </w:t>
      </w:r>
      <w:r w:rsidR="006C3141">
        <w:rPr>
          <w:rFonts w:ascii="Calibri" w:hAnsi="Calibri" w:cs="Calibri"/>
        </w:rPr>
        <w:t>therefore the output of this step was a cohort of unexposed to FP-SAL people.</w:t>
      </w:r>
      <w:bookmarkEnd w:id="5"/>
      <w:bookmarkEnd w:id="6"/>
    </w:p>
    <w:p w14:paraId="004A0EC6" w14:textId="02F09FC4" w:rsidR="00B0778C" w:rsidRDefault="001545F3" w:rsidP="008B0A52">
      <w:pPr>
        <w:keepNext/>
        <w:spacing w:line="480" w:lineRule="auto"/>
        <w:rPr>
          <w:rFonts w:ascii="Calibri" w:hAnsi="Calibri" w:cs="Calibri"/>
        </w:rPr>
      </w:pPr>
      <w:bookmarkStart w:id="7" w:name="OLE_LINK25"/>
      <w:bookmarkStart w:id="8" w:name="OLE_LINK26"/>
      <w:bookmarkStart w:id="9" w:name="OLE_LINK27"/>
      <w:r>
        <w:rPr>
          <w:rFonts w:eastAsia="Times New Roman"/>
          <w:b/>
          <w:i/>
          <w:lang w:eastAsia="en-GB"/>
        </w:rPr>
        <w:t>Step 4</w:t>
      </w:r>
      <w:r w:rsidR="002F7E84">
        <w:rPr>
          <w:rFonts w:eastAsia="Times New Roman"/>
          <w:b/>
          <w:i/>
          <w:lang w:eastAsia="en-GB"/>
        </w:rPr>
        <w:t xml:space="preserve"> - </w:t>
      </w:r>
      <w:r w:rsidRPr="0043057E">
        <w:rPr>
          <w:rFonts w:eastAsia="Times New Roman"/>
          <w:b/>
          <w:i/>
          <w:lang w:eastAsia="en-GB"/>
        </w:rPr>
        <w:t xml:space="preserve">selection of </w:t>
      </w:r>
      <w:r>
        <w:rPr>
          <w:rFonts w:eastAsia="Times New Roman"/>
          <w:b/>
          <w:i/>
          <w:lang w:eastAsia="en-GB"/>
        </w:rPr>
        <w:t>exposed</w:t>
      </w:r>
      <w:r w:rsidRPr="0043057E">
        <w:rPr>
          <w:rFonts w:eastAsia="Times New Roman"/>
          <w:b/>
          <w:i/>
          <w:lang w:eastAsia="en-GB"/>
        </w:rPr>
        <w:t xml:space="preserve"> to </w:t>
      </w:r>
      <w:r w:rsidR="00C968DC">
        <w:rPr>
          <w:rFonts w:eastAsia="Times New Roman"/>
          <w:b/>
          <w:i/>
          <w:lang w:eastAsia="en-GB"/>
        </w:rPr>
        <w:t>FP-SAL</w:t>
      </w:r>
      <w:r w:rsidRPr="0043057E">
        <w:rPr>
          <w:rFonts w:eastAsia="Times New Roman"/>
          <w:b/>
          <w:i/>
          <w:lang w:eastAsia="en-GB"/>
        </w:rPr>
        <w:t xml:space="preserve"> time periods and application of TORCH exclusion criteria</w:t>
      </w:r>
      <w:r>
        <w:rPr>
          <w:rFonts w:ascii="Calibri" w:hAnsi="Calibri" w:cs="Calibri"/>
        </w:rPr>
        <w:t xml:space="preserve"> </w:t>
      </w:r>
    </w:p>
    <w:p w14:paraId="4E7A81E2" w14:textId="224B4C3A" w:rsidR="00995882" w:rsidRDefault="00F420CE" w:rsidP="008B0A52">
      <w:pPr>
        <w:spacing w:line="480" w:lineRule="auto"/>
        <w:rPr>
          <w:rFonts w:ascii="Calibri" w:hAnsi="Calibri" w:cs="Calibri"/>
        </w:rPr>
      </w:pPr>
      <w:r>
        <w:rPr>
          <w:rFonts w:ascii="Calibri" w:hAnsi="Calibri" w:cs="Calibri"/>
        </w:rPr>
        <w:t>A</w:t>
      </w:r>
      <w:r w:rsidR="006571DB">
        <w:rPr>
          <w:rFonts w:ascii="Calibri" w:hAnsi="Calibri" w:cs="Calibri"/>
        </w:rPr>
        <w:t>ll</w:t>
      </w:r>
      <w:r w:rsidR="00995882" w:rsidRPr="00A7206C">
        <w:rPr>
          <w:rFonts w:ascii="Calibri" w:hAnsi="Calibri" w:cs="Calibri"/>
        </w:rPr>
        <w:t xml:space="preserve"> </w:t>
      </w:r>
      <w:r w:rsidR="00B0778C">
        <w:rPr>
          <w:rFonts w:ascii="Calibri" w:hAnsi="Calibri" w:cs="Calibri"/>
        </w:rPr>
        <w:t xml:space="preserve">prescriptions for </w:t>
      </w:r>
      <w:r w:rsidR="00C968DC">
        <w:rPr>
          <w:rFonts w:ascii="Calibri" w:hAnsi="Calibri" w:cs="Calibri"/>
        </w:rPr>
        <w:t>FP-SAL</w:t>
      </w:r>
      <w:r w:rsidR="00B0778C">
        <w:rPr>
          <w:rFonts w:ascii="Calibri" w:hAnsi="Calibri" w:cs="Calibri"/>
        </w:rPr>
        <w:t xml:space="preserve"> that started (1) on or after the initial eligible-for-TORCH-inclusion date</w:t>
      </w:r>
      <w:r w:rsidR="00B0778C" w:rsidRPr="002702CC">
        <w:rPr>
          <w:rFonts w:ascii="Calibri" w:hAnsi="Calibri" w:cs="Calibri"/>
        </w:rPr>
        <w:t xml:space="preserve"> </w:t>
      </w:r>
      <w:r w:rsidR="00995882" w:rsidRPr="00A7206C">
        <w:rPr>
          <w:rFonts w:ascii="Calibri" w:hAnsi="Calibri" w:cs="Calibri"/>
        </w:rPr>
        <w:t xml:space="preserve">specified </w:t>
      </w:r>
      <w:r w:rsidR="00B0778C">
        <w:rPr>
          <w:rFonts w:ascii="Calibri" w:hAnsi="Calibri" w:cs="Calibri"/>
        </w:rPr>
        <w:t>in Step 1 above and (2) at least 4 weeks after the end of a prescription for any of the TORCH stud</w:t>
      </w:r>
      <w:r w:rsidR="00A5437B">
        <w:rPr>
          <w:rFonts w:ascii="Calibri" w:hAnsi="Calibri" w:cs="Calibri"/>
        </w:rPr>
        <w:t>y drugs</w:t>
      </w:r>
      <w:r w:rsidR="005C1A89">
        <w:rPr>
          <w:rFonts w:ascii="Calibri" w:hAnsi="Calibri" w:cs="Calibri"/>
        </w:rPr>
        <w:t xml:space="preserve"> were identified. </w:t>
      </w:r>
      <w:r w:rsidR="00C968DC">
        <w:rPr>
          <w:rFonts w:ascii="Calibri" w:hAnsi="Calibri" w:cs="Calibri"/>
        </w:rPr>
        <w:t>FP-SAL</w:t>
      </w:r>
      <w:r w:rsidR="005C1A89">
        <w:rPr>
          <w:rFonts w:ascii="Calibri" w:hAnsi="Calibri" w:cs="Calibri"/>
        </w:rPr>
        <w:t xml:space="preserve"> exposed</w:t>
      </w:r>
      <w:r w:rsidR="00A5437B">
        <w:rPr>
          <w:rFonts w:ascii="Calibri" w:hAnsi="Calibri" w:cs="Calibri"/>
        </w:rPr>
        <w:t xml:space="preserve"> time periods</w:t>
      </w:r>
      <w:r w:rsidR="005C1A89">
        <w:rPr>
          <w:rFonts w:ascii="Calibri" w:hAnsi="Calibri" w:cs="Calibri"/>
        </w:rPr>
        <w:t xml:space="preserve"> were created</w:t>
      </w:r>
      <w:r w:rsidR="00A5437B">
        <w:rPr>
          <w:rFonts w:ascii="Calibri" w:hAnsi="Calibri" w:cs="Calibri"/>
        </w:rPr>
        <w:t xml:space="preserve"> with the index date assigned as the start of an </w:t>
      </w:r>
      <w:r w:rsidR="00C968DC">
        <w:rPr>
          <w:rFonts w:ascii="Calibri" w:hAnsi="Calibri" w:cs="Calibri"/>
        </w:rPr>
        <w:t>FP-SAL</w:t>
      </w:r>
      <w:r w:rsidR="00A5437B">
        <w:rPr>
          <w:rFonts w:ascii="Calibri" w:hAnsi="Calibri" w:cs="Calibri"/>
        </w:rPr>
        <w:t xml:space="preserve"> prescription. The same exclusion </w:t>
      </w:r>
      <w:proofErr w:type="spellStart"/>
      <w:r w:rsidR="00A5437B">
        <w:rPr>
          <w:rFonts w:ascii="Calibri" w:hAnsi="Calibri" w:cs="Calibri"/>
        </w:rPr>
        <w:t>critiera</w:t>
      </w:r>
      <w:proofErr w:type="spellEnd"/>
      <w:r w:rsidR="00A5437B">
        <w:rPr>
          <w:rFonts w:ascii="Calibri" w:hAnsi="Calibri" w:cs="Calibri"/>
        </w:rPr>
        <w:t xml:space="preserve"> as applied to the unexposed </w:t>
      </w:r>
      <w:r w:rsidR="00C968DC">
        <w:rPr>
          <w:rFonts w:ascii="Calibri" w:hAnsi="Calibri" w:cs="Calibri"/>
        </w:rPr>
        <w:t>FP-SAL</w:t>
      </w:r>
      <w:r w:rsidR="00A5437B">
        <w:rPr>
          <w:rFonts w:ascii="Calibri" w:hAnsi="Calibri" w:cs="Calibri"/>
        </w:rPr>
        <w:t xml:space="preserve"> time periods (Step 3) were applied</w:t>
      </w:r>
      <w:r w:rsidR="00B0778C">
        <w:rPr>
          <w:rFonts w:ascii="Calibri" w:hAnsi="Calibri" w:cs="Calibri"/>
        </w:rPr>
        <w:t xml:space="preserve">. </w:t>
      </w:r>
      <w:r w:rsidR="00995882" w:rsidRPr="00D4424C">
        <w:rPr>
          <w:rFonts w:ascii="Calibri" w:hAnsi="Calibri" w:cs="Calibri"/>
        </w:rPr>
        <w:t>If a</w:t>
      </w:r>
      <w:r w:rsidR="00A5437B">
        <w:rPr>
          <w:rFonts w:ascii="Calibri" w:hAnsi="Calibri" w:cs="Calibri"/>
        </w:rPr>
        <w:t>n individual contributed time periods to both the unexposed (Step 2) and exposed (Step 4) cohorts, they</w:t>
      </w:r>
      <w:r w:rsidR="00995882" w:rsidRPr="00D4424C">
        <w:rPr>
          <w:rFonts w:ascii="Calibri" w:hAnsi="Calibri" w:cs="Calibri"/>
        </w:rPr>
        <w:t xml:space="preserve"> </w:t>
      </w:r>
      <w:r w:rsidR="00A5437B">
        <w:rPr>
          <w:rFonts w:ascii="Calibri" w:hAnsi="Calibri" w:cs="Calibri"/>
        </w:rPr>
        <w:t>were</w:t>
      </w:r>
      <w:r w:rsidR="00995882" w:rsidRPr="00D4424C">
        <w:rPr>
          <w:rFonts w:ascii="Calibri" w:hAnsi="Calibri" w:cs="Calibri"/>
        </w:rPr>
        <w:t xml:space="preserve"> contributing different periods </w:t>
      </w:r>
      <w:r w:rsidR="00995882" w:rsidRPr="00D4424C">
        <w:rPr>
          <w:rFonts w:ascii="Calibri" w:hAnsi="Calibri" w:cs="Calibri"/>
        </w:rPr>
        <w:lastRenderedPageBreak/>
        <w:t>of their person-time to each cohort (pre-</w:t>
      </w:r>
      <w:r w:rsidR="00C968DC">
        <w:rPr>
          <w:rFonts w:ascii="Calibri" w:hAnsi="Calibri" w:cs="Calibri"/>
        </w:rPr>
        <w:t>FP-SAL</w:t>
      </w:r>
      <w:r w:rsidR="00995882" w:rsidRPr="00D4424C">
        <w:rPr>
          <w:rFonts w:ascii="Calibri" w:hAnsi="Calibri" w:cs="Calibri"/>
        </w:rPr>
        <w:t xml:space="preserve"> treatment for Step 2 vs post-</w:t>
      </w:r>
      <w:r w:rsidR="00C968DC">
        <w:rPr>
          <w:rFonts w:ascii="Calibri" w:hAnsi="Calibri" w:cs="Calibri"/>
        </w:rPr>
        <w:t>FP-SAL</w:t>
      </w:r>
      <w:r w:rsidR="00995882" w:rsidRPr="00D4424C">
        <w:rPr>
          <w:rFonts w:ascii="Calibri" w:hAnsi="Calibri" w:cs="Calibri"/>
        </w:rPr>
        <w:t xml:space="preserve"> treatment for Step 4</w:t>
      </w:r>
      <w:r w:rsidR="00995882">
        <w:rPr>
          <w:rFonts w:ascii="Calibri" w:hAnsi="Calibri" w:cs="Calibri"/>
        </w:rPr>
        <w:t>)</w:t>
      </w:r>
      <w:r w:rsidR="005C1A89">
        <w:rPr>
          <w:rFonts w:ascii="Calibri" w:hAnsi="Calibri" w:cs="Calibri"/>
        </w:rPr>
        <w:t xml:space="preserve"> </w:t>
      </w:r>
      <w:r w:rsidR="00164DC1">
        <w:rPr>
          <w:rFonts w:ascii="Calibri" w:hAnsi="Calibri" w:cs="Calibri"/>
        </w:rPr>
        <w:t>(</w:t>
      </w:r>
      <w:r w:rsidR="00190D4B">
        <w:rPr>
          <w:rFonts w:ascii="Calibri" w:hAnsi="Calibri" w:cs="Calibri"/>
        </w:rPr>
        <w:t>Appendix Figure A1-1</w:t>
      </w:r>
      <w:r w:rsidR="00164DC1">
        <w:rPr>
          <w:rFonts w:ascii="Calibri" w:hAnsi="Calibri" w:cs="Calibri"/>
        </w:rPr>
        <w:t>)</w:t>
      </w:r>
      <w:r w:rsidR="00995882" w:rsidRPr="00D4424C">
        <w:rPr>
          <w:rFonts w:ascii="Calibri" w:hAnsi="Calibri" w:cs="Calibri"/>
        </w:rPr>
        <w:t>.</w:t>
      </w:r>
      <w:bookmarkEnd w:id="7"/>
      <w:bookmarkEnd w:id="8"/>
      <w:bookmarkEnd w:id="9"/>
    </w:p>
    <w:p w14:paraId="4CD5A640" w14:textId="6A932CBA" w:rsidR="00995882" w:rsidRPr="00A5437B" w:rsidRDefault="00995882" w:rsidP="008B0A52">
      <w:pPr>
        <w:keepNext/>
        <w:spacing w:after="0" w:line="480" w:lineRule="auto"/>
        <w:rPr>
          <w:rFonts w:ascii="Calibri" w:hAnsi="Calibri" w:cs="Calibri"/>
          <w:b/>
          <w:i/>
        </w:rPr>
      </w:pPr>
      <w:r w:rsidRPr="00A5437B">
        <w:rPr>
          <w:rFonts w:ascii="Calibri" w:hAnsi="Calibri" w:cs="Calibri"/>
          <w:b/>
          <w:i/>
        </w:rPr>
        <w:t>Step 5</w:t>
      </w:r>
      <w:r w:rsidR="00A5437B" w:rsidRPr="00A5437B">
        <w:rPr>
          <w:rFonts w:ascii="Calibri" w:hAnsi="Calibri" w:cs="Calibri"/>
          <w:b/>
          <w:i/>
        </w:rPr>
        <w:t xml:space="preserve"> – </w:t>
      </w:r>
      <w:r w:rsidR="00A84B92">
        <w:rPr>
          <w:rFonts w:ascii="Calibri" w:hAnsi="Calibri" w:cs="Calibri"/>
          <w:b/>
          <w:i/>
        </w:rPr>
        <w:t>selection of comparable FP-SAL exposed participants</w:t>
      </w:r>
      <w:r w:rsidR="009A1F42">
        <w:rPr>
          <w:rFonts w:ascii="Calibri" w:hAnsi="Calibri" w:cs="Calibri"/>
          <w:b/>
          <w:i/>
        </w:rPr>
        <w:t xml:space="preserve"> by matching</w:t>
      </w:r>
      <w:r w:rsidR="00907180">
        <w:rPr>
          <w:rFonts w:ascii="Calibri" w:hAnsi="Calibri" w:cs="Calibri"/>
          <w:b/>
          <w:i/>
        </w:rPr>
        <w:t xml:space="preserve"> FP-SAL exposed time periods</w:t>
      </w:r>
      <w:r w:rsidR="009A1F42">
        <w:rPr>
          <w:rFonts w:ascii="Calibri" w:hAnsi="Calibri" w:cs="Calibri"/>
          <w:b/>
          <w:i/>
        </w:rPr>
        <w:t xml:space="preserve"> to FP-SAL </w:t>
      </w:r>
      <w:r w:rsidR="00907180">
        <w:rPr>
          <w:rFonts w:ascii="Calibri" w:hAnsi="Calibri" w:cs="Calibri"/>
          <w:b/>
          <w:i/>
        </w:rPr>
        <w:t>un</w:t>
      </w:r>
      <w:r w:rsidR="009A1F42">
        <w:rPr>
          <w:rFonts w:ascii="Calibri" w:hAnsi="Calibri" w:cs="Calibri"/>
          <w:b/>
          <w:i/>
        </w:rPr>
        <w:t xml:space="preserve">exposed </w:t>
      </w:r>
      <w:r w:rsidR="00782E58">
        <w:rPr>
          <w:rFonts w:ascii="Calibri" w:hAnsi="Calibri" w:cs="Calibri"/>
          <w:b/>
          <w:i/>
        </w:rPr>
        <w:t>people</w:t>
      </w:r>
    </w:p>
    <w:p w14:paraId="470E601A" w14:textId="782E8E7C" w:rsidR="00DC30B7" w:rsidRDefault="0054287F" w:rsidP="008B0A52">
      <w:pPr>
        <w:spacing w:line="480" w:lineRule="auto"/>
        <w:rPr>
          <w:rFonts w:ascii="Calibri" w:hAnsi="Calibri" w:cs="Calibri"/>
        </w:rPr>
      </w:pPr>
      <w:r w:rsidRPr="00D4424C">
        <w:rPr>
          <w:rFonts w:ascii="Calibri" w:hAnsi="Calibri" w:cs="Calibri"/>
        </w:rPr>
        <w:t>U</w:t>
      </w:r>
      <w:r w:rsidR="00995882" w:rsidRPr="00D4424C">
        <w:rPr>
          <w:rFonts w:ascii="Calibri" w:hAnsi="Calibri" w:cs="Calibri"/>
        </w:rPr>
        <w:t>sing the</w:t>
      </w:r>
      <w:r>
        <w:rPr>
          <w:rFonts w:ascii="Calibri" w:hAnsi="Calibri" w:cs="Calibri"/>
        </w:rPr>
        <w:t xml:space="preserve"> index date</w:t>
      </w:r>
      <w:r w:rsidR="00995882" w:rsidRPr="00D4424C">
        <w:rPr>
          <w:rFonts w:ascii="Calibri" w:hAnsi="Calibri" w:cs="Calibri"/>
        </w:rPr>
        <w:t xml:space="preserve"> baseline characteristics</w:t>
      </w:r>
      <w:r>
        <w:rPr>
          <w:rFonts w:ascii="Calibri" w:hAnsi="Calibri" w:cs="Calibri"/>
        </w:rPr>
        <w:t>,</w:t>
      </w:r>
      <w:r w:rsidR="00995882" w:rsidRPr="00D4424C">
        <w:rPr>
          <w:rFonts w:ascii="Calibri" w:hAnsi="Calibri" w:cs="Calibri"/>
        </w:rPr>
        <w:t xml:space="preserve"> propensity scores for receiving </w:t>
      </w:r>
      <w:r w:rsidR="00C968DC">
        <w:rPr>
          <w:rFonts w:ascii="Calibri" w:hAnsi="Calibri" w:cs="Calibri"/>
        </w:rPr>
        <w:t>FP-SAL</w:t>
      </w:r>
      <w:bookmarkStart w:id="10" w:name="OLE_LINK28"/>
      <w:bookmarkStart w:id="11" w:name="OLE_LINK31"/>
      <w:bookmarkStart w:id="12" w:name="OLE_LINK32"/>
      <w:r>
        <w:rPr>
          <w:rFonts w:ascii="Calibri" w:hAnsi="Calibri" w:cs="Calibri"/>
        </w:rPr>
        <w:t xml:space="preserve"> were calculated for the (TORCH-matched) </w:t>
      </w:r>
      <w:r w:rsidR="00C968DC">
        <w:rPr>
          <w:rFonts w:ascii="Calibri" w:hAnsi="Calibri" w:cs="Calibri"/>
        </w:rPr>
        <w:t>FP-SAL</w:t>
      </w:r>
      <w:r>
        <w:rPr>
          <w:rFonts w:ascii="Calibri" w:hAnsi="Calibri" w:cs="Calibri"/>
        </w:rPr>
        <w:t xml:space="preserve"> unexposed </w:t>
      </w:r>
      <w:r w:rsidR="004F7833">
        <w:rPr>
          <w:rFonts w:ascii="Calibri" w:hAnsi="Calibri" w:cs="Calibri"/>
        </w:rPr>
        <w:t>people</w:t>
      </w:r>
      <w:r w:rsidR="006C3141">
        <w:rPr>
          <w:rFonts w:ascii="Calibri" w:hAnsi="Calibri" w:cs="Calibri"/>
        </w:rPr>
        <w:t xml:space="preserve"> selected in Step 3</w:t>
      </w:r>
      <w:r>
        <w:rPr>
          <w:rFonts w:ascii="Calibri" w:hAnsi="Calibri" w:cs="Calibri"/>
        </w:rPr>
        <w:t xml:space="preserve"> and the </w:t>
      </w:r>
      <w:r w:rsidR="00C968DC">
        <w:rPr>
          <w:rFonts w:ascii="Calibri" w:hAnsi="Calibri" w:cs="Calibri"/>
        </w:rPr>
        <w:t>FP-SAL</w:t>
      </w:r>
      <w:r>
        <w:rPr>
          <w:rFonts w:ascii="Calibri" w:hAnsi="Calibri" w:cs="Calibri"/>
        </w:rPr>
        <w:t xml:space="preserve"> exposed </w:t>
      </w:r>
      <w:r w:rsidR="004F7833">
        <w:rPr>
          <w:rFonts w:ascii="Calibri" w:hAnsi="Calibri" w:cs="Calibri"/>
        </w:rPr>
        <w:t>time periods</w:t>
      </w:r>
      <w:r w:rsidR="009A1F42">
        <w:rPr>
          <w:rFonts w:ascii="Calibri" w:hAnsi="Calibri" w:cs="Calibri"/>
        </w:rPr>
        <w:t xml:space="preserve"> selected in Step 4</w:t>
      </w:r>
      <w:r>
        <w:rPr>
          <w:rFonts w:ascii="Calibri" w:hAnsi="Calibri" w:cs="Calibri"/>
        </w:rPr>
        <w:t xml:space="preserve">. </w:t>
      </w:r>
      <w:bookmarkEnd w:id="10"/>
      <w:bookmarkEnd w:id="11"/>
      <w:bookmarkEnd w:id="12"/>
      <w:r w:rsidR="00995882" w:rsidRPr="00D4424C">
        <w:rPr>
          <w:rFonts w:ascii="Calibri" w:hAnsi="Calibri" w:cs="Calibri"/>
        </w:rPr>
        <w:t xml:space="preserve">Each </w:t>
      </w:r>
      <w:r w:rsidR="00C968DC">
        <w:rPr>
          <w:rFonts w:ascii="Calibri" w:hAnsi="Calibri" w:cs="Calibri"/>
        </w:rPr>
        <w:t>FP-SAL</w:t>
      </w:r>
      <w:r w:rsidR="00EA00E7">
        <w:rPr>
          <w:rFonts w:ascii="Calibri" w:hAnsi="Calibri" w:cs="Calibri"/>
        </w:rPr>
        <w:t xml:space="preserve"> unexposed (TORCH-matched)</w:t>
      </w:r>
      <w:r w:rsidR="00995882" w:rsidRPr="00D4424C">
        <w:rPr>
          <w:rFonts w:ascii="Calibri" w:hAnsi="Calibri" w:cs="Calibri"/>
        </w:rPr>
        <w:t xml:space="preserve"> </w:t>
      </w:r>
      <w:r w:rsidR="004F7833">
        <w:rPr>
          <w:rFonts w:ascii="Calibri" w:hAnsi="Calibri" w:cs="Calibri"/>
        </w:rPr>
        <w:t>person</w:t>
      </w:r>
      <w:r w:rsidR="00995882" w:rsidRPr="00D4424C">
        <w:rPr>
          <w:rFonts w:ascii="Calibri" w:hAnsi="Calibri" w:cs="Calibri"/>
        </w:rPr>
        <w:t xml:space="preserve"> </w:t>
      </w:r>
      <w:r w:rsidR="00EA00E7">
        <w:rPr>
          <w:rFonts w:ascii="Calibri" w:hAnsi="Calibri" w:cs="Calibri"/>
        </w:rPr>
        <w:t>selected in</w:t>
      </w:r>
      <w:r w:rsidR="00995882" w:rsidRPr="00D4424C">
        <w:rPr>
          <w:rFonts w:ascii="Calibri" w:hAnsi="Calibri" w:cs="Calibri"/>
        </w:rPr>
        <w:t xml:space="preserve"> Step 3 </w:t>
      </w:r>
      <w:r w:rsidR="00EA00E7">
        <w:rPr>
          <w:rFonts w:ascii="Calibri" w:hAnsi="Calibri" w:cs="Calibri"/>
        </w:rPr>
        <w:t>was</w:t>
      </w:r>
      <w:r w:rsidR="00995882" w:rsidRPr="00D4424C">
        <w:rPr>
          <w:rFonts w:ascii="Calibri" w:hAnsi="Calibri" w:cs="Calibri"/>
        </w:rPr>
        <w:t xml:space="preserve"> matched 1:1 with the </w:t>
      </w:r>
      <w:r w:rsidR="00C968DC">
        <w:rPr>
          <w:rFonts w:ascii="Calibri" w:hAnsi="Calibri" w:cs="Calibri"/>
        </w:rPr>
        <w:t>FP-SAL</w:t>
      </w:r>
      <w:r w:rsidR="00995882" w:rsidRPr="00D4424C">
        <w:rPr>
          <w:rFonts w:ascii="Calibri" w:hAnsi="Calibri" w:cs="Calibri"/>
        </w:rPr>
        <w:t xml:space="preserve"> </w:t>
      </w:r>
      <w:r w:rsidR="00EA00E7">
        <w:rPr>
          <w:rFonts w:ascii="Calibri" w:hAnsi="Calibri" w:cs="Calibri"/>
        </w:rPr>
        <w:t>exposed time period</w:t>
      </w:r>
      <w:r w:rsidR="00995882" w:rsidRPr="00D4424C">
        <w:rPr>
          <w:rFonts w:ascii="Calibri" w:hAnsi="Calibri" w:cs="Calibri"/>
        </w:rPr>
        <w:t xml:space="preserve"> from Step 4 with the closest propensity score</w:t>
      </w:r>
      <w:r w:rsidR="00995882" w:rsidRPr="00A7206C">
        <w:rPr>
          <w:rFonts w:ascii="Calibri" w:hAnsi="Calibri" w:cs="Calibri"/>
        </w:rPr>
        <w:t>.</w:t>
      </w:r>
      <w:r w:rsidR="00995882">
        <w:rPr>
          <w:rFonts w:ascii="Calibri" w:hAnsi="Calibri" w:cs="Calibri"/>
        </w:rPr>
        <w:t xml:space="preserve"> </w:t>
      </w:r>
      <w:bookmarkStart w:id="13" w:name="OLE_LINK35"/>
      <w:bookmarkStart w:id="14" w:name="OLE_LINK36"/>
      <w:bookmarkStart w:id="15" w:name="OLE_LINK37"/>
      <w:bookmarkStart w:id="16" w:name="OLE_LINK38"/>
      <w:bookmarkStart w:id="17" w:name="OLE_LINK39"/>
      <w:r w:rsidR="00522063">
        <w:rPr>
          <w:rFonts w:ascii="Calibri" w:hAnsi="Calibri" w:cs="Calibri"/>
        </w:rPr>
        <w:t>A</w:t>
      </w:r>
      <w:r w:rsidR="00995882">
        <w:rPr>
          <w:rFonts w:ascii="Calibri" w:hAnsi="Calibri" w:cs="Calibri"/>
        </w:rPr>
        <w:t xml:space="preserve">n individual </w:t>
      </w:r>
      <w:r w:rsidR="003404F8">
        <w:rPr>
          <w:rFonts w:ascii="Calibri" w:hAnsi="Calibri" w:cs="Calibri"/>
        </w:rPr>
        <w:t xml:space="preserve">could </w:t>
      </w:r>
      <w:r w:rsidR="00995882">
        <w:rPr>
          <w:rFonts w:ascii="Calibri" w:hAnsi="Calibri" w:cs="Calibri"/>
        </w:rPr>
        <w:t>only appear once as an exposed participant in the final propensity-score matched cohort</w:t>
      </w:r>
      <w:r w:rsidR="00907180">
        <w:rPr>
          <w:rFonts w:ascii="Calibri" w:hAnsi="Calibri" w:cs="Calibri"/>
        </w:rPr>
        <w:t>, meaning that this step selected FP-SAL exposed participants from the initial pool of FP-SAL exposed time periods</w:t>
      </w:r>
      <w:r w:rsidR="00995882">
        <w:rPr>
          <w:rFonts w:ascii="Calibri" w:hAnsi="Calibri" w:cs="Calibri"/>
        </w:rPr>
        <w:t>.</w:t>
      </w:r>
      <w:bookmarkEnd w:id="13"/>
      <w:bookmarkEnd w:id="14"/>
      <w:bookmarkEnd w:id="15"/>
      <w:bookmarkEnd w:id="16"/>
      <w:bookmarkEnd w:id="17"/>
      <w:r w:rsidR="00995882">
        <w:rPr>
          <w:rFonts w:ascii="Calibri" w:hAnsi="Calibri" w:cs="Calibri"/>
        </w:rPr>
        <w:t xml:space="preserve"> </w:t>
      </w:r>
      <w:bookmarkEnd w:id="2"/>
      <w:r w:rsidR="00995882" w:rsidRPr="00A7206C">
        <w:rPr>
          <w:rFonts w:ascii="Calibri" w:hAnsi="Calibri" w:cs="Calibri"/>
        </w:rPr>
        <w:t xml:space="preserve"> </w:t>
      </w:r>
      <w:r w:rsidR="00DC30B7">
        <w:rPr>
          <w:rFonts w:ascii="Calibri" w:hAnsi="Calibri" w:cs="Calibri"/>
        </w:rPr>
        <w:t>It was possible for the same person to be included in the FP-SAL unexposed and FP-SAL exposed cohorts, with different start of follow-up dates in each cohort.</w:t>
      </w:r>
    </w:p>
    <w:p w14:paraId="3B34CB26" w14:textId="6FD7DB8B" w:rsidR="00995882" w:rsidRPr="00A7206C" w:rsidRDefault="00D400C8" w:rsidP="008B0A52">
      <w:pPr>
        <w:spacing w:line="480" w:lineRule="auto"/>
        <w:rPr>
          <w:rFonts w:ascii="Calibri" w:hAnsi="Calibri" w:cs="Calibri"/>
        </w:rPr>
      </w:pPr>
      <w:r>
        <w:rPr>
          <w:rFonts w:ascii="Calibri" w:hAnsi="Calibri" w:cs="Calibri"/>
        </w:rPr>
        <w:t>Note that we did not apply matching to the TORCH trial in order to select our FP-SAL exposed group, because we wanted to develop propensity score methodology for obtaining balanced groups</w:t>
      </w:r>
      <w:r w:rsidR="008C49C4">
        <w:rPr>
          <w:rFonts w:ascii="Calibri" w:hAnsi="Calibri" w:cs="Calibri"/>
        </w:rPr>
        <w:t xml:space="preserve"> that could then be applied to the study of groups of patients who were not included in the trial at all.</w:t>
      </w:r>
    </w:p>
    <w:bookmarkEnd w:id="1"/>
    <w:p w14:paraId="6E522051" w14:textId="291CD5F1" w:rsidR="00483CEA" w:rsidRPr="00535636" w:rsidRDefault="001C01F2" w:rsidP="008B0A52">
      <w:pPr>
        <w:pStyle w:val="heading2nonumber"/>
        <w:spacing w:line="480" w:lineRule="auto"/>
      </w:pPr>
      <w:r w:rsidRPr="00535636">
        <w:t xml:space="preserve">Selection of participants - </w:t>
      </w:r>
      <w:r w:rsidR="00C968DC">
        <w:t>FP-SAL</w:t>
      </w:r>
      <w:r w:rsidR="00483CEA" w:rsidRPr="00535636">
        <w:t xml:space="preserve"> exposed vs SAL exposed</w:t>
      </w:r>
    </w:p>
    <w:p w14:paraId="3AE2EFAC" w14:textId="530F1E43" w:rsidR="00135718" w:rsidRDefault="001749E6" w:rsidP="008B0A52">
      <w:pPr>
        <w:spacing w:line="480" w:lineRule="auto"/>
        <w:rPr>
          <w:rFonts w:ascii="Calibri" w:hAnsi="Calibri" w:cs="Calibri"/>
        </w:rPr>
      </w:pPr>
      <w:r>
        <w:rPr>
          <w:rFonts w:ascii="Calibri" w:hAnsi="Calibri" w:cs="Calibri"/>
        </w:rPr>
        <w:t xml:space="preserve">The </w:t>
      </w:r>
      <w:r w:rsidR="00A30D13">
        <w:rPr>
          <w:rFonts w:ascii="Calibri" w:hAnsi="Calibri" w:cs="Calibri"/>
        </w:rPr>
        <w:t xml:space="preserve">participant selection </w:t>
      </w:r>
      <w:r>
        <w:rPr>
          <w:rFonts w:ascii="Calibri" w:hAnsi="Calibri" w:cs="Calibri"/>
        </w:rPr>
        <w:t xml:space="preserve">approach was </w:t>
      </w:r>
      <w:r w:rsidR="007A2B5A">
        <w:rPr>
          <w:rFonts w:ascii="Calibri" w:hAnsi="Calibri" w:cs="Calibri"/>
        </w:rPr>
        <w:t>analogous</w:t>
      </w:r>
      <w:r w:rsidR="009A1DBD">
        <w:rPr>
          <w:rFonts w:ascii="Calibri" w:hAnsi="Calibri" w:cs="Calibri"/>
        </w:rPr>
        <w:t xml:space="preserve"> to </w:t>
      </w:r>
      <w:r>
        <w:rPr>
          <w:rFonts w:ascii="Calibri" w:hAnsi="Calibri" w:cs="Calibri"/>
        </w:rPr>
        <w:t xml:space="preserve">the </w:t>
      </w:r>
      <w:r w:rsidR="00C968DC">
        <w:rPr>
          <w:rFonts w:ascii="Calibri" w:hAnsi="Calibri" w:cs="Calibri"/>
        </w:rPr>
        <w:t>FP-SAL</w:t>
      </w:r>
      <w:r>
        <w:rPr>
          <w:rFonts w:ascii="Calibri" w:hAnsi="Calibri" w:cs="Calibri"/>
        </w:rPr>
        <w:t xml:space="preserve"> exposed v versus </w:t>
      </w:r>
      <w:r w:rsidR="00C968DC">
        <w:rPr>
          <w:rFonts w:ascii="Calibri" w:hAnsi="Calibri" w:cs="Calibri"/>
        </w:rPr>
        <w:t>FP-SAL</w:t>
      </w:r>
      <w:r>
        <w:rPr>
          <w:rFonts w:ascii="Calibri" w:hAnsi="Calibri" w:cs="Calibri"/>
        </w:rPr>
        <w:t xml:space="preserve"> unexposed participant selection, except the comparator group was those exposed to SAL</w:t>
      </w:r>
      <w:r w:rsidR="00EB4AF3">
        <w:rPr>
          <w:rFonts w:ascii="Calibri" w:hAnsi="Calibri" w:cs="Calibri"/>
        </w:rPr>
        <w:t xml:space="preserve">, and the </w:t>
      </w:r>
      <w:r w:rsidR="00716ACF">
        <w:rPr>
          <w:rFonts w:ascii="Calibri" w:hAnsi="Calibri" w:cs="Calibri"/>
        </w:rPr>
        <w:t xml:space="preserve">study period was 2000-2017 (to </w:t>
      </w:r>
      <w:r w:rsidR="003C1D05">
        <w:rPr>
          <w:rFonts w:ascii="Calibri" w:hAnsi="Calibri" w:cs="Calibri"/>
        </w:rPr>
        <w:t>obtain sufficient</w:t>
      </w:r>
      <w:r w:rsidR="00716ACF">
        <w:rPr>
          <w:rFonts w:ascii="Calibri" w:hAnsi="Calibri" w:cs="Calibri"/>
        </w:rPr>
        <w:t xml:space="preserve"> SAL-exposed numbers)</w:t>
      </w:r>
      <w:r w:rsidR="003C1D05">
        <w:rPr>
          <w:rFonts w:ascii="Calibri" w:hAnsi="Calibri" w:cs="Calibri"/>
        </w:rPr>
        <w:t>.</w:t>
      </w:r>
      <w:r w:rsidR="00F7789D">
        <w:rPr>
          <w:rFonts w:ascii="Calibri" w:hAnsi="Calibri" w:cs="Calibri"/>
        </w:rPr>
        <w:t xml:space="preserve"> </w:t>
      </w:r>
      <w:r w:rsidR="00C968DC">
        <w:rPr>
          <w:rFonts w:ascii="Calibri" w:hAnsi="Calibri" w:cs="Calibri"/>
        </w:rPr>
        <w:t>The</w:t>
      </w:r>
      <w:r w:rsidR="001D5902">
        <w:rPr>
          <w:rFonts w:ascii="Calibri" w:hAnsi="Calibri" w:cs="Calibri"/>
        </w:rPr>
        <w:t xml:space="preserve"> </w:t>
      </w:r>
      <w:r w:rsidR="003E14C0">
        <w:rPr>
          <w:rFonts w:ascii="Calibri" w:hAnsi="Calibri" w:cs="Calibri"/>
        </w:rPr>
        <w:t>other</w:t>
      </w:r>
      <w:r w:rsidR="00C968DC">
        <w:rPr>
          <w:rFonts w:ascii="Calibri" w:hAnsi="Calibri" w:cs="Calibri"/>
        </w:rPr>
        <w:t xml:space="preserve"> differences in participant selection are detailed in </w:t>
      </w:r>
      <w:r w:rsidR="00C968DC" w:rsidRPr="003B483E">
        <w:rPr>
          <w:rFonts w:ascii="Calibri" w:hAnsi="Calibri" w:cs="Calibri"/>
        </w:rPr>
        <w:t>Appendix 1</w:t>
      </w:r>
      <w:r w:rsidR="009A1DBD">
        <w:rPr>
          <w:rFonts w:ascii="Calibri" w:hAnsi="Calibri" w:cs="Calibri"/>
        </w:rPr>
        <w:t xml:space="preserve">. </w:t>
      </w:r>
    </w:p>
    <w:p w14:paraId="71D833EC" w14:textId="026E823D" w:rsidR="005B638C" w:rsidRDefault="005B638C" w:rsidP="008B0A52">
      <w:pPr>
        <w:pStyle w:val="heading2nonumber"/>
        <w:keepNext/>
        <w:spacing w:line="480" w:lineRule="auto"/>
        <w:ind w:left="0" w:firstLine="0"/>
        <w:rPr>
          <w:rFonts w:ascii="Calibri" w:hAnsi="Calibri" w:cs="Calibri"/>
          <w:b w:val="0"/>
          <w:i/>
          <w:color w:val="FF0000"/>
        </w:rPr>
      </w:pPr>
      <w:bookmarkStart w:id="18" w:name="OLE_LINK29"/>
      <w:bookmarkStart w:id="19" w:name="OLE_LINK30"/>
      <w:r>
        <w:t>Exposures, outcomes and co-variates</w:t>
      </w:r>
      <w:r w:rsidR="00D560E9">
        <w:t xml:space="preserve"> </w:t>
      </w:r>
    </w:p>
    <w:p w14:paraId="0BCDABE5" w14:textId="53AE1924" w:rsidR="00A42C67" w:rsidRPr="00A42C67" w:rsidRDefault="00FB10B6" w:rsidP="008B0A52">
      <w:pPr>
        <w:pStyle w:val="Heading3-nonumber"/>
        <w:spacing w:line="480" w:lineRule="auto"/>
      </w:pPr>
      <w:r>
        <w:t>Exposures</w:t>
      </w:r>
    </w:p>
    <w:p w14:paraId="68F438AA" w14:textId="70288ECC" w:rsidR="00535636" w:rsidRPr="00A42C67" w:rsidRDefault="002663B4" w:rsidP="008B0A52">
      <w:pPr>
        <w:spacing w:line="480" w:lineRule="auto"/>
        <w:rPr>
          <w:rFonts w:ascii="Calibri" w:hAnsi="Calibri" w:cs="Calibri"/>
        </w:rPr>
      </w:pPr>
      <w:r>
        <w:rPr>
          <w:rFonts w:ascii="Calibri" w:hAnsi="Calibri" w:cs="Calibri"/>
        </w:rPr>
        <w:t xml:space="preserve">Exposure status was </w:t>
      </w:r>
      <w:r w:rsidR="00A42C67" w:rsidRPr="00A42C67">
        <w:rPr>
          <w:rFonts w:ascii="Calibri" w:hAnsi="Calibri" w:cs="Calibri"/>
        </w:rPr>
        <w:t>determined using</w:t>
      </w:r>
      <w:r w:rsidR="00A42C67">
        <w:rPr>
          <w:rFonts w:ascii="Calibri" w:hAnsi="Calibri" w:cs="Calibri"/>
        </w:rPr>
        <w:t xml:space="preserve"> </w:t>
      </w:r>
      <w:r w:rsidR="00A42C67" w:rsidRPr="00A42C67">
        <w:rPr>
          <w:rFonts w:ascii="Calibri" w:hAnsi="Calibri" w:cs="Calibri"/>
        </w:rPr>
        <w:t>CPRD prescribing</w:t>
      </w:r>
      <w:r w:rsidR="003C77FF">
        <w:rPr>
          <w:rFonts w:ascii="Calibri" w:hAnsi="Calibri" w:cs="Calibri"/>
        </w:rPr>
        <w:t xml:space="preserve"> records</w:t>
      </w:r>
      <w:r w:rsidR="001E75E9">
        <w:rPr>
          <w:rFonts w:ascii="Calibri" w:hAnsi="Calibri" w:cs="Calibri"/>
        </w:rPr>
        <w:t xml:space="preserve">. </w:t>
      </w:r>
      <w:r w:rsidR="00BB449F">
        <w:rPr>
          <w:rFonts w:ascii="Calibri" w:hAnsi="Calibri" w:cs="Calibri"/>
        </w:rPr>
        <w:t>Being prescribed</w:t>
      </w:r>
      <w:r w:rsidR="00A42C67" w:rsidRPr="00A42C67">
        <w:rPr>
          <w:rFonts w:ascii="Calibri" w:hAnsi="Calibri" w:cs="Calibri"/>
        </w:rPr>
        <w:t xml:space="preserve"> </w:t>
      </w:r>
      <w:r w:rsidR="00C968DC">
        <w:rPr>
          <w:rFonts w:ascii="Calibri" w:hAnsi="Calibri" w:cs="Calibri"/>
        </w:rPr>
        <w:t>FP-SAL</w:t>
      </w:r>
      <w:r w:rsidR="00A42C67" w:rsidRPr="00A42C67">
        <w:rPr>
          <w:rFonts w:ascii="Calibri" w:hAnsi="Calibri" w:cs="Calibri"/>
        </w:rPr>
        <w:t xml:space="preserve"> </w:t>
      </w:r>
      <w:r w:rsidR="00535636">
        <w:rPr>
          <w:rFonts w:ascii="Calibri" w:hAnsi="Calibri" w:cs="Calibri"/>
        </w:rPr>
        <w:t>was</w:t>
      </w:r>
      <w:r w:rsidR="00A42C67" w:rsidRPr="00A42C67">
        <w:rPr>
          <w:rFonts w:ascii="Calibri" w:hAnsi="Calibri" w:cs="Calibri"/>
        </w:rPr>
        <w:t xml:space="preserve"> the primary </w:t>
      </w:r>
      <w:r w:rsidR="00535636">
        <w:rPr>
          <w:rFonts w:ascii="Calibri" w:hAnsi="Calibri" w:cs="Calibri"/>
        </w:rPr>
        <w:t>exposure of interest and</w:t>
      </w:r>
      <w:r w:rsidR="00BB449F">
        <w:rPr>
          <w:rFonts w:ascii="Calibri" w:hAnsi="Calibri" w:cs="Calibri"/>
        </w:rPr>
        <w:t xml:space="preserve"> the comparison exposure groups</w:t>
      </w:r>
      <w:r w:rsidR="00535636">
        <w:rPr>
          <w:rFonts w:ascii="Calibri" w:hAnsi="Calibri" w:cs="Calibri"/>
        </w:rPr>
        <w:t xml:space="preserve"> </w:t>
      </w:r>
      <w:r w:rsidR="00BB449F">
        <w:rPr>
          <w:rFonts w:ascii="Calibri" w:hAnsi="Calibri" w:cs="Calibri"/>
        </w:rPr>
        <w:t>were</w:t>
      </w:r>
      <w:r w:rsidR="00535636">
        <w:rPr>
          <w:rFonts w:ascii="Calibri" w:hAnsi="Calibri" w:cs="Calibri"/>
        </w:rPr>
        <w:t xml:space="preserve"> (1)</w:t>
      </w:r>
      <w:r w:rsidR="00A42C67" w:rsidRPr="00A42C67">
        <w:rPr>
          <w:rFonts w:ascii="Calibri" w:hAnsi="Calibri" w:cs="Calibri"/>
        </w:rPr>
        <w:t xml:space="preserve"> </w:t>
      </w:r>
      <w:r w:rsidR="00555016">
        <w:rPr>
          <w:rFonts w:ascii="Calibri" w:hAnsi="Calibri" w:cs="Calibri"/>
        </w:rPr>
        <w:t xml:space="preserve">people </w:t>
      </w:r>
      <w:r w:rsidR="00A42C67" w:rsidRPr="00A42C67">
        <w:rPr>
          <w:rFonts w:ascii="Calibri" w:hAnsi="Calibri" w:cs="Calibri"/>
        </w:rPr>
        <w:t>no</w:t>
      </w:r>
      <w:r w:rsidR="00BB449F">
        <w:rPr>
          <w:rFonts w:ascii="Calibri" w:hAnsi="Calibri" w:cs="Calibri"/>
        </w:rPr>
        <w:t xml:space="preserve">t being </w:t>
      </w:r>
      <w:r w:rsidR="00BB449F">
        <w:rPr>
          <w:rFonts w:ascii="Calibri" w:hAnsi="Calibri" w:cs="Calibri"/>
        </w:rPr>
        <w:lastRenderedPageBreak/>
        <w:t>prescribed</w:t>
      </w:r>
      <w:r w:rsidR="00A42C67" w:rsidRPr="00A42C67">
        <w:rPr>
          <w:rFonts w:ascii="Calibri" w:hAnsi="Calibri" w:cs="Calibri"/>
        </w:rPr>
        <w:t xml:space="preserve"> </w:t>
      </w:r>
      <w:r w:rsidR="00C968DC">
        <w:rPr>
          <w:rFonts w:ascii="Calibri" w:hAnsi="Calibri" w:cs="Calibri"/>
        </w:rPr>
        <w:t>FP-SAL</w:t>
      </w:r>
      <w:r w:rsidR="00535636">
        <w:rPr>
          <w:rFonts w:ascii="Calibri" w:hAnsi="Calibri" w:cs="Calibri"/>
        </w:rPr>
        <w:t xml:space="preserve"> and (2) </w:t>
      </w:r>
      <w:r w:rsidR="00555016">
        <w:rPr>
          <w:rFonts w:ascii="Calibri" w:hAnsi="Calibri" w:cs="Calibri"/>
        </w:rPr>
        <w:t xml:space="preserve">people </w:t>
      </w:r>
      <w:r w:rsidR="00BB449F">
        <w:rPr>
          <w:rFonts w:ascii="Calibri" w:hAnsi="Calibri" w:cs="Calibri"/>
        </w:rPr>
        <w:t>being prescribed</w:t>
      </w:r>
      <w:r w:rsidR="000F2EAA">
        <w:rPr>
          <w:rFonts w:ascii="Calibri" w:hAnsi="Calibri" w:cs="Calibri"/>
        </w:rPr>
        <w:t xml:space="preserve"> </w:t>
      </w:r>
      <w:r w:rsidR="00535636">
        <w:rPr>
          <w:rFonts w:ascii="Calibri" w:hAnsi="Calibri" w:cs="Calibri"/>
        </w:rPr>
        <w:t>salmeterol (SAL) only</w:t>
      </w:r>
      <w:r w:rsidR="00A00794">
        <w:rPr>
          <w:rFonts w:ascii="Calibri" w:hAnsi="Calibri" w:cs="Calibri"/>
        </w:rPr>
        <w:t xml:space="preserve">. </w:t>
      </w:r>
      <w:r w:rsidR="00F17A10" w:rsidRPr="001E75E9">
        <w:rPr>
          <w:rFonts w:ascii="Calibri" w:hAnsi="Calibri" w:cs="Calibri"/>
          <w:color w:val="000000" w:themeColor="text1"/>
        </w:rPr>
        <w:t xml:space="preserve">See </w:t>
      </w:r>
      <w:r w:rsidR="00F17A10" w:rsidRPr="003B483E">
        <w:rPr>
          <w:rFonts w:ascii="Calibri" w:hAnsi="Calibri" w:cs="Calibri"/>
        </w:rPr>
        <w:t xml:space="preserve">Appendix 1 </w:t>
      </w:r>
      <w:r w:rsidR="00F17A10" w:rsidRPr="001E75E9">
        <w:rPr>
          <w:rFonts w:ascii="Calibri" w:hAnsi="Calibri" w:cs="Calibri"/>
          <w:color w:val="000000" w:themeColor="text1"/>
        </w:rPr>
        <w:t xml:space="preserve">for further details. </w:t>
      </w:r>
      <w:r w:rsidR="00F17A10" w:rsidRPr="00F17A10">
        <w:rPr>
          <w:rFonts w:ascii="Calibri" w:hAnsi="Calibri" w:cs="Calibri"/>
          <w:color w:val="FF0000"/>
        </w:rPr>
        <w:t xml:space="preserve">  </w:t>
      </w:r>
    </w:p>
    <w:p w14:paraId="139D5CE6" w14:textId="27BB3263" w:rsidR="001664C7" w:rsidRPr="001664C7" w:rsidRDefault="00DC10BC" w:rsidP="008B0A52">
      <w:pPr>
        <w:pStyle w:val="heading2nonumber"/>
        <w:keepNext/>
        <w:spacing w:line="480" w:lineRule="auto"/>
        <w:ind w:left="578" w:hanging="578"/>
        <w:rPr>
          <w:sz w:val="22"/>
          <w:szCs w:val="22"/>
        </w:rPr>
      </w:pPr>
      <w:r>
        <w:rPr>
          <w:sz w:val="22"/>
          <w:szCs w:val="22"/>
        </w:rPr>
        <w:t>Outcomes</w:t>
      </w:r>
    </w:p>
    <w:p w14:paraId="269D71A8" w14:textId="0F3D2973" w:rsidR="001E75E9" w:rsidRPr="001E75E9" w:rsidRDefault="001664C7" w:rsidP="008B0A52">
      <w:pPr>
        <w:spacing w:line="480" w:lineRule="auto"/>
        <w:rPr>
          <w:rFonts w:ascii="Calibri" w:hAnsi="Calibri" w:cs="Calibri"/>
        </w:rPr>
      </w:pPr>
      <w:r w:rsidRPr="001664C7">
        <w:rPr>
          <w:rFonts w:ascii="Calibri" w:hAnsi="Calibri" w:cs="Calibri"/>
        </w:rPr>
        <w:t xml:space="preserve">Outcomes </w:t>
      </w:r>
      <w:r w:rsidR="003105B3">
        <w:rPr>
          <w:rFonts w:ascii="Calibri" w:hAnsi="Calibri" w:cs="Calibri"/>
        </w:rPr>
        <w:t xml:space="preserve">were </w:t>
      </w:r>
      <w:r w:rsidRPr="003105B3">
        <w:rPr>
          <w:rFonts w:cs="Calibri"/>
        </w:rPr>
        <w:t>COPD exacerbation</w:t>
      </w:r>
      <w:r w:rsidR="003105B3">
        <w:rPr>
          <w:rFonts w:cs="Calibri"/>
        </w:rPr>
        <w:t xml:space="preserve">, </w:t>
      </w:r>
      <w:proofErr w:type="spellStart"/>
      <w:r w:rsidR="003105B3">
        <w:rPr>
          <w:rFonts w:cs="Calibri"/>
        </w:rPr>
        <w:t>all cause</w:t>
      </w:r>
      <w:proofErr w:type="spellEnd"/>
      <w:r w:rsidR="003105B3">
        <w:rPr>
          <w:rFonts w:cs="Calibri"/>
        </w:rPr>
        <w:t xml:space="preserve"> mortality, pneumonia and time to treatment discontinuation (see </w:t>
      </w:r>
      <w:r w:rsidR="003105B3" w:rsidRPr="003B483E">
        <w:rPr>
          <w:rFonts w:ascii="Calibri" w:hAnsi="Calibri" w:cs="Calibri"/>
        </w:rPr>
        <w:t>Appendix A1</w:t>
      </w:r>
      <w:r w:rsidR="006802BB">
        <w:rPr>
          <w:rFonts w:ascii="Calibri" w:hAnsi="Calibri" w:cs="Calibri"/>
        </w:rPr>
        <w:t>, Outcomes – further details on outcome definitions</w:t>
      </w:r>
      <w:r w:rsidR="003105B3" w:rsidRPr="003B483E">
        <w:rPr>
          <w:rFonts w:ascii="Calibri" w:hAnsi="Calibri" w:cs="Calibri"/>
        </w:rPr>
        <w:t>).</w:t>
      </w:r>
    </w:p>
    <w:p w14:paraId="0193FC4A" w14:textId="4D755BC1" w:rsidR="0066043D" w:rsidRDefault="00FB10B6" w:rsidP="008B0A52">
      <w:pPr>
        <w:pStyle w:val="Heading3-nonumber"/>
        <w:spacing w:line="480" w:lineRule="auto"/>
      </w:pPr>
      <w:r>
        <w:t>Covariates</w:t>
      </w:r>
    </w:p>
    <w:p w14:paraId="5415FEA3" w14:textId="7BFF8CC9" w:rsidR="00A718EE" w:rsidRPr="00A718EE" w:rsidRDefault="00A718EE" w:rsidP="008B0A52">
      <w:pPr>
        <w:pStyle w:val="Heading3-nonumber"/>
        <w:spacing w:line="480" w:lineRule="auto"/>
        <w:rPr>
          <w:b w:val="0"/>
        </w:rPr>
      </w:pPr>
      <w:bookmarkStart w:id="20" w:name="_Hlk35199622"/>
      <w:r>
        <w:rPr>
          <w:b w:val="0"/>
        </w:rPr>
        <w:t>Covariates available for inclusion in the propensi</w:t>
      </w:r>
      <w:r w:rsidR="00247F9C">
        <w:rPr>
          <w:b w:val="0"/>
        </w:rPr>
        <w:t>ty score models</w:t>
      </w:r>
      <w:r w:rsidR="008E0572">
        <w:rPr>
          <w:b w:val="0"/>
        </w:rPr>
        <w:t xml:space="preserve"> have been detailed previously and are listed in Appendix 1.</w:t>
      </w:r>
      <w:r w:rsidR="008E0572">
        <w:rPr>
          <w:b w:val="0"/>
        </w:rPr>
        <w:fldChar w:fldCharType="begin" w:fldLock="1"/>
      </w:r>
      <w:r w:rsidR="00B10790">
        <w:rPr>
          <w:b w:val="0"/>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8E0572">
        <w:rPr>
          <w:b w:val="0"/>
        </w:rPr>
        <w:fldChar w:fldCharType="separate"/>
      </w:r>
      <w:r w:rsidR="00B10790" w:rsidRPr="00B10790">
        <w:rPr>
          <w:b w:val="0"/>
          <w:noProof/>
        </w:rPr>
        <w:t>[2]</w:t>
      </w:r>
      <w:r w:rsidR="008E0572">
        <w:rPr>
          <w:b w:val="0"/>
        </w:rPr>
        <w:fldChar w:fldCharType="end"/>
      </w:r>
    </w:p>
    <w:bookmarkEnd w:id="20"/>
    <w:p w14:paraId="3A21D4A2" w14:textId="0654545F" w:rsidR="007D6918" w:rsidRDefault="007D6918" w:rsidP="008B0A52">
      <w:pPr>
        <w:pStyle w:val="heading2nonumber"/>
        <w:keepNext/>
        <w:spacing w:line="480" w:lineRule="auto"/>
        <w:ind w:left="578" w:hanging="578"/>
      </w:pPr>
      <w:r>
        <w:t>Statistical analysis</w:t>
      </w:r>
    </w:p>
    <w:p w14:paraId="20A5D37A" w14:textId="020AFC8D" w:rsidR="007A3EB3" w:rsidRDefault="007A3EB3" w:rsidP="008B0A52">
      <w:pPr>
        <w:pStyle w:val="Heading3-nonumber"/>
        <w:spacing w:line="480" w:lineRule="auto"/>
      </w:pPr>
      <w:r>
        <w:t>Propensity score</w:t>
      </w:r>
      <w:r w:rsidR="00DE6027">
        <w:t xml:space="preserve"> for addressing confounding</w:t>
      </w:r>
    </w:p>
    <w:p w14:paraId="05DA030E" w14:textId="74B065E6" w:rsidR="00074ACB" w:rsidRPr="00A718EE" w:rsidRDefault="005734CC" w:rsidP="008B0A52">
      <w:pPr>
        <w:pStyle w:val="Heading3-nonumber"/>
        <w:spacing w:line="480" w:lineRule="auto"/>
        <w:rPr>
          <w:b w:val="0"/>
        </w:rPr>
      </w:pPr>
      <w:r>
        <w:rPr>
          <w:b w:val="0"/>
        </w:rPr>
        <w:t xml:space="preserve">Initial variables were selected based upon </w:t>
      </w:r>
      <w:r w:rsidR="000B58B0">
        <w:rPr>
          <w:b w:val="0"/>
        </w:rPr>
        <w:t xml:space="preserve">crude </w:t>
      </w:r>
      <w:r>
        <w:rPr>
          <w:b w:val="0"/>
        </w:rPr>
        <w:t>association with outcome, before applying m</w:t>
      </w:r>
      <w:r w:rsidR="004B4188">
        <w:rPr>
          <w:b w:val="0"/>
        </w:rPr>
        <w:t>ultivariable logistic regression</w:t>
      </w:r>
      <w:r w:rsidR="00C62F57">
        <w:rPr>
          <w:b w:val="0"/>
        </w:rPr>
        <w:t xml:space="preserve"> </w:t>
      </w:r>
      <w:r w:rsidR="001B7D8A">
        <w:rPr>
          <w:b w:val="0"/>
        </w:rPr>
        <w:t>(on drug exposure status)</w:t>
      </w:r>
      <w:r w:rsidR="004B4188">
        <w:rPr>
          <w:b w:val="0"/>
        </w:rPr>
        <w:t xml:space="preserve"> </w:t>
      </w:r>
      <w:r>
        <w:rPr>
          <w:b w:val="0"/>
        </w:rPr>
        <w:t>to</w:t>
      </w:r>
      <w:r w:rsidR="004B4188">
        <w:rPr>
          <w:b w:val="0"/>
        </w:rPr>
        <w:t xml:space="preserve"> genera</w:t>
      </w:r>
      <w:r>
        <w:rPr>
          <w:b w:val="0"/>
        </w:rPr>
        <w:t>te</w:t>
      </w:r>
      <w:r w:rsidR="004B4188">
        <w:rPr>
          <w:b w:val="0"/>
        </w:rPr>
        <w:t xml:space="preserve"> propensity scores</w:t>
      </w:r>
      <w:r w:rsidR="00742F03">
        <w:rPr>
          <w:b w:val="0"/>
        </w:rPr>
        <w:t>.</w:t>
      </w:r>
      <w:r w:rsidR="005E21F1">
        <w:rPr>
          <w:b w:val="0"/>
        </w:rPr>
        <w:fldChar w:fldCharType="begin" w:fldLock="1"/>
      </w:r>
      <w:r w:rsidR="00B10790">
        <w:rPr>
          <w:b w:val="0"/>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5E21F1">
        <w:rPr>
          <w:b w:val="0"/>
        </w:rPr>
        <w:fldChar w:fldCharType="separate"/>
      </w:r>
      <w:r w:rsidR="00B10790" w:rsidRPr="00B10790">
        <w:rPr>
          <w:b w:val="0"/>
          <w:noProof/>
        </w:rPr>
        <w:t>[2]</w:t>
      </w:r>
      <w:r w:rsidR="005E21F1">
        <w:rPr>
          <w:b w:val="0"/>
        </w:rPr>
        <w:fldChar w:fldCharType="end"/>
      </w:r>
      <w:r w:rsidR="00B66C71">
        <w:rPr>
          <w:b w:val="0"/>
        </w:rPr>
        <w:t xml:space="preserve"> </w:t>
      </w:r>
      <w:r w:rsidR="00862BBC">
        <w:rPr>
          <w:b w:val="0"/>
        </w:rPr>
        <w:t>V</w:t>
      </w:r>
      <w:r w:rsidR="00B66C71">
        <w:rPr>
          <w:b w:val="0"/>
        </w:rPr>
        <w:t xml:space="preserve">ariables were </w:t>
      </w:r>
      <w:r w:rsidR="00862BBC">
        <w:rPr>
          <w:b w:val="0"/>
        </w:rPr>
        <w:t xml:space="preserve"> </w:t>
      </w:r>
      <w:r w:rsidR="00B66C71">
        <w:rPr>
          <w:b w:val="0"/>
        </w:rPr>
        <w:t>selected</w:t>
      </w:r>
      <w:r w:rsidR="00862BBC">
        <w:rPr>
          <w:b w:val="0"/>
        </w:rPr>
        <w:t xml:space="preserve"> for inclusion</w:t>
      </w:r>
      <w:r>
        <w:rPr>
          <w:b w:val="0"/>
        </w:rPr>
        <w:t xml:space="preserve"> in the final propensity score multivariable logistic regression model</w:t>
      </w:r>
      <w:r w:rsidR="00B66C71">
        <w:rPr>
          <w:b w:val="0"/>
        </w:rPr>
        <w:t xml:space="preserve"> using LRT tests for goodness of fi</w:t>
      </w:r>
      <w:r w:rsidR="00862BBC">
        <w:rPr>
          <w:b w:val="0"/>
        </w:rPr>
        <w:t>t. S</w:t>
      </w:r>
      <w:r w:rsidR="00CA4107">
        <w:rPr>
          <w:b w:val="0"/>
        </w:rPr>
        <w:t xml:space="preserve">tarting from an initial fully adjusted model that included all </w:t>
      </w:r>
      <w:r>
        <w:rPr>
          <w:b w:val="0"/>
        </w:rPr>
        <w:t xml:space="preserve">initial </w:t>
      </w:r>
      <w:r w:rsidR="00CA4107">
        <w:rPr>
          <w:b w:val="0"/>
        </w:rPr>
        <w:t xml:space="preserve">variables </w:t>
      </w:r>
      <w:r>
        <w:rPr>
          <w:b w:val="0"/>
        </w:rPr>
        <w:t xml:space="preserve">found to be </w:t>
      </w:r>
      <w:r w:rsidR="00CA4107">
        <w:rPr>
          <w:b w:val="0"/>
        </w:rPr>
        <w:t>associated with outcome</w:t>
      </w:r>
      <w:r w:rsidR="00862BBC">
        <w:rPr>
          <w:b w:val="0"/>
        </w:rPr>
        <w:t>, goodness of fit was tested after</w:t>
      </w:r>
      <w:r w:rsidR="00CA4107">
        <w:rPr>
          <w:b w:val="0"/>
        </w:rPr>
        <w:t xml:space="preserve"> removing variables sequentially</w:t>
      </w:r>
      <w:r w:rsidR="00862BBC">
        <w:rPr>
          <w:b w:val="0"/>
        </w:rPr>
        <w:t xml:space="preserve"> from the </w:t>
      </w:r>
      <w:r>
        <w:rPr>
          <w:b w:val="0"/>
        </w:rPr>
        <w:t xml:space="preserve">logistic regression </w:t>
      </w:r>
      <w:r w:rsidR="00862BBC">
        <w:rPr>
          <w:b w:val="0"/>
        </w:rPr>
        <w:t>model (</w:t>
      </w:r>
      <w:r w:rsidR="00CA4107">
        <w:rPr>
          <w:b w:val="0"/>
        </w:rPr>
        <w:t>starting with the variable most weakly associat</w:t>
      </w:r>
      <w:r>
        <w:rPr>
          <w:b w:val="0"/>
        </w:rPr>
        <w:t>ed</w:t>
      </w:r>
      <w:r w:rsidR="00CA4107">
        <w:rPr>
          <w:b w:val="0"/>
        </w:rPr>
        <w:t xml:space="preserve"> with exposure in</w:t>
      </w:r>
      <w:r>
        <w:rPr>
          <w:b w:val="0"/>
        </w:rPr>
        <w:t xml:space="preserve"> the</w:t>
      </w:r>
      <w:r w:rsidR="00CA4107">
        <w:rPr>
          <w:b w:val="0"/>
        </w:rPr>
        <w:t xml:space="preserve"> </w:t>
      </w:r>
      <w:r>
        <w:rPr>
          <w:b w:val="0"/>
        </w:rPr>
        <w:t>fully adjusted model</w:t>
      </w:r>
      <w:r w:rsidR="00862BBC">
        <w:rPr>
          <w:b w:val="0"/>
        </w:rPr>
        <w:t>)</w:t>
      </w:r>
      <w:r w:rsidR="00CA4107">
        <w:rPr>
          <w:b w:val="0"/>
        </w:rPr>
        <w:t>. Variables with</w:t>
      </w:r>
      <w:r w:rsidR="00862BBC">
        <w:rPr>
          <w:b w:val="0"/>
        </w:rPr>
        <w:t xml:space="preserve"> an LRT p-value of </w:t>
      </w:r>
      <w:r>
        <w:rPr>
          <w:b w:val="0"/>
        </w:rPr>
        <w:t>&gt;</w:t>
      </w:r>
      <w:r w:rsidR="00862BBC">
        <w:rPr>
          <w:b w:val="0"/>
        </w:rPr>
        <w:t xml:space="preserve">0.1 were removed from the model. </w:t>
      </w:r>
      <w:r>
        <w:rPr>
          <w:b w:val="0"/>
        </w:rPr>
        <w:t xml:space="preserve">Model optimisation was then performed by plotting the final calculated propensity score for each exposure category and assessing the impact of stratifying by each variable in the final model. </w:t>
      </w:r>
      <w:r w:rsidR="005E7202">
        <w:rPr>
          <w:b w:val="0"/>
        </w:rPr>
        <w:t>S</w:t>
      </w:r>
      <w:r w:rsidR="00B32522">
        <w:rPr>
          <w:b w:val="0"/>
        </w:rPr>
        <w:t>eparate</w:t>
      </w:r>
      <w:r w:rsidR="005E7202">
        <w:rPr>
          <w:b w:val="0"/>
        </w:rPr>
        <w:t xml:space="preserve"> propensity scores were developed</w:t>
      </w:r>
      <w:r>
        <w:rPr>
          <w:b w:val="0"/>
        </w:rPr>
        <w:t xml:space="preserve"> in this way</w:t>
      </w:r>
      <w:r w:rsidR="005E7202">
        <w:rPr>
          <w:b w:val="0"/>
        </w:rPr>
        <w:t xml:space="preserve"> for each outcome</w:t>
      </w:r>
      <w:r w:rsidR="008C67E6">
        <w:rPr>
          <w:b w:val="0"/>
        </w:rPr>
        <w:t xml:space="preserve">. </w:t>
      </w:r>
      <w:r w:rsidR="00C50812">
        <w:rPr>
          <w:b w:val="0"/>
        </w:rPr>
        <w:t>S</w:t>
      </w:r>
      <w:r w:rsidR="00742F03">
        <w:rPr>
          <w:b w:val="0"/>
        </w:rPr>
        <w:t>tandardised differences</w:t>
      </w:r>
      <w:r w:rsidR="00C50812">
        <w:rPr>
          <w:b w:val="0"/>
        </w:rPr>
        <w:t xml:space="preserve"> were used</w:t>
      </w:r>
      <w:r w:rsidR="00742F03">
        <w:rPr>
          <w:b w:val="0"/>
        </w:rPr>
        <w:t xml:space="preserve"> to assess any residual imbalances after matching</w:t>
      </w:r>
      <w:r w:rsidR="00996253">
        <w:rPr>
          <w:b w:val="0"/>
        </w:rPr>
        <w:t xml:space="preserve"> (</w:t>
      </w:r>
      <w:r w:rsidR="00DD6A40">
        <w:rPr>
          <w:b w:val="0"/>
        </w:rPr>
        <w:t xml:space="preserve">with </w:t>
      </w:r>
      <w:proofErr w:type="spellStart"/>
      <w:r w:rsidR="00DD6A40">
        <w:rPr>
          <w:b w:val="0"/>
        </w:rPr>
        <w:t>sd</w:t>
      </w:r>
      <w:proofErr w:type="spellEnd"/>
      <w:r w:rsidR="00996253">
        <w:rPr>
          <w:b w:val="0"/>
        </w:rPr>
        <w:t>&gt;0.1</w:t>
      </w:r>
      <w:r w:rsidR="00DD6A40">
        <w:rPr>
          <w:b w:val="0"/>
        </w:rPr>
        <w:t xml:space="preserve"> indicating substantial/</w:t>
      </w:r>
      <w:r w:rsidR="007A6B34">
        <w:rPr>
          <w:b w:val="0"/>
        </w:rPr>
        <w:t>important imbalance</w:t>
      </w:r>
      <w:r w:rsidR="00522063">
        <w:rPr>
          <w:b w:val="0"/>
        </w:rPr>
        <w:t>)</w:t>
      </w:r>
      <w:r w:rsidR="00C50812">
        <w:rPr>
          <w:b w:val="0"/>
        </w:rPr>
        <w:t>.</w:t>
      </w:r>
      <w:r w:rsidR="00E82B86">
        <w:rPr>
          <w:b w:val="0"/>
        </w:rPr>
        <w:fldChar w:fldCharType="begin" w:fldLock="1"/>
      </w:r>
      <w:r w:rsidR="00B10790">
        <w:rPr>
          <w:b w:val="0"/>
        </w:rPr>
        <w:instrText>ADDIN CSL_CITATION {"citationItems":[{"id":"ITEM-1","itemData":{"DOI":"10.1111/resp.12312","ISBN":"1440-1843 (Electronic)\\r1323-7799 (Linking)","ISSN":"14401843","PMID":"24889820","abstract":"Although randomization provides a gold-standard method of assessing causal relationships, it is not always possible to randomly allocate exposures. Where exposures are not randomized, estimating exposure effects is complicated by confounding. The traditional approach to dealing with confounding is to adjust for measured confounding variables within a regression model for the outcome variable. An alternative approach-propensity scoring-instead fits a regression model to the exposure variable. For a binary exposure, the propensity score is the probability of being exposed, given the measured confounders. These scores can be estimated from the data, for example by fitting a logistic regression model for the exposure including the confounders as explanatory variables and obtaining the estimated propensity scores from the predicted exposure probabilities from this model. These estimated propensity scores can then be used in various ways-matching, stratification, covariate-adjustment or inverse-probability weighting-to obtain estimates of the exposure effect. In this paper, we provide an introduction to propensity score methodology and review its use within respiratory health research. We illustrate propensity score methods by investigating the research question: 'Does personal smoking affect the risk of subsequent asthma?' using data taken from the Tasmanian Longitudinal Health Study.","author":[{"dropping-particle":"","family":"Williamson","given":"Elizabeth J.","non-dropping-particle":"","parse-names":false,"suffix":""},{"dropping-particle":"","family":"Forbes","given":"Andrew","non-dropping-particle":"","parse-names":false,"suffix":""}],"container-title":"Respirology","id":"ITEM-1","issue":"5","issued":{"date-parts":[["2014"]]},"page":"625-635","title":"Introduction to propensity scores","type":"article-journal","volume":"19"},"uris":["http://www.mendeley.com/documents/?uuid=761ddeb7-5d0c-442d-9a00-921d5ced6a2e"]}],"mendeley":{"formattedCitation":"[3]","plainTextFormattedCitation":"[3]","previouslyFormattedCitation":"[3]"},"properties":{"noteIndex":0},"schema":"https://github.com/citation-style-language/schema/raw/master/csl-citation.json"}</w:instrText>
      </w:r>
      <w:r w:rsidR="00E82B86">
        <w:rPr>
          <w:b w:val="0"/>
        </w:rPr>
        <w:fldChar w:fldCharType="separate"/>
      </w:r>
      <w:r w:rsidR="00B10790" w:rsidRPr="00B10790">
        <w:rPr>
          <w:b w:val="0"/>
          <w:noProof/>
        </w:rPr>
        <w:t>[3]</w:t>
      </w:r>
      <w:r w:rsidR="00E82B86">
        <w:rPr>
          <w:b w:val="0"/>
        </w:rPr>
        <w:fldChar w:fldCharType="end"/>
      </w:r>
      <w:r w:rsidR="00DF65A2">
        <w:rPr>
          <w:b w:val="0"/>
        </w:rPr>
        <w:t xml:space="preserve"> </w:t>
      </w:r>
    </w:p>
    <w:p w14:paraId="1C6B87BE" w14:textId="3C79B544" w:rsidR="00FB246A" w:rsidRDefault="005D46B8" w:rsidP="008B0A52">
      <w:pPr>
        <w:pStyle w:val="Heading3-nonumber"/>
        <w:keepNext/>
        <w:spacing w:line="480" w:lineRule="auto"/>
      </w:pPr>
      <w:r>
        <w:t>Methods of analysis</w:t>
      </w:r>
    </w:p>
    <w:p w14:paraId="112657E4" w14:textId="338D20B2" w:rsidR="000A7076" w:rsidRPr="00247F9C" w:rsidRDefault="00247F9C" w:rsidP="008B0A52">
      <w:pPr>
        <w:pStyle w:val="Heading3-nonumber"/>
        <w:spacing w:line="480" w:lineRule="auto"/>
        <w:rPr>
          <w:b w:val="0"/>
        </w:rPr>
      </w:pPr>
      <w:r>
        <w:rPr>
          <w:b w:val="0"/>
        </w:rPr>
        <w:t>C</w:t>
      </w:r>
      <w:r w:rsidRPr="00247F9C">
        <w:rPr>
          <w:b w:val="0"/>
        </w:rPr>
        <w:t xml:space="preserve">omparisons </w:t>
      </w:r>
      <w:r>
        <w:rPr>
          <w:b w:val="0"/>
        </w:rPr>
        <w:t>were made</w:t>
      </w:r>
      <w:r w:rsidR="00C50812">
        <w:rPr>
          <w:b w:val="0"/>
        </w:rPr>
        <w:t xml:space="preserve"> for each outcome</w:t>
      </w:r>
      <w:r w:rsidR="00B87A5F">
        <w:rPr>
          <w:b w:val="0"/>
        </w:rPr>
        <w:t xml:space="preserve"> over 3 years</w:t>
      </w:r>
      <w:r>
        <w:rPr>
          <w:b w:val="0"/>
        </w:rPr>
        <w:t xml:space="preserve"> between (a) people exposed to </w:t>
      </w:r>
      <w:r w:rsidR="00C968DC">
        <w:rPr>
          <w:b w:val="0"/>
        </w:rPr>
        <w:t>FP-SAL</w:t>
      </w:r>
      <w:r w:rsidR="001971ED">
        <w:rPr>
          <w:b w:val="0"/>
        </w:rPr>
        <w:t xml:space="preserve"> </w:t>
      </w:r>
      <w:r w:rsidR="007C3B13">
        <w:rPr>
          <w:b w:val="0"/>
        </w:rPr>
        <w:t>vs</w:t>
      </w:r>
      <w:r w:rsidR="001971ED">
        <w:rPr>
          <w:b w:val="0"/>
        </w:rPr>
        <w:t xml:space="preserve"> </w:t>
      </w:r>
      <w:r>
        <w:rPr>
          <w:b w:val="0"/>
        </w:rPr>
        <w:t xml:space="preserve">people unexposed to </w:t>
      </w:r>
      <w:r w:rsidR="00C968DC">
        <w:rPr>
          <w:b w:val="0"/>
        </w:rPr>
        <w:t>FP-SAL</w:t>
      </w:r>
      <w:r w:rsidR="007C3B13">
        <w:rPr>
          <w:b w:val="0"/>
        </w:rPr>
        <w:t xml:space="preserve"> (matched on propensity score)</w:t>
      </w:r>
      <w:r>
        <w:rPr>
          <w:b w:val="0"/>
        </w:rPr>
        <w:t xml:space="preserve"> and (b) people exposed to </w:t>
      </w:r>
      <w:r w:rsidR="00C968DC">
        <w:rPr>
          <w:b w:val="0"/>
        </w:rPr>
        <w:t>FP-SAL</w:t>
      </w:r>
      <w:r w:rsidR="001971ED">
        <w:rPr>
          <w:b w:val="0"/>
        </w:rPr>
        <w:t xml:space="preserve"> </w:t>
      </w:r>
      <w:r w:rsidR="007C3B13">
        <w:rPr>
          <w:b w:val="0"/>
        </w:rPr>
        <w:t>vs</w:t>
      </w:r>
      <w:r>
        <w:rPr>
          <w:b w:val="0"/>
        </w:rPr>
        <w:t xml:space="preserve"> </w:t>
      </w:r>
      <w:r>
        <w:rPr>
          <w:b w:val="0"/>
        </w:rPr>
        <w:lastRenderedPageBreak/>
        <w:t>people exposed to SAL</w:t>
      </w:r>
      <w:r w:rsidR="007C3B13">
        <w:rPr>
          <w:b w:val="0"/>
        </w:rPr>
        <w:t xml:space="preserve"> (matched on propensity score)</w:t>
      </w:r>
      <w:r w:rsidRPr="00247F9C">
        <w:rPr>
          <w:b w:val="0"/>
        </w:rPr>
        <w:t>. All</w:t>
      </w:r>
      <w:r>
        <w:rPr>
          <w:b w:val="0"/>
        </w:rPr>
        <w:t xml:space="preserve"> </w:t>
      </w:r>
      <w:r w:rsidRPr="00247F9C">
        <w:rPr>
          <w:b w:val="0"/>
        </w:rPr>
        <w:t xml:space="preserve">analyses </w:t>
      </w:r>
      <w:r>
        <w:rPr>
          <w:b w:val="0"/>
        </w:rPr>
        <w:t>were</w:t>
      </w:r>
      <w:r w:rsidRPr="00247F9C">
        <w:rPr>
          <w:b w:val="0"/>
        </w:rPr>
        <w:t xml:space="preserve"> performed according to the ‘intention</w:t>
      </w:r>
      <w:r>
        <w:rPr>
          <w:b w:val="0"/>
        </w:rPr>
        <w:t>-</w:t>
      </w:r>
      <w:r w:rsidRPr="00247F9C">
        <w:rPr>
          <w:b w:val="0"/>
        </w:rPr>
        <w:t xml:space="preserve">to-treat’ principle </w:t>
      </w:r>
      <w:r w:rsidR="006165D9">
        <w:rPr>
          <w:b w:val="0"/>
        </w:rPr>
        <w:t>(</w:t>
      </w:r>
      <w:r w:rsidR="006165D9" w:rsidRPr="003B483E">
        <w:rPr>
          <w:b w:val="0"/>
        </w:rPr>
        <w:t>Appendix A1</w:t>
      </w:r>
      <w:r w:rsidR="006165D9">
        <w:rPr>
          <w:b w:val="0"/>
        </w:rPr>
        <w:t>)</w:t>
      </w:r>
      <w:r w:rsidR="00FE455D">
        <w:rPr>
          <w:b w:val="0"/>
        </w:rPr>
        <w:t>, estimating the same effect measures as TORCH</w:t>
      </w:r>
      <w:r w:rsidR="006165D9">
        <w:rPr>
          <w:b w:val="0"/>
        </w:rPr>
        <w:t xml:space="preserve">. </w:t>
      </w:r>
      <w:r w:rsidR="00A66E3E">
        <w:rPr>
          <w:b w:val="0"/>
        </w:rPr>
        <w:t>The number of exacerbations was modelled using a negative binomial model with</w:t>
      </w:r>
      <w:r w:rsidRPr="00247F9C">
        <w:rPr>
          <w:b w:val="0"/>
        </w:rPr>
        <w:t xml:space="preserve"> the log of treated time as</w:t>
      </w:r>
      <w:r>
        <w:rPr>
          <w:b w:val="0"/>
        </w:rPr>
        <w:t xml:space="preserve"> </w:t>
      </w:r>
      <w:r w:rsidRPr="00247F9C">
        <w:rPr>
          <w:b w:val="0"/>
        </w:rPr>
        <w:t>an offset variable. Time to mortality</w:t>
      </w:r>
      <w:r>
        <w:rPr>
          <w:b w:val="0"/>
        </w:rPr>
        <w:t xml:space="preserve"> </w:t>
      </w:r>
      <w:r w:rsidRPr="00247F9C">
        <w:rPr>
          <w:b w:val="0"/>
        </w:rPr>
        <w:t xml:space="preserve">and treatment </w:t>
      </w:r>
      <w:r w:rsidR="00B87A5F">
        <w:rPr>
          <w:b w:val="0"/>
        </w:rPr>
        <w:t>discontinuation</w:t>
      </w:r>
      <w:r w:rsidRPr="00247F9C">
        <w:rPr>
          <w:b w:val="0"/>
        </w:rPr>
        <w:t xml:space="preserve"> </w:t>
      </w:r>
      <w:r>
        <w:rPr>
          <w:b w:val="0"/>
        </w:rPr>
        <w:t>were</w:t>
      </w:r>
      <w:r w:rsidRPr="00247F9C">
        <w:rPr>
          <w:b w:val="0"/>
        </w:rPr>
        <w:t xml:space="preserve"> analysed using Cox</w:t>
      </w:r>
      <w:r>
        <w:rPr>
          <w:b w:val="0"/>
        </w:rPr>
        <w:t xml:space="preserve"> proportional hazards regression</w:t>
      </w:r>
      <w:r w:rsidR="00C9176C">
        <w:rPr>
          <w:b w:val="0"/>
        </w:rPr>
        <w:t>, pneumonia</w:t>
      </w:r>
      <w:r w:rsidR="00D8107E">
        <w:rPr>
          <w:b w:val="0"/>
        </w:rPr>
        <w:t xml:space="preserve"> risk usin</w:t>
      </w:r>
      <w:r w:rsidR="00C25DCB">
        <w:rPr>
          <w:b w:val="0"/>
        </w:rPr>
        <w:t>g Poisson regression</w:t>
      </w:r>
      <w:r w:rsidRPr="00247F9C">
        <w:rPr>
          <w:b w:val="0"/>
        </w:rPr>
        <w:t>.</w:t>
      </w:r>
      <w:r>
        <w:rPr>
          <w:b w:val="0"/>
        </w:rPr>
        <w:t xml:space="preserve"> </w:t>
      </w:r>
    </w:p>
    <w:p w14:paraId="48EE28EF" w14:textId="64EABDE3" w:rsidR="00CD7553" w:rsidRDefault="00CD7553" w:rsidP="008B0A52">
      <w:pPr>
        <w:pStyle w:val="Heading3-nonumber"/>
        <w:spacing w:line="480" w:lineRule="auto"/>
      </w:pPr>
      <w:r>
        <w:t>Validation of results against TORCH</w:t>
      </w:r>
    </w:p>
    <w:p w14:paraId="1C83A5E1" w14:textId="31BA68D6" w:rsidR="0035646D" w:rsidRPr="004407F3" w:rsidRDefault="009902DD" w:rsidP="008B0A52">
      <w:pPr>
        <w:pStyle w:val="Heading3-nonumber"/>
        <w:spacing w:line="480" w:lineRule="auto"/>
        <w:rPr>
          <w:b w:val="0"/>
        </w:rPr>
      </w:pPr>
      <w:r>
        <w:rPr>
          <w:b w:val="0"/>
        </w:rPr>
        <w:t>Detailed criteria for considering results to be comparable with TORCH were</w:t>
      </w:r>
      <w:r w:rsidR="00C7436A">
        <w:rPr>
          <w:b w:val="0"/>
        </w:rPr>
        <w:t xml:space="preserve"> pre-specified and</w:t>
      </w:r>
      <w:r>
        <w:rPr>
          <w:b w:val="0"/>
        </w:rPr>
        <w:t xml:space="preserve"> published previously </w:t>
      </w:r>
      <w:r w:rsidR="00C7436A">
        <w:rPr>
          <w:b w:val="0"/>
        </w:rPr>
        <w:t>(A</w:t>
      </w:r>
      <w:r w:rsidRPr="003B483E">
        <w:rPr>
          <w:b w:val="0"/>
        </w:rPr>
        <w:t xml:space="preserve">ppendix </w:t>
      </w:r>
      <w:r w:rsidR="003B483E" w:rsidRPr="003B483E">
        <w:rPr>
          <w:b w:val="0"/>
        </w:rPr>
        <w:t>A</w:t>
      </w:r>
      <w:r w:rsidRPr="003B483E">
        <w:rPr>
          <w:b w:val="0"/>
        </w:rPr>
        <w:t>1</w:t>
      </w:r>
      <w:r w:rsidR="00C7436A">
        <w:rPr>
          <w:b w:val="0"/>
        </w:rPr>
        <w:t>)</w:t>
      </w:r>
      <w:r>
        <w:rPr>
          <w:b w:val="0"/>
        </w:rPr>
        <w:t>.</w:t>
      </w:r>
      <w:r w:rsidR="00E82B86">
        <w:rPr>
          <w:b w:val="0"/>
        </w:rPr>
        <w:fldChar w:fldCharType="begin" w:fldLock="1"/>
      </w:r>
      <w:r w:rsidR="00B10790">
        <w:rPr>
          <w:b w:val="0"/>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E82B86">
        <w:rPr>
          <w:b w:val="0"/>
        </w:rPr>
        <w:fldChar w:fldCharType="separate"/>
      </w:r>
      <w:r w:rsidR="00B10790" w:rsidRPr="00B10790">
        <w:rPr>
          <w:b w:val="0"/>
          <w:noProof/>
        </w:rPr>
        <w:t>[2]</w:t>
      </w:r>
      <w:r w:rsidR="00E82B86">
        <w:rPr>
          <w:b w:val="0"/>
        </w:rPr>
        <w:fldChar w:fldCharType="end"/>
      </w:r>
    </w:p>
    <w:p w14:paraId="06848003" w14:textId="1CB7C243" w:rsidR="00DE6027" w:rsidRDefault="00DE6027" w:rsidP="008B0A52">
      <w:pPr>
        <w:pStyle w:val="Heading3-nonumber"/>
        <w:keepNext/>
        <w:spacing w:line="480" w:lineRule="auto"/>
      </w:pPr>
      <w:r>
        <w:t>Missing data</w:t>
      </w:r>
    </w:p>
    <w:p w14:paraId="50A44EF8" w14:textId="7C66B36A" w:rsidR="00657FF2" w:rsidRDefault="00236F8A" w:rsidP="008B0A52">
      <w:pPr>
        <w:pStyle w:val="Heading3-nonumber"/>
        <w:spacing w:line="480" w:lineRule="auto"/>
        <w:rPr>
          <w:b w:val="0"/>
        </w:rPr>
      </w:pPr>
      <w:r>
        <w:rPr>
          <w:b w:val="0"/>
        </w:rPr>
        <w:t>Complete records analysis</w:t>
      </w:r>
      <w:r w:rsidR="00B87A5F">
        <w:rPr>
          <w:b w:val="0"/>
        </w:rPr>
        <w:t xml:space="preserve"> was applied given the low proportion of missing data (only SES, alcohol or BMI had any missing data, and all &lt;5% missing).</w:t>
      </w:r>
      <w:r>
        <w:rPr>
          <w:b w:val="0"/>
        </w:rPr>
        <w:t xml:space="preserve"> </w:t>
      </w:r>
    </w:p>
    <w:p w14:paraId="6789AD45" w14:textId="2244B8A7" w:rsidR="00B87A5F" w:rsidRDefault="00B87A5F" w:rsidP="008B0A52">
      <w:pPr>
        <w:pStyle w:val="Heading3-nonumber"/>
        <w:keepNext/>
        <w:spacing w:line="480" w:lineRule="auto"/>
      </w:pPr>
      <w:r>
        <w:t xml:space="preserve">Analysis of impact of </w:t>
      </w:r>
      <w:r w:rsidR="00D420F2">
        <w:t xml:space="preserve">(1) </w:t>
      </w:r>
      <w:r>
        <w:t>TORCH matching</w:t>
      </w:r>
      <w:r w:rsidR="00D420F2">
        <w:t xml:space="preserve"> (2) TORCH criteria</w:t>
      </w:r>
      <w:r>
        <w:t xml:space="preserve"> (post-hoc analysis)</w:t>
      </w:r>
    </w:p>
    <w:p w14:paraId="492399A6" w14:textId="7248199F" w:rsidR="00DE43C9" w:rsidRDefault="00B87A5F" w:rsidP="008B0A52">
      <w:pPr>
        <w:pStyle w:val="Heading3-nonumber"/>
        <w:keepNext/>
        <w:spacing w:line="480" w:lineRule="auto"/>
        <w:rPr>
          <w:b w:val="0"/>
          <w:bCs/>
        </w:rPr>
      </w:pPr>
      <w:r>
        <w:rPr>
          <w:b w:val="0"/>
          <w:bCs/>
        </w:rPr>
        <w:t xml:space="preserve">A post-hoc analysis was performed assessing the impact of </w:t>
      </w:r>
      <w:r w:rsidR="00D420F2">
        <w:rPr>
          <w:b w:val="0"/>
          <w:bCs/>
        </w:rPr>
        <w:t xml:space="preserve">(1) </w:t>
      </w:r>
      <w:r>
        <w:rPr>
          <w:b w:val="0"/>
          <w:bCs/>
        </w:rPr>
        <w:t xml:space="preserve">omitting TORCH matching </w:t>
      </w:r>
      <w:r w:rsidR="00D420F2">
        <w:rPr>
          <w:b w:val="0"/>
          <w:bCs/>
        </w:rPr>
        <w:t>and (2) omitting both TORCH matching and application of TORCH trial inclusion/exclusion criteria (see Appendix 1 for details).</w:t>
      </w:r>
      <w:r>
        <w:rPr>
          <w:b w:val="0"/>
          <w:bCs/>
        </w:rPr>
        <w:t xml:space="preserve"> </w:t>
      </w:r>
    </w:p>
    <w:p w14:paraId="0A20670D" w14:textId="77777777" w:rsidR="00FA3333" w:rsidRDefault="00FA3333" w:rsidP="00FA3333">
      <w:pPr>
        <w:pStyle w:val="heading2nonumber"/>
        <w:spacing w:line="480" w:lineRule="auto"/>
      </w:pPr>
      <w:r>
        <w:t>Ethics</w:t>
      </w:r>
    </w:p>
    <w:p w14:paraId="530BE36B" w14:textId="5F0ED2E9" w:rsidR="00FA3333" w:rsidRPr="00FA3333" w:rsidRDefault="00FA3333" w:rsidP="00FA3333">
      <w:pPr>
        <w:spacing w:line="480" w:lineRule="auto"/>
        <w:rPr>
          <w:rFonts w:ascii="Calibri" w:hAnsi="Calibri" w:cs="Calibri"/>
        </w:rPr>
      </w:pPr>
      <w:r>
        <w:rPr>
          <w:rFonts w:ascii="Calibri" w:hAnsi="Calibri" w:cs="Calibri"/>
        </w:rPr>
        <w:t xml:space="preserve">Scientific approval was provided by the </w:t>
      </w:r>
      <w:r w:rsidRPr="00F97ACE">
        <w:rPr>
          <w:rFonts w:ascii="Calibri" w:hAnsi="Calibri" w:cs="Calibri"/>
        </w:rPr>
        <w:t xml:space="preserve">LSHTM Research Ethics </w:t>
      </w:r>
      <w:proofErr w:type="spellStart"/>
      <w:r w:rsidRPr="00F97ACE">
        <w:rPr>
          <w:rFonts w:ascii="Calibri" w:hAnsi="Calibri" w:cs="Calibri"/>
        </w:rPr>
        <w:t>Commitee</w:t>
      </w:r>
      <w:proofErr w:type="spellEnd"/>
      <w:r w:rsidRPr="004B4188">
        <w:rPr>
          <w:rFonts w:ascii="Calibri" w:hAnsi="Calibri" w:cs="Calibri"/>
          <w:color w:val="FF0000"/>
        </w:rPr>
        <w:t xml:space="preserve"> </w:t>
      </w:r>
      <w:r>
        <w:rPr>
          <w:rFonts w:ascii="Calibri" w:hAnsi="Calibri" w:cs="Calibri"/>
        </w:rPr>
        <w:t xml:space="preserve">(Ref 11997) and the Independent Scientific Advisory Committee of the Medicines and Healthcare Products Regulatory Agency (protocol no. 17_114R). CPRD data are already approved via a National Research Ethics Committee for purely non-interventional research of this type. Approval for use of the TORCH trial data was obtained from the </w:t>
      </w:r>
      <w:proofErr w:type="spellStart"/>
      <w:r>
        <w:rPr>
          <w:rFonts w:ascii="Calibri" w:hAnsi="Calibri" w:cs="Calibri"/>
        </w:rPr>
        <w:t>Wellcome</w:t>
      </w:r>
      <w:proofErr w:type="spellEnd"/>
      <w:r>
        <w:rPr>
          <w:rFonts w:ascii="Calibri" w:hAnsi="Calibri" w:cs="Calibri"/>
        </w:rPr>
        <w:t xml:space="preserve"> Trust, the relevant sponsor (GSK) and an independent review panel.</w:t>
      </w:r>
    </w:p>
    <w:p w14:paraId="12B39A23" w14:textId="5129D35C" w:rsidR="00B467F9" w:rsidRDefault="00B467F9" w:rsidP="008B0A52">
      <w:pPr>
        <w:pStyle w:val="Heading1NoNumber0"/>
        <w:keepNext/>
        <w:spacing w:line="480" w:lineRule="auto"/>
        <w:ind w:left="578" w:hanging="578"/>
      </w:pPr>
      <w:r>
        <w:lastRenderedPageBreak/>
        <w:t>Results</w:t>
      </w:r>
    </w:p>
    <w:p w14:paraId="6FA4FD3C" w14:textId="3D3C9F60" w:rsidR="00B467F9" w:rsidRDefault="00B467F9" w:rsidP="008B0A52">
      <w:pPr>
        <w:pStyle w:val="heading2nonumber"/>
        <w:keepNext/>
        <w:spacing w:line="480" w:lineRule="auto"/>
        <w:ind w:left="578" w:hanging="578"/>
      </w:pPr>
      <w:r>
        <w:t>Participants</w:t>
      </w:r>
    </w:p>
    <w:p w14:paraId="5B9EE4EC" w14:textId="6629474C" w:rsidR="00DF1428" w:rsidRDefault="00C968DC" w:rsidP="008B0A52">
      <w:pPr>
        <w:pStyle w:val="heading2nonumber"/>
        <w:spacing w:line="480" w:lineRule="auto"/>
        <w:rPr>
          <w:sz w:val="22"/>
          <w:szCs w:val="22"/>
        </w:rPr>
      </w:pPr>
      <w:r>
        <w:rPr>
          <w:sz w:val="22"/>
          <w:szCs w:val="22"/>
        </w:rPr>
        <w:t>FP-SAL</w:t>
      </w:r>
      <w:r w:rsidR="00DF1428" w:rsidRPr="00DF1428">
        <w:rPr>
          <w:sz w:val="22"/>
          <w:szCs w:val="22"/>
        </w:rPr>
        <w:t xml:space="preserve"> exposed vs </w:t>
      </w:r>
      <w:r>
        <w:rPr>
          <w:sz w:val="22"/>
          <w:szCs w:val="22"/>
        </w:rPr>
        <w:t>FP-SAL</w:t>
      </w:r>
      <w:r w:rsidR="00DF1428" w:rsidRPr="00DF1428">
        <w:rPr>
          <w:sz w:val="22"/>
          <w:szCs w:val="22"/>
        </w:rPr>
        <w:t xml:space="preserve"> unexposed </w:t>
      </w:r>
    </w:p>
    <w:p w14:paraId="6638618A" w14:textId="2C4A7977" w:rsidR="00A001D1" w:rsidRDefault="00236F8A" w:rsidP="008B0A52">
      <w:pPr>
        <w:pStyle w:val="Heading3-nonumber"/>
        <w:spacing w:line="480" w:lineRule="auto"/>
        <w:rPr>
          <w:b w:val="0"/>
        </w:rPr>
      </w:pPr>
      <w:r>
        <w:rPr>
          <w:b w:val="0"/>
        </w:rPr>
        <w:t>Between 1</w:t>
      </w:r>
      <w:r w:rsidRPr="00236F8A">
        <w:rPr>
          <w:b w:val="0"/>
          <w:vertAlign w:val="superscript"/>
        </w:rPr>
        <w:t>st</w:t>
      </w:r>
      <w:r>
        <w:rPr>
          <w:b w:val="0"/>
        </w:rPr>
        <w:t xml:space="preserve"> January 2004 and 1</w:t>
      </w:r>
      <w:r w:rsidRPr="00236F8A">
        <w:rPr>
          <w:b w:val="0"/>
          <w:vertAlign w:val="superscript"/>
        </w:rPr>
        <w:t>st</w:t>
      </w:r>
      <w:r>
        <w:rPr>
          <w:b w:val="0"/>
        </w:rPr>
        <w:t xml:space="preserve"> January 2017</w:t>
      </w:r>
      <w:r w:rsidR="003E7D6B">
        <w:rPr>
          <w:b w:val="0"/>
        </w:rPr>
        <w:t xml:space="preserve"> there were </w:t>
      </w:r>
      <w:r w:rsidR="003E7D6B" w:rsidRPr="003E7D6B">
        <w:rPr>
          <w:b w:val="0"/>
        </w:rPr>
        <w:t>125671</w:t>
      </w:r>
      <w:r w:rsidR="003E7D6B">
        <w:rPr>
          <w:b w:val="0"/>
        </w:rPr>
        <w:t xml:space="preserve"> people in CPRD with a diagnosis of COPD</w:t>
      </w:r>
      <w:r>
        <w:rPr>
          <w:b w:val="0"/>
        </w:rPr>
        <w:t xml:space="preserve">, </w:t>
      </w:r>
      <w:r w:rsidR="006327A0">
        <w:rPr>
          <w:b w:val="0"/>
        </w:rPr>
        <w:t>73889</w:t>
      </w:r>
      <w:r>
        <w:rPr>
          <w:b w:val="0"/>
        </w:rPr>
        <w:t xml:space="preserve"> </w:t>
      </w:r>
      <w:r w:rsidR="003E7D6B">
        <w:rPr>
          <w:b w:val="0"/>
        </w:rPr>
        <w:t>of whom were</w:t>
      </w:r>
      <w:r w:rsidR="006F5624">
        <w:rPr>
          <w:b w:val="0"/>
        </w:rPr>
        <w:t xml:space="preserve"> </w:t>
      </w:r>
      <w:r w:rsidR="003E7D6B">
        <w:rPr>
          <w:b w:val="0"/>
        </w:rPr>
        <w:t>from</w:t>
      </w:r>
      <w:r w:rsidR="006F5624">
        <w:rPr>
          <w:b w:val="0"/>
        </w:rPr>
        <w:t xml:space="preserve"> </w:t>
      </w:r>
      <w:r>
        <w:rPr>
          <w:b w:val="0"/>
        </w:rPr>
        <w:t>HES-linked CPRD practices</w:t>
      </w:r>
      <w:r w:rsidR="00A001D1">
        <w:rPr>
          <w:b w:val="0"/>
        </w:rPr>
        <w:t xml:space="preserve"> (</w:t>
      </w:r>
      <w:r w:rsidR="00A001D1" w:rsidRPr="00514CBC">
        <w:rPr>
          <w:b w:val="0"/>
        </w:rPr>
        <w:t xml:space="preserve">Figure </w:t>
      </w:r>
      <w:r w:rsidR="001B52C0">
        <w:rPr>
          <w:b w:val="0"/>
        </w:rPr>
        <w:t>1</w:t>
      </w:r>
      <w:r w:rsidR="00A001D1">
        <w:rPr>
          <w:b w:val="0"/>
        </w:rPr>
        <w:t>)</w:t>
      </w:r>
      <w:r>
        <w:rPr>
          <w:b w:val="0"/>
        </w:rPr>
        <w:t xml:space="preserve">. Application of TORCH </w:t>
      </w:r>
      <w:r w:rsidR="001F446A">
        <w:rPr>
          <w:b w:val="0"/>
        </w:rPr>
        <w:t>inclusion</w:t>
      </w:r>
      <w:r>
        <w:rPr>
          <w:b w:val="0"/>
        </w:rPr>
        <w:t xml:space="preserve"> criteria reduced this to </w:t>
      </w:r>
      <w:r w:rsidR="006327A0">
        <w:rPr>
          <w:b w:val="0"/>
        </w:rPr>
        <w:t>18715</w:t>
      </w:r>
      <w:r>
        <w:rPr>
          <w:b w:val="0"/>
        </w:rPr>
        <w:t xml:space="preserve"> people, </w:t>
      </w:r>
      <w:r w:rsidR="00C957B8">
        <w:rPr>
          <w:b w:val="0"/>
        </w:rPr>
        <w:t>contributing</w:t>
      </w:r>
      <w:r>
        <w:rPr>
          <w:b w:val="0"/>
        </w:rPr>
        <w:t xml:space="preserve"> </w:t>
      </w:r>
      <w:r w:rsidR="008C75EF">
        <w:rPr>
          <w:b w:val="0"/>
        </w:rPr>
        <w:t>35746</w:t>
      </w:r>
      <w:r>
        <w:rPr>
          <w:b w:val="0"/>
        </w:rPr>
        <w:t xml:space="preserve"> unexposed to </w:t>
      </w:r>
      <w:r w:rsidR="008C75EF">
        <w:rPr>
          <w:b w:val="0"/>
        </w:rPr>
        <w:t>FP-SAL</w:t>
      </w:r>
      <w:r>
        <w:rPr>
          <w:b w:val="0"/>
        </w:rPr>
        <w:t xml:space="preserve"> </w:t>
      </w:r>
      <w:r w:rsidR="001F446A">
        <w:rPr>
          <w:b w:val="0"/>
        </w:rPr>
        <w:t xml:space="preserve">time </w:t>
      </w:r>
      <w:r>
        <w:rPr>
          <w:b w:val="0"/>
        </w:rPr>
        <w:t xml:space="preserve">periods and </w:t>
      </w:r>
      <w:r w:rsidR="006327A0">
        <w:rPr>
          <w:b w:val="0"/>
        </w:rPr>
        <w:t>26</w:t>
      </w:r>
      <w:r w:rsidR="008C75EF">
        <w:rPr>
          <w:b w:val="0"/>
        </w:rPr>
        <w:t xml:space="preserve">390 </w:t>
      </w:r>
      <w:r>
        <w:rPr>
          <w:b w:val="0"/>
        </w:rPr>
        <w:t xml:space="preserve">exposed to </w:t>
      </w:r>
      <w:r w:rsidR="008C75EF">
        <w:rPr>
          <w:b w:val="0"/>
        </w:rPr>
        <w:t>FP-SAL</w:t>
      </w:r>
      <w:r>
        <w:rPr>
          <w:b w:val="0"/>
        </w:rPr>
        <w:t xml:space="preserve"> </w:t>
      </w:r>
      <w:r w:rsidR="001F446A">
        <w:rPr>
          <w:b w:val="0"/>
        </w:rPr>
        <w:t>time</w:t>
      </w:r>
      <w:r>
        <w:rPr>
          <w:b w:val="0"/>
        </w:rPr>
        <w:t xml:space="preserve"> perio</w:t>
      </w:r>
      <w:r w:rsidR="00CD3B65">
        <w:rPr>
          <w:b w:val="0"/>
        </w:rPr>
        <w:t>ds</w:t>
      </w:r>
      <w:r>
        <w:rPr>
          <w:b w:val="0"/>
        </w:rPr>
        <w:t>.</w:t>
      </w:r>
      <w:r w:rsidR="00B448B7">
        <w:rPr>
          <w:b w:val="0"/>
        </w:rPr>
        <w:t xml:space="preserve"> After applying TORCH exclusion criteria, dropping records with missing covariate data and matching the unexposed patients to TORCH participants, there were </w:t>
      </w:r>
      <w:r w:rsidR="00203125">
        <w:rPr>
          <w:b w:val="0"/>
        </w:rPr>
        <w:t>4196</w:t>
      </w:r>
      <w:r w:rsidR="00B448B7">
        <w:rPr>
          <w:b w:val="0"/>
        </w:rPr>
        <w:t xml:space="preserve"> unexposed patients </w:t>
      </w:r>
      <w:r w:rsidR="00FD615C">
        <w:rPr>
          <w:b w:val="0"/>
        </w:rPr>
        <w:t>available for</w:t>
      </w:r>
      <w:r w:rsidR="00B448B7">
        <w:rPr>
          <w:b w:val="0"/>
        </w:rPr>
        <w:t xml:space="preserve"> propensity</w:t>
      </w:r>
      <w:r w:rsidR="00C410DB">
        <w:rPr>
          <w:b w:val="0"/>
        </w:rPr>
        <w:t>-</w:t>
      </w:r>
      <w:r w:rsidR="00B448B7">
        <w:rPr>
          <w:b w:val="0"/>
        </w:rPr>
        <w:t>score match</w:t>
      </w:r>
      <w:r w:rsidR="00535B09">
        <w:rPr>
          <w:b w:val="0"/>
        </w:rPr>
        <w:t>ing</w:t>
      </w:r>
      <w:r w:rsidR="00B448B7">
        <w:rPr>
          <w:b w:val="0"/>
        </w:rPr>
        <w:t xml:space="preserve"> to </w:t>
      </w:r>
      <w:r w:rsidR="00203125">
        <w:rPr>
          <w:b w:val="0"/>
        </w:rPr>
        <w:t>10463</w:t>
      </w:r>
      <w:r w:rsidR="00FD5CCD">
        <w:rPr>
          <w:b w:val="0"/>
        </w:rPr>
        <w:t xml:space="preserve"> </w:t>
      </w:r>
      <w:r w:rsidR="008C75EF">
        <w:rPr>
          <w:b w:val="0"/>
        </w:rPr>
        <w:t>FP-SAL</w:t>
      </w:r>
      <w:r w:rsidR="00B448B7">
        <w:rPr>
          <w:b w:val="0"/>
        </w:rPr>
        <w:t xml:space="preserve">-exposed </w:t>
      </w:r>
      <w:r w:rsidR="00FD615C">
        <w:rPr>
          <w:b w:val="0"/>
        </w:rPr>
        <w:t xml:space="preserve">time </w:t>
      </w:r>
      <w:r w:rsidR="00B448B7">
        <w:rPr>
          <w:b w:val="0"/>
        </w:rPr>
        <w:t>periods. The final propensity</w:t>
      </w:r>
      <w:r w:rsidR="00C410DB">
        <w:rPr>
          <w:b w:val="0"/>
        </w:rPr>
        <w:t>-</w:t>
      </w:r>
      <w:r w:rsidR="00B448B7">
        <w:rPr>
          <w:b w:val="0"/>
        </w:rPr>
        <w:t>score matched cohort</w:t>
      </w:r>
      <w:r w:rsidR="00203125">
        <w:rPr>
          <w:b w:val="0"/>
        </w:rPr>
        <w:t>s</w:t>
      </w:r>
      <w:r w:rsidR="00B448B7">
        <w:rPr>
          <w:b w:val="0"/>
        </w:rPr>
        <w:t xml:space="preserve"> included 2</w:t>
      </w:r>
      <w:r w:rsidR="00C8788E">
        <w:rPr>
          <w:b w:val="0"/>
        </w:rPr>
        <w:t xml:space="preserve">652 </w:t>
      </w:r>
      <w:r w:rsidR="00B448B7">
        <w:rPr>
          <w:b w:val="0"/>
        </w:rPr>
        <w:t>patients in each expos</w:t>
      </w:r>
      <w:r w:rsidR="002279B0">
        <w:rPr>
          <w:b w:val="0"/>
        </w:rPr>
        <w:t>ure</w:t>
      </w:r>
      <w:r w:rsidR="00B448B7">
        <w:rPr>
          <w:b w:val="0"/>
        </w:rPr>
        <w:t xml:space="preserve"> group</w:t>
      </w:r>
      <w:r w:rsidR="00C8788E">
        <w:rPr>
          <w:b w:val="0"/>
        </w:rPr>
        <w:t xml:space="preserve"> for the </w:t>
      </w:r>
      <w:proofErr w:type="gramStart"/>
      <w:r w:rsidR="00C8788E">
        <w:rPr>
          <w:b w:val="0"/>
        </w:rPr>
        <w:t>exacerbations</w:t>
      </w:r>
      <w:proofErr w:type="gramEnd"/>
      <w:r w:rsidR="00C8788E">
        <w:rPr>
          <w:b w:val="0"/>
        </w:rPr>
        <w:t xml:space="preserve"> analysis, 2708 for mortality and 2779 for pneumonia.</w:t>
      </w:r>
      <w:r w:rsidR="00B448B7">
        <w:rPr>
          <w:b w:val="0"/>
        </w:rPr>
        <w:t xml:space="preserve"> </w:t>
      </w:r>
      <w:r>
        <w:rPr>
          <w:b w:val="0"/>
        </w:rPr>
        <w:t xml:space="preserve"> </w:t>
      </w:r>
      <w:r w:rsidR="001F446A">
        <w:rPr>
          <w:b w:val="0"/>
        </w:rPr>
        <w:t xml:space="preserve"> </w:t>
      </w:r>
    </w:p>
    <w:p w14:paraId="687A0705" w14:textId="2EB35232" w:rsidR="007415A5" w:rsidRDefault="007415A5" w:rsidP="007415A5">
      <w:pPr>
        <w:pStyle w:val="Heading3-nonumber"/>
        <w:ind w:right="117"/>
        <w:jc w:val="center"/>
      </w:pPr>
      <w:r>
        <w:t>[</w:t>
      </w:r>
      <w:r w:rsidRPr="00004F1B">
        <w:t xml:space="preserve">Figure </w:t>
      </w:r>
      <w:r>
        <w:t>1</w:t>
      </w:r>
      <w:r w:rsidRPr="00004F1B">
        <w:t xml:space="preserve"> Flow of number of individuals included in the exposed to FP-SAL vs unexposed to FP-SAL cohort analysis</w:t>
      </w:r>
      <w:r>
        <w:t>]</w:t>
      </w:r>
    </w:p>
    <w:p w14:paraId="2C6C288E" w14:textId="77777777" w:rsidR="007415A5" w:rsidRPr="00DC06C7" w:rsidRDefault="007415A5" w:rsidP="007415A5">
      <w:pPr>
        <w:pStyle w:val="Heading3-nonumber"/>
        <w:ind w:left="-709" w:right="-1039"/>
        <w:jc w:val="center"/>
      </w:pPr>
    </w:p>
    <w:p w14:paraId="089059AA" w14:textId="3022AFD2" w:rsidR="0048273F" w:rsidRPr="009D7471" w:rsidRDefault="005451D4" w:rsidP="00614D0A">
      <w:pPr>
        <w:spacing w:after="200" w:line="276" w:lineRule="auto"/>
        <w:rPr>
          <w:bCs/>
          <w:sz w:val="18"/>
          <w:szCs w:val="18"/>
        </w:rPr>
      </w:pPr>
      <w:r w:rsidRPr="009D7471">
        <w:rPr>
          <w:bCs/>
          <w:sz w:val="18"/>
          <w:szCs w:val="18"/>
        </w:rPr>
        <w:t>Note:</w:t>
      </w:r>
      <w:r>
        <w:rPr>
          <w:bCs/>
          <w:sz w:val="18"/>
          <w:szCs w:val="18"/>
        </w:rPr>
        <w:t xml:space="preserve"> Current/previous use of COPD drugs relates to any of the drugs studied in TORCH, long-acting </w:t>
      </w:r>
      <w:proofErr w:type="spellStart"/>
      <w:r>
        <w:rPr>
          <w:bCs/>
          <w:sz w:val="18"/>
          <w:szCs w:val="18"/>
        </w:rPr>
        <w:t>brnonchodilators</w:t>
      </w:r>
      <w:proofErr w:type="spellEnd"/>
      <w:r>
        <w:rPr>
          <w:bCs/>
          <w:sz w:val="18"/>
          <w:szCs w:val="18"/>
        </w:rPr>
        <w:t xml:space="preserve"> and oral corticosteroids; see supplementary material Table A1-1 for specific details </w:t>
      </w:r>
    </w:p>
    <w:p w14:paraId="1C8CB63B" w14:textId="754E2598" w:rsidR="00DF1428" w:rsidRDefault="00C968DC" w:rsidP="004F6087">
      <w:pPr>
        <w:pStyle w:val="heading2nonumber"/>
        <w:keepNext/>
        <w:spacing w:line="480" w:lineRule="auto"/>
        <w:ind w:left="578" w:hanging="578"/>
        <w:rPr>
          <w:sz w:val="22"/>
          <w:szCs w:val="22"/>
        </w:rPr>
      </w:pPr>
      <w:r>
        <w:rPr>
          <w:sz w:val="22"/>
          <w:szCs w:val="22"/>
        </w:rPr>
        <w:t>FP-SAL</w:t>
      </w:r>
      <w:r w:rsidR="00DF1428" w:rsidRPr="00DF1428">
        <w:rPr>
          <w:sz w:val="22"/>
          <w:szCs w:val="22"/>
        </w:rPr>
        <w:t xml:space="preserve"> exposed vs SAL exposed </w:t>
      </w:r>
    </w:p>
    <w:p w14:paraId="512D7B8C" w14:textId="0B2B82C2" w:rsidR="00DC06C7" w:rsidRDefault="003E7D6B" w:rsidP="006F68B7">
      <w:pPr>
        <w:pStyle w:val="Heading3-nonumber"/>
        <w:spacing w:line="480" w:lineRule="auto"/>
        <w:rPr>
          <w:b w:val="0"/>
        </w:rPr>
      </w:pPr>
      <w:r>
        <w:rPr>
          <w:b w:val="0"/>
        </w:rPr>
        <w:t xml:space="preserve">For the FP-SAL vs SAL analysis, there were </w:t>
      </w:r>
      <w:r w:rsidRPr="003E7D6B">
        <w:rPr>
          <w:b w:val="0"/>
        </w:rPr>
        <w:t>154785</w:t>
      </w:r>
      <w:r>
        <w:rPr>
          <w:b w:val="0"/>
        </w:rPr>
        <w:t xml:space="preserve"> </w:t>
      </w:r>
      <w:r w:rsidR="00AE3AEF">
        <w:rPr>
          <w:b w:val="0"/>
        </w:rPr>
        <w:t>people with a diagnosis for COPD</w:t>
      </w:r>
      <w:r>
        <w:rPr>
          <w:b w:val="0"/>
        </w:rPr>
        <w:t xml:space="preserve"> in </w:t>
      </w:r>
      <w:proofErr w:type="gramStart"/>
      <w:r>
        <w:rPr>
          <w:b w:val="0"/>
        </w:rPr>
        <w:t xml:space="preserve">CPRD </w:t>
      </w:r>
      <w:r w:rsidR="00AE3AEF">
        <w:rPr>
          <w:b w:val="0"/>
        </w:rPr>
        <w:t xml:space="preserve"> between</w:t>
      </w:r>
      <w:proofErr w:type="gramEnd"/>
      <w:r w:rsidR="00AE3AEF">
        <w:rPr>
          <w:b w:val="0"/>
        </w:rPr>
        <w:t xml:space="preserve"> 1</w:t>
      </w:r>
      <w:r w:rsidR="00AE3AEF" w:rsidRPr="00AE3AEF">
        <w:rPr>
          <w:b w:val="0"/>
          <w:vertAlign w:val="superscript"/>
        </w:rPr>
        <w:t>st</w:t>
      </w:r>
      <w:r w:rsidR="00AE3AEF">
        <w:rPr>
          <w:b w:val="0"/>
        </w:rPr>
        <w:t xml:space="preserve"> January 2000 and 1</w:t>
      </w:r>
      <w:r w:rsidR="00AE3AEF" w:rsidRPr="00AE3AEF">
        <w:rPr>
          <w:b w:val="0"/>
          <w:vertAlign w:val="superscript"/>
        </w:rPr>
        <w:t>st</w:t>
      </w:r>
      <w:r w:rsidR="00AE3AEF">
        <w:rPr>
          <w:b w:val="0"/>
        </w:rPr>
        <w:t xml:space="preserve"> January 2017</w:t>
      </w:r>
      <w:r>
        <w:rPr>
          <w:b w:val="0"/>
        </w:rPr>
        <w:t xml:space="preserve">, 91733 of whom were from HES-linked CPRD practices </w:t>
      </w:r>
      <w:r w:rsidR="00AE3AEF">
        <w:rPr>
          <w:b w:val="0"/>
        </w:rPr>
        <w:t>(</w:t>
      </w:r>
      <w:r w:rsidR="00614D0A">
        <w:rPr>
          <w:b w:val="0"/>
        </w:rPr>
        <w:t>Figure 2</w:t>
      </w:r>
      <w:r w:rsidR="00AE3AEF">
        <w:rPr>
          <w:b w:val="0"/>
        </w:rPr>
        <w:t>)</w:t>
      </w:r>
      <w:r>
        <w:rPr>
          <w:b w:val="0"/>
        </w:rPr>
        <w:t xml:space="preserve">. </w:t>
      </w:r>
      <w:r w:rsidR="00C8788E">
        <w:rPr>
          <w:b w:val="0"/>
        </w:rPr>
        <w:t>1</w:t>
      </w:r>
      <w:r w:rsidR="00AE3AEF">
        <w:rPr>
          <w:b w:val="0"/>
        </w:rPr>
        <w:t>146 SAL exposed patients</w:t>
      </w:r>
      <w:r>
        <w:rPr>
          <w:b w:val="0"/>
        </w:rPr>
        <w:t xml:space="preserve"> were</w:t>
      </w:r>
      <w:r w:rsidR="00AE3AEF">
        <w:rPr>
          <w:b w:val="0"/>
        </w:rPr>
        <w:t xml:space="preserve"> </w:t>
      </w:r>
      <w:r w:rsidR="00FD615C">
        <w:rPr>
          <w:b w:val="0"/>
        </w:rPr>
        <w:t>available for</w:t>
      </w:r>
      <w:r w:rsidR="00AE3AEF">
        <w:rPr>
          <w:b w:val="0"/>
        </w:rPr>
        <w:t xml:space="preserve"> propensity-score match</w:t>
      </w:r>
      <w:r w:rsidR="00535B09">
        <w:rPr>
          <w:b w:val="0"/>
        </w:rPr>
        <w:t>ing</w:t>
      </w:r>
      <w:r w:rsidR="00AE3AEF">
        <w:rPr>
          <w:b w:val="0"/>
        </w:rPr>
        <w:t xml:space="preserve"> to 11235 </w:t>
      </w:r>
      <w:r w:rsidR="008C75EF">
        <w:rPr>
          <w:b w:val="0"/>
        </w:rPr>
        <w:t>FP-SAL</w:t>
      </w:r>
      <w:r w:rsidR="00AE3AEF">
        <w:rPr>
          <w:b w:val="0"/>
        </w:rPr>
        <w:t>-exposed periods. The final propensity-score matched cohort</w:t>
      </w:r>
      <w:r w:rsidR="00C8788E">
        <w:rPr>
          <w:b w:val="0"/>
        </w:rPr>
        <w:t>s</w:t>
      </w:r>
      <w:r w:rsidR="00AE3AEF">
        <w:rPr>
          <w:b w:val="0"/>
        </w:rPr>
        <w:t xml:space="preserve"> included 9</w:t>
      </w:r>
      <w:r w:rsidR="00C8788E">
        <w:rPr>
          <w:b w:val="0"/>
        </w:rPr>
        <w:t xml:space="preserve">91 (exacerbations), 432 (mortality), 935 (pneumonia) and 996 (treatment discontinuation) </w:t>
      </w:r>
      <w:r w:rsidR="00AE3AEF">
        <w:rPr>
          <w:b w:val="0"/>
        </w:rPr>
        <w:t xml:space="preserve">patients </w:t>
      </w:r>
      <w:r w:rsidR="00506487">
        <w:rPr>
          <w:b w:val="0"/>
        </w:rPr>
        <w:t>per</w:t>
      </w:r>
      <w:r w:rsidR="00AE3AEF">
        <w:rPr>
          <w:b w:val="0"/>
        </w:rPr>
        <w:t xml:space="preserve"> exposure group.</w:t>
      </w:r>
    </w:p>
    <w:p w14:paraId="15B0B1A3" w14:textId="4BA90861" w:rsidR="000C65E9" w:rsidRDefault="000C65E9" w:rsidP="000C65E9">
      <w:pPr>
        <w:pStyle w:val="Heading3-nonumber"/>
        <w:ind w:right="117"/>
        <w:jc w:val="center"/>
      </w:pPr>
      <w:r>
        <w:t>[</w:t>
      </w:r>
      <w:r w:rsidRPr="00004F1B">
        <w:t xml:space="preserve">Figure </w:t>
      </w:r>
      <w:r>
        <w:t>2</w:t>
      </w:r>
      <w:r w:rsidRPr="00004F1B">
        <w:t xml:space="preserve"> Flow of number of individuals included in the exposed to FP-SAL vs exposed to SAL cohort analysis</w:t>
      </w:r>
      <w:r>
        <w:t>]</w:t>
      </w:r>
    </w:p>
    <w:p w14:paraId="218F68B5" w14:textId="06943BD9" w:rsidR="000C65E9" w:rsidRDefault="000C65E9" w:rsidP="006F68B7">
      <w:pPr>
        <w:pStyle w:val="Heading3-nonumber"/>
        <w:spacing w:line="480" w:lineRule="auto"/>
        <w:rPr>
          <w:b w:val="0"/>
        </w:rPr>
      </w:pPr>
    </w:p>
    <w:p w14:paraId="5237174E" w14:textId="77777777" w:rsidR="005451D4" w:rsidRPr="006A5A34" w:rsidRDefault="005451D4" w:rsidP="005451D4">
      <w:pPr>
        <w:spacing w:after="200" w:line="276" w:lineRule="auto"/>
        <w:rPr>
          <w:bCs/>
          <w:sz w:val="18"/>
          <w:szCs w:val="18"/>
        </w:rPr>
      </w:pPr>
      <w:r w:rsidRPr="006A5A34">
        <w:rPr>
          <w:bCs/>
          <w:sz w:val="18"/>
          <w:szCs w:val="18"/>
        </w:rPr>
        <w:t>Note:</w:t>
      </w:r>
      <w:r>
        <w:rPr>
          <w:bCs/>
          <w:sz w:val="18"/>
          <w:szCs w:val="18"/>
        </w:rPr>
        <w:t xml:space="preserve"> Current/previous use of COPD drugs relates to any of the drugs studied in TORCH, long-acting </w:t>
      </w:r>
      <w:proofErr w:type="spellStart"/>
      <w:r>
        <w:rPr>
          <w:bCs/>
          <w:sz w:val="18"/>
          <w:szCs w:val="18"/>
        </w:rPr>
        <w:t>brnonchodilators</w:t>
      </w:r>
      <w:proofErr w:type="spellEnd"/>
      <w:r>
        <w:rPr>
          <w:bCs/>
          <w:sz w:val="18"/>
          <w:szCs w:val="18"/>
        </w:rPr>
        <w:t xml:space="preserve"> and oral corticosteroids; see supplementary material Table A1-1 for specific details </w:t>
      </w:r>
    </w:p>
    <w:p w14:paraId="7FC8B790" w14:textId="77777777" w:rsidR="005451D4" w:rsidRPr="006F68B7" w:rsidRDefault="005451D4" w:rsidP="006F68B7">
      <w:pPr>
        <w:pStyle w:val="Heading3-nonumber"/>
        <w:spacing w:line="480" w:lineRule="auto"/>
        <w:rPr>
          <w:b w:val="0"/>
        </w:rPr>
      </w:pPr>
    </w:p>
    <w:p w14:paraId="6ED1FE86" w14:textId="3995A5AA" w:rsidR="00DE43C9" w:rsidRDefault="00DE43C9" w:rsidP="008B0A52">
      <w:pPr>
        <w:pStyle w:val="heading2nonumber"/>
        <w:spacing w:line="480" w:lineRule="auto"/>
      </w:pPr>
      <w:r>
        <w:t>Applicat</w:t>
      </w:r>
      <w:r w:rsidR="003059FB">
        <w:t>i</w:t>
      </w:r>
      <w:r>
        <w:t>on of TORCH inclusion/exclusion criteria and matching to TORCH</w:t>
      </w:r>
    </w:p>
    <w:p w14:paraId="2430B38A" w14:textId="725DE6BF" w:rsidR="00DE43C9" w:rsidRPr="00573285" w:rsidRDefault="00C957B8" w:rsidP="008B0A52">
      <w:pPr>
        <w:pStyle w:val="Heading3-nonumber"/>
        <w:spacing w:line="480" w:lineRule="auto"/>
        <w:rPr>
          <w:b w:val="0"/>
        </w:rPr>
      </w:pPr>
      <w:r>
        <w:rPr>
          <w:b w:val="0"/>
        </w:rPr>
        <w:t>A</w:t>
      </w:r>
      <w:r w:rsidR="00DE43C9">
        <w:rPr>
          <w:b w:val="0"/>
        </w:rPr>
        <w:t>pplying the TORCH inclusion/exclusion criteria and matching to TORCH resulted in cohorts that were much more similar to those recruited to the TORCH trial (e.g. FEV</w:t>
      </w:r>
      <w:r w:rsidR="00DE43C9" w:rsidRPr="00DE43C9">
        <w:rPr>
          <w:b w:val="0"/>
          <w:vertAlign w:val="subscript"/>
        </w:rPr>
        <w:t>1</w:t>
      </w:r>
      <w:r w:rsidR="00DE43C9">
        <w:rPr>
          <w:b w:val="0"/>
        </w:rPr>
        <w:t xml:space="preserve"> % of predicted</w:t>
      </w:r>
      <w:r w:rsidR="003D3752">
        <w:rPr>
          <w:b w:val="0"/>
        </w:rPr>
        <w:t xml:space="preserve"> for the FP-SAL vs unexposed to FP-SAL analysis</w:t>
      </w:r>
      <w:r w:rsidR="00DE43C9">
        <w:rPr>
          <w:b w:val="0"/>
        </w:rPr>
        <w:t xml:space="preserve"> </w:t>
      </w:r>
      <w:r w:rsidR="003D3752">
        <w:rPr>
          <w:b w:val="0"/>
        </w:rPr>
        <w:t>was 66.3 in CPRD before applying any criteria or matching, compared to 47.</w:t>
      </w:r>
      <w:r w:rsidR="00E8461B">
        <w:rPr>
          <w:b w:val="0"/>
        </w:rPr>
        <w:t>2</w:t>
      </w:r>
      <w:r w:rsidR="003D3752">
        <w:rPr>
          <w:b w:val="0"/>
        </w:rPr>
        <w:t xml:space="preserve"> after these steps, compared to a TORCH placebo group value of 44.2 – Appendix Table A2-1). </w:t>
      </w:r>
      <w:r w:rsidR="00DE43C9">
        <w:rPr>
          <w:b w:val="0"/>
        </w:rPr>
        <w:t xml:space="preserve"> </w:t>
      </w:r>
      <w:r w:rsidR="003D3752">
        <w:rPr>
          <w:b w:val="0"/>
        </w:rPr>
        <w:t>T</w:t>
      </w:r>
      <w:r w:rsidR="00DE43C9">
        <w:rPr>
          <w:b w:val="0"/>
        </w:rPr>
        <w:t>he large</w:t>
      </w:r>
      <w:r w:rsidR="007F6DDF">
        <w:rPr>
          <w:b w:val="0"/>
        </w:rPr>
        <w:t>s</w:t>
      </w:r>
      <w:r w:rsidR="00DE43C9">
        <w:rPr>
          <w:b w:val="0"/>
        </w:rPr>
        <w:t xml:space="preserve">t residual </w:t>
      </w:r>
      <w:r w:rsidR="00524EBC">
        <w:rPr>
          <w:b w:val="0"/>
        </w:rPr>
        <w:t>difference to the TORCH placebo group</w:t>
      </w:r>
      <w:r w:rsidR="00DE43C9">
        <w:rPr>
          <w:b w:val="0"/>
        </w:rPr>
        <w:t xml:space="preserve"> </w:t>
      </w:r>
      <w:r w:rsidR="003D3752">
        <w:rPr>
          <w:b w:val="0"/>
        </w:rPr>
        <w:t>was</w:t>
      </w:r>
      <w:r w:rsidR="00DE43C9">
        <w:rPr>
          <w:b w:val="0"/>
        </w:rPr>
        <w:t xml:space="preserve"> </w:t>
      </w:r>
      <w:r w:rsidR="003D3752">
        <w:rPr>
          <w:b w:val="0"/>
        </w:rPr>
        <w:t>for prior</w:t>
      </w:r>
      <w:r w:rsidR="00DE43C9">
        <w:rPr>
          <w:b w:val="0"/>
        </w:rPr>
        <w:t xml:space="preserve"> cardiovascular disease</w:t>
      </w:r>
      <w:r w:rsidR="003D3752">
        <w:rPr>
          <w:b w:val="0"/>
        </w:rPr>
        <w:t xml:space="preserve"> for both comparisons</w:t>
      </w:r>
      <w:r w:rsidR="00DE43C9">
        <w:rPr>
          <w:b w:val="0"/>
        </w:rPr>
        <w:t xml:space="preserve"> (Appendix tables A2-1 and A2-2).</w:t>
      </w:r>
    </w:p>
    <w:p w14:paraId="4F02AF86" w14:textId="75CA5955" w:rsidR="00A17D19" w:rsidRDefault="00CC20E9" w:rsidP="008B0A52">
      <w:pPr>
        <w:pStyle w:val="heading2nonumber"/>
        <w:spacing w:line="480" w:lineRule="auto"/>
      </w:pPr>
      <w:r>
        <w:t>Propensity score matching</w:t>
      </w:r>
      <w:r w:rsidR="00C1034B">
        <w:t xml:space="preserve"> of CPRD cohorts</w:t>
      </w:r>
    </w:p>
    <w:p w14:paraId="14E70E68" w14:textId="7ECF7F0B" w:rsidR="00A17D19" w:rsidRPr="00A17D19" w:rsidRDefault="0012756B" w:rsidP="008B0A52">
      <w:pPr>
        <w:pStyle w:val="Heading3-nonumber"/>
        <w:spacing w:line="480" w:lineRule="auto"/>
        <w:rPr>
          <w:b w:val="0"/>
        </w:rPr>
      </w:pPr>
      <w:r>
        <w:rPr>
          <w:b w:val="0"/>
        </w:rPr>
        <w:t xml:space="preserve">Details of </w:t>
      </w:r>
      <w:r w:rsidR="00AA5803">
        <w:rPr>
          <w:b w:val="0"/>
        </w:rPr>
        <w:t>t</w:t>
      </w:r>
      <w:r>
        <w:rPr>
          <w:b w:val="0"/>
        </w:rPr>
        <w:t xml:space="preserve">he variables included in the final propensity score models are provided in </w:t>
      </w:r>
      <w:r w:rsidRPr="001611E5">
        <w:rPr>
          <w:b w:val="0"/>
        </w:rPr>
        <w:t>Appendix 2 Table A2</w:t>
      </w:r>
      <w:r w:rsidR="001611E5" w:rsidRPr="001611E5">
        <w:rPr>
          <w:b w:val="0"/>
        </w:rPr>
        <w:t>-3</w:t>
      </w:r>
      <w:r>
        <w:rPr>
          <w:b w:val="0"/>
        </w:rPr>
        <w:t>.</w:t>
      </w:r>
    </w:p>
    <w:p w14:paraId="6C64D663" w14:textId="0ED0EBF4" w:rsidR="00607309" w:rsidRPr="00607309" w:rsidRDefault="00C968DC" w:rsidP="008B0A52">
      <w:pPr>
        <w:pStyle w:val="heading2nonumber"/>
        <w:spacing w:line="480" w:lineRule="auto"/>
        <w:rPr>
          <w:sz w:val="22"/>
          <w:szCs w:val="22"/>
        </w:rPr>
      </w:pPr>
      <w:r>
        <w:rPr>
          <w:sz w:val="22"/>
          <w:szCs w:val="22"/>
        </w:rPr>
        <w:t>FP-SAL</w:t>
      </w:r>
      <w:r w:rsidR="00607309" w:rsidRPr="00DF1428">
        <w:rPr>
          <w:sz w:val="22"/>
          <w:szCs w:val="22"/>
        </w:rPr>
        <w:t xml:space="preserve"> exposed vs </w:t>
      </w:r>
      <w:r>
        <w:rPr>
          <w:sz w:val="22"/>
          <w:szCs w:val="22"/>
        </w:rPr>
        <w:t>FP-SAL</w:t>
      </w:r>
      <w:r w:rsidR="00607309" w:rsidRPr="00DF1428">
        <w:rPr>
          <w:sz w:val="22"/>
          <w:szCs w:val="22"/>
        </w:rPr>
        <w:t xml:space="preserve"> unexposed</w:t>
      </w:r>
    </w:p>
    <w:p w14:paraId="7F33C878" w14:textId="425C1335" w:rsidR="00F425A0" w:rsidRDefault="00607309" w:rsidP="008B0A52">
      <w:pPr>
        <w:pStyle w:val="Heading3-nonumber"/>
        <w:spacing w:line="480" w:lineRule="auto"/>
        <w:rPr>
          <w:b w:val="0"/>
        </w:rPr>
      </w:pPr>
      <w:r>
        <w:rPr>
          <w:b w:val="0"/>
        </w:rPr>
        <w:t>Prior to propensity score matching, differences by exposure status</w:t>
      </w:r>
      <w:r w:rsidR="005073B1">
        <w:rPr>
          <w:b w:val="0"/>
        </w:rPr>
        <w:t xml:space="preserve"> </w:t>
      </w:r>
      <w:r>
        <w:rPr>
          <w:b w:val="0"/>
        </w:rPr>
        <w:t>were noted for sex, FEV</w:t>
      </w:r>
      <w:r w:rsidRPr="00607309">
        <w:rPr>
          <w:b w:val="0"/>
          <w:vertAlign w:val="subscript"/>
        </w:rPr>
        <w:t>1</w:t>
      </w:r>
      <w:r>
        <w:rPr>
          <w:b w:val="0"/>
        </w:rPr>
        <w:t>,</w:t>
      </w:r>
      <w:r w:rsidR="00E1581C">
        <w:rPr>
          <w:b w:val="0"/>
        </w:rPr>
        <w:t xml:space="preserve"> BMI, </w:t>
      </w:r>
      <w:r w:rsidR="00FB4F0B">
        <w:rPr>
          <w:b w:val="0"/>
        </w:rPr>
        <w:t>prior exacerbations,</w:t>
      </w:r>
      <w:r>
        <w:rPr>
          <w:b w:val="0"/>
        </w:rPr>
        <w:t xml:space="preserve"> coronary heart disease,</w:t>
      </w:r>
      <w:r w:rsidR="00FB4F0B">
        <w:rPr>
          <w:b w:val="0"/>
        </w:rPr>
        <w:t xml:space="preserve"> peripheral vascular disease, cerebrovascular disease, prescriptions for aspirin,</w:t>
      </w:r>
      <w:r w:rsidR="00C831A2">
        <w:rPr>
          <w:b w:val="0"/>
        </w:rPr>
        <w:t xml:space="preserve"> COPD medications</w:t>
      </w:r>
      <w:r w:rsidR="00FB4F0B">
        <w:rPr>
          <w:b w:val="0"/>
        </w:rPr>
        <w:t xml:space="preserve">, </w:t>
      </w:r>
      <w:r w:rsidR="005073B1">
        <w:rPr>
          <w:b w:val="0"/>
        </w:rPr>
        <w:t>number of GP consultations</w:t>
      </w:r>
      <w:r w:rsidR="00FB4F0B">
        <w:rPr>
          <w:b w:val="0"/>
        </w:rPr>
        <w:t xml:space="preserve"> and number of distinct medications (Table 1)</w:t>
      </w:r>
      <w:r w:rsidR="005073B1">
        <w:rPr>
          <w:b w:val="0"/>
        </w:rPr>
        <w:t>. After propensity score matching, only the difference with respect to coronary heart disease</w:t>
      </w:r>
      <w:r w:rsidR="00C831A2">
        <w:rPr>
          <w:b w:val="0"/>
        </w:rPr>
        <w:t>, peripheral vascular disease</w:t>
      </w:r>
      <w:r w:rsidR="00BD6987">
        <w:rPr>
          <w:b w:val="0"/>
        </w:rPr>
        <w:t xml:space="preserve"> and LABA </w:t>
      </w:r>
      <w:r w:rsidR="005073B1">
        <w:rPr>
          <w:b w:val="0"/>
        </w:rPr>
        <w:t>persisted (</w:t>
      </w:r>
      <w:r w:rsidR="005073B1" w:rsidRPr="00FB4F0B">
        <w:rPr>
          <w:b w:val="0"/>
        </w:rPr>
        <w:t xml:space="preserve">Table </w:t>
      </w:r>
      <w:r w:rsidR="001611E5" w:rsidRPr="00FB4F0B">
        <w:rPr>
          <w:b w:val="0"/>
        </w:rPr>
        <w:t>1</w:t>
      </w:r>
      <w:r w:rsidR="005073B1">
        <w:rPr>
          <w:b w:val="0"/>
        </w:rPr>
        <w:t>)</w:t>
      </w:r>
      <w:r w:rsidR="00C957B8">
        <w:rPr>
          <w:b w:val="0"/>
        </w:rPr>
        <w:t>.</w:t>
      </w:r>
      <w:r w:rsidR="005073B1">
        <w:rPr>
          <w:b w:val="0"/>
        </w:rPr>
        <w:t xml:space="preserve"> </w:t>
      </w:r>
      <w:r w:rsidR="008F62CF">
        <w:rPr>
          <w:b w:val="0"/>
        </w:rPr>
        <w:t>Plots of propensity score distributions indicated close</w:t>
      </w:r>
      <w:r w:rsidR="00590A31">
        <w:rPr>
          <w:b w:val="0"/>
        </w:rPr>
        <w:t xml:space="preserve"> propensity score</w:t>
      </w:r>
      <w:r w:rsidR="008F62CF">
        <w:rPr>
          <w:b w:val="0"/>
        </w:rPr>
        <w:t xml:space="preserve"> matching for</w:t>
      </w:r>
      <w:r w:rsidR="00C957B8">
        <w:rPr>
          <w:b w:val="0"/>
        </w:rPr>
        <w:t xml:space="preserve"> exacerbations and all</w:t>
      </w:r>
      <w:r w:rsidR="008F62CF">
        <w:rPr>
          <w:b w:val="0"/>
        </w:rPr>
        <w:t xml:space="preserve"> other outcomes under study (</w:t>
      </w:r>
      <w:r w:rsidR="00B02C16" w:rsidRPr="00FB4F0B">
        <w:rPr>
          <w:b w:val="0"/>
        </w:rPr>
        <w:t>Appendix Figure A2</w:t>
      </w:r>
      <w:r w:rsidR="001611E5" w:rsidRPr="00FB4F0B">
        <w:rPr>
          <w:b w:val="0"/>
        </w:rPr>
        <w:t>-1</w:t>
      </w:r>
      <w:r w:rsidR="008F62CF">
        <w:rPr>
          <w:b w:val="0"/>
        </w:rPr>
        <w:t>)</w:t>
      </w:r>
      <w:r w:rsidR="00B02C16">
        <w:rPr>
          <w:b w:val="0"/>
        </w:rPr>
        <w:t>.</w:t>
      </w:r>
    </w:p>
    <w:p w14:paraId="0B84672E" w14:textId="77777777" w:rsidR="00F425A0" w:rsidRDefault="00F425A0">
      <w:pPr>
        <w:spacing w:after="200" w:line="276" w:lineRule="auto"/>
      </w:pPr>
      <w:r>
        <w:rPr>
          <w:b/>
        </w:rPr>
        <w:br w:type="page"/>
      </w:r>
    </w:p>
    <w:p w14:paraId="24634E4E" w14:textId="77777777" w:rsidR="00F425A0" w:rsidRDefault="00F425A0">
      <w:pPr>
        <w:spacing w:after="200" w:line="276" w:lineRule="auto"/>
        <w:rPr>
          <w:b/>
        </w:rPr>
        <w:sectPr w:rsidR="00F425A0" w:rsidSect="008B1361">
          <w:footerReference w:type="even" r:id="rId12"/>
          <w:footerReference w:type="default" r:id="rId13"/>
          <w:pgSz w:w="11906" w:h="16838"/>
          <w:pgMar w:top="1061" w:right="1440" w:bottom="153" w:left="1418" w:header="708" w:footer="708" w:gutter="0"/>
          <w:cols w:space="708"/>
          <w:docGrid w:linePitch="360"/>
        </w:sectPr>
      </w:pPr>
    </w:p>
    <w:p w14:paraId="478990E4" w14:textId="77777777" w:rsidR="00AB07C2" w:rsidRPr="00842289" w:rsidRDefault="00AB07C2" w:rsidP="000A0FD9">
      <w:pPr>
        <w:spacing w:after="0"/>
        <w:jc w:val="center"/>
        <w:rPr>
          <w:rFonts w:ascii="Calibri" w:eastAsia="Calibri" w:hAnsi="Calibri" w:cs="Times New Roman"/>
          <w:b/>
        </w:rPr>
      </w:pPr>
      <w:r w:rsidRPr="00842289">
        <w:rPr>
          <w:rFonts w:ascii="Calibri" w:eastAsia="Calibri" w:hAnsi="Calibri" w:cs="Times New Roman"/>
          <w:b/>
        </w:rPr>
        <w:lastRenderedPageBreak/>
        <w:t xml:space="preserve">Table 1: Characteristics of the FP-SAL vs unexposed to FP-SAL cohort before and after propensity score matching for the </w:t>
      </w:r>
      <w:proofErr w:type="gramStart"/>
      <w:r w:rsidRPr="00842289">
        <w:rPr>
          <w:rFonts w:ascii="Calibri" w:eastAsia="Calibri" w:hAnsi="Calibri" w:cs="Times New Roman"/>
          <w:b/>
        </w:rPr>
        <w:t>exacerbations</w:t>
      </w:r>
      <w:proofErr w:type="gramEnd"/>
      <w:r w:rsidRPr="00842289">
        <w:rPr>
          <w:rFonts w:ascii="Calibri" w:eastAsia="Calibri" w:hAnsi="Calibri" w:cs="Times New Roman"/>
          <w:b/>
        </w:rPr>
        <w:t xml:space="preserve"> analysis</w:t>
      </w:r>
    </w:p>
    <w:tbl>
      <w:tblPr>
        <w:tblStyle w:val="TableGrid5"/>
        <w:tblW w:w="15631" w:type="dxa"/>
        <w:jc w:val="center"/>
        <w:tblLook w:val="04A0" w:firstRow="1" w:lastRow="0" w:firstColumn="1" w:lastColumn="0" w:noHBand="0" w:noVBand="1"/>
      </w:tblPr>
      <w:tblGrid>
        <w:gridCol w:w="4253"/>
        <w:gridCol w:w="2837"/>
        <w:gridCol w:w="2082"/>
        <w:gridCol w:w="1388"/>
        <w:gridCol w:w="247"/>
        <w:gridCol w:w="247"/>
        <w:gridCol w:w="1626"/>
        <w:gridCol w:w="1511"/>
        <w:gridCol w:w="1440"/>
      </w:tblGrid>
      <w:tr w:rsidR="00AB07C2" w:rsidRPr="00842289" w14:paraId="3F60B70D" w14:textId="77777777" w:rsidTr="00AB07C2">
        <w:trPr>
          <w:jc w:val="center"/>
        </w:trPr>
        <w:tc>
          <w:tcPr>
            <w:tcW w:w="4253" w:type="dxa"/>
            <w:tcBorders>
              <w:top w:val="single" w:sz="4" w:space="0" w:color="auto"/>
              <w:left w:val="nil"/>
              <w:bottom w:val="nil"/>
              <w:right w:val="nil"/>
            </w:tcBorders>
          </w:tcPr>
          <w:p w14:paraId="038847B5" w14:textId="77777777" w:rsidR="00AB07C2" w:rsidRPr="00842289" w:rsidRDefault="00AB07C2" w:rsidP="00125EE0">
            <w:pPr>
              <w:spacing w:after="0" w:line="240" w:lineRule="auto"/>
              <w:jc w:val="center"/>
              <w:rPr>
                <w:rFonts w:ascii="Calibri" w:eastAsia="Calibri" w:hAnsi="Calibri" w:cs="Times New Roman"/>
                <w:b/>
              </w:rPr>
            </w:pPr>
          </w:p>
        </w:tc>
        <w:tc>
          <w:tcPr>
            <w:tcW w:w="11378" w:type="dxa"/>
            <w:gridSpan w:val="8"/>
            <w:tcBorders>
              <w:top w:val="single" w:sz="4" w:space="0" w:color="auto"/>
              <w:left w:val="nil"/>
              <w:bottom w:val="single" w:sz="4" w:space="0" w:color="auto"/>
              <w:right w:val="nil"/>
            </w:tcBorders>
          </w:tcPr>
          <w:p w14:paraId="1E33AC2B" w14:textId="77777777" w:rsidR="00AB07C2" w:rsidRPr="00842289" w:rsidRDefault="00AB07C2" w:rsidP="00125EE0">
            <w:pPr>
              <w:spacing w:after="0" w:line="240" w:lineRule="auto"/>
              <w:jc w:val="center"/>
              <w:rPr>
                <w:rFonts w:ascii="Calibri" w:eastAsia="Calibri" w:hAnsi="Calibri" w:cs="Times New Roman"/>
                <w:b/>
              </w:rPr>
            </w:pPr>
            <w:r w:rsidRPr="00842289">
              <w:rPr>
                <w:rFonts w:ascii="Calibri" w:eastAsia="Calibri" w:hAnsi="Calibri" w:cs="Times New Roman"/>
              </w:rPr>
              <w:t>CPRD non-interventional population</w:t>
            </w:r>
          </w:p>
        </w:tc>
      </w:tr>
      <w:tr w:rsidR="00AB07C2" w:rsidRPr="00842289" w14:paraId="627CA159" w14:textId="77777777" w:rsidTr="00AB07C2">
        <w:trPr>
          <w:jc w:val="center"/>
        </w:trPr>
        <w:tc>
          <w:tcPr>
            <w:tcW w:w="4253" w:type="dxa"/>
            <w:tcBorders>
              <w:top w:val="nil"/>
              <w:left w:val="nil"/>
              <w:bottom w:val="nil"/>
              <w:right w:val="nil"/>
            </w:tcBorders>
          </w:tcPr>
          <w:p w14:paraId="7C5B47DC" w14:textId="77777777" w:rsidR="00AB07C2" w:rsidRPr="00842289" w:rsidRDefault="00AB07C2" w:rsidP="00125EE0">
            <w:pPr>
              <w:spacing w:after="0" w:line="240" w:lineRule="auto"/>
              <w:jc w:val="center"/>
              <w:rPr>
                <w:rFonts w:ascii="Calibri" w:eastAsia="Calibri" w:hAnsi="Calibri" w:cs="Times New Roman"/>
                <w:b/>
              </w:rPr>
            </w:pPr>
          </w:p>
        </w:tc>
        <w:tc>
          <w:tcPr>
            <w:tcW w:w="6307" w:type="dxa"/>
            <w:gridSpan w:val="3"/>
            <w:tcBorders>
              <w:top w:val="single" w:sz="4" w:space="0" w:color="auto"/>
              <w:left w:val="nil"/>
              <w:bottom w:val="single" w:sz="4" w:space="0" w:color="auto"/>
              <w:right w:val="nil"/>
            </w:tcBorders>
          </w:tcPr>
          <w:p w14:paraId="54E0B077" w14:textId="77777777" w:rsidR="00AB07C2" w:rsidRPr="00842289" w:rsidRDefault="00AB07C2" w:rsidP="00125EE0">
            <w:pPr>
              <w:spacing w:after="0" w:line="240" w:lineRule="auto"/>
              <w:jc w:val="center"/>
              <w:rPr>
                <w:rFonts w:ascii="Calibri" w:eastAsia="Calibri" w:hAnsi="Calibri" w:cs="Times New Roman"/>
                <w:b/>
              </w:rPr>
            </w:pPr>
            <w:r w:rsidRPr="00842289">
              <w:rPr>
                <w:rFonts w:ascii="Calibri" w:eastAsia="Calibri" w:hAnsi="Calibri" w:cs="Times New Roman"/>
                <w:b/>
              </w:rPr>
              <w:t>Before propensity score matching</w:t>
            </w:r>
          </w:p>
        </w:tc>
        <w:tc>
          <w:tcPr>
            <w:tcW w:w="247" w:type="dxa"/>
            <w:tcBorders>
              <w:top w:val="single" w:sz="4" w:space="0" w:color="auto"/>
              <w:left w:val="nil"/>
              <w:bottom w:val="nil"/>
              <w:right w:val="nil"/>
            </w:tcBorders>
          </w:tcPr>
          <w:p w14:paraId="4ADEB4A6" w14:textId="77777777" w:rsidR="00AB07C2" w:rsidRPr="00842289" w:rsidRDefault="00AB07C2" w:rsidP="00125EE0">
            <w:pPr>
              <w:spacing w:after="0" w:line="240" w:lineRule="auto"/>
              <w:jc w:val="center"/>
              <w:rPr>
                <w:rFonts w:ascii="Calibri" w:eastAsia="Calibri" w:hAnsi="Calibri" w:cs="Times New Roman"/>
                <w:b/>
              </w:rPr>
            </w:pPr>
          </w:p>
        </w:tc>
        <w:tc>
          <w:tcPr>
            <w:tcW w:w="247" w:type="dxa"/>
            <w:tcBorders>
              <w:top w:val="single" w:sz="4" w:space="0" w:color="auto"/>
              <w:left w:val="nil"/>
              <w:bottom w:val="nil"/>
              <w:right w:val="nil"/>
            </w:tcBorders>
          </w:tcPr>
          <w:p w14:paraId="5CC521F7" w14:textId="77777777" w:rsidR="00AB07C2" w:rsidRPr="00842289" w:rsidRDefault="00AB07C2" w:rsidP="00125EE0">
            <w:pPr>
              <w:spacing w:after="0" w:line="240" w:lineRule="auto"/>
              <w:jc w:val="center"/>
              <w:rPr>
                <w:rFonts w:ascii="Calibri" w:eastAsia="Calibri" w:hAnsi="Calibri" w:cs="Times New Roman"/>
                <w:b/>
              </w:rPr>
            </w:pPr>
          </w:p>
        </w:tc>
        <w:tc>
          <w:tcPr>
            <w:tcW w:w="4577" w:type="dxa"/>
            <w:gridSpan w:val="3"/>
            <w:tcBorders>
              <w:top w:val="single" w:sz="4" w:space="0" w:color="auto"/>
              <w:left w:val="nil"/>
              <w:bottom w:val="single" w:sz="4" w:space="0" w:color="auto"/>
              <w:right w:val="nil"/>
            </w:tcBorders>
          </w:tcPr>
          <w:p w14:paraId="11B4DC85" w14:textId="77777777" w:rsidR="00AB07C2" w:rsidRPr="00842289" w:rsidRDefault="00AB07C2" w:rsidP="00125EE0">
            <w:pPr>
              <w:spacing w:after="0" w:line="240" w:lineRule="auto"/>
              <w:jc w:val="center"/>
              <w:rPr>
                <w:rFonts w:ascii="Calibri" w:eastAsia="Calibri" w:hAnsi="Calibri" w:cs="Times New Roman"/>
                <w:b/>
              </w:rPr>
            </w:pPr>
            <w:r w:rsidRPr="00842289">
              <w:rPr>
                <w:rFonts w:ascii="Calibri" w:eastAsia="Calibri" w:hAnsi="Calibri" w:cs="Times New Roman"/>
                <w:b/>
              </w:rPr>
              <w:t>After propensity score</w:t>
            </w:r>
            <w:r w:rsidRPr="00842289">
              <w:rPr>
                <w:rFonts w:ascii="Calibri" w:eastAsia="Calibri" w:hAnsi="Calibri" w:cs="Times New Roman"/>
                <w:b/>
                <w:vertAlign w:val="superscript"/>
              </w:rPr>
              <w:t>1</w:t>
            </w:r>
            <w:r w:rsidRPr="00842289">
              <w:rPr>
                <w:rFonts w:ascii="Calibri" w:eastAsia="Calibri" w:hAnsi="Calibri" w:cs="Times New Roman"/>
                <w:b/>
              </w:rPr>
              <w:t xml:space="preserve"> matching</w:t>
            </w:r>
          </w:p>
        </w:tc>
      </w:tr>
      <w:tr w:rsidR="00AB07C2" w:rsidRPr="00842289" w14:paraId="40CDFCB4" w14:textId="77777777" w:rsidTr="00AB07C2">
        <w:trPr>
          <w:jc w:val="center"/>
        </w:trPr>
        <w:tc>
          <w:tcPr>
            <w:tcW w:w="4253" w:type="dxa"/>
            <w:tcBorders>
              <w:top w:val="nil"/>
              <w:left w:val="nil"/>
              <w:bottom w:val="nil"/>
              <w:right w:val="nil"/>
            </w:tcBorders>
          </w:tcPr>
          <w:p w14:paraId="6246B4AA" w14:textId="77777777" w:rsidR="00AB07C2" w:rsidRPr="00842289" w:rsidRDefault="00AB07C2" w:rsidP="00125EE0">
            <w:pPr>
              <w:spacing w:after="0" w:line="240" w:lineRule="auto"/>
              <w:rPr>
                <w:rFonts w:ascii="Calibri" w:eastAsia="Calibri" w:hAnsi="Calibri" w:cs="Times New Roman"/>
                <w:b/>
              </w:rPr>
            </w:pPr>
          </w:p>
          <w:p w14:paraId="4D8DB5B9" w14:textId="77777777" w:rsidR="00AB07C2" w:rsidRPr="00842289" w:rsidRDefault="00AB07C2" w:rsidP="00125EE0">
            <w:pPr>
              <w:spacing w:after="0" w:line="240" w:lineRule="auto"/>
              <w:rPr>
                <w:rFonts w:ascii="Calibri" w:eastAsia="Calibri" w:hAnsi="Calibri" w:cs="Times New Roman"/>
                <w:b/>
              </w:rPr>
            </w:pPr>
          </w:p>
          <w:p w14:paraId="50815D7D" w14:textId="77777777" w:rsidR="00AB07C2" w:rsidRPr="00842289" w:rsidRDefault="00AB07C2" w:rsidP="00125EE0">
            <w:pPr>
              <w:spacing w:after="0" w:line="240" w:lineRule="auto"/>
              <w:rPr>
                <w:rFonts w:ascii="Calibri" w:eastAsia="Calibri" w:hAnsi="Calibri" w:cs="Times New Roman"/>
                <w:b/>
              </w:rPr>
            </w:pPr>
          </w:p>
          <w:p w14:paraId="0DEC51BD"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 xml:space="preserve">Variable – </w:t>
            </w:r>
            <w:proofErr w:type="gramStart"/>
            <w:r w:rsidRPr="00842289">
              <w:rPr>
                <w:rFonts w:ascii="Calibri" w:eastAsia="Calibri" w:hAnsi="Calibri" w:cs="Times New Roman"/>
                <w:b/>
              </w:rPr>
              <w:t>n(</w:t>
            </w:r>
            <w:proofErr w:type="gramEnd"/>
            <w:r w:rsidRPr="00842289">
              <w:rPr>
                <w:rFonts w:ascii="Calibri" w:eastAsia="Calibri" w:hAnsi="Calibri" w:cs="Times New Roman"/>
                <w:b/>
              </w:rPr>
              <w:t xml:space="preserve">%) </w:t>
            </w:r>
            <w:r w:rsidRPr="00842289">
              <w:rPr>
                <w:rFonts w:ascii="Calibri" w:eastAsia="Calibri" w:hAnsi="Calibri" w:cs="Times New Roman"/>
                <w:i/>
              </w:rPr>
              <w:t>unless specified</w:t>
            </w:r>
          </w:p>
        </w:tc>
        <w:tc>
          <w:tcPr>
            <w:tcW w:w="2837" w:type="dxa"/>
            <w:tcBorders>
              <w:top w:val="single" w:sz="4" w:space="0" w:color="auto"/>
              <w:left w:val="nil"/>
              <w:bottom w:val="nil"/>
              <w:right w:val="nil"/>
            </w:tcBorders>
          </w:tcPr>
          <w:p w14:paraId="3E088485" w14:textId="77777777" w:rsidR="00AB07C2" w:rsidRPr="00842289" w:rsidRDefault="00AB07C2" w:rsidP="00125EE0">
            <w:pPr>
              <w:spacing w:after="0" w:line="240" w:lineRule="auto"/>
              <w:ind w:left="405"/>
              <w:contextualSpacing/>
              <w:jc w:val="center"/>
              <w:rPr>
                <w:rFonts w:ascii="Calibri" w:eastAsia="Calibri" w:hAnsi="Calibri" w:cs="Times New Roman"/>
                <w:vertAlign w:val="superscript"/>
              </w:rPr>
            </w:pPr>
            <w:r w:rsidRPr="00842289">
              <w:rPr>
                <w:rFonts w:ascii="Calibri" w:eastAsia="Calibri" w:hAnsi="Calibri" w:cs="Times New Roman"/>
              </w:rPr>
              <w:t>Unexposed to FP-SAL</w:t>
            </w:r>
            <w:r w:rsidRPr="00842289">
              <w:rPr>
                <w:rFonts w:ascii="Calibri" w:eastAsia="Calibri" w:hAnsi="Calibri" w:cs="Times New Roman"/>
                <w:vertAlign w:val="superscript"/>
              </w:rPr>
              <w:t>2</w:t>
            </w:r>
          </w:p>
          <w:p w14:paraId="67D0B962" w14:textId="77777777" w:rsidR="00AB07C2" w:rsidRPr="00842289" w:rsidRDefault="00AB07C2" w:rsidP="00125EE0">
            <w:pPr>
              <w:spacing w:after="0" w:line="240" w:lineRule="auto"/>
              <w:ind w:left="405"/>
              <w:contextualSpacing/>
              <w:jc w:val="center"/>
              <w:rPr>
                <w:rFonts w:ascii="Calibri" w:eastAsia="Calibri" w:hAnsi="Calibri" w:cs="Times New Roman"/>
                <w:i/>
              </w:rPr>
            </w:pPr>
            <w:r w:rsidRPr="00842289">
              <w:rPr>
                <w:rFonts w:ascii="Calibri" w:eastAsia="Calibri" w:hAnsi="Calibri" w:cs="Times New Roman"/>
                <w:i/>
              </w:rPr>
              <w:t>(N=4196 people)</w:t>
            </w:r>
          </w:p>
        </w:tc>
        <w:tc>
          <w:tcPr>
            <w:tcW w:w="2082" w:type="dxa"/>
            <w:tcBorders>
              <w:top w:val="single" w:sz="4" w:space="0" w:color="auto"/>
              <w:left w:val="nil"/>
              <w:bottom w:val="nil"/>
              <w:right w:val="nil"/>
            </w:tcBorders>
          </w:tcPr>
          <w:p w14:paraId="4D64C0F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Times New Roman"/>
              </w:rPr>
              <w:t>Exposed to FP-SAL</w:t>
            </w:r>
            <w:r w:rsidRPr="00842289">
              <w:rPr>
                <w:rFonts w:ascii="Calibri" w:eastAsia="Calibri" w:hAnsi="Calibri" w:cs="Times New Roman"/>
                <w:vertAlign w:val="superscript"/>
              </w:rPr>
              <w:t>3</w:t>
            </w:r>
            <w:r w:rsidRPr="00842289">
              <w:rPr>
                <w:rFonts w:ascii="Calibri" w:eastAsia="Calibri" w:hAnsi="Calibri" w:cs="Times New Roman"/>
              </w:rPr>
              <w:t xml:space="preserve"> </w:t>
            </w:r>
          </w:p>
          <w:p w14:paraId="2D4C825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Times New Roman"/>
                <w:i/>
              </w:rPr>
              <w:t>(N=10463 exposed time periods from 4259 people)</w:t>
            </w:r>
          </w:p>
        </w:tc>
        <w:tc>
          <w:tcPr>
            <w:tcW w:w="1388" w:type="dxa"/>
            <w:tcBorders>
              <w:top w:val="single" w:sz="4" w:space="0" w:color="auto"/>
              <w:left w:val="nil"/>
              <w:bottom w:val="nil"/>
              <w:right w:val="nil"/>
            </w:tcBorders>
          </w:tcPr>
          <w:p w14:paraId="6B3090E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Times New Roman"/>
              </w:rPr>
              <w:t>Standardised difference</w:t>
            </w:r>
          </w:p>
        </w:tc>
        <w:tc>
          <w:tcPr>
            <w:tcW w:w="247" w:type="dxa"/>
            <w:tcBorders>
              <w:top w:val="nil"/>
              <w:left w:val="nil"/>
              <w:bottom w:val="nil"/>
              <w:right w:val="nil"/>
            </w:tcBorders>
          </w:tcPr>
          <w:p w14:paraId="4132E2B4" w14:textId="77777777" w:rsidR="00AB07C2" w:rsidRPr="00842289" w:rsidRDefault="00AB07C2" w:rsidP="00125EE0">
            <w:pPr>
              <w:spacing w:after="0" w:line="240" w:lineRule="auto"/>
              <w:jc w:val="center"/>
              <w:rPr>
                <w:rFonts w:ascii="Calibri" w:eastAsia="Calibri" w:hAnsi="Calibri" w:cs="Times New Roman"/>
                <w:b/>
              </w:rPr>
            </w:pPr>
          </w:p>
        </w:tc>
        <w:tc>
          <w:tcPr>
            <w:tcW w:w="247" w:type="dxa"/>
            <w:tcBorders>
              <w:top w:val="nil"/>
              <w:left w:val="nil"/>
              <w:bottom w:val="nil"/>
              <w:right w:val="nil"/>
            </w:tcBorders>
          </w:tcPr>
          <w:p w14:paraId="582FDAA5" w14:textId="77777777" w:rsidR="00AB07C2" w:rsidRPr="00842289" w:rsidRDefault="00AB07C2" w:rsidP="00125EE0">
            <w:pPr>
              <w:spacing w:after="0" w:line="240" w:lineRule="auto"/>
              <w:jc w:val="center"/>
              <w:rPr>
                <w:rFonts w:ascii="Calibri" w:eastAsia="Calibri" w:hAnsi="Calibri" w:cs="Times New Roman"/>
                <w:b/>
              </w:rPr>
            </w:pPr>
          </w:p>
        </w:tc>
        <w:tc>
          <w:tcPr>
            <w:tcW w:w="1626" w:type="dxa"/>
            <w:tcBorders>
              <w:top w:val="nil"/>
              <w:left w:val="nil"/>
              <w:bottom w:val="nil"/>
              <w:right w:val="nil"/>
            </w:tcBorders>
          </w:tcPr>
          <w:p w14:paraId="3EE3E22E" w14:textId="77777777" w:rsidR="00AB07C2" w:rsidRPr="00842289" w:rsidRDefault="00AB07C2" w:rsidP="00125EE0">
            <w:pPr>
              <w:spacing w:after="0" w:line="240" w:lineRule="auto"/>
              <w:ind w:left="405"/>
              <w:contextualSpacing/>
              <w:jc w:val="center"/>
              <w:rPr>
                <w:rFonts w:ascii="Calibri" w:eastAsia="Calibri" w:hAnsi="Calibri" w:cs="Times New Roman"/>
              </w:rPr>
            </w:pPr>
            <w:r w:rsidRPr="00842289">
              <w:rPr>
                <w:rFonts w:ascii="Calibri" w:eastAsia="Calibri" w:hAnsi="Calibri" w:cs="Times New Roman"/>
              </w:rPr>
              <w:t>Unexposed to FP-SAL</w:t>
            </w:r>
          </w:p>
          <w:p w14:paraId="4768CA50" w14:textId="77777777" w:rsidR="00AB07C2" w:rsidRPr="00842289" w:rsidRDefault="00AB07C2" w:rsidP="00125EE0">
            <w:pPr>
              <w:spacing w:after="0" w:line="240" w:lineRule="auto"/>
              <w:ind w:left="405"/>
              <w:contextualSpacing/>
              <w:jc w:val="center"/>
              <w:rPr>
                <w:rFonts w:ascii="Calibri" w:eastAsia="Calibri" w:hAnsi="Calibri" w:cs="Times New Roman"/>
              </w:rPr>
            </w:pPr>
            <w:r w:rsidRPr="00842289">
              <w:rPr>
                <w:rFonts w:ascii="Calibri" w:eastAsia="Calibri" w:hAnsi="Calibri" w:cs="Times New Roman"/>
                <w:i/>
              </w:rPr>
              <w:t>(N=2652 people)</w:t>
            </w:r>
          </w:p>
        </w:tc>
        <w:tc>
          <w:tcPr>
            <w:tcW w:w="1511" w:type="dxa"/>
            <w:tcBorders>
              <w:top w:val="nil"/>
              <w:left w:val="nil"/>
              <w:bottom w:val="nil"/>
              <w:right w:val="nil"/>
            </w:tcBorders>
          </w:tcPr>
          <w:p w14:paraId="1A264378" w14:textId="77777777" w:rsidR="00AB07C2" w:rsidRPr="00842289" w:rsidRDefault="00AB07C2" w:rsidP="00125EE0">
            <w:pPr>
              <w:spacing w:after="0" w:line="240" w:lineRule="auto"/>
              <w:ind w:left="405"/>
              <w:contextualSpacing/>
              <w:jc w:val="center"/>
              <w:rPr>
                <w:rFonts w:ascii="Calibri" w:eastAsia="Calibri" w:hAnsi="Calibri" w:cs="Times New Roman"/>
              </w:rPr>
            </w:pPr>
            <w:r w:rsidRPr="00842289">
              <w:rPr>
                <w:rFonts w:ascii="Calibri" w:eastAsia="Calibri" w:hAnsi="Calibri" w:cs="Times New Roman"/>
              </w:rPr>
              <w:t>Exposed to FP-SAL</w:t>
            </w:r>
          </w:p>
          <w:p w14:paraId="48F7155B" w14:textId="77777777" w:rsidR="00AB07C2" w:rsidRPr="00842289" w:rsidRDefault="00AB07C2" w:rsidP="00125EE0">
            <w:pPr>
              <w:spacing w:after="0" w:line="240" w:lineRule="auto"/>
              <w:ind w:left="405"/>
              <w:contextualSpacing/>
              <w:jc w:val="center"/>
              <w:rPr>
                <w:rFonts w:ascii="Calibri" w:eastAsia="Calibri" w:hAnsi="Calibri" w:cs="Times New Roman"/>
              </w:rPr>
            </w:pPr>
            <w:r w:rsidRPr="00842289">
              <w:rPr>
                <w:rFonts w:ascii="Calibri" w:eastAsia="Calibri" w:hAnsi="Calibri" w:cs="Times New Roman"/>
                <w:i/>
              </w:rPr>
              <w:t>(N=2652 people)</w:t>
            </w:r>
          </w:p>
        </w:tc>
        <w:tc>
          <w:tcPr>
            <w:tcW w:w="1440" w:type="dxa"/>
            <w:tcBorders>
              <w:top w:val="single" w:sz="4" w:space="0" w:color="auto"/>
              <w:left w:val="nil"/>
              <w:bottom w:val="nil"/>
              <w:right w:val="nil"/>
            </w:tcBorders>
          </w:tcPr>
          <w:p w14:paraId="49FB17D4" w14:textId="77777777" w:rsidR="00AB07C2" w:rsidRPr="00842289" w:rsidRDefault="00AB07C2" w:rsidP="00125EE0">
            <w:pPr>
              <w:spacing w:after="0" w:line="240" w:lineRule="auto"/>
              <w:ind w:left="45"/>
              <w:jc w:val="center"/>
              <w:rPr>
                <w:rFonts w:ascii="Calibri" w:eastAsia="Calibri" w:hAnsi="Calibri" w:cs="Times New Roman"/>
              </w:rPr>
            </w:pPr>
            <w:r w:rsidRPr="00842289">
              <w:rPr>
                <w:rFonts w:ascii="Calibri" w:eastAsia="Calibri" w:hAnsi="Calibri" w:cs="Times New Roman"/>
              </w:rPr>
              <w:t>Standardised difference</w:t>
            </w:r>
          </w:p>
        </w:tc>
      </w:tr>
      <w:tr w:rsidR="00AB07C2" w:rsidRPr="00842289" w14:paraId="0A7DB0D4" w14:textId="77777777" w:rsidTr="00AB07C2">
        <w:trPr>
          <w:jc w:val="center"/>
        </w:trPr>
        <w:tc>
          <w:tcPr>
            <w:tcW w:w="4253" w:type="dxa"/>
            <w:tcBorders>
              <w:top w:val="single" w:sz="4" w:space="0" w:color="auto"/>
              <w:left w:val="nil"/>
              <w:bottom w:val="nil"/>
              <w:right w:val="nil"/>
            </w:tcBorders>
          </w:tcPr>
          <w:p w14:paraId="39645351"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 xml:space="preserve">Age* </w:t>
            </w:r>
            <w:r w:rsidRPr="00842289">
              <w:rPr>
                <w:rFonts w:ascii="Calibri" w:eastAsia="Calibri" w:hAnsi="Calibri" w:cs="Times New Roman"/>
              </w:rPr>
              <w:t>– year (</w:t>
            </w:r>
            <w:proofErr w:type="gramStart"/>
            <w:r w:rsidRPr="00842289">
              <w:rPr>
                <w:rFonts w:ascii="Calibri" w:eastAsia="Calibri" w:hAnsi="Calibri" w:cs="Times New Roman"/>
              </w:rPr>
              <w:t>median(</w:t>
            </w:r>
            <w:proofErr w:type="gramEnd"/>
            <w:r w:rsidRPr="00842289">
              <w:rPr>
                <w:rFonts w:ascii="Calibri" w:eastAsia="Calibri" w:hAnsi="Calibri" w:cs="Times New Roman"/>
              </w:rPr>
              <w:t>IQR))</w:t>
            </w:r>
          </w:p>
        </w:tc>
        <w:tc>
          <w:tcPr>
            <w:tcW w:w="2837" w:type="dxa"/>
            <w:tcBorders>
              <w:top w:val="single" w:sz="4" w:space="0" w:color="auto"/>
              <w:left w:val="nil"/>
              <w:bottom w:val="nil"/>
              <w:right w:val="nil"/>
            </w:tcBorders>
            <w:vAlign w:val="bottom"/>
          </w:tcPr>
          <w:p w14:paraId="58DD20A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67 (61-73)</w:t>
            </w:r>
          </w:p>
        </w:tc>
        <w:tc>
          <w:tcPr>
            <w:tcW w:w="2082" w:type="dxa"/>
            <w:tcBorders>
              <w:top w:val="single" w:sz="4" w:space="0" w:color="auto"/>
              <w:left w:val="nil"/>
              <w:bottom w:val="nil"/>
              <w:right w:val="nil"/>
            </w:tcBorders>
            <w:vAlign w:val="bottom"/>
          </w:tcPr>
          <w:p w14:paraId="363B1C9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68 (62-74)</w:t>
            </w:r>
          </w:p>
        </w:tc>
        <w:tc>
          <w:tcPr>
            <w:tcW w:w="1388" w:type="dxa"/>
            <w:tcBorders>
              <w:top w:val="single" w:sz="4" w:space="0" w:color="auto"/>
              <w:left w:val="nil"/>
              <w:bottom w:val="nil"/>
              <w:right w:val="nil"/>
            </w:tcBorders>
            <w:vAlign w:val="bottom"/>
          </w:tcPr>
          <w:p w14:paraId="14C45F8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0.103</w:t>
            </w:r>
          </w:p>
        </w:tc>
        <w:tc>
          <w:tcPr>
            <w:tcW w:w="247" w:type="dxa"/>
            <w:tcBorders>
              <w:top w:val="single" w:sz="4" w:space="0" w:color="auto"/>
              <w:left w:val="nil"/>
              <w:bottom w:val="nil"/>
              <w:right w:val="nil"/>
            </w:tcBorders>
          </w:tcPr>
          <w:p w14:paraId="4C910732"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single" w:sz="4" w:space="0" w:color="auto"/>
              <w:left w:val="nil"/>
              <w:bottom w:val="nil"/>
              <w:right w:val="nil"/>
            </w:tcBorders>
          </w:tcPr>
          <w:p w14:paraId="72CDE480"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single" w:sz="4" w:space="0" w:color="auto"/>
              <w:left w:val="nil"/>
              <w:bottom w:val="nil"/>
              <w:right w:val="nil"/>
            </w:tcBorders>
            <w:vAlign w:val="bottom"/>
          </w:tcPr>
          <w:p w14:paraId="5FC3EC72"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68 (61-73)</w:t>
            </w:r>
          </w:p>
        </w:tc>
        <w:tc>
          <w:tcPr>
            <w:tcW w:w="1511" w:type="dxa"/>
            <w:tcBorders>
              <w:top w:val="single" w:sz="4" w:space="0" w:color="auto"/>
              <w:left w:val="nil"/>
              <w:bottom w:val="nil"/>
              <w:right w:val="nil"/>
            </w:tcBorders>
            <w:vAlign w:val="bottom"/>
          </w:tcPr>
          <w:p w14:paraId="7A52CB9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68 (62-74)</w:t>
            </w:r>
          </w:p>
        </w:tc>
        <w:tc>
          <w:tcPr>
            <w:tcW w:w="1440" w:type="dxa"/>
            <w:tcBorders>
              <w:top w:val="single" w:sz="4" w:space="0" w:color="auto"/>
              <w:left w:val="nil"/>
              <w:bottom w:val="nil"/>
              <w:right w:val="nil"/>
            </w:tcBorders>
            <w:vAlign w:val="bottom"/>
          </w:tcPr>
          <w:p w14:paraId="555A766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0.083</w:t>
            </w:r>
          </w:p>
        </w:tc>
      </w:tr>
      <w:tr w:rsidR="00AB07C2" w:rsidRPr="00842289" w14:paraId="6014A517" w14:textId="77777777" w:rsidTr="00AB07C2">
        <w:trPr>
          <w:jc w:val="center"/>
        </w:trPr>
        <w:tc>
          <w:tcPr>
            <w:tcW w:w="4253" w:type="dxa"/>
            <w:tcBorders>
              <w:top w:val="nil"/>
              <w:left w:val="nil"/>
              <w:bottom w:val="nil"/>
              <w:right w:val="nil"/>
            </w:tcBorders>
          </w:tcPr>
          <w:p w14:paraId="12F57336"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Male sex*</w:t>
            </w:r>
          </w:p>
        </w:tc>
        <w:tc>
          <w:tcPr>
            <w:tcW w:w="2837" w:type="dxa"/>
            <w:tcBorders>
              <w:top w:val="nil"/>
              <w:left w:val="nil"/>
              <w:bottom w:val="nil"/>
              <w:right w:val="nil"/>
            </w:tcBorders>
            <w:vAlign w:val="bottom"/>
          </w:tcPr>
          <w:p w14:paraId="6D5188F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3175 (76)</w:t>
            </w:r>
          </w:p>
        </w:tc>
        <w:tc>
          <w:tcPr>
            <w:tcW w:w="2082" w:type="dxa"/>
            <w:tcBorders>
              <w:top w:val="nil"/>
              <w:left w:val="nil"/>
              <w:bottom w:val="nil"/>
              <w:right w:val="nil"/>
            </w:tcBorders>
            <w:vAlign w:val="bottom"/>
          </w:tcPr>
          <w:p w14:paraId="6BFFC42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6515 (62)</w:t>
            </w:r>
          </w:p>
        </w:tc>
        <w:tc>
          <w:tcPr>
            <w:tcW w:w="1388" w:type="dxa"/>
            <w:tcBorders>
              <w:top w:val="nil"/>
              <w:left w:val="nil"/>
              <w:bottom w:val="nil"/>
              <w:right w:val="nil"/>
            </w:tcBorders>
            <w:vAlign w:val="bottom"/>
          </w:tcPr>
          <w:p w14:paraId="4E15830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0.293</w:t>
            </w:r>
          </w:p>
        </w:tc>
        <w:tc>
          <w:tcPr>
            <w:tcW w:w="247" w:type="dxa"/>
            <w:tcBorders>
              <w:top w:val="nil"/>
              <w:left w:val="nil"/>
              <w:bottom w:val="nil"/>
              <w:right w:val="nil"/>
            </w:tcBorders>
          </w:tcPr>
          <w:p w14:paraId="2A519D68"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8107926"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4B045C87"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1868 (70)</w:t>
            </w:r>
          </w:p>
        </w:tc>
        <w:tc>
          <w:tcPr>
            <w:tcW w:w="1511" w:type="dxa"/>
            <w:tcBorders>
              <w:top w:val="nil"/>
              <w:left w:val="nil"/>
              <w:bottom w:val="nil"/>
              <w:right w:val="nil"/>
            </w:tcBorders>
            <w:vAlign w:val="bottom"/>
          </w:tcPr>
          <w:p w14:paraId="015E89F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1850 (70)</w:t>
            </w:r>
          </w:p>
        </w:tc>
        <w:tc>
          <w:tcPr>
            <w:tcW w:w="1440" w:type="dxa"/>
            <w:tcBorders>
              <w:top w:val="nil"/>
              <w:left w:val="nil"/>
              <w:bottom w:val="nil"/>
              <w:right w:val="nil"/>
            </w:tcBorders>
            <w:vAlign w:val="bottom"/>
          </w:tcPr>
          <w:p w14:paraId="22DF0021"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0.015</w:t>
            </w:r>
          </w:p>
        </w:tc>
      </w:tr>
      <w:tr w:rsidR="00AB07C2" w:rsidRPr="00842289" w14:paraId="364BEE7D" w14:textId="77777777" w:rsidTr="00AB07C2">
        <w:trPr>
          <w:jc w:val="center"/>
        </w:trPr>
        <w:tc>
          <w:tcPr>
            <w:tcW w:w="4253" w:type="dxa"/>
            <w:tcBorders>
              <w:top w:val="nil"/>
              <w:left w:val="nil"/>
              <w:bottom w:val="nil"/>
              <w:right w:val="nil"/>
            </w:tcBorders>
          </w:tcPr>
          <w:p w14:paraId="130E440E"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Lung function*</w:t>
            </w:r>
            <w:r w:rsidRPr="00842289">
              <w:rPr>
                <w:rFonts w:ascii="Calibri" w:eastAsia="Calibri" w:hAnsi="Calibri" w:cs="Times New Roman"/>
                <w:b/>
                <w:vertAlign w:val="superscript"/>
              </w:rPr>
              <w:t xml:space="preserve">4 </w:t>
            </w:r>
            <w:r w:rsidRPr="00842289">
              <w:rPr>
                <w:rFonts w:ascii="Calibri" w:eastAsia="Calibri" w:hAnsi="Calibri" w:cs="Times New Roman"/>
                <w:b/>
              </w:rPr>
              <w:t xml:space="preserve"> </w:t>
            </w:r>
          </w:p>
        </w:tc>
        <w:tc>
          <w:tcPr>
            <w:tcW w:w="2837" w:type="dxa"/>
            <w:tcBorders>
              <w:top w:val="nil"/>
              <w:left w:val="nil"/>
              <w:bottom w:val="nil"/>
              <w:right w:val="nil"/>
            </w:tcBorders>
          </w:tcPr>
          <w:p w14:paraId="25557D0B" w14:textId="77777777" w:rsidR="00AB07C2" w:rsidRPr="00842289" w:rsidRDefault="00AB07C2" w:rsidP="00125EE0">
            <w:pPr>
              <w:spacing w:after="0" w:line="240" w:lineRule="auto"/>
              <w:jc w:val="center"/>
              <w:rPr>
                <w:rFonts w:ascii="Calibri" w:eastAsia="Calibri" w:hAnsi="Calibri" w:cs="Times New Roman"/>
              </w:rPr>
            </w:pPr>
          </w:p>
        </w:tc>
        <w:tc>
          <w:tcPr>
            <w:tcW w:w="2082" w:type="dxa"/>
            <w:tcBorders>
              <w:top w:val="nil"/>
              <w:left w:val="nil"/>
              <w:bottom w:val="nil"/>
              <w:right w:val="nil"/>
            </w:tcBorders>
          </w:tcPr>
          <w:p w14:paraId="5BAACC10" w14:textId="77777777" w:rsidR="00AB07C2" w:rsidRPr="00842289" w:rsidRDefault="00AB07C2" w:rsidP="00125EE0">
            <w:pPr>
              <w:spacing w:after="0" w:line="240" w:lineRule="auto"/>
              <w:jc w:val="center"/>
              <w:rPr>
                <w:rFonts w:ascii="Calibri" w:eastAsia="Calibri" w:hAnsi="Calibri" w:cs="Times New Roman"/>
              </w:rPr>
            </w:pPr>
          </w:p>
        </w:tc>
        <w:tc>
          <w:tcPr>
            <w:tcW w:w="1388" w:type="dxa"/>
            <w:tcBorders>
              <w:top w:val="nil"/>
              <w:left w:val="nil"/>
              <w:bottom w:val="nil"/>
              <w:right w:val="nil"/>
            </w:tcBorders>
          </w:tcPr>
          <w:p w14:paraId="42635D13"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78F684E1"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454A9EB"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5F0771B6" w14:textId="77777777" w:rsidR="00AB07C2" w:rsidRPr="00842289" w:rsidRDefault="00AB07C2" w:rsidP="00125EE0">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3BA24F0D" w14:textId="77777777" w:rsidR="00AB07C2" w:rsidRPr="00842289" w:rsidRDefault="00AB07C2" w:rsidP="00125EE0">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5CBF69D5" w14:textId="77777777" w:rsidR="00AB07C2" w:rsidRPr="00842289" w:rsidRDefault="00AB07C2" w:rsidP="00125EE0">
            <w:pPr>
              <w:spacing w:after="0" w:line="240" w:lineRule="auto"/>
              <w:jc w:val="center"/>
              <w:rPr>
                <w:rFonts w:ascii="Calibri" w:eastAsia="Calibri" w:hAnsi="Calibri" w:cs="Times New Roman"/>
              </w:rPr>
            </w:pPr>
          </w:p>
        </w:tc>
      </w:tr>
      <w:tr w:rsidR="00AB07C2" w:rsidRPr="00842289" w14:paraId="04C85529" w14:textId="77777777" w:rsidTr="00AB07C2">
        <w:trPr>
          <w:jc w:val="center"/>
        </w:trPr>
        <w:tc>
          <w:tcPr>
            <w:tcW w:w="4253" w:type="dxa"/>
            <w:tcBorders>
              <w:top w:val="nil"/>
              <w:left w:val="nil"/>
              <w:bottom w:val="nil"/>
              <w:right w:val="nil"/>
            </w:tcBorders>
          </w:tcPr>
          <w:p w14:paraId="1A0910A6"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 xml:space="preserve">     </w:t>
            </w:r>
            <w:r w:rsidRPr="00842289">
              <w:rPr>
                <w:rFonts w:ascii="Calibri" w:eastAsia="Calibri" w:hAnsi="Calibri" w:cs="Times New Roman"/>
              </w:rPr>
              <w:t>FEV</w:t>
            </w:r>
            <w:r w:rsidRPr="00842289">
              <w:rPr>
                <w:rFonts w:ascii="Calibri" w:eastAsia="Calibri" w:hAnsi="Calibri" w:cs="Times New Roman"/>
                <w:vertAlign w:val="subscript"/>
              </w:rPr>
              <w:t>1</w:t>
            </w:r>
            <w:r w:rsidRPr="00842289">
              <w:rPr>
                <w:rFonts w:ascii="Calibri" w:eastAsia="Calibri" w:hAnsi="Calibri" w:cs="Times New Roman"/>
                <w:vertAlign w:val="superscript"/>
              </w:rPr>
              <w:t>5</w:t>
            </w:r>
            <w:r w:rsidRPr="00842289">
              <w:rPr>
                <w:rFonts w:ascii="Calibri" w:eastAsia="Calibri" w:hAnsi="Calibri" w:cs="Times New Roman"/>
                <w:vertAlign w:val="subscript"/>
              </w:rPr>
              <w:t xml:space="preserve"> - </w:t>
            </w:r>
            <w:r w:rsidRPr="00842289">
              <w:rPr>
                <w:rFonts w:ascii="Calibri" w:eastAsia="Calibri" w:hAnsi="Calibri" w:cs="Times New Roman"/>
              </w:rPr>
              <w:t xml:space="preserve">% of </w:t>
            </w:r>
            <w:proofErr w:type="gramStart"/>
            <w:r w:rsidRPr="00842289">
              <w:rPr>
                <w:rFonts w:ascii="Calibri" w:eastAsia="Calibri" w:hAnsi="Calibri" w:cs="Times New Roman"/>
              </w:rPr>
              <w:t>predicted  (</w:t>
            </w:r>
            <w:proofErr w:type="gramEnd"/>
            <w:r w:rsidRPr="00842289">
              <w:rPr>
                <w:rFonts w:ascii="Calibri" w:eastAsia="Calibri" w:hAnsi="Calibri" w:cs="Times New Roman"/>
              </w:rPr>
              <w:t>median (IQR))</w:t>
            </w:r>
          </w:p>
        </w:tc>
        <w:tc>
          <w:tcPr>
            <w:tcW w:w="2837" w:type="dxa"/>
            <w:tcBorders>
              <w:top w:val="nil"/>
              <w:left w:val="nil"/>
              <w:bottom w:val="nil"/>
              <w:right w:val="nil"/>
            </w:tcBorders>
            <w:vAlign w:val="bottom"/>
          </w:tcPr>
          <w:p w14:paraId="68D05E9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47 (38-56)</w:t>
            </w:r>
          </w:p>
        </w:tc>
        <w:tc>
          <w:tcPr>
            <w:tcW w:w="2082" w:type="dxa"/>
            <w:tcBorders>
              <w:top w:val="nil"/>
              <w:left w:val="nil"/>
              <w:bottom w:val="nil"/>
              <w:right w:val="nil"/>
            </w:tcBorders>
            <w:vAlign w:val="bottom"/>
          </w:tcPr>
          <w:p w14:paraId="1CCA6A41"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50 (40-60)</w:t>
            </w:r>
          </w:p>
        </w:tc>
        <w:tc>
          <w:tcPr>
            <w:tcW w:w="1388" w:type="dxa"/>
            <w:tcBorders>
              <w:top w:val="nil"/>
              <w:left w:val="nil"/>
              <w:bottom w:val="nil"/>
              <w:right w:val="nil"/>
            </w:tcBorders>
            <w:vAlign w:val="bottom"/>
          </w:tcPr>
          <w:p w14:paraId="1C5B027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0.297</w:t>
            </w:r>
          </w:p>
        </w:tc>
        <w:tc>
          <w:tcPr>
            <w:tcW w:w="247" w:type="dxa"/>
            <w:tcBorders>
              <w:top w:val="nil"/>
              <w:left w:val="nil"/>
              <w:bottom w:val="nil"/>
              <w:right w:val="nil"/>
            </w:tcBorders>
          </w:tcPr>
          <w:p w14:paraId="6A79D083"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E413084"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05EF2C9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49 (39-57)</w:t>
            </w:r>
          </w:p>
        </w:tc>
        <w:tc>
          <w:tcPr>
            <w:tcW w:w="1511" w:type="dxa"/>
            <w:tcBorders>
              <w:top w:val="nil"/>
              <w:left w:val="nil"/>
              <w:bottom w:val="nil"/>
              <w:right w:val="nil"/>
            </w:tcBorders>
            <w:vAlign w:val="bottom"/>
          </w:tcPr>
          <w:p w14:paraId="438F7C1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48 (38-56)</w:t>
            </w:r>
          </w:p>
        </w:tc>
        <w:tc>
          <w:tcPr>
            <w:tcW w:w="1440" w:type="dxa"/>
            <w:tcBorders>
              <w:top w:val="nil"/>
              <w:left w:val="nil"/>
              <w:bottom w:val="nil"/>
              <w:right w:val="nil"/>
            </w:tcBorders>
            <w:vAlign w:val="bottom"/>
          </w:tcPr>
          <w:p w14:paraId="7299791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0.024</w:t>
            </w:r>
          </w:p>
        </w:tc>
      </w:tr>
      <w:tr w:rsidR="00AB07C2" w:rsidRPr="00842289" w14:paraId="286098EB" w14:textId="77777777" w:rsidTr="00AB07C2">
        <w:trPr>
          <w:jc w:val="center"/>
        </w:trPr>
        <w:tc>
          <w:tcPr>
            <w:tcW w:w="4253" w:type="dxa"/>
            <w:tcBorders>
              <w:top w:val="nil"/>
              <w:left w:val="nil"/>
              <w:bottom w:val="nil"/>
              <w:right w:val="nil"/>
            </w:tcBorders>
          </w:tcPr>
          <w:p w14:paraId="1477B0AE"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 xml:space="preserve">     </w:t>
            </w:r>
            <w:r w:rsidRPr="00842289">
              <w:rPr>
                <w:rFonts w:ascii="Calibri" w:eastAsia="Calibri" w:hAnsi="Calibri" w:cs="Times New Roman"/>
              </w:rPr>
              <w:t>FEV</w:t>
            </w:r>
            <w:r w:rsidRPr="00842289">
              <w:rPr>
                <w:rFonts w:ascii="Calibri" w:eastAsia="Calibri" w:hAnsi="Calibri" w:cs="Times New Roman"/>
                <w:vertAlign w:val="subscript"/>
              </w:rPr>
              <w:t>1</w:t>
            </w:r>
            <w:r w:rsidRPr="00842289">
              <w:rPr>
                <w:rFonts w:ascii="Calibri" w:eastAsia="Calibri" w:hAnsi="Calibri" w:cs="Times New Roman"/>
              </w:rPr>
              <w:t>:FVC</w:t>
            </w:r>
            <w:r w:rsidRPr="00842289">
              <w:rPr>
                <w:rFonts w:ascii="Calibri" w:eastAsia="Calibri" w:hAnsi="Calibri" w:cs="Times New Roman"/>
                <w:vertAlign w:val="superscript"/>
              </w:rPr>
              <w:t>6</w:t>
            </w:r>
            <w:r w:rsidRPr="00842289">
              <w:rPr>
                <w:rFonts w:ascii="Calibri" w:eastAsia="Calibri" w:hAnsi="Calibri" w:cs="Times New Roman"/>
              </w:rPr>
              <w:t xml:space="preserve"> - </w:t>
            </w:r>
            <w:proofErr w:type="gramStart"/>
            <w:r w:rsidRPr="00842289">
              <w:rPr>
                <w:rFonts w:ascii="Calibri" w:eastAsia="Calibri" w:hAnsi="Calibri" w:cs="Times New Roman"/>
              </w:rPr>
              <w:t>%  (</w:t>
            </w:r>
            <w:proofErr w:type="gramEnd"/>
            <w:r w:rsidRPr="00842289">
              <w:rPr>
                <w:rFonts w:ascii="Calibri" w:eastAsia="Calibri" w:hAnsi="Calibri" w:cs="Times New Roman"/>
              </w:rPr>
              <w:t>median (IQR))</w:t>
            </w:r>
          </w:p>
        </w:tc>
        <w:tc>
          <w:tcPr>
            <w:tcW w:w="2837" w:type="dxa"/>
            <w:tcBorders>
              <w:top w:val="nil"/>
              <w:left w:val="nil"/>
              <w:bottom w:val="nil"/>
              <w:right w:val="nil"/>
            </w:tcBorders>
            <w:vAlign w:val="bottom"/>
          </w:tcPr>
          <w:p w14:paraId="4EC1D22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53 (44-61)</w:t>
            </w:r>
          </w:p>
        </w:tc>
        <w:tc>
          <w:tcPr>
            <w:tcW w:w="2082" w:type="dxa"/>
            <w:tcBorders>
              <w:top w:val="nil"/>
              <w:left w:val="nil"/>
              <w:bottom w:val="nil"/>
              <w:right w:val="nil"/>
            </w:tcBorders>
            <w:vAlign w:val="bottom"/>
          </w:tcPr>
          <w:p w14:paraId="7CA9402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53 (44-63)</w:t>
            </w:r>
          </w:p>
        </w:tc>
        <w:tc>
          <w:tcPr>
            <w:tcW w:w="1388" w:type="dxa"/>
            <w:tcBorders>
              <w:top w:val="nil"/>
              <w:left w:val="nil"/>
              <w:bottom w:val="nil"/>
              <w:right w:val="nil"/>
            </w:tcBorders>
            <w:vAlign w:val="bottom"/>
          </w:tcPr>
          <w:p w14:paraId="040EBAF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0.073</w:t>
            </w:r>
          </w:p>
        </w:tc>
        <w:tc>
          <w:tcPr>
            <w:tcW w:w="247" w:type="dxa"/>
            <w:tcBorders>
              <w:top w:val="nil"/>
              <w:left w:val="nil"/>
              <w:bottom w:val="nil"/>
              <w:right w:val="nil"/>
            </w:tcBorders>
          </w:tcPr>
          <w:p w14:paraId="44264774"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B9004CF"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F15409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53 (44-62)</w:t>
            </w:r>
          </w:p>
        </w:tc>
        <w:tc>
          <w:tcPr>
            <w:tcW w:w="1511" w:type="dxa"/>
            <w:tcBorders>
              <w:top w:val="nil"/>
              <w:left w:val="nil"/>
              <w:bottom w:val="nil"/>
              <w:right w:val="nil"/>
            </w:tcBorders>
            <w:vAlign w:val="bottom"/>
          </w:tcPr>
          <w:p w14:paraId="5D5C581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52 (43-61)</w:t>
            </w:r>
          </w:p>
        </w:tc>
        <w:tc>
          <w:tcPr>
            <w:tcW w:w="1440" w:type="dxa"/>
            <w:tcBorders>
              <w:top w:val="nil"/>
              <w:left w:val="nil"/>
              <w:bottom w:val="nil"/>
              <w:right w:val="nil"/>
            </w:tcBorders>
            <w:vAlign w:val="bottom"/>
          </w:tcPr>
          <w:p w14:paraId="3AAD609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0.045</w:t>
            </w:r>
          </w:p>
        </w:tc>
      </w:tr>
      <w:tr w:rsidR="00AB07C2" w:rsidRPr="00842289" w14:paraId="5A72FCA1" w14:textId="77777777" w:rsidTr="00AB07C2">
        <w:trPr>
          <w:jc w:val="center"/>
        </w:trPr>
        <w:tc>
          <w:tcPr>
            <w:tcW w:w="4253" w:type="dxa"/>
            <w:tcBorders>
              <w:top w:val="nil"/>
              <w:left w:val="nil"/>
              <w:bottom w:val="nil"/>
              <w:right w:val="nil"/>
            </w:tcBorders>
          </w:tcPr>
          <w:p w14:paraId="1CD72B17"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Body-mass index*</w:t>
            </w:r>
            <w:r w:rsidRPr="00842289">
              <w:rPr>
                <w:rFonts w:ascii="Calibri" w:eastAsia="Calibri" w:hAnsi="Calibri" w:cs="Times New Roman"/>
                <w:vertAlign w:val="superscript"/>
              </w:rPr>
              <w:t>4</w:t>
            </w:r>
            <w:r w:rsidRPr="00842289">
              <w:rPr>
                <w:rFonts w:ascii="Calibri" w:eastAsia="Calibri" w:hAnsi="Calibri" w:cs="Times New Roman"/>
                <w:b/>
              </w:rPr>
              <w:t xml:space="preserve"> </w:t>
            </w:r>
            <w:r w:rsidRPr="00842289">
              <w:rPr>
                <w:rFonts w:ascii="Calibri" w:eastAsia="Calibri" w:hAnsi="Calibri" w:cs="Times New Roman"/>
              </w:rPr>
              <w:t>(median (IQR))</w:t>
            </w:r>
          </w:p>
        </w:tc>
        <w:tc>
          <w:tcPr>
            <w:tcW w:w="2837" w:type="dxa"/>
            <w:tcBorders>
              <w:top w:val="nil"/>
              <w:left w:val="nil"/>
              <w:bottom w:val="nil"/>
              <w:right w:val="nil"/>
            </w:tcBorders>
            <w:vAlign w:val="bottom"/>
          </w:tcPr>
          <w:p w14:paraId="059CE248"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26 (22-29)</w:t>
            </w:r>
          </w:p>
        </w:tc>
        <w:tc>
          <w:tcPr>
            <w:tcW w:w="2082" w:type="dxa"/>
            <w:tcBorders>
              <w:top w:val="nil"/>
              <w:left w:val="nil"/>
              <w:bottom w:val="nil"/>
              <w:right w:val="nil"/>
            </w:tcBorders>
            <w:vAlign w:val="bottom"/>
          </w:tcPr>
          <w:p w14:paraId="6EA19E39"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26 (23-31)</w:t>
            </w:r>
          </w:p>
        </w:tc>
        <w:tc>
          <w:tcPr>
            <w:tcW w:w="1388" w:type="dxa"/>
            <w:tcBorders>
              <w:top w:val="nil"/>
              <w:left w:val="nil"/>
              <w:bottom w:val="nil"/>
              <w:right w:val="nil"/>
            </w:tcBorders>
            <w:vAlign w:val="bottom"/>
          </w:tcPr>
          <w:p w14:paraId="493FE82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0.191</w:t>
            </w:r>
          </w:p>
        </w:tc>
        <w:tc>
          <w:tcPr>
            <w:tcW w:w="247" w:type="dxa"/>
            <w:tcBorders>
              <w:top w:val="nil"/>
              <w:left w:val="nil"/>
              <w:bottom w:val="nil"/>
              <w:right w:val="nil"/>
            </w:tcBorders>
          </w:tcPr>
          <w:p w14:paraId="33B99B99"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72931359"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0F5A243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26 (23-30)</w:t>
            </w:r>
          </w:p>
        </w:tc>
        <w:tc>
          <w:tcPr>
            <w:tcW w:w="1511" w:type="dxa"/>
            <w:tcBorders>
              <w:top w:val="nil"/>
              <w:left w:val="nil"/>
              <w:bottom w:val="nil"/>
              <w:right w:val="nil"/>
            </w:tcBorders>
            <w:vAlign w:val="bottom"/>
          </w:tcPr>
          <w:p w14:paraId="102BEE3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26 (22-30)</w:t>
            </w:r>
          </w:p>
        </w:tc>
        <w:tc>
          <w:tcPr>
            <w:tcW w:w="1440" w:type="dxa"/>
            <w:tcBorders>
              <w:top w:val="nil"/>
              <w:left w:val="nil"/>
              <w:bottom w:val="nil"/>
              <w:right w:val="nil"/>
            </w:tcBorders>
            <w:vAlign w:val="bottom"/>
          </w:tcPr>
          <w:p w14:paraId="005F134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0.024</w:t>
            </w:r>
          </w:p>
        </w:tc>
      </w:tr>
      <w:tr w:rsidR="00AB07C2" w:rsidRPr="00842289" w14:paraId="10595EDA" w14:textId="77777777" w:rsidTr="00AB07C2">
        <w:trPr>
          <w:jc w:val="center"/>
        </w:trPr>
        <w:tc>
          <w:tcPr>
            <w:tcW w:w="4253" w:type="dxa"/>
            <w:tcBorders>
              <w:top w:val="nil"/>
              <w:left w:val="nil"/>
              <w:bottom w:val="nil"/>
              <w:right w:val="nil"/>
            </w:tcBorders>
          </w:tcPr>
          <w:p w14:paraId="0852A008"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Prior exacerbations</w:t>
            </w:r>
            <w:r w:rsidRPr="00842289">
              <w:rPr>
                <w:rFonts w:ascii="Calibri" w:eastAsia="Calibri" w:hAnsi="Calibri" w:cs="Times New Roman"/>
                <w:b/>
                <w:vertAlign w:val="superscript"/>
              </w:rPr>
              <w:t>11</w:t>
            </w:r>
            <w:r w:rsidRPr="00842289">
              <w:rPr>
                <w:rFonts w:ascii="Calibri" w:eastAsia="Calibri" w:hAnsi="Calibri" w:cs="Times New Roman"/>
                <w:b/>
              </w:rPr>
              <w:t xml:space="preserve"> </w:t>
            </w:r>
            <w:r w:rsidRPr="00842289">
              <w:rPr>
                <w:rFonts w:ascii="Calibri" w:eastAsia="Calibri" w:hAnsi="Calibri" w:cs="Times New Roman"/>
              </w:rPr>
              <w:t>((mean (SD))</w:t>
            </w:r>
          </w:p>
        </w:tc>
        <w:tc>
          <w:tcPr>
            <w:tcW w:w="2837" w:type="dxa"/>
            <w:tcBorders>
              <w:top w:val="nil"/>
              <w:left w:val="nil"/>
              <w:bottom w:val="nil"/>
              <w:right w:val="nil"/>
            </w:tcBorders>
            <w:vAlign w:val="bottom"/>
          </w:tcPr>
          <w:p w14:paraId="64D21837"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0.51 (0.92)</w:t>
            </w:r>
          </w:p>
        </w:tc>
        <w:tc>
          <w:tcPr>
            <w:tcW w:w="2082" w:type="dxa"/>
            <w:tcBorders>
              <w:top w:val="nil"/>
              <w:left w:val="nil"/>
              <w:bottom w:val="nil"/>
              <w:right w:val="nil"/>
            </w:tcBorders>
            <w:vAlign w:val="bottom"/>
          </w:tcPr>
          <w:p w14:paraId="6AF7D07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0.66 (1.13)</w:t>
            </w:r>
          </w:p>
        </w:tc>
        <w:tc>
          <w:tcPr>
            <w:tcW w:w="1388" w:type="dxa"/>
            <w:tcBorders>
              <w:top w:val="nil"/>
              <w:left w:val="nil"/>
              <w:bottom w:val="nil"/>
              <w:right w:val="nil"/>
            </w:tcBorders>
            <w:vAlign w:val="bottom"/>
          </w:tcPr>
          <w:p w14:paraId="40065BC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0.148</w:t>
            </w:r>
          </w:p>
        </w:tc>
        <w:tc>
          <w:tcPr>
            <w:tcW w:w="247" w:type="dxa"/>
            <w:tcBorders>
              <w:top w:val="nil"/>
              <w:left w:val="nil"/>
              <w:bottom w:val="nil"/>
              <w:right w:val="nil"/>
            </w:tcBorders>
          </w:tcPr>
          <w:p w14:paraId="4EFC7BD9"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47280C66"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6670735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 xml:space="preserve">     0.56 (0.96)</w:t>
            </w:r>
          </w:p>
        </w:tc>
        <w:tc>
          <w:tcPr>
            <w:tcW w:w="1511" w:type="dxa"/>
            <w:tcBorders>
              <w:top w:val="nil"/>
              <w:left w:val="nil"/>
              <w:bottom w:val="nil"/>
              <w:right w:val="nil"/>
            </w:tcBorders>
            <w:vAlign w:val="bottom"/>
          </w:tcPr>
          <w:p w14:paraId="03063CC9"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 xml:space="preserve">     0.62 (1.04)</w:t>
            </w:r>
          </w:p>
        </w:tc>
        <w:tc>
          <w:tcPr>
            <w:tcW w:w="1440" w:type="dxa"/>
            <w:tcBorders>
              <w:top w:val="nil"/>
              <w:left w:val="nil"/>
              <w:bottom w:val="nil"/>
              <w:right w:val="nil"/>
            </w:tcBorders>
            <w:vAlign w:val="bottom"/>
          </w:tcPr>
          <w:p w14:paraId="21568C8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0.060</w:t>
            </w:r>
          </w:p>
        </w:tc>
      </w:tr>
      <w:tr w:rsidR="00AB07C2" w:rsidRPr="00842289" w14:paraId="14073284" w14:textId="77777777" w:rsidTr="00AB07C2">
        <w:trPr>
          <w:jc w:val="center"/>
        </w:trPr>
        <w:tc>
          <w:tcPr>
            <w:tcW w:w="4253" w:type="dxa"/>
            <w:tcBorders>
              <w:top w:val="nil"/>
              <w:left w:val="nil"/>
              <w:bottom w:val="nil"/>
              <w:right w:val="nil"/>
            </w:tcBorders>
          </w:tcPr>
          <w:p w14:paraId="4F9892D5"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Cardiovascular disease</w:t>
            </w:r>
            <w:r w:rsidRPr="00842289">
              <w:rPr>
                <w:rFonts w:ascii="Calibri" w:eastAsia="Calibri" w:hAnsi="Calibri" w:cs="Times New Roman"/>
                <w:vertAlign w:val="superscript"/>
              </w:rPr>
              <w:t>7</w:t>
            </w:r>
          </w:p>
        </w:tc>
        <w:tc>
          <w:tcPr>
            <w:tcW w:w="2837" w:type="dxa"/>
            <w:tcBorders>
              <w:top w:val="nil"/>
              <w:left w:val="nil"/>
              <w:bottom w:val="nil"/>
              <w:right w:val="nil"/>
            </w:tcBorders>
          </w:tcPr>
          <w:p w14:paraId="2B45D3B7" w14:textId="77777777" w:rsidR="00AB07C2" w:rsidRPr="00842289" w:rsidRDefault="00AB07C2" w:rsidP="00125EE0">
            <w:pPr>
              <w:spacing w:after="0" w:line="240" w:lineRule="auto"/>
              <w:jc w:val="center"/>
              <w:rPr>
                <w:rFonts w:ascii="Calibri" w:eastAsia="Calibri" w:hAnsi="Calibri" w:cs="Times New Roman"/>
              </w:rPr>
            </w:pPr>
          </w:p>
        </w:tc>
        <w:tc>
          <w:tcPr>
            <w:tcW w:w="2082" w:type="dxa"/>
            <w:tcBorders>
              <w:top w:val="nil"/>
              <w:left w:val="nil"/>
              <w:bottom w:val="nil"/>
              <w:right w:val="nil"/>
            </w:tcBorders>
          </w:tcPr>
          <w:p w14:paraId="30D7E142" w14:textId="77777777" w:rsidR="00AB07C2" w:rsidRPr="00842289" w:rsidRDefault="00AB07C2" w:rsidP="00125EE0">
            <w:pPr>
              <w:spacing w:after="0" w:line="240" w:lineRule="auto"/>
              <w:jc w:val="center"/>
              <w:rPr>
                <w:rFonts w:ascii="Calibri" w:eastAsia="Calibri" w:hAnsi="Calibri" w:cs="Times New Roman"/>
              </w:rPr>
            </w:pPr>
          </w:p>
        </w:tc>
        <w:tc>
          <w:tcPr>
            <w:tcW w:w="1388" w:type="dxa"/>
            <w:tcBorders>
              <w:top w:val="nil"/>
              <w:left w:val="nil"/>
              <w:bottom w:val="nil"/>
              <w:right w:val="nil"/>
            </w:tcBorders>
          </w:tcPr>
          <w:p w14:paraId="64E96948"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978D3DC"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B647D8E"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39319A3C" w14:textId="77777777" w:rsidR="00AB07C2" w:rsidRPr="00842289" w:rsidRDefault="00AB07C2" w:rsidP="00125EE0">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3EF6CDFB" w14:textId="77777777" w:rsidR="00AB07C2" w:rsidRPr="00842289" w:rsidRDefault="00AB07C2" w:rsidP="00125EE0">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1D48FC63" w14:textId="77777777" w:rsidR="00AB07C2" w:rsidRPr="00842289" w:rsidRDefault="00AB07C2" w:rsidP="00125EE0">
            <w:pPr>
              <w:spacing w:after="0" w:line="240" w:lineRule="auto"/>
              <w:jc w:val="center"/>
              <w:rPr>
                <w:rFonts w:ascii="Calibri" w:eastAsia="Calibri" w:hAnsi="Calibri" w:cs="Times New Roman"/>
              </w:rPr>
            </w:pPr>
          </w:p>
        </w:tc>
      </w:tr>
      <w:tr w:rsidR="00AB07C2" w:rsidRPr="00842289" w14:paraId="03DFEC7F" w14:textId="77777777" w:rsidTr="00AB07C2">
        <w:trPr>
          <w:jc w:val="center"/>
        </w:trPr>
        <w:tc>
          <w:tcPr>
            <w:tcW w:w="4253" w:type="dxa"/>
            <w:tcBorders>
              <w:top w:val="nil"/>
              <w:left w:val="nil"/>
              <w:bottom w:val="nil"/>
              <w:right w:val="nil"/>
            </w:tcBorders>
          </w:tcPr>
          <w:p w14:paraId="7329AF8B"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Coronary heart disease</w:t>
            </w:r>
          </w:p>
        </w:tc>
        <w:tc>
          <w:tcPr>
            <w:tcW w:w="2837" w:type="dxa"/>
            <w:tcBorders>
              <w:top w:val="nil"/>
              <w:left w:val="nil"/>
              <w:bottom w:val="nil"/>
              <w:right w:val="nil"/>
            </w:tcBorders>
            <w:vAlign w:val="bottom"/>
          </w:tcPr>
          <w:p w14:paraId="21404D2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1114 (27)</w:t>
            </w:r>
          </w:p>
        </w:tc>
        <w:tc>
          <w:tcPr>
            <w:tcW w:w="2082" w:type="dxa"/>
            <w:tcBorders>
              <w:top w:val="nil"/>
              <w:left w:val="nil"/>
              <w:bottom w:val="nil"/>
              <w:right w:val="nil"/>
            </w:tcBorders>
            <w:vAlign w:val="bottom"/>
          </w:tcPr>
          <w:p w14:paraId="3ADD7D8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1783 (17)</w:t>
            </w:r>
          </w:p>
        </w:tc>
        <w:tc>
          <w:tcPr>
            <w:tcW w:w="1388" w:type="dxa"/>
            <w:tcBorders>
              <w:top w:val="nil"/>
              <w:left w:val="nil"/>
              <w:bottom w:val="nil"/>
              <w:right w:val="nil"/>
            </w:tcBorders>
            <w:vAlign w:val="bottom"/>
          </w:tcPr>
          <w:p w14:paraId="5E2691F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0.232</w:t>
            </w:r>
          </w:p>
        </w:tc>
        <w:tc>
          <w:tcPr>
            <w:tcW w:w="247" w:type="dxa"/>
            <w:tcBorders>
              <w:top w:val="nil"/>
              <w:left w:val="nil"/>
              <w:bottom w:val="nil"/>
              <w:right w:val="nil"/>
            </w:tcBorders>
          </w:tcPr>
          <w:p w14:paraId="08BB9C36"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0647C6A"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4A05BC3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720 (27)</w:t>
            </w:r>
          </w:p>
        </w:tc>
        <w:tc>
          <w:tcPr>
            <w:tcW w:w="1511" w:type="dxa"/>
            <w:tcBorders>
              <w:top w:val="nil"/>
              <w:left w:val="nil"/>
              <w:bottom w:val="nil"/>
              <w:right w:val="nil"/>
            </w:tcBorders>
            <w:vAlign w:val="bottom"/>
          </w:tcPr>
          <w:p w14:paraId="591224F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441 (17)</w:t>
            </w:r>
          </w:p>
        </w:tc>
        <w:tc>
          <w:tcPr>
            <w:tcW w:w="1440" w:type="dxa"/>
            <w:tcBorders>
              <w:top w:val="nil"/>
              <w:left w:val="nil"/>
              <w:bottom w:val="nil"/>
              <w:right w:val="nil"/>
            </w:tcBorders>
            <w:vAlign w:val="bottom"/>
          </w:tcPr>
          <w:p w14:paraId="28208D78"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0.257</w:t>
            </w:r>
          </w:p>
        </w:tc>
      </w:tr>
      <w:tr w:rsidR="00AB07C2" w:rsidRPr="00842289" w14:paraId="2E4DD353" w14:textId="77777777" w:rsidTr="00AB07C2">
        <w:trPr>
          <w:jc w:val="center"/>
        </w:trPr>
        <w:tc>
          <w:tcPr>
            <w:tcW w:w="4253" w:type="dxa"/>
            <w:tcBorders>
              <w:top w:val="nil"/>
              <w:left w:val="nil"/>
              <w:bottom w:val="nil"/>
              <w:right w:val="nil"/>
            </w:tcBorders>
          </w:tcPr>
          <w:p w14:paraId="40806495"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Peripheral vascular disease</w:t>
            </w:r>
          </w:p>
        </w:tc>
        <w:tc>
          <w:tcPr>
            <w:tcW w:w="2837" w:type="dxa"/>
            <w:tcBorders>
              <w:top w:val="nil"/>
              <w:left w:val="nil"/>
              <w:bottom w:val="nil"/>
              <w:right w:val="nil"/>
            </w:tcBorders>
            <w:vAlign w:val="bottom"/>
          </w:tcPr>
          <w:p w14:paraId="189F748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390 (9)</w:t>
            </w:r>
          </w:p>
        </w:tc>
        <w:tc>
          <w:tcPr>
            <w:tcW w:w="2082" w:type="dxa"/>
            <w:tcBorders>
              <w:top w:val="nil"/>
              <w:left w:val="nil"/>
              <w:bottom w:val="nil"/>
              <w:right w:val="nil"/>
            </w:tcBorders>
            <w:vAlign w:val="bottom"/>
          </w:tcPr>
          <w:p w14:paraId="38474FE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648 (6)</w:t>
            </w:r>
          </w:p>
        </w:tc>
        <w:tc>
          <w:tcPr>
            <w:tcW w:w="1388" w:type="dxa"/>
            <w:tcBorders>
              <w:top w:val="nil"/>
              <w:left w:val="nil"/>
              <w:bottom w:val="nil"/>
              <w:right w:val="nil"/>
            </w:tcBorders>
            <w:vAlign w:val="bottom"/>
          </w:tcPr>
          <w:p w14:paraId="22D1A62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0.116</w:t>
            </w:r>
          </w:p>
        </w:tc>
        <w:tc>
          <w:tcPr>
            <w:tcW w:w="247" w:type="dxa"/>
            <w:tcBorders>
              <w:top w:val="nil"/>
              <w:left w:val="nil"/>
              <w:bottom w:val="nil"/>
              <w:right w:val="nil"/>
            </w:tcBorders>
          </w:tcPr>
          <w:p w14:paraId="5FE07126"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40619B1E"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7B889F58"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253 (10)</w:t>
            </w:r>
          </w:p>
        </w:tc>
        <w:tc>
          <w:tcPr>
            <w:tcW w:w="1511" w:type="dxa"/>
            <w:tcBorders>
              <w:top w:val="nil"/>
              <w:left w:val="nil"/>
              <w:bottom w:val="nil"/>
              <w:right w:val="nil"/>
            </w:tcBorders>
            <w:vAlign w:val="bottom"/>
          </w:tcPr>
          <w:p w14:paraId="4355DDD1"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166 (6)</w:t>
            </w:r>
          </w:p>
        </w:tc>
        <w:tc>
          <w:tcPr>
            <w:tcW w:w="1440" w:type="dxa"/>
            <w:tcBorders>
              <w:top w:val="nil"/>
              <w:left w:val="nil"/>
              <w:bottom w:val="nil"/>
              <w:right w:val="nil"/>
            </w:tcBorders>
            <w:vAlign w:val="bottom"/>
          </w:tcPr>
          <w:p w14:paraId="502B75A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0.122</w:t>
            </w:r>
          </w:p>
        </w:tc>
      </w:tr>
      <w:tr w:rsidR="00AB07C2" w:rsidRPr="00842289" w14:paraId="392CDFD8" w14:textId="77777777" w:rsidTr="00AB07C2">
        <w:trPr>
          <w:jc w:val="center"/>
        </w:trPr>
        <w:tc>
          <w:tcPr>
            <w:tcW w:w="4253" w:type="dxa"/>
            <w:tcBorders>
              <w:top w:val="nil"/>
              <w:left w:val="nil"/>
              <w:bottom w:val="nil"/>
              <w:right w:val="nil"/>
            </w:tcBorders>
          </w:tcPr>
          <w:p w14:paraId="7AB0E573"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Cerebrovascular disease*</w:t>
            </w:r>
          </w:p>
        </w:tc>
        <w:tc>
          <w:tcPr>
            <w:tcW w:w="2837" w:type="dxa"/>
            <w:tcBorders>
              <w:top w:val="nil"/>
              <w:left w:val="nil"/>
              <w:bottom w:val="nil"/>
              <w:right w:val="nil"/>
            </w:tcBorders>
            <w:vAlign w:val="bottom"/>
          </w:tcPr>
          <w:p w14:paraId="6F5F65D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434 (10)</w:t>
            </w:r>
          </w:p>
        </w:tc>
        <w:tc>
          <w:tcPr>
            <w:tcW w:w="2082" w:type="dxa"/>
            <w:tcBorders>
              <w:top w:val="nil"/>
              <w:left w:val="nil"/>
              <w:bottom w:val="nil"/>
              <w:right w:val="nil"/>
            </w:tcBorders>
            <w:vAlign w:val="bottom"/>
          </w:tcPr>
          <w:p w14:paraId="39D3972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714 (7)</w:t>
            </w:r>
          </w:p>
        </w:tc>
        <w:tc>
          <w:tcPr>
            <w:tcW w:w="1388" w:type="dxa"/>
            <w:tcBorders>
              <w:top w:val="nil"/>
              <w:left w:val="nil"/>
              <w:bottom w:val="nil"/>
              <w:right w:val="nil"/>
            </w:tcBorders>
            <w:vAlign w:val="bottom"/>
          </w:tcPr>
          <w:p w14:paraId="055A216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0.126</w:t>
            </w:r>
          </w:p>
        </w:tc>
        <w:tc>
          <w:tcPr>
            <w:tcW w:w="247" w:type="dxa"/>
            <w:tcBorders>
              <w:top w:val="nil"/>
              <w:left w:val="nil"/>
              <w:bottom w:val="nil"/>
              <w:right w:val="nil"/>
            </w:tcBorders>
          </w:tcPr>
          <w:p w14:paraId="6DC0911C"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F8BC275"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7FAFA98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212 (8)</w:t>
            </w:r>
          </w:p>
        </w:tc>
        <w:tc>
          <w:tcPr>
            <w:tcW w:w="1511" w:type="dxa"/>
            <w:tcBorders>
              <w:top w:val="nil"/>
              <w:left w:val="nil"/>
              <w:bottom w:val="nil"/>
              <w:right w:val="nil"/>
            </w:tcBorders>
            <w:vAlign w:val="bottom"/>
          </w:tcPr>
          <w:p w14:paraId="1108055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222 (8)</w:t>
            </w:r>
          </w:p>
        </w:tc>
        <w:tc>
          <w:tcPr>
            <w:tcW w:w="1440" w:type="dxa"/>
            <w:tcBorders>
              <w:top w:val="nil"/>
              <w:left w:val="nil"/>
              <w:bottom w:val="nil"/>
              <w:right w:val="nil"/>
            </w:tcBorders>
            <w:vAlign w:val="bottom"/>
          </w:tcPr>
          <w:p w14:paraId="7BC11418"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0.014</w:t>
            </w:r>
          </w:p>
        </w:tc>
      </w:tr>
      <w:tr w:rsidR="00AB07C2" w:rsidRPr="00842289" w14:paraId="066813E7" w14:textId="77777777" w:rsidTr="00AB07C2">
        <w:trPr>
          <w:jc w:val="center"/>
        </w:trPr>
        <w:tc>
          <w:tcPr>
            <w:tcW w:w="4253" w:type="dxa"/>
            <w:tcBorders>
              <w:top w:val="nil"/>
              <w:left w:val="nil"/>
              <w:bottom w:val="nil"/>
              <w:right w:val="nil"/>
            </w:tcBorders>
          </w:tcPr>
          <w:p w14:paraId="09943684"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Other atherosclerosis</w:t>
            </w:r>
          </w:p>
        </w:tc>
        <w:tc>
          <w:tcPr>
            <w:tcW w:w="2837" w:type="dxa"/>
            <w:tcBorders>
              <w:top w:val="nil"/>
              <w:left w:val="nil"/>
              <w:bottom w:val="nil"/>
              <w:right w:val="nil"/>
            </w:tcBorders>
            <w:vAlign w:val="bottom"/>
          </w:tcPr>
          <w:p w14:paraId="15FC1FA7"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11 (0)</w:t>
            </w:r>
          </w:p>
        </w:tc>
        <w:tc>
          <w:tcPr>
            <w:tcW w:w="2082" w:type="dxa"/>
            <w:tcBorders>
              <w:top w:val="nil"/>
              <w:left w:val="nil"/>
              <w:bottom w:val="nil"/>
              <w:right w:val="nil"/>
            </w:tcBorders>
            <w:vAlign w:val="bottom"/>
          </w:tcPr>
          <w:p w14:paraId="0456F7E7"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20 (0)</w:t>
            </w:r>
          </w:p>
        </w:tc>
        <w:tc>
          <w:tcPr>
            <w:tcW w:w="1388" w:type="dxa"/>
            <w:tcBorders>
              <w:top w:val="nil"/>
              <w:left w:val="nil"/>
              <w:bottom w:val="nil"/>
              <w:right w:val="nil"/>
            </w:tcBorders>
            <w:vAlign w:val="bottom"/>
          </w:tcPr>
          <w:p w14:paraId="17710F2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0.015</w:t>
            </w:r>
          </w:p>
        </w:tc>
        <w:tc>
          <w:tcPr>
            <w:tcW w:w="247" w:type="dxa"/>
            <w:tcBorders>
              <w:top w:val="nil"/>
              <w:left w:val="nil"/>
              <w:bottom w:val="nil"/>
              <w:right w:val="nil"/>
            </w:tcBorders>
          </w:tcPr>
          <w:p w14:paraId="675FAB93"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C462721"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0A57F91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7 (0)</w:t>
            </w:r>
          </w:p>
        </w:tc>
        <w:tc>
          <w:tcPr>
            <w:tcW w:w="1511" w:type="dxa"/>
            <w:tcBorders>
              <w:top w:val="nil"/>
              <w:left w:val="nil"/>
              <w:bottom w:val="nil"/>
              <w:right w:val="nil"/>
            </w:tcBorders>
            <w:vAlign w:val="bottom"/>
          </w:tcPr>
          <w:p w14:paraId="6BFB30C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7 (0)</w:t>
            </w:r>
          </w:p>
        </w:tc>
        <w:tc>
          <w:tcPr>
            <w:tcW w:w="1440" w:type="dxa"/>
            <w:tcBorders>
              <w:top w:val="nil"/>
              <w:left w:val="nil"/>
              <w:bottom w:val="nil"/>
              <w:right w:val="nil"/>
            </w:tcBorders>
            <w:vAlign w:val="bottom"/>
          </w:tcPr>
          <w:p w14:paraId="1E8C460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0.008</w:t>
            </w:r>
          </w:p>
        </w:tc>
      </w:tr>
      <w:tr w:rsidR="00AB07C2" w:rsidRPr="00842289" w14:paraId="1EFA98BB" w14:textId="77777777" w:rsidTr="00AB07C2">
        <w:trPr>
          <w:jc w:val="center"/>
        </w:trPr>
        <w:tc>
          <w:tcPr>
            <w:tcW w:w="4253" w:type="dxa"/>
            <w:tcBorders>
              <w:top w:val="nil"/>
              <w:left w:val="nil"/>
              <w:bottom w:val="nil"/>
              <w:right w:val="nil"/>
            </w:tcBorders>
          </w:tcPr>
          <w:p w14:paraId="61D03AB7"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Statin prescription*</w:t>
            </w:r>
            <w:r w:rsidRPr="00842289">
              <w:rPr>
                <w:rFonts w:ascii="Calibri" w:eastAsia="Calibri" w:hAnsi="Calibri" w:cs="Times New Roman"/>
                <w:b/>
                <w:vertAlign w:val="superscript"/>
              </w:rPr>
              <w:t>8</w:t>
            </w:r>
          </w:p>
        </w:tc>
        <w:tc>
          <w:tcPr>
            <w:tcW w:w="2837" w:type="dxa"/>
            <w:tcBorders>
              <w:top w:val="nil"/>
              <w:left w:val="nil"/>
              <w:bottom w:val="nil"/>
              <w:right w:val="nil"/>
            </w:tcBorders>
            <w:vAlign w:val="bottom"/>
          </w:tcPr>
          <w:p w14:paraId="0C69685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2066 (49)</w:t>
            </w:r>
          </w:p>
        </w:tc>
        <w:tc>
          <w:tcPr>
            <w:tcW w:w="2082" w:type="dxa"/>
            <w:tcBorders>
              <w:top w:val="nil"/>
              <w:left w:val="nil"/>
              <w:bottom w:val="nil"/>
              <w:right w:val="nil"/>
            </w:tcBorders>
            <w:vAlign w:val="bottom"/>
          </w:tcPr>
          <w:p w14:paraId="42D537C9"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4614 (44)</w:t>
            </w:r>
          </w:p>
        </w:tc>
        <w:tc>
          <w:tcPr>
            <w:tcW w:w="1388" w:type="dxa"/>
            <w:tcBorders>
              <w:top w:val="nil"/>
              <w:left w:val="nil"/>
              <w:bottom w:val="nil"/>
              <w:right w:val="nil"/>
            </w:tcBorders>
            <w:vAlign w:val="bottom"/>
          </w:tcPr>
          <w:p w14:paraId="08C9F3D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0.103</w:t>
            </w:r>
          </w:p>
        </w:tc>
        <w:tc>
          <w:tcPr>
            <w:tcW w:w="247" w:type="dxa"/>
            <w:tcBorders>
              <w:top w:val="nil"/>
              <w:left w:val="nil"/>
              <w:bottom w:val="nil"/>
              <w:right w:val="nil"/>
            </w:tcBorders>
          </w:tcPr>
          <w:p w14:paraId="469D1098"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292709C"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6F6DEE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1227 (46)</w:t>
            </w:r>
          </w:p>
        </w:tc>
        <w:tc>
          <w:tcPr>
            <w:tcW w:w="1511" w:type="dxa"/>
            <w:tcBorders>
              <w:top w:val="nil"/>
              <w:left w:val="nil"/>
              <w:bottom w:val="nil"/>
              <w:right w:val="nil"/>
            </w:tcBorders>
            <w:vAlign w:val="bottom"/>
          </w:tcPr>
          <w:p w14:paraId="17D1E94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1238 (47)</w:t>
            </w:r>
          </w:p>
        </w:tc>
        <w:tc>
          <w:tcPr>
            <w:tcW w:w="1440" w:type="dxa"/>
            <w:tcBorders>
              <w:top w:val="nil"/>
              <w:left w:val="nil"/>
              <w:bottom w:val="nil"/>
              <w:right w:val="nil"/>
            </w:tcBorders>
            <w:vAlign w:val="bottom"/>
          </w:tcPr>
          <w:p w14:paraId="6AF047A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0.008</w:t>
            </w:r>
          </w:p>
        </w:tc>
      </w:tr>
      <w:tr w:rsidR="00AB07C2" w:rsidRPr="00842289" w14:paraId="42E99714" w14:textId="77777777" w:rsidTr="00AB07C2">
        <w:trPr>
          <w:jc w:val="center"/>
        </w:trPr>
        <w:tc>
          <w:tcPr>
            <w:tcW w:w="4253" w:type="dxa"/>
            <w:tcBorders>
              <w:top w:val="nil"/>
              <w:left w:val="nil"/>
              <w:bottom w:val="nil"/>
              <w:right w:val="nil"/>
            </w:tcBorders>
          </w:tcPr>
          <w:p w14:paraId="0EC21288"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Aspirin prescription</w:t>
            </w:r>
            <w:r w:rsidRPr="00842289">
              <w:rPr>
                <w:rFonts w:ascii="Calibri" w:eastAsia="Calibri" w:hAnsi="Calibri" w:cs="Times New Roman"/>
                <w:b/>
                <w:vertAlign w:val="superscript"/>
              </w:rPr>
              <w:t>8</w:t>
            </w:r>
          </w:p>
        </w:tc>
        <w:tc>
          <w:tcPr>
            <w:tcW w:w="2837" w:type="dxa"/>
            <w:tcBorders>
              <w:top w:val="nil"/>
              <w:left w:val="nil"/>
              <w:bottom w:val="nil"/>
              <w:right w:val="nil"/>
            </w:tcBorders>
            <w:vAlign w:val="bottom"/>
          </w:tcPr>
          <w:p w14:paraId="464DA1A7"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1563 (37)</w:t>
            </w:r>
          </w:p>
        </w:tc>
        <w:tc>
          <w:tcPr>
            <w:tcW w:w="2082" w:type="dxa"/>
            <w:tcBorders>
              <w:top w:val="nil"/>
              <w:left w:val="nil"/>
              <w:bottom w:val="nil"/>
              <w:right w:val="nil"/>
            </w:tcBorders>
            <w:vAlign w:val="bottom"/>
          </w:tcPr>
          <w:p w14:paraId="2B3F70F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3129 (30)</w:t>
            </w:r>
          </w:p>
        </w:tc>
        <w:tc>
          <w:tcPr>
            <w:tcW w:w="1388" w:type="dxa"/>
            <w:tcBorders>
              <w:top w:val="nil"/>
              <w:left w:val="nil"/>
              <w:bottom w:val="nil"/>
              <w:right w:val="nil"/>
            </w:tcBorders>
            <w:vAlign w:val="bottom"/>
          </w:tcPr>
          <w:p w14:paraId="3BDE744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0.156</w:t>
            </w:r>
          </w:p>
        </w:tc>
        <w:tc>
          <w:tcPr>
            <w:tcW w:w="247" w:type="dxa"/>
            <w:tcBorders>
              <w:top w:val="nil"/>
              <w:left w:val="nil"/>
              <w:bottom w:val="nil"/>
              <w:right w:val="nil"/>
            </w:tcBorders>
          </w:tcPr>
          <w:p w14:paraId="601F7D84"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331F13DC"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4A49AFC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954 (36)</w:t>
            </w:r>
          </w:p>
        </w:tc>
        <w:tc>
          <w:tcPr>
            <w:tcW w:w="1511" w:type="dxa"/>
            <w:tcBorders>
              <w:top w:val="nil"/>
              <w:left w:val="nil"/>
              <w:bottom w:val="nil"/>
              <w:right w:val="nil"/>
            </w:tcBorders>
            <w:vAlign w:val="bottom"/>
          </w:tcPr>
          <w:p w14:paraId="07E8F209"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828 (31)</w:t>
            </w:r>
          </w:p>
        </w:tc>
        <w:tc>
          <w:tcPr>
            <w:tcW w:w="1440" w:type="dxa"/>
            <w:tcBorders>
              <w:top w:val="nil"/>
              <w:left w:val="nil"/>
              <w:bottom w:val="nil"/>
              <w:right w:val="nil"/>
            </w:tcBorders>
            <w:vAlign w:val="bottom"/>
          </w:tcPr>
          <w:p w14:paraId="0E99F21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0.101</w:t>
            </w:r>
          </w:p>
        </w:tc>
      </w:tr>
      <w:tr w:rsidR="00AB07C2" w:rsidRPr="00842289" w14:paraId="04BB8EBA" w14:textId="77777777" w:rsidTr="00AB07C2">
        <w:trPr>
          <w:jc w:val="center"/>
        </w:trPr>
        <w:tc>
          <w:tcPr>
            <w:tcW w:w="4253" w:type="dxa"/>
            <w:tcBorders>
              <w:top w:val="nil"/>
              <w:left w:val="nil"/>
              <w:bottom w:val="nil"/>
              <w:right w:val="nil"/>
            </w:tcBorders>
          </w:tcPr>
          <w:p w14:paraId="1655A69F"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Other COPD medication prescriptions</w:t>
            </w:r>
            <w:r w:rsidRPr="00842289">
              <w:rPr>
                <w:rFonts w:ascii="Calibri" w:eastAsia="Calibri" w:hAnsi="Calibri" w:cs="Times New Roman"/>
                <w:b/>
                <w:vertAlign w:val="superscript"/>
              </w:rPr>
              <w:t>8</w:t>
            </w:r>
            <w:r w:rsidRPr="00842289">
              <w:rPr>
                <w:rFonts w:ascii="Calibri" w:eastAsia="Calibri" w:hAnsi="Calibri" w:cs="Times New Roman"/>
                <w:b/>
              </w:rPr>
              <w:t>:</w:t>
            </w:r>
          </w:p>
        </w:tc>
        <w:tc>
          <w:tcPr>
            <w:tcW w:w="2837" w:type="dxa"/>
            <w:tcBorders>
              <w:top w:val="nil"/>
              <w:left w:val="nil"/>
              <w:bottom w:val="nil"/>
              <w:right w:val="nil"/>
            </w:tcBorders>
          </w:tcPr>
          <w:p w14:paraId="6EE5D8C2" w14:textId="77777777" w:rsidR="00AB07C2" w:rsidRPr="00842289" w:rsidRDefault="00AB07C2" w:rsidP="00125EE0">
            <w:pPr>
              <w:spacing w:after="0" w:line="240" w:lineRule="auto"/>
              <w:jc w:val="center"/>
              <w:rPr>
                <w:rFonts w:ascii="Calibri" w:eastAsia="Calibri" w:hAnsi="Calibri" w:cs="Times New Roman"/>
              </w:rPr>
            </w:pPr>
          </w:p>
        </w:tc>
        <w:tc>
          <w:tcPr>
            <w:tcW w:w="2082" w:type="dxa"/>
            <w:tcBorders>
              <w:top w:val="nil"/>
              <w:left w:val="nil"/>
              <w:bottom w:val="nil"/>
              <w:right w:val="nil"/>
            </w:tcBorders>
          </w:tcPr>
          <w:p w14:paraId="02B970C2" w14:textId="77777777" w:rsidR="00AB07C2" w:rsidRPr="00842289" w:rsidRDefault="00AB07C2" w:rsidP="00125EE0">
            <w:pPr>
              <w:spacing w:after="0" w:line="240" w:lineRule="auto"/>
              <w:jc w:val="center"/>
              <w:rPr>
                <w:rFonts w:ascii="Calibri" w:eastAsia="Calibri" w:hAnsi="Calibri" w:cs="Times New Roman"/>
              </w:rPr>
            </w:pPr>
          </w:p>
        </w:tc>
        <w:tc>
          <w:tcPr>
            <w:tcW w:w="1388" w:type="dxa"/>
            <w:tcBorders>
              <w:top w:val="nil"/>
              <w:left w:val="nil"/>
              <w:bottom w:val="nil"/>
              <w:right w:val="nil"/>
            </w:tcBorders>
          </w:tcPr>
          <w:p w14:paraId="1F2773B5"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478EA732"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46B0FBBC"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0EB63B95" w14:textId="77777777" w:rsidR="00AB07C2" w:rsidRPr="00842289" w:rsidRDefault="00AB07C2" w:rsidP="00125EE0">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00188645" w14:textId="77777777" w:rsidR="00AB07C2" w:rsidRPr="00842289" w:rsidRDefault="00AB07C2" w:rsidP="00125EE0">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47E3AEF3" w14:textId="77777777" w:rsidR="00AB07C2" w:rsidRPr="00842289" w:rsidRDefault="00AB07C2" w:rsidP="00125EE0">
            <w:pPr>
              <w:spacing w:after="0" w:line="240" w:lineRule="auto"/>
              <w:jc w:val="center"/>
              <w:rPr>
                <w:rFonts w:ascii="Calibri" w:eastAsia="Calibri" w:hAnsi="Calibri" w:cs="Times New Roman"/>
              </w:rPr>
            </w:pPr>
          </w:p>
        </w:tc>
      </w:tr>
      <w:tr w:rsidR="00AB07C2" w:rsidRPr="00842289" w14:paraId="3EF5403F" w14:textId="77777777" w:rsidTr="00AB07C2">
        <w:trPr>
          <w:jc w:val="center"/>
        </w:trPr>
        <w:tc>
          <w:tcPr>
            <w:tcW w:w="4253" w:type="dxa"/>
            <w:tcBorders>
              <w:top w:val="nil"/>
              <w:left w:val="nil"/>
              <w:bottom w:val="nil"/>
              <w:right w:val="nil"/>
            </w:tcBorders>
          </w:tcPr>
          <w:p w14:paraId="2A5F2CA5"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LABA</w:t>
            </w:r>
            <w:r w:rsidRPr="00842289">
              <w:rPr>
                <w:rFonts w:ascii="Calibri" w:eastAsia="Calibri" w:hAnsi="Calibri" w:cs="Times New Roman"/>
                <w:vertAlign w:val="superscript"/>
              </w:rPr>
              <w:t>9</w:t>
            </w:r>
          </w:p>
        </w:tc>
        <w:tc>
          <w:tcPr>
            <w:tcW w:w="2837" w:type="dxa"/>
            <w:tcBorders>
              <w:top w:val="nil"/>
              <w:left w:val="nil"/>
              <w:bottom w:val="nil"/>
              <w:right w:val="nil"/>
            </w:tcBorders>
            <w:vAlign w:val="bottom"/>
          </w:tcPr>
          <w:p w14:paraId="20407CD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295 (7)</w:t>
            </w:r>
          </w:p>
        </w:tc>
        <w:tc>
          <w:tcPr>
            <w:tcW w:w="2082" w:type="dxa"/>
            <w:tcBorders>
              <w:top w:val="nil"/>
              <w:left w:val="nil"/>
              <w:bottom w:val="nil"/>
              <w:right w:val="nil"/>
            </w:tcBorders>
            <w:vAlign w:val="bottom"/>
          </w:tcPr>
          <w:p w14:paraId="65017E0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333 (3)</w:t>
            </w:r>
          </w:p>
        </w:tc>
        <w:tc>
          <w:tcPr>
            <w:tcW w:w="1388" w:type="dxa"/>
            <w:tcBorders>
              <w:top w:val="nil"/>
              <w:left w:val="nil"/>
              <w:bottom w:val="nil"/>
              <w:right w:val="nil"/>
            </w:tcBorders>
            <w:vAlign w:val="bottom"/>
          </w:tcPr>
          <w:p w14:paraId="054D7292"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0.175</w:t>
            </w:r>
          </w:p>
        </w:tc>
        <w:tc>
          <w:tcPr>
            <w:tcW w:w="247" w:type="dxa"/>
            <w:tcBorders>
              <w:top w:val="nil"/>
              <w:left w:val="nil"/>
              <w:bottom w:val="nil"/>
              <w:right w:val="nil"/>
            </w:tcBorders>
          </w:tcPr>
          <w:p w14:paraId="07310736"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7EEE509F"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797D1D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197 (7)</w:t>
            </w:r>
          </w:p>
        </w:tc>
        <w:tc>
          <w:tcPr>
            <w:tcW w:w="1511" w:type="dxa"/>
            <w:tcBorders>
              <w:top w:val="nil"/>
              <w:left w:val="nil"/>
              <w:bottom w:val="nil"/>
              <w:right w:val="nil"/>
            </w:tcBorders>
            <w:vAlign w:val="bottom"/>
          </w:tcPr>
          <w:p w14:paraId="3659ABC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106 (4)</w:t>
            </w:r>
          </w:p>
        </w:tc>
        <w:tc>
          <w:tcPr>
            <w:tcW w:w="1440" w:type="dxa"/>
            <w:tcBorders>
              <w:top w:val="nil"/>
              <w:left w:val="nil"/>
              <w:bottom w:val="nil"/>
              <w:right w:val="nil"/>
            </w:tcBorders>
            <w:vAlign w:val="bottom"/>
          </w:tcPr>
          <w:p w14:paraId="291FAB2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0.148</w:t>
            </w:r>
          </w:p>
        </w:tc>
      </w:tr>
      <w:tr w:rsidR="00AB07C2" w:rsidRPr="00842289" w14:paraId="348732F1" w14:textId="77777777" w:rsidTr="00AB07C2">
        <w:trPr>
          <w:jc w:val="center"/>
        </w:trPr>
        <w:tc>
          <w:tcPr>
            <w:tcW w:w="4253" w:type="dxa"/>
            <w:tcBorders>
              <w:top w:val="nil"/>
              <w:left w:val="nil"/>
              <w:bottom w:val="nil"/>
              <w:right w:val="nil"/>
            </w:tcBorders>
          </w:tcPr>
          <w:p w14:paraId="61AE8541"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ICS*</w:t>
            </w:r>
            <w:r w:rsidRPr="00842289">
              <w:rPr>
                <w:rFonts w:ascii="Calibri" w:eastAsia="Calibri" w:hAnsi="Calibri" w:cs="Times New Roman"/>
                <w:vertAlign w:val="superscript"/>
              </w:rPr>
              <w:t>9</w:t>
            </w:r>
          </w:p>
        </w:tc>
        <w:tc>
          <w:tcPr>
            <w:tcW w:w="2837" w:type="dxa"/>
            <w:tcBorders>
              <w:top w:val="nil"/>
              <w:left w:val="nil"/>
              <w:bottom w:val="nil"/>
              <w:right w:val="nil"/>
            </w:tcBorders>
            <w:vAlign w:val="bottom"/>
          </w:tcPr>
          <w:p w14:paraId="7F3AFCA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530 (13)</w:t>
            </w:r>
          </w:p>
        </w:tc>
        <w:tc>
          <w:tcPr>
            <w:tcW w:w="2082" w:type="dxa"/>
            <w:tcBorders>
              <w:top w:val="nil"/>
              <w:left w:val="nil"/>
              <w:bottom w:val="nil"/>
              <w:right w:val="nil"/>
            </w:tcBorders>
            <w:vAlign w:val="bottom"/>
          </w:tcPr>
          <w:p w14:paraId="14FC98E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842 (8)</w:t>
            </w:r>
          </w:p>
        </w:tc>
        <w:tc>
          <w:tcPr>
            <w:tcW w:w="1388" w:type="dxa"/>
            <w:tcBorders>
              <w:top w:val="nil"/>
              <w:left w:val="nil"/>
              <w:bottom w:val="nil"/>
              <w:right w:val="nil"/>
            </w:tcBorders>
            <w:vAlign w:val="bottom"/>
          </w:tcPr>
          <w:p w14:paraId="3982626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0.151</w:t>
            </w:r>
          </w:p>
        </w:tc>
        <w:tc>
          <w:tcPr>
            <w:tcW w:w="247" w:type="dxa"/>
            <w:tcBorders>
              <w:top w:val="nil"/>
              <w:left w:val="nil"/>
              <w:bottom w:val="nil"/>
              <w:right w:val="nil"/>
            </w:tcBorders>
          </w:tcPr>
          <w:p w14:paraId="5A06FC9D"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915E707"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384CE92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280 (11)</w:t>
            </w:r>
          </w:p>
        </w:tc>
        <w:tc>
          <w:tcPr>
            <w:tcW w:w="1511" w:type="dxa"/>
            <w:tcBorders>
              <w:top w:val="nil"/>
              <w:left w:val="nil"/>
              <w:bottom w:val="nil"/>
              <w:right w:val="nil"/>
            </w:tcBorders>
            <w:vAlign w:val="bottom"/>
          </w:tcPr>
          <w:p w14:paraId="7998A54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333 (13)</w:t>
            </w:r>
          </w:p>
        </w:tc>
        <w:tc>
          <w:tcPr>
            <w:tcW w:w="1440" w:type="dxa"/>
            <w:tcBorders>
              <w:top w:val="nil"/>
              <w:left w:val="nil"/>
              <w:bottom w:val="nil"/>
              <w:right w:val="nil"/>
            </w:tcBorders>
            <w:vAlign w:val="bottom"/>
          </w:tcPr>
          <w:p w14:paraId="70096C28"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0.063</w:t>
            </w:r>
          </w:p>
        </w:tc>
      </w:tr>
      <w:tr w:rsidR="00AB07C2" w:rsidRPr="00842289" w14:paraId="3F7A79C8" w14:textId="77777777" w:rsidTr="00AB07C2">
        <w:trPr>
          <w:jc w:val="center"/>
        </w:trPr>
        <w:tc>
          <w:tcPr>
            <w:tcW w:w="4253" w:type="dxa"/>
            <w:tcBorders>
              <w:top w:val="nil"/>
              <w:left w:val="nil"/>
              <w:bottom w:val="nil"/>
              <w:right w:val="nil"/>
            </w:tcBorders>
          </w:tcPr>
          <w:p w14:paraId="41BA1D7E"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LAMA*</w:t>
            </w:r>
            <w:r w:rsidRPr="00842289">
              <w:rPr>
                <w:rFonts w:ascii="Calibri" w:eastAsia="Calibri" w:hAnsi="Calibri" w:cs="Times New Roman"/>
                <w:vertAlign w:val="superscript"/>
              </w:rPr>
              <w:t>9</w:t>
            </w:r>
          </w:p>
        </w:tc>
        <w:tc>
          <w:tcPr>
            <w:tcW w:w="2837" w:type="dxa"/>
            <w:tcBorders>
              <w:top w:val="nil"/>
              <w:left w:val="nil"/>
              <w:bottom w:val="nil"/>
              <w:right w:val="nil"/>
            </w:tcBorders>
            <w:vAlign w:val="bottom"/>
          </w:tcPr>
          <w:p w14:paraId="1C0A51B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1450 (35)</w:t>
            </w:r>
          </w:p>
        </w:tc>
        <w:tc>
          <w:tcPr>
            <w:tcW w:w="2082" w:type="dxa"/>
            <w:tcBorders>
              <w:top w:val="nil"/>
              <w:left w:val="nil"/>
              <w:bottom w:val="nil"/>
              <w:right w:val="nil"/>
            </w:tcBorders>
            <w:vAlign w:val="bottom"/>
          </w:tcPr>
          <w:p w14:paraId="52EE161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6284 (60)</w:t>
            </w:r>
          </w:p>
        </w:tc>
        <w:tc>
          <w:tcPr>
            <w:tcW w:w="1388" w:type="dxa"/>
            <w:tcBorders>
              <w:top w:val="nil"/>
              <w:left w:val="nil"/>
              <w:bottom w:val="nil"/>
              <w:right w:val="nil"/>
            </w:tcBorders>
            <w:vAlign w:val="bottom"/>
          </w:tcPr>
          <w:p w14:paraId="12D1B80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0.528</w:t>
            </w:r>
          </w:p>
        </w:tc>
        <w:tc>
          <w:tcPr>
            <w:tcW w:w="247" w:type="dxa"/>
            <w:tcBorders>
              <w:top w:val="nil"/>
              <w:left w:val="nil"/>
              <w:bottom w:val="nil"/>
              <w:right w:val="nil"/>
            </w:tcBorders>
          </w:tcPr>
          <w:p w14:paraId="128D0E27"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4864B773"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5ADE82F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1166 (44)</w:t>
            </w:r>
          </w:p>
        </w:tc>
        <w:tc>
          <w:tcPr>
            <w:tcW w:w="1511" w:type="dxa"/>
            <w:tcBorders>
              <w:top w:val="nil"/>
              <w:left w:val="nil"/>
              <w:bottom w:val="nil"/>
              <w:right w:val="nil"/>
            </w:tcBorders>
            <w:vAlign w:val="bottom"/>
          </w:tcPr>
          <w:p w14:paraId="2553A69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1177 (44)</w:t>
            </w:r>
          </w:p>
        </w:tc>
        <w:tc>
          <w:tcPr>
            <w:tcW w:w="1440" w:type="dxa"/>
            <w:tcBorders>
              <w:top w:val="nil"/>
              <w:left w:val="nil"/>
              <w:bottom w:val="nil"/>
              <w:right w:val="nil"/>
            </w:tcBorders>
            <w:vAlign w:val="bottom"/>
          </w:tcPr>
          <w:p w14:paraId="152B76D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0.008</w:t>
            </w:r>
          </w:p>
        </w:tc>
      </w:tr>
      <w:tr w:rsidR="00AB07C2" w:rsidRPr="00842289" w14:paraId="12332069" w14:textId="77777777" w:rsidTr="00AB07C2">
        <w:trPr>
          <w:jc w:val="center"/>
        </w:trPr>
        <w:tc>
          <w:tcPr>
            <w:tcW w:w="4253" w:type="dxa"/>
            <w:tcBorders>
              <w:top w:val="nil"/>
              <w:left w:val="nil"/>
              <w:bottom w:val="nil"/>
              <w:right w:val="nil"/>
            </w:tcBorders>
          </w:tcPr>
          <w:p w14:paraId="589ED488"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rPr>
              <w:t xml:space="preserve">      ICS plus LABA*</w:t>
            </w:r>
            <w:r w:rsidRPr="00842289">
              <w:rPr>
                <w:rFonts w:ascii="Calibri" w:eastAsia="Calibri" w:hAnsi="Calibri" w:cs="Times New Roman"/>
                <w:vertAlign w:val="superscript"/>
              </w:rPr>
              <w:t>10</w:t>
            </w:r>
          </w:p>
        </w:tc>
        <w:tc>
          <w:tcPr>
            <w:tcW w:w="2837" w:type="dxa"/>
            <w:tcBorders>
              <w:top w:val="nil"/>
              <w:left w:val="nil"/>
              <w:bottom w:val="nil"/>
              <w:right w:val="nil"/>
            </w:tcBorders>
            <w:vAlign w:val="bottom"/>
          </w:tcPr>
          <w:p w14:paraId="604C4E4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526 (13)</w:t>
            </w:r>
          </w:p>
        </w:tc>
        <w:tc>
          <w:tcPr>
            <w:tcW w:w="2082" w:type="dxa"/>
            <w:tcBorders>
              <w:top w:val="nil"/>
              <w:left w:val="nil"/>
              <w:bottom w:val="nil"/>
              <w:right w:val="nil"/>
            </w:tcBorders>
            <w:vAlign w:val="bottom"/>
          </w:tcPr>
          <w:p w14:paraId="6A64EB9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488 (5)</w:t>
            </w:r>
          </w:p>
        </w:tc>
        <w:tc>
          <w:tcPr>
            <w:tcW w:w="1388" w:type="dxa"/>
            <w:tcBorders>
              <w:top w:val="nil"/>
              <w:left w:val="nil"/>
              <w:bottom w:val="nil"/>
              <w:right w:val="nil"/>
            </w:tcBorders>
            <w:vAlign w:val="bottom"/>
          </w:tcPr>
          <w:p w14:paraId="3CADDC5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0.284</w:t>
            </w:r>
          </w:p>
        </w:tc>
        <w:tc>
          <w:tcPr>
            <w:tcW w:w="247" w:type="dxa"/>
            <w:tcBorders>
              <w:top w:val="nil"/>
              <w:left w:val="nil"/>
              <w:bottom w:val="nil"/>
              <w:right w:val="nil"/>
            </w:tcBorders>
          </w:tcPr>
          <w:p w14:paraId="74EBA895"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FAF634E"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56814E8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196 (7)</w:t>
            </w:r>
          </w:p>
        </w:tc>
        <w:tc>
          <w:tcPr>
            <w:tcW w:w="1511" w:type="dxa"/>
            <w:tcBorders>
              <w:top w:val="nil"/>
              <w:left w:val="nil"/>
              <w:bottom w:val="nil"/>
              <w:right w:val="nil"/>
            </w:tcBorders>
            <w:vAlign w:val="bottom"/>
          </w:tcPr>
          <w:p w14:paraId="39AE4472"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258 (10)</w:t>
            </w:r>
          </w:p>
        </w:tc>
        <w:tc>
          <w:tcPr>
            <w:tcW w:w="1440" w:type="dxa"/>
            <w:tcBorders>
              <w:top w:val="nil"/>
              <w:left w:val="nil"/>
              <w:bottom w:val="nil"/>
              <w:right w:val="nil"/>
            </w:tcBorders>
            <w:vAlign w:val="bottom"/>
          </w:tcPr>
          <w:p w14:paraId="6D84941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0.084</w:t>
            </w:r>
          </w:p>
        </w:tc>
      </w:tr>
      <w:tr w:rsidR="00AB07C2" w:rsidRPr="00842289" w14:paraId="0A8E5C08" w14:textId="77777777" w:rsidTr="00AB07C2">
        <w:trPr>
          <w:jc w:val="center"/>
        </w:trPr>
        <w:tc>
          <w:tcPr>
            <w:tcW w:w="4253" w:type="dxa"/>
            <w:tcBorders>
              <w:top w:val="nil"/>
              <w:left w:val="nil"/>
              <w:bottom w:val="nil"/>
              <w:right w:val="nil"/>
            </w:tcBorders>
          </w:tcPr>
          <w:p w14:paraId="4E6F29FF"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Type 2 diabetes</w:t>
            </w:r>
            <w:r w:rsidRPr="00842289">
              <w:rPr>
                <w:rFonts w:ascii="Calibri" w:eastAsia="Calibri" w:hAnsi="Calibri" w:cs="Times New Roman"/>
                <w:b/>
                <w:vertAlign w:val="superscript"/>
              </w:rPr>
              <w:t>7</w:t>
            </w:r>
          </w:p>
        </w:tc>
        <w:tc>
          <w:tcPr>
            <w:tcW w:w="2837" w:type="dxa"/>
            <w:tcBorders>
              <w:top w:val="nil"/>
              <w:left w:val="nil"/>
              <w:bottom w:val="nil"/>
              <w:right w:val="nil"/>
            </w:tcBorders>
            <w:vAlign w:val="bottom"/>
          </w:tcPr>
          <w:p w14:paraId="19AAEAE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543 (13)</w:t>
            </w:r>
          </w:p>
        </w:tc>
        <w:tc>
          <w:tcPr>
            <w:tcW w:w="2082" w:type="dxa"/>
            <w:tcBorders>
              <w:top w:val="nil"/>
              <w:left w:val="nil"/>
              <w:bottom w:val="nil"/>
              <w:right w:val="nil"/>
            </w:tcBorders>
            <w:vAlign w:val="bottom"/>
          </w:tcPr>
          <w:p w14:paraId="4D02CD3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1496 (14)</w:t>
            </w:r>
          </w:p>
        </w:tc>
        <w:tc>
          <w:tcPr>
            <w:tcW w:w="1388" w:type="dxa"/>
            <w:tcBorders>
              <w:top w:val="nil"/>
              <w:left w:val="nil"/>
              <w:bottom w:val="nil"/>
              <w:right w:val="nil"/>
            </w:tcBorders>
            <w:vAlign w:val="bottom"/>
          </w:tcPr>
          <w:p w14:paraId="7F88091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0.040</w:t>
            </w:r>
          </w:p>
        </w:tc>
        <w:tc>
          <w:tcPr>
            <w:tcW w:w="247" w:type="dxa"/>
            <w:tcBorders>
              <w:top w:val="nil"/>
              <w:left w:val="nil"/>
              <w:bottom w:val="nil"/>
              <w:right w:val="nil"/>
            </w:tcBorders>
          </w:tcPr>
          <w:p w14:paraId="20D12A65"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3542E59"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F82D50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373 (14)</w:t>
            </w:r>
          </w:p>
        </w:tc>
        <w:tc>
          <w:tcPr>
            <w:tcW w:w="1511" w:type="dxa"/>
            <w:tcBorders>
              <w:top w:val="nil"/>
              <w:left w:val="nil"/>
              <w:bottom w:val="nil"/>
              <w:right w:val="nil"/>
            </w:tcBorders>
            <w:vAlign w:val="bottom"/>
          </w:tcPr>
          <w:p w14:paraId="7932B54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337 (13)</w:t>
            </w:r>
          </w:p>
        </w:tc>
        <w:tc>
          <w:tcPr>
            <w:tcW w:w="1440" w:type="dxa"/>
            <w:tcBorders>
              <w:top w:val="nil"/>
              <w:left w:val="nil"/>
              <w:bottom w:val="nil"/>
              <w:right w:val="nil"/>
            </w:tcBorders>
            <w:vAlign w:val="bottom"/>
          </w:tcPr>
          <w:p w14:paraId="2961087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0.04</w:t>
            </w:r>
          </w:p>
        </w:tc>
      </w:tr>
      <w:tr w:rsidR="00AB07C2" w:rsidRPr="00842289" w14:paraId="71275E61" w14:textId="77777777" w:rsidTr="00AB07C2">
        <w:trPr>
          <w:jc w:val="center"/>
        </w:trPr>
        <w:tc>
          <w:tcPr>
            <w:tcW w:w="4253" w:type="dxa"/>
            <w:tcBorders>
              <w:top w:val="nil"/>
              <w:left w:val="nil"/>
              <w:bottom w:val="nil"/>
              <w:right w:val="nil"/>
            </w:tcBorders>
          </w:tcPr>
          <w:p w14:paraId="126D451F"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History of cancer</w:t>
            </w:r>
            <w:r w:rsidRPr="00842289">
              <w:rPr>
                <w:rFonts w:ascii="Calibri" w:eastAsia="Calibri" w:hAnsi="Calibri" w:cs="Times New Roman"/>
                <w:b/>
                <w:vertAlign w:val="superscript"/>
              </w:rPr>
              <w:t>7</w:t>
            </w:r>
          </w:p>
        </w:tc>
        <w:tc>
          <w:tcPr>
            <w:tcW w:w="2837" w:type="dxa"/>
            <w:tcBorders>
              <w:top w:val="nil"/>
              <w:left w:val="nil"/>
              <w:bottom w:val="nil"/>
              <w:right w:val="nil"/>
            </w:tcBorders>
            <w:vAlign w:val="bottom"/>
          </w:tcPr>
          <w:p w14:paraId="0501822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696 (17)</w:t>
            </w:r>
          </w:p>
        </w:tc>
        <w:tc>
          <w:tcPr>
            <w:tcW w:w="2082" w:type="dxa"/>
            <w:tcBorders>
              <w:top w:val="nil"/>
              <w:left w:val="nil"/>
              <w:bottom w:val="nil"/>
              <w:right w:val="nil"/>
            </w:tcBorders>
            <w:vAlign w:val="bottom"/>
          </w:tcPr>
          <w:p w14:paraId="25EB5F2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2105 (20)</w:t>
            </w:r>
          </w:p>
        </w:tc>
        <w:tc>
          <w:tcPr>
            <w:tcW w:w="1388" w:type="dxa"/>
            <w:tcBorders>
              <w:top w:val="nil"/>
              <w:left w:val="nil"/>
              <w:bottom w:val="nil"/>
              <w:right w:val="nil"/>
            </w:tcBorders>
            <w:vAlign w:val="bottom"/>
          </w:tcPr>
          <w:p w14:paraId="51AEF3A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0.091</w:t>
            </w:r>
          </w:p>
        </w:tc>
        <w:tc>
          <w:tcPr>
            <w:tcW w:w="247" w:type="dxa"/>
            <w:tcBorders>
              <w:top w:val="nil"/>
              <w:left w:val="nil"/>
              <w:bottom w:val="nil"/>
              <w:right w:val="nil"/>
            </w:tcBorders>
          </w:tcPr>
          <w:p w14:paraId="3FC51665"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6F8EF4C"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700D87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486 (18)</w:t>
            </w:r>
          </w:p>
        </w:tc>
        <w:tc>
          <w:tcPr>
            <w:tcW w:w="1511" w:type="dxa"/>
            <w:tcBorders>
              <w:top w:val="nil"/>
              <w:left w:val="nil"/>
              <w:bottom w:val="nil"/>
              <w:right w:val="nil"/>
            </w:tcBorders>
            <w:vAlign w:val="bottom"/>
          </w:tcPr>
          <w:p w14:paraId="167D9E0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451 (17)</w:t>
            </w:r>
          </w:p>
        </w:tc>
        <w:tc>
          <w:tcPr>
            <w:tcW w:w="1440" w:type="dxa"/>
            <w:tcBorders>
              <w:top w:val="nil"/>
              <w:left w:val="nil"/>
              <w:bottom w:val="nil"/>
              <w:right w:val="nil"/>
            </w:tcBorders>
            <w:vAlign w:val="bottom"/>
          </w:tcPr>
          <w:p w14:paraId="6C2561D7"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0.035</w:t>
            </w:r>
          </w:p>
        </w:tc>
      </w:tr>
      <w:tr w:rsidR="00AB07C2" w:rsidRPr="00842289" w14:paraId="3AECB3A2" w14:textId="77777777" w:rsidTr="00AB07C2">
        <w:trPr>
          <w:jc w:val="center"/>
        </w:trPr>
        <w:tc>
          <w:tcPr>
            <w:tcW w:w="4253" w:type="dxa"/>
            <w:tcBorders>
              <w:top w:val="nil"/>
              <w:left w:val="nil"/>
              <w:bottom w:val="nil"/>
              <w:right w:val="nil"/>
            </w:tcBorders>
          </w:tcPr>
          <w:p w14:paraId="0E5C9106"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Chronic kidney disease</w:t>
            </w:r>
            <w:r w:rsidRPr="00842289">
              <w:rPr>
                <w:rFonts w:ascii="Calibri" w:eastAsia="Calibri" w:hAnsi="Calibri" w:cs="Times New Roman"/>
                <w:b/>
                <w:vertAlign w:val="superscript"/>
              </w:rPr>
              <w:t>7</w:t>
            </w:r>
          </w:p>
        </w:tc>
        <w:tc>
          <w:tcPr>
            <w:tcW w:w="2837" w:type="dxa"/>
            <w:tcBorders>
              <w:top w:val="nil"/>
              <w:left w:val="nil"/>
              <w:bottom w:val="nil"/>
              <w:right w:val="nil"/>
            </w:tcBorders>
            <w:vAlign w:val="bottom"/>
          </w:tcPr>
          <w:p w14:paraId="1034484F"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540 (13)</w:t>
            </w:r>
          </w:p>
        </w:tc>
        <w:tc>
          <w:tcPr>
            <w:tcW w:w="2082" w:type="dxa"/>
            <w:tcBorders>
              <w:top w:val="nil"/>
              <w:left w:val="nil"/>
              <w:bottom w:val="nil"/>
              <w:right w:val="nil"/>
            </w:tcBorders>
            <w:vAlign w:val="bottom"/>
          </w:tcPr>
          <w:p w14:paraId="40C6A9D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1477 (14)</w:t>
            </w:r>
          </w:p>
        </w:tc>
        <w:tc>
          <w:tcPr>
            <w:tcW w:w="1388" w:type="dxa"/>
            <w:tcBorders>
              <w:top w:val="nil"/>
              <w:left w:val="nil"/>
              <w:bottom w:val="nil"/>
              <w:right w:val="nil"/>
            </w:tcBorders>
            <w:vAlign w:val="bottom"/>
          </w:tcPr>
          <w:p w14:paraId="206F286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0.037</w:t>
            </w:r>
          </w:p>
        </w:tc>
        <w:tc>
          <w:tcPr>
            <w:tcW w:w="247" w:type="dxa"/>
            <w:tcBorders>
              <w:top w:val="nil"/>
              <w:left w:val="nil"/>
              <w:bottom w:val="nil"/>
              <w:right w:val="nil"/>
            </w:tcBorders>
          </w:tcPr>
          <w:p w14:paraId="636CC157"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E4217F8"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89E7E7B"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389 (15)</w:t>
            </w:r>
          </w:p>
        </w:tc>
        <w:tc>
          <w:tcPr>
            <w:tcW w:w="1511" w:type="dxa"/>
            <w:tcBorders>
              <w:top w:val="nil"/>
              <w:left w:val="nil"/>
              <w:bottom w:val="nil"/>
              <w:right w:val="nil"/>
            </w:tcBorders>
            <w:vAlign w:val="bottom"/>
          </w:tcPr>
          <w:p w14:paraId="6366F20C"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333 (13)</w:t>
            </w:r>
          </w:p>
        </w:tc>
        <w:tc>
          <w:tcPr>
            <w:tcW w:w="1440" w:type="dxa"/>
            <w:tcBorders>
              <w:top w:val="nil"/>
              <w:left w:val="nil"/>
              <w:bottom w:val="nil"/>
              <w:right w:val="nil"/>
            </w:tcBorders>
            <w:vAlign w:val="bottom"/>
          </w:tcPr>
          <w:p w14:paraId="7F60AD7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0.062</w:t>
            </w:r>
          </w:p>
        </w:tc>
      </w:tr>
      <w:tr w:rsidR="00AB07C2" w:rsidRPr="00842289" w14:paraId="2AA78923" w14:textId="77777777" w:rsidTr="00AB07C2">
        <w:trPr>
          <w:jc w:val="center"/>
        </w:trPr>
        <w:tc>
          <w:tcPr>
            <w:tcW w:w="4253" w:type="dxa"/>
            <w:tcBorders>
              <w:top w:val="nil"/>
              <w:left w:val="nil"/>
              <w:bottom w:val="nil"/>
              <w:right w:val="nil"/>
            </w:tcBorders>
          </w:tcPr>
          <w:p w14:paraId="25B4273E" w14:textId="77777777" w:rsidR="00AB07C2" w:rsidRPr="00842289" w:rsidRDefault="00AB07C2" w:rsidP="00125EE0">
            <w:pPr>
              <w:spacing w:after="0" w:line="240" w:lineRule="auto"/>
              <w:rPr>
                <w:rFonts w:ascii="Calibri" w:eastAsia="Calibri" w:hAnsi="Calibri" w:cs="Times New Roman"/>
                <w:b/>
              </w:rPr>
            </w:pPr>
            <w:r w:rsidRPr="00842289">
              <w:rPr>
                <w:rFonts w:ascii="Calibri" w:eastAsia="Calibri" w:hAnsi="Calibri" w:cs="Times New Roman"/>
                <w:b/>
              </w:rPr>
              <w:t>Healthcare utilisation</w:t>
            </w:r>
            <w:r w:rsidRPr="00842289">
              <w:rPr>
                <w:rFonts w:ascii="Calibri" w:eastAsia="Calibri" w:hAnsi="Calibri" w:cs="Times New Roman"/>
                <w:b/>
                <w:vertAlign w:val="superscript"/>
              </w:rPr>
              <w:t>11</w:t>
            </w:r>
          </w:p>
        </w:tc>
        <w:tc>
          <w:tcPr>
            <w:tcW w:w="2837" w:type="dxa"/>
            <w:tcBorders>
              <w:top w:val="nil"/>
              <w:left w:val="nil"/>
              <w:bottom w:val="nil"/>
              <w:right w:val="nil"/>
            </w:tcBorders>
          </w:tcPr>
          <w:p w14:paraId="0B5243C1" w14:textId="77777777" w:rsidR="00AB07C2" w:rsidRPr="00842289" w:rsidRDefault="00AB07C2" w:rsidP="00125EE0">
            <w:pPr>
              <w:spacing w:after="0" w:line="240" w:lineRule="auto"/>
              <w:jc w:val="center"/>
              <w:rPr>
                <w:rFonts w:ascii="Calibri" w:eastAsia="Calibri" w:hAnsi="Calibri" w:cs="Times New Roman"/>
              </w:rPr>
            </w:pPr>
          </w:p>
        </w:tc>
        <w:tc>
          <w:tcPr>
            <w:tcW w:w="2082" w:type="dxa"/>
            <w:tcBorders>
              <w:top w:val="nil"/>
              <w:left w:val="nil"/>
              <w:bottom w:val="nil"/>
              <w:right w:val="nil"/>
            </w:tcBorders>
          </w:tcPr>
          <w:p w14:paraId="6DFDE880" w14:textId="77777777" w:rsidR="00AB07C2" w:rsidRPr="00842289" w:rsidRDefault="00AB07C2" w:rsidP="00125EE0">
            <w:pPr>
              <w:spacing w:after="0" w:line="240" w:lineRule="auto"/>
              <w:jc w:val="center"/>
              <w:rPr>
                <w:rFonts w:ascii="Calibri" w:eastAsia="Calibri" w:hAnsi="Calibri" w:cs="Times New Roman"/>
              </w:rPr>
            </w:pPr>
          </w:p>
        </w:tc>
        <w:tc>
          <w:tcPr>
            <w:tcW w:w="1388" w:type="dxa"/>
            <w:tcBorders>
              <w:top w:val="nil"/>
              <w:left w:val="nil"/>
              <w:bottom w:val="nil"/>
              <w:right w:val="nil"/>
            </w:tcBorders>
          </w:tcPr>
          <w:p w14:paraId="40CD68D7"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33BE124"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4B38DE2C"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5FB00B62" w14:textId="77777777" w:rsidR="00AB07C2" w:rsidRPr="00842289" w:rsidRDefault="00AB07C2" w:rsidP="00125EE0">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7FB1A0CA" w14:textId="77777777" w:rsidR="00AB07C2" w:rsidRPr="00842289" w:rsidRDefault="00AB07C2" w:rsidP="00125EE0">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5C725EB1" w14:textId="77777777" w:rsidR="00AB07C2" w:rsidRPr="00842289" w:rsidRDefault="00AB07C2" w:rsidP="00125EE0">
            <w:pPr>
              <w:spacing w:after="0" w:line="240" w:lineRule="auto"/>
              <w:jc w:val="center"/>
              <w:rPr>
                <w:rFonts w:ascii="Calibri" w:eastAsia="Calibri" w:hAnsi="Calibri" w:cs="Times New Roman"/>
              </w:rPr>
            </w:pPr>
          </w:p>
        </w:tc>
      </w:tr>
      <w:tr w:rsidR="00AB07C2" w:rsidRPr="00842289" w14:paraId="32BBB12D" w14:textId="77777777" w:rsidTr="00AB07C2">
        <w:trPr>
          <w:jc w:val="center"/>
        </w:trPr>
        <w:tc>
          <w:tcPr>
            <w:tcW w:w="4253" w:type="dxa"/>
            <w:tcBorders>
              <w:top w:val="nil"/>
              <w:left w:val="nil"/>
              <w:bottom w:val="nil"/>
              <w:right w:val="nil"/>
            </w:tcBorders>
          </w:tcPr>
          <w:p w14:paraId="7844DF93"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 xml:space="preserve">      </w:t>
            </w:r>
            <w:r w:rsidRPr="00842289">
              <w:rPr>
                <w:rFonts w:ascii="Calibri" w:eastAsia="Calibri" w:hAnsi="Calibri" w:cs="Times New Roman"/>
              </w:rPr>
              <w:t># of GP consultations (median (IQR</w:t>
            </w:r>
            <w:proofErr w:type="gramStart"/>
            <w:r w:rsidRPr="00842289">
              <w:rPr>
                <w:rFonts w:ascii="Calibri" w:eastAsia="Calibri" w:hAnsi="Calibri" w:cs="Times New Roman"/>
              </w:rPr>
              <w:t>))*</w:t>
            </w:r>
            <w:proofErr w:type="gramEnd"/>
          </w:p>
        </w:tc>
        <w:tc>
          <w:tcPr>
            <w:tcW w:w="2837" w:type="dxa"/>
            <w:tcBorders>
              <w:top w:val="nil"/>
              <w:left w:val="nil"/>
              <w:bottom w:val="nil"/>
              <w:right w:val="nil"/>
            </w:tcBorders>
            <w:vAlign w:val="bottom"/>
          </w:tcPr>
          <w:p w14:paraId="0541FEC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154 (79-242)</w:t>
            </w:r>
          </w:p>
        </w:tc>
        <w:tc>
          <w:tcPr>
            <w:tcW w:w="2082" w:type="dxa"/>
            <w:tcBorders>
              <w:top w:val="nil"/>
              <w:left w:val="nil"/>
              <w:bottom w:val="nil"/>
              <w:right w:val="nil"/>
            </w:tcBorders>
            <w:vAlign w:val="bottom"/>
          </w:tcPr>
          <w:p w14:paraId="4FD7827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202 (132-299)</w:t>
            </w:r>
          </w:p>
        </w:tc>
        <w:tc>
          <w:tcPr>
            <w:tcW w:w="1388" w:type="dxa"/>
            <w:tcBorders>
              <w:top w:val="nil"/>
              <w:left w:val="nil"/>
              <w:bottom w:val="nil"/>
              <w:right w:val="nil"/>
            </w:tcBorders>
            <w:vAlign w:val="bottom"/>
          </w:tcPr>
          <w:p w14:paraId="19B5D4B9"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0.409</w:t>
            </w:r>
          </w:p>
        </w:tc>
        <w:tc>
          <w:tcPr>
            <w:tcW w:w="247" w:type="dxa"/>
            <w:tcBorders>
              <w:top w:val="nil"/>
              <w:left w:val="nil"/>
              <w:bottom w:val="nil"/>
              <w:right w:val="nil"/>
            </w:tcBorders>
          </w:tcPr>
          <w:p w14:paraId="6FAE727A"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26AB825"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32726C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172 (104-264)</w:t>
            </w:r>
          </w:p>
        </w:tc>
        <w:tc>
          <w:tcPr>
            <w:tcW w:w="1511" w:type="dxa"/>
            <w:tcBorders>
              <w:top w:val="nil"/>
              <w:left w:val="nil"/>
              <w:bottom w:val="nil"/>
              <w:right w:val="nil"/>
            </w:tcBorders>
            <w:vAlign w:val="bottom"/>
          </w:tcPr>
          <w:p w14:paraId="30086BA1"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172 (107-260)</w:t>
            </w:r>
          </w:p>
        </w:tc>
        <w:tc>
          <w:tcPr>
            <w:tcW w:w="1440" w:type="dxa"/>
            <w:tcBorders>
              <w:top w:val="nil"/>
              <w:left w:val="nil"/>
              <w:bottom w:val="nil"/>
              <w:right w:val="nil"/>
            </w:tcBorders>
            <w:vAlign w:val="bottom"/>
          </w:tcPr>
          <w:p w14:paraId="4E15BB3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0.044</w:t>
            </w:r>
          </w:p>
        </w:tc>
      </w:tr>
      <w:tr w:rsidR="00AB07C2" w:rsidRPr="00842289" w14:paraId="4AA906F4" w14:textId="77777777" w:rsidTr="00AB07C2">
        <w:trPr>
          <w:jc w:val="center"/>
        </w:trPr>
        <w:tc>
          <w:tcPr>
            <w:tcW w:w="4253" w:type="dxa"/>
            <w:tcBorders>
              <w:top w:val="nil"/>
              <w:left w:val="nil"/>
              <w:bottom w:val="nil"/>
              <w:right w:val="nil"/>
            </w:tcBorders>
          </w:tcPr>
          <w:p w14:paraId="6588EBC7"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 xml:space="preserve">      </w:t>
            </w:r>
            <w:r w:rsidRPr="00842289">
              <w:rPr>
                <w:rFonts w:ascii="Calibri" w:eastAsia="Calibri" w:hAnsi="Calibri" w:cs="Times New Roman"/>
              </w:rPr>
              <w:t># of distinct medications (median (IQR</w:t>
            </w:r>
            <w:proofErr w:type="gramStart"/>
            <w:r w:rsidRPr="00842289">
              <w:rPr>
                <w:rFonts w:ascii="Calibri" w:eastAsia="Calibri" w:hAnsi="Calibri" w:cs="Times New Roman"/>
              </w:rPr>
              <w:t>))*</w:t>
            </w:r>
            <w:proofErr w:type="gramEnd"/>
          </w:p>
        </w:tc>
        <w:tc>
          <w:tcPr>
            <w:tcW w:w="2837" w:type="dxa"/>
            <w:tcBorders>
              <w:top w:val="nil"/>
              <w:left w:val="nil"/>
              <w:bottom w:val="nil"/>
              <w:right w:val="nil"/>
            </w:tcBorders>
            <w:vAlign w:val="bottom"/>
          </w:tcPr>
          <w:p w14:paraId="50CA28BA"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 (2-7)</w:t>
            </w:r>
          </w:p>
        </w:tc>
        <w:tc>
          <w:tcPr>
            <w:tcW w:w="2082" w:type="dxa"/>
            <w:tcBorders>
              <w:top w:val="nil"/>
              <w:left w:val="nil"/>
              <w:bottom w:val="nil"/>
              <w:right w:val="nil"/>
            </w:tcBorders>
            <w:vAlign w:val="bottom"/>
          </w:tcPr>
          <w:p w14:paraId="768955F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 (3-8)</w:t>
            </w:r>
          </w:p>
        </w:tc>
        <w:tc>
          <w:tcPr>
            <w:tcW w:w="1388" w:type="dxa"/>
            <w:tcBorders>
              <w:top w:val="nil"/>
              <w:left w:val="nil"/>
              <w:bottom w:val="nil"/>
              <w:right w:val="nil"/>
            </w:tcBorders>
            <w:vAlign w:val="bottom"/>
          </w:tcPr>
          <w:p w14:paraId="0DB2C762"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0.180</w:t>
            </w:r>
          </w:p>
        </w:tc>
        <w:tc>
          <w:tcPr>
            <w:tcW w:w="247" w:type="dxa"/>
            <w:tcBorders>
              <w:top w:val="nil"/>
              <w:left w:val="nil"/>
              <w:bottom w:val="nil"/>
              <w:right w:val="nil"/>
            </w:tcBorders>
          </w:tcPr>
          <w:p w14:paraId="1E97C35C"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3F2E6236"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717A7786"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4 (2-7)</w:t>
            </w:r>
          </w:p>
        </w:tc>
        <w:tc>
          <w:tcPr>
            <w:tcW w:w="1511" w:type="dxa"/>
            <w:tcBorders>
              <w:top w:val="nil"/>
              <w:left w:val="nil"/>
              <w:bottom w:val="nil"/>
              <w:right w:val="nil"/>
            </w:tcBorders>
            <w:vAlign w:val="bottom"/>
          </w:tcPr>
          <w:p w14:paraId="02483B9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5 (3-8)</w:t>
            </w:r>
          </w:p>
        </w:tc>
        <w:tc>
          <w:tcPr>
            <w:tcW w:w="1440" w:type="dxa"/>
            <w:tcBorders>
              <w:top w:val="nil"/>
              <w:left w:val="nil"/>
              <w:bottom w:val="nil"/>
              <w:right w:val="nil"/>
            </w:tcBorders>
            <w:vAlign w:val="bottom"/>
          </w:tcPr>
          <w:p w14:paraId="282265D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0.073</w:t>
            </w:r>
          </w:p>
        </w:tc>
      </w:tr>
      <w:tr w:rsidR="00AB07C2" w:rsidRPr="00842289" w14:paraId="2FA327EA" w14:textId="77777777" w:rsidTr="00AB07C2">
        <w:trPr>
          <w:jc w:val="center"/>
        </w:trPr>
        <w:tc>
          <w:tcPr>
            <w:tcW w:w="4253" w:type="dxa"/>
            <w:tcBorders>
              <w:top w:val="nil"/>
              <w:left w:val="nil"/>
              <w:bottom w:val="nil"/>
              <w:right w:val="nil"/>
            </w:tcBorders>
          </w:tcPr>
          <w:p w14:paraId="517C8B11"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 xml:space="preserve">      </w:t>
            </w:r>
            <w:r w:rsidRPr="00842289">
              <w:rPr>
                <w:rFonts w:ascii="Calibri" w:eastAsia="Calibri" w:hAnsi="Calibri" w:cs="Times New Roman"/>
              </w:rPr>
              <w:t>#</w:t>
            </w:r>
            <w:r w:rsidRPr="00842289">
              <w:rPr>
                <w:rFonts w:ascii="Calibri" w:eastAsia="Calibri" w:hAnsi="Calibri" w:cs="Times New Roman"/>
                <w:b/>
              </w:rPr>
              <w:t xml:space="preserve"> </w:t>
            </w:r>
            <w:r w:rsidRPr="00842289">
              <w:rPr>
                <w:rFonts w:ascii="Calibri" w:eastAsia="Calibri" w:hAnsi="Calibri" w:cs="Times New Roman"/>
              </w:rPr>
              <w:t>of hospitalisations (median (IQR</w:t>
            </w:r>
            <w:proofErr w:type="gramStart"/>
            <w:r w:rsidRPr="00842289">
              <w:rPr>
                <w:rFonts w:ascii="Calibri" w:eastAsia="Calibri" w:hAnsi="Calibri" w:cs="Times New Roman"/>
              </w:rPr>
              <w:t>))*</w:t>
            </w:r>
            <w:proofErr w:type="gramEnd"/>
          </w:p>
        </w:tc>
        <w:tc>
          <w:tcPr>
            <w:tcW w:w="2837" w:type="dxa"/>
            <w:tcBorders>
              <w:top w:val="nil"/>
              <w:left w:val="nil"/>
              <w:bottom w:val="nil"/>
              <w:right w:val="nil"/>
            </w:tcBorders>
            <w:vAlign w:val="bottom"/>
          </w:tcPr>
          <w:p w14:paraId="31EFEF82"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(0-1)</w:t>
            </w:r>
          </w:p>
        </w:tc>
        <w:tc>
          <w:tcPr>
            <w:tcW w:w="2082" w:type="dxa"/>
            <w:tcBorders>
              <w:top w:val="nil"/>
              <w:left w:val="nil"/>
              <w:bottom w:val="nil"/>
              <w:right w:val="nil"/>
            </w:tcBorders>
            <w:vAlign w:val="bottom"/>
          </w:tcPr>
          <w:p w14:paraId="5CC40A0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(0-1)</w:t>
            </w:r>
          </w:p>
        </w:tc>
        <w:tc>
          <w:tcPr>
            <w:tcW w:w="1388" w:type="dxa"/>
            <w:tcBorders>
              <w:top w:val="nil"/>
              <w:left w:val="nil"/>
              <w:bottom w:val="nil"/>
              <w:right w:val="nil"/>
            </w:tcBorders>
            <w:vAlign w:val="bottom"/>
          </w:tcPr>
          <w:p w14:paraId="67C139B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0.008</w:t>
            </w:r>
          </w:p>
        </w:tc>
        <w:tc>
          <w:tcPr>
            <w:tcW w:w="247" w:type="dxa"/>
            <w:tcBorders>
              <w:top w:val="nil"/>
              <w:left w:val="nil"/>
              <w:bottom w:val="nil"/>
              <w:right w:val="nil"/>
            </w:tcBorders>
          </w:tcPr>
          <w:p w14:paraId="7ACFB110"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CC8AAA0"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094680B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(0-1)</w:t>
            </w:r>
          </w:p>
        </w:tc>
        <w:tc>
          <w:tcPr>
            <w:tcW w:w="1511" w:type="dxa"/>
            <w:tcBorders>
              <w:top w:val="nil"/>
              <w:left w:val="nil"/>
              <w:bottom w:val="nil"/>
              <w:right w:val="nil"/>
            </w:tcBorders>
            <w:vAlign w:val="bottom"/>
          </w:tcPr>
          <w:p w14:paraId="70C39B21"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(0-1)</w:t>
            </w:r>
          </w:p>
        </w:tc>
        <w:tc>
          <w:tcPr>
            <w:tcW w:w="1440" w:type="dxa"/>
            <w:tcBorders>
              <w:top w:val="nil"/>
              <w:left w:val="nil"/>
              <w:bottom w:val="nil"/>
              <w:right w:val="nil"/>
            </w:tcBorders>
            <w:vAlign w:val="bottom"/>
          </w:tcPr>
          <w:p w14:paraId="1B232DDD"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0.007</w:t>
            </w:r>
          </w:p>
        </w:tc>
      </w:tr>
      <w:tr w:rsidR="00AB07C2" w:rsidRPr="00842289" w14:paraId="3F4FB796" w14:textId="77777777" w:rsidTr="00AB07C2">
        <w:trPr>
          <w:jc w:val="center"/>
        </w:trPr>
        <w:tc>
          <w:tcPr>
            <w:tcW w:w="4253" w:type="dxa"/>
            <w:tcBorders>
              <w:top w:val="nil"/>
              <w:left w:val="nil"/>
              <w:bottom w:val="nil"/>
              <w:right w:val="nil"/>
            </w:tcBorders>
          </w:tcPr>
          <w:p w14:paraId="213F116E" w14:textId="77777777" w:rsidR="00AB07C2" w:rsidRPr="00842289" w:rsidRDefault="00AB07C2" w:rsidP="00125EE0">
            <w:pPr>
              <w:spacing w:after="0" w:line="240" w:lineRule="auto"/>
              <w:rPr>
                <w:rFonts w:ascii="Calibri" w:eastAsia="Calibri" w:hAnsi="Calibri" w:cs="Times New Roman"/>
              </w:rPr>
            </w:pPr>
            <w:r w:rsidRPr="00842289">
              <w:rPr>
                <w:rFonts w:ascii="Calibri" w:eastAsia="Calibri" w:hAnsi="Calibri" w:cs="Times New Roman"/>
                <w:b/>
              </w:rPr>
              <w:t xml:space="preserve">      </w:t>
            </w:r>
            <w:r w:rsidRPr="00842289">
              <w:rPr>
                <w:rFonts w:ascii="Calibri" w:eastAsia="Calibri" w:hAnsi="Calibri" w:cs="Times New Roman"/>
              </w:rPr>
              <w:t># of hospital procedures (median (IQR</w:t>
            </w:r>
            <w:proofErr w:type="gramStart"/>
            <w:r w:rsidRPr="00842289">
              <w:rPr>
                <w:rFonts w:ascii="Calibri" w:eastAsia="Calibri" w:hAnsi="Calibri" w:cs="Times New Roman"/>
              </w:rPr>
              <w:t>))*</w:t>
            </w:r>
            <w:proofErr w:type="gramEnd"/>
          </w:p>
        </w:tc>
        <w:tc>
          <w:tcPr>
            <w:tcW w:w="2837" w:type="dxa"/>
            <w:tcBorders>
              <w:top w:val="nil"/>
              <w:left w:val="nil"/>
              <w:bottom w:val="nil"/>
              <w:right w:val="nil"/>
            </w:tcBorders>
            <w:vAlign w:val="bottom"/>
          </w:tcPr>
          <w:p w14:paraId="0B8C5F2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(0-0)</w:t>
            </w:r>
          </w:p>
        </w:tc>
        <w:tc>
          <w:tcPr>
            <w:tcW w:w="2082" w:type="dxa"/>
            <w:tcBorders>
              <w:top w:val="nil"/>
              <w:left w:val="nil"/>
              <w:bottom w:val="nil"/>
              <w:right w:val="nil"/>
            </w:tcBorders>
            <w:vAlign w:val="bottom"/>
          </w:tcPr>
          <w:p w14:paraId="232A81B5"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(0-1)</w:t>
            </w:r>
          </w:p>
        </w:tc>
        <w:tc>
          <w:tcPr>
            <w:tcW w:w="1388" w:type="dxa"/>
            <w:tcBorders>
              <w:top w:val="nil"/>
              <w:left w:val="nil"/>
              <w:bottom w:val="nil"/>
              <w:right w:val="nil"/>
            </w:tcBorders>
            <w:vAlign w:val="bottom"/>
          </w:tcPr>
          <w:p w14:paraId="30BEB4E0"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0.022</w:t>
            </w:r>
          </w:p>
        </w:tc>
        <w:tc>
          <w:tcPr>
            <w:tcW w:w="247" w:type="dxa"/>
            <w:tcBorders>
              <w:top w:val="nil"/>
              <w:left w:val="nil"/>
              <w:bottom w:val="nil"/>
              <w:right w:val="nil"/>
            </w:tcBorders>
          </w:tcPr>
          <w:p w14:paraId="1F2DD117" w14:textId="77777777" w:rsidR="00AB07C2" w:rsidRPr="00842289" w:rsidRDefault="00AB07C2" w:rsidP="00125EE0">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3BBB1F6B" w14:textId="77777777" w:rsidR="00AB07C2" w:rsidRPr="00842289" w:rsidRDefault="00AB07C2" w:rsidP="00125EE0">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4B13154"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(0-0)</w:t>
            </w:r>
          </w:p>
        </w:tc>
        <w:tc>
          <w:tcPr>
            <w:tcW w:w="1511" w:type="dxa"/>
            <w:tcBorders>
              <w:top w:val="nil"/>
              <w:left w:val="nil"/>
              <w:bottom w:val="nil"/>
              <w:right w:val="nil"/>
            </w:tcBorders>
            <w:vAlign w:val="bottom"/>
          </w:tcPr>
          <w:p w14:paraId="6CBE14BE"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 (0-0)</w:t>
            </w:r>
          </w:p>
        </w:tc>
        <w:tc>
          <w:tcPr>
            <w:tcW w:w="1440" w:type="dxa"/>
            <w:tcBorders>
              <w:top w:val="nil"/>
              <w:left w:val="nil"/>
              <w:bottom w:val="nil"/>
              <w:right w:val="nil"/>
            </w:tcBorders>
            <w:vAlign w:val="bottom"/>
          </w:tcPr>
          <w:p w14:paraId="532EA3D3" w14:textId="77777777" w:rsidR="00AB07C2" w:rsidRPr="00842289" w:rsidRDefault="00AB07C2" w:rsidP="00125EE0">
            <w:pPr>
              <w:spacing w:after="0" w:line="240" w:lineRule="auto"/>
              <w:jc w:val="center"/>
              <w:rPr>
                <w:rFonts w:ascii="Calibri" w:eastAsia="Calibri" w:hAnsi="Calibri" w:cs="Times New Roman"/>
              </w:rPr>
            </w:pPr>
            <w:r w:rsidRPr="00842289">
              <w:rPr>
                <w:rFonts w:ascii="Calibri" w:eastAsia="Calibri" w:hAnsi="Calibri" w:cs="Calibri"/>
                <w:color w:val="000000"/>
              </w:rPr>
              <w:t>0.011</w:t>
            </w:r>
          </w:p>
        </w:tc>
      </w:tr>
      <w:tr w:rsidR="00AB07C2" w:rsidRPr="00842289" w14:paraId="4AAC08FF" w14:textId="77777777" w:rsidTr="00AB07C2">
        <w:trPr>
          <w:jc w:val="center"/>
        </w:trPr>
        <w:tc>
          <w:tcPr>
            <w:tcW w:w="15631" w:type="dxa"/>
            <w:gridSpan w:val="9"/>
            <w:tcBorders>
              <w:top w:val="single" w:sz="4" w:space="0" w:color="auto"/>
              <w:left w:val="nil"/>
              <w:bottom w:val="single" w:sz="4" w:space="0" w:color="auto"/>
              <w:right w:val="nil"/>
            </w:tcBorders>
          </w:tcPr>
          <w:p w14:paraId="7042B87A" w14:textId="77777777" w:rsidR="00AB07C2" w:rsidRPr="00E34845" w:rsidRDefault="00AB07C2" w:rsidP="00125EE0">
            <w:pPr>
              <w:spacing w:after="0" w:line="240" w:lineRule="auto"/>
              <w:rPr>
                <w:rFonts w:ascii="Calibri" w:eastAsia="Calibri" w:hAnsi="Calibri" w:cs="Calibri Light"/>
                <w:b/>
                <w:sz w:val="16"/>
                <w:szCs w:val="16"/>
              </w:rPr>
            </w:pPr>
            <w:r w:rsidRPr="00E34845">
              <w:rPr>
                <w:rFonts w:ascii="Calibri" w:eastAsia="Calibri" w:hAnsi="Calibri" w:cs="Calibri Light"/>
                <w:b/>
                <w:sz w:val="16"/>
                <w:szCs w:val="16"/>
              </w:rPr>
              <w:t xml:space="preserve">Note 1: </w:t>
            </w:r>
            <w:r w:rsidRPr="00E34845">
              <w:rPr>
                <w:rFonts w:ascii="Calibri" w:eastAsia="Calibri" w:hAnsi="Calibri" w:cs="Calibri Light"/>
                <w:sz w:val="16"/>
                <w:szCs w:val="16"/>
              </w:rPr>
              <w:t>See Appendix Table A2-3 for list of variables included in final exacerbations propensity score model. Variables in this table that were included in the propensity score are annotated with an “*”.</w:t>
            </w:r>
            <w:r w:rsidRPr="00E34845">
              <w:rPr>
                <w:rFonts w:ascii="Calibri" w:eastAsia="Calibri" w:hAnsi="Calibri" w:cs="Calibri Light"/>
                <w:b/>
                <w:sz w:val="16"/>
                <w:szCs w:val="16"/>
              </w:rPr>
              <w:t xml:space="preserve"> Note 2: </w:t>
            </w:r>
            <w:r w:rsidRPr="00E34845">
              <w:rPr>
                <w:rFonts w:ascii="Calibri" w:eastAsia="Calibri" w:hAnsi="Calibri" w:cs="Calibri Light"/>
                <w:sz w:val="16"/>
                <w:szCs w:val="16"/>
              </w:rPr>
              <w:t>TORCH inclusion/exclusion criteria applied and matched to TORCH individual patient data.</w:t>
            </w:r>
            <w:r w:rsidRPr="00E34845">
              <w:rPr>
                <w:rFonts w:ascii="Calibri" w:eastAsia="Calibri" w:hAnsi="Calibri" w:cs="Calibri Light"/>
                <w:b/>
                <w:sz w:val="16"/>
                <w:szCs w:val="16"/>
              </w:rPr>
              <w:t xml:space="preserve"> Note 3: </w:t>
            </w:r>
            <w:r w:rsidRPr="00E34845">
              <w:rPr>
                <w:rFonts w:ascii="Calibri" w:eastAsia="Calibri" w:hAnsi="Calibri" w:cs="Calibri Light"/>
                <w:sz w:val="16"/>
                <w:szCs w:val="16"/>
              </w:rPr>
              <w:t>TORCH inclusion/exclusion criteria applied.</w:t>
            </w:r>
            <w:r w:rsidRPr="00E34845">
              <w:rPr>
                <w:rFonts w:ascii="Calibri" w:eastAsia="Calibri" w:hAnsi="Calibri" w:cs="Calibri Light"/>
                <w:b/>
                <w:sz w:val="16"/>
                <w:szCs w:val="16"/>
              </w:rPr>
              <w:t xml:space="preserve"> Note 4:</w:t>
            </w:r>
            <w:r w:rsidRPr="00E34845">
              <w:rPr>
                <w:rFonts w:ascii="Calibri" w:eastAsia="Calibri" w:hAnsi="Calibri" w:cs="Calibri Light"/>
                <w:sz w:val="16"/>
                <w:szCs w:val="16"/>
              </w:rPr>
              <w:t xml:space="preserve"> Closest record prior to index date. </w:t>
            </w:r>
            <w:r w:rsidRPr="00E34845">
              <w:rPr>
                <w:rFonts w:ascii="Calibri" w:eastAsia="Calibri" w:hAnsi="Calibri" w:cs="Calibri Light"/>
                <w:b/>
                <w:sz w:val="16"/>
                <w:szCs w:val="16"/>
              </w:rPr>
              <w:t xml:space="preserve">Note 5: </w:t>
            </w:r>
            <w:r w:rsidRPr="00E34845">
              <w:rPr>
                <w:rFonts w:ascii="Calibri" w:eastAsia="Calibri" w:hAnsi="Calibri" w:cs="Calibri Light"/>
                <w:sz w:val="16"/>
                <w:szCs w:val="16"/>
              </w:rPr>
              <w:t>FEV</w:t>
            </w:r>
            <w:r w:rsidRPr="00E34845">
              <w:rPr>
                <w:rFonts w:ascii="Calibri" w:eastAsia="Calibri" w:hAnsi="Calibri" w:cs="Calibri Light"/>
                <w:sz w:val="16"/>
                <w:szCs w:val="16"/>
                <w:vertAlign w:val="subscript"/>
              </w:rPr>
              <w:t>1</w:t>
            </w:r>
            <w:r w:rsidRPr="00E34845">
              <w:rPr>
                <w:rFonts w:ascii="Calibri" w:eastAsia="Calibri" w:hAnsi="Calibri" w:cs="Calibri Light"/>
                <w:sz w:val="16"/>
                <w:szCs w:val="16"/>
              </w:rPr>
              <w:t xml:space="preserve">=Forced expiratory volume in 1 second. </w:t>
            </w:r>
            <w:r w:rsidRPr="00E34845">
              <w:rPr>
                <w:rFonts w:ascii="Calibri" w:eastAsia="Calibri" w:hAnsi="Calibri" w:cs="Calibri Light"/>
                <w:b/>
                <w:sz w:val="16"/>
                <w:szCs w:val="16"/>
              </w:rPr>
              <w:t xml:space="preserve">Note 6: </w:t>
            </w:r>
            <w:r w:rsidRPr="00E34845">
              <w:rPr>
                <w:rFonts w:ascii="Calibri" w:eastAsia="Calibri" w:hAnsi="Calibri" w:cs="Calibri Light"/>
                <w:sz w:val="16"/>
                <w:szCs w:val="16"/>
              </w:rPr>
              <w:t xml:space="preserve">FVC=Forced vital capacity </w:t>
            </w:r>
            <w:r w:rsidRPr="00E34845">
              <w:rPr>
                <w:rFonts w:ascii="Calibri" w:eastAsia="Calibri" w:hAnsi="Calibri" w:cs="Calibri Light"/>
                <w:b/>
                <w:sz w:val="16"/>
                <w:szCs w:val="16"/>
              </w:rPr>
              <w:t>Note 7:</w:t>
            </w:r>
            <w:r w:rsidRPr="00E34845">
              <w:rPr>
                <w:rFonts w:ascii="Calibri" w:eastAsia="Calibri" w:hAnsi="Calibri" w:cs="Calibri Light"/>
                <w:sz w:val="16"/>
                <w:szCs w:val="16"/>
              </w:rPr>
              <w:t xml:space="preserve"> Any diagnosis for condition prior to index date. </w:t>
            </w:r>
            <w:r w:rsidRPr="00E34845">
              <w:rPr>
                <w:rFonts w:ascii="Calibri" w:eastAsia="Calibri" w:hAnsi="Calibri" w:cs="Calibri Light"/>
                <w:b/>
                <w:sz w:val="16"/>
                <w:szCs w:val="16"/>
              </w:rPr>
              <w:t>Note 8:</w:t>
            </w:r>
            <w:r w:rsidRPr="00E34845">
              <w:rPr>
                <w:rFonts w:ascii="Calibri" w:eastAsia="Calibri" w:hAnsi="Calibri" w:cs="Calibri Light"/>
                <w:sz w:val="16"/>
                <w:szCs w:val="16"/>
              </w:rPr>
              <w:t xml:space="preserve"> Number who had at least one prescription within the previous year. LABA=long acting beta-agonist, ICS=inhaled corticosteroid, LAMA=long-acting muscarinic antagonist </w:t>
            </w:r>
            <w:r w:rsidRPr="00E34845">
              <w:rPr>
                <w:rFonts w:ascii="Calibri" w:eastAsia="Calibri" w:hAnsi="Calibri" w:cs="Calibri Light"/>
                <w:b/>
                <w:sz w:val="16"/>
                <w:szCs w:val="16"/>
              </w:rPr>
              <w:t>Note 9:</w:t>
            </w:r>
            <w:r w:rsidRPr="00E34845">
              <w:rPr>
                <w:rFonts w:ascii="Calibri" w:eastAsia="Calibri" w:hAnsi="Calibri" w:cs="Calibri Light"/>
                <w:sz w:val="16"/>
                <w:szCs w:val="16"/>
              </w:rPr>
              <w:t xml:space="preserve"> Single product only. </w:t>
            </w:r>
            <w:r w:rsidRPr="00E34845">
              <w:rPr>
                <w:rFonts w:ascii="Calibri" w:eastAsia="Calibri" w:hAnsi="Calibri" w:cs="Calibri Light"/>
                <w:b/>
                <w:sz w:val="16"/>
                <w:szCs w:val="16"/>
              </w:rPr>
              <w:t xml:space="preserve">Note 10: </w:t>
            </w:r>
            <w:r w:rsidRPr="00E34845">
              <w:rPr>
                <w:rFonts w:ascii="Calibri" w:eastAsia="Calibri" w:hAnsi="Calibri" w:cs="Calibri Light"/>
                <w:sz w:val="16"/>
                <w:szCs w:val="16"/>
              </w:rPr>
              <w:t xml:space="preserve">Combination product. </w:t>
            </w:r>
            <w:r w:rsidRPr="00E34845">
              <w:rPr>
                <w:rFonts w:ascii="Calibri" w:eastAsia="Calibri" w:hAnsi="Calibri" w:cs="Calibri Light"/>
                <w:b/>
                <w:sz w:val="16"/>
                <w:szCs w:val="16"/>
              </w:rPr>
              <w:t xml:space="preserve">Note 11: </w:t>
            </w:r>
            <w:r w:rsidRPr="00E34845">
              <w:rPr>
                <w:rFonts w:ascii="Calibri" w:eastAsia="Calibri" w:hAnsi="Calibri" w:cs="Calibri Light"/>
                <w:sz w:val="16"/>
                <w:szCs w:val="16"/>
              </w:rPr>
              <w:t>All counted within the year prior to index, includes exacerbations recorded in primary or secondary care.</w:t>
            </w:r>
          </w:p>
        </w:tc>
      </w:tr>
    </w:tbl>
    <w:p w14:paraId="296DFE13" w14:textId="77777777" w:rsidR="00F425A0" w:rsidRDefault="00F425A0" w:rsidP="008B0A52">
      <w:pPr>
        <w:pStyle w:val="Heading3-nonumber"/>
        <w:spacing w:line="480" w:lineRule="auto"/>
        <w:rPr>
          <w:b w:val="0"/>
        </w:rPr>
        <w:sectPr w:rsidR="00F425A0" w:rsidSect="00AB07C2">
          <w:footerReference w:type="default" r:id="rId14"/>
          <w:pgSz w:w="16838" w:h="11906" w:orient="landscape"/>
          <w:pgMar w:top="362" w:right="153" w:bottom="838" w:left="1061" w:header="708" w:footer="708" w:gutter="0"/>
          <w:cols w:space="708"/>
          <w:docGrid w:linePitch="360"/>
        </w:sectPr>
      </w:pPr>
    </w:p>
    <w:p w14:paraId="009399A7" w14:textId="4D113D6B" w:rsidR="00F425A0" w:rsidRDefault="00F425A0" w:rsidP="008B0A52">
      <w:pPr>
        <w:pStyle w:val="Heading3-nonumber"/>
        <w:spacing w:line="480" w:lineRule="auto"/>
        <w:rPr>
          <w:b w:val="0"/>
        </w:rPr>
      </w:pPr>
    </w:p>
    <w:p w14:paraId="0E034AA6" w14:textId="7C102D4E" w:rsidR="00CC20E9" w:rsidRPr="00AC562F" w:rsidRDefault="00C968DC" w:rsidP="000E270D">
      <w:pPr>
        <w:pStyle w:val="heading2nonumber"/>
        <w:keepNext/>
        <w:spacing w:line="480" w:lineRule="auto"/>
        <w:ind w:left="578" w:hanging="578"/>
        <w:rPr>
          <w:sz w:val="22"/>
          <w:szCs w:val="22"/>
        </w:rPr>
      </w:pPr>
      <w:r>
        <w:rPr>
          <w:sz w:val="22"/>
          <w:szCs w:val="22"/>
        </w:rPr>
        <w:t>FP-SAL</w:t>
      </w:r>
      <w:r w:rsidR="00CC20E9" w:rsidRPr="00DF1428">
        <w:rPr>
          <w:sz w:val="22"/>
          <w:szCs w:val="22"/>
        </w:rPr>
        <w:t xml:space="preserve"> exposed vs </w:t>
      </w:r>
      <w:r w:rsidR="00A50F2E">
        <w:rPr>
          <w:sz w:val="22"/>
          <w:szCs w:val="22"/>
        </w:rPr>
        <w:t xml:space="preserve">SAL </w:t>
      </w:r>
      <w:r w:rsidR="00CC20E9" w:rsidRPr="00DF1428">
        <w:rPr>
          <w:sz w:val="22"/>
          <w:szCs w:val="22"/>
        </w:rPr>
        <w:t>exposed</w:t>
      </w:r>
    </w:p>
    <w:p w14:paraId="4EFFE55D" w14:textId="1F440E6A" w:rsidR="00EC4F94" w:rsidRDefault="007F5ED9" w:rsidP="00EC4F94">
      <w:pPr>
        <w:pStyle w:val="Heading3-nonumber"/>
        <w:spacing w:line="480" w:lineRule="auto"/>
        <w:rPr>
          <w:b w:val="0"/>
        </w:rPr>
        <w:sectPr w:rsidR="00EC4F94" w:rsidSect="00EC4F94">
          <w:pgSz w:w="11906" w:h="16838"/>
          <w:pgMar w:top="1061" w:right="1440" w:bottom="153" w:left="1418" w:header="708" w:footer="708" w:gutter="0"/>
          <w:cols w:space="708"/>
          <w:docGrid w:linePitch="360"/>
        </w:sectPr>
      </w:pPr>
      <w:r>
        <w:rPr>
          <w:b w:val="0"/>
        </w:rPr>
        <w:t xml:space="preserve">For the </w:t>
      </w:r>
      <w:r w:rsidR="00C968DC">
        <w:rPr>
          <w:b w:val="0"/>
        </w:rPr>
        <w:t>FP-SAL</w:t>
      </w:r>
      <w:r>
        <w:rPr>
          <w:b w:val="0"/>
        </w:rPr>
        <w:t xml:space="preserve"> vs SAL </w:t>
      </w:r>
      <w:r w:rsidR="0029466F">
        <w:rPr>
          <w:b w:val="0"/>
        </w:rPr>
        <w:t xml:space="preserve">exacerbations </w:t>
      </w:r>
      <w:r>
        <w:rPr>
          <w:b w:val="0"/>
        </w:rPr>
        <w:t>analysis,</w:t>
      </w:r>
      <w:r w:rsidR="00BD6987">
        <w:rPr>
          <w:b w:val="0"/>
        </w:rPr>
        <w:t xml:space="preserve"> after propensity score matching there were</w:t>
      </w:r>
      <w:r w:rsidR="00081565">
        <w:rPr>
          <w:b w:val="0"/>
        </w:rPr>
        <w:t xml:space="preserve"> notable</w:t>
      </w:r>
      <w:r w:rsidR="00BD6987">
        <w:rPr>
          <w:b w:val="0"/>
        </w:rPr>
        <w:t xml:space="preserve"> imbalances</w:t>
      </w:r>
      <w:r w:rsidR="00A50F2E">
        <w:rPr>
          <w:b w:val="0"/>
        </w:rPr>
        <w:t xml:space="preserve"> in</w:t>
      </w:r>
      <w:r w:rsidR="00590A31">
        <w:rPr>
          <w:b w:val="0"/>
        </w:rPr>
        <w:t xml:space="preserve"> prior prescriptions for a LABA or an ICS and frequency of consultations</w:t>
      </w:r>
      <w:r w:rsidR="00081565">
        <w:rPr>
          <w:b w:val="0"/>
        </w:rPr>
        <w:t xml:space="preserve">, with smaller imbalances for lung function, body-mass index, coronary heart disease, statin prescription, aspirin prescription, LAMA, ICS plus LABA, and prior GP consultations </w:t>
      </w:r>
      <w:r w:rsidR="00A81218">
        <w:rPr>
          <w:b w:val="0"/>
        </w:rPr>
        <w:t>(Table 2)</w:t>
      </w:r>
      <w:r w:rsidR="00590A31">
        <w:rPr>
          <w:b w:val="0"/>
        </w:rPr>
        <w:t>.</w:t>
      </w:r>
      <w:r w:rsidR="00A50F2E">
        <w:rPr>
          <w:b w:val="0"/>
        </w:rPr>
        <w:t xml:space="preserve"> </w:t>
      </w:r>
      <w:r w:rsidR="004F2ECE">
        <w:rPr>
          <w:b w:val="0"/>
        </w:rPr>
        <w:t>Plots</w:t>
      </w:r>
      <w:r>
        <w:rPr>
          <w:b w:val="0"/>
        </w:rPr>
        <w:t xml:space="preserve"> of propensity score distribution indicated that </w:t>
      </w:r>
      <w:r w:rsidR="00DD7743">
        <w:rPr>
          <w:b w:val="0"/>
        </w:rPr>
        <w:t xml:space="preserve">overall </w:t>
      </w:r>
      <w:r>
        <w:rPr>
          <w:b w:val="0"/>
        </w:rPr>
        <w:t>groups were</w:t>
      </w:r>
      <w:r w:rsidR="00A50F2E">
        <w:rPr>
          <w:b w:val="0"/>
        </w:rPr>
        <w:t xml:space="preserve"> </w:t>
      </w:r>
      <w:r>
        <w:rPr>
          <w:b w:val="0"/>
        </w:rPr>
        <w:t>well matched</w:t>
      </w:r>
      <w:r w:rsidR="00590A31">
        <w:rPr>
          <w:b w:val="0"/>
        </w:rPr>
        <w:t xml:space="preserve"> on propensity score</w:t>
      </w:r>
      <w:r w:rsidR="0029466F">
        <w:rPr>
          <w:b w:val="0"/>
        </w:rPr>
        <w:t xml:space="preserve"> for </w:t>
      </w:r>
      <w:r w:rsidR="004F2ECE">
        <w:rPr>
          <w:b w:val="0"/>
        </w:rPr>
        <w:t>each outcome</w:t>
      </w:r>
      <w:r>
        <w:rPr>
          <w:b w:val="0"/>
        </w:rPr>
        <w:t xml:space="preserve"> (</w:t>
      </w:r>
      <w:r w:rsidRPr="00590A31">
        <w:rPr>
          <w:b w:val="0"/>
        </w:rPr>
        <w:t xml:space="preserve">Appendix Figure </w:t>
      </w:r>
      <w:r w:rsidR="002D4111" w:rsidRPr="00590A31">
        <w:rPr>
          <w:b w:val="0"/>
        </w:rPr>
        <w:t>A2</w:t>
      </w:r>
      <w:r w:rsidR="00590A31" w:rsidRPr="00590A31">
        <w:rPr>
          <w:b w:val="0"/>
        </w:rPr>
        <w:t>-1</w:t>
      </w:r>
      <w:r>
        <w:rPr>
          <w:b w:val="0"/>
        </w:rPr>
        <w:t>)</w:t>
      </w:r>
      <w:r w:rsidR="0029466F">
        <w:rPr>
          <w:b w:val="0"/>
        </w:rPr>
        <w:t xml:space="preserve">. </w:t>
      </w:r>
      <w:r w:rsidR="00A81218">
        <w:rPr>
          <w:b w:val="0"/>
        </w:rPr>
        <w:br w:type="page"/>
      </w:r>
    </w:p>
    <w:p w14:paraId="6BC5580D" w14:textId="3A89A696" w:rsidR="009B7446" w:rsidRPr="009B7446" w:rsidRDefault="00750B7F" w:rsidP="009B7446">
      <w:pPr>
        <w:pStyle w:val="Heading3-nonumber"/>
        <w:spacing w:after="0" w:line="480" w:lineRule="auto"/>
        <w:jc w:val="center"/>
      </w:pPr>
      <w:r w:rsidRPr="00A1767C">
        <w:rPr>
          <w:rFonts w:ascii="Calibri" w:eastAsia="Calibri" w:hAnsi="Calibri" w:cs="Times New Roman"/>
        </w:rPr>
        <w:lastRenderedPageBreak/>
        <w:t xml:space="preserve">Table 2: Characteristics of the FP-SAL vs SAL cohort before and after propensity score matching for the </w:t>
      </w:r>
      <w:proofErr w:type="gramStart"/>
      <w:r w:rsidRPr="00A1767C">
        <w:rPr>
          <w:rFonts w:ascii="Calibri" w:eastAsia="Calibri" w:hAnsi="Calibri" w:cs="Times New Roman"/>
        </w:rPr>
        <w:t>exacerbations</w:t>
      </w:r>
      <w:proofErr w:type="gramEnd"/>
      <w:r w:rsidRPr="00A1767C">
        <w:rPr>
          <w:rFonts w:ascii="Calibri" w:eastAsia="Calibri" w:hAnsi="Calibri" w:cs="Times New Roman"/>
        </w:rPr>
        <w:t xml:space="preserve"> analysis</w:t>
      </w:r>
    </w:p>
    <w:tbl>
      <w:tblPr>
        <w:tblStyle w:val="TableGrid6"/>
        <w:tblpPr w:leftFromText="180" w:rightFromText="180" w:vertAnchor="text" w:tblpY="1"/>
        <w:tblOverlap w:val="never"/>
        <w:tblW w:w="14765" w:type="dxa"/>
        <w:tblLook w:val="04A0" w:firstRow="1" w:lastRow="0" w:firstColumn="1" w:lastColumn="0" w:noHBand="0" w:noVBand="1"/>
      </w:tblPr>
      <w:tblGrid>
        <w:gridCol w:w="4253"/>
        <w:gridCol w:w="2457"/>
        <w:gridCol w:w="1597"/>
        <w:gridCol w:w="1387"/>
        <w:gridCol w:w="247"/>
        <w:gridCol w:w="247"/>
        <w:gridCol w:w="1626"/>
        <w:gridCol w:w="1511"/>
        <w:gridCol w:w="1440"/>
      </w:tblGrid>
      <w:tr w:rsidR="00750B7F" w:rsidRPr="00A1767C" w14:paraId="18567A9C" w14:textId="77777777" w:rsidTr="009B7446">
        <w:tc>
          <w:tcPr>
            <w:tcW w:w="4253" w:type="dxa"/>
            <w:tcBorders>
              <w:top w:val="single" w:sz="4" w:space="0" w:color="auto"/>
              <w:left w:val="nil"/>
              <w:bottom w:val="nil"/>
              <w:right w:val="nil"/>
            </w:tcBorders>
          </w:tcPr>
          <w:p w14:paraId="65C7B01A" w14:textId="77777777" w:rsidR="00750B7F" w:rsidRPr="00A1767C" w:rsidRDefault="00750B7F" w:rsidP="009B7446">
            <w:pPr>
              <w:spacing w:after="0" w:line="240" w:lineRule="auto"/>
              <w:jc w:val="center"/>
              <w:rPr>
                <w:rFonts w:ascii="Calibri" w:eastAsia="Calibri" w:hAnsi="Calibri" w:cs="Times New Roman"/>
                <w:b/>
              </w:rPr>
            </w:pPr>
          </w:p>
        </w:tc>
        <w:tc>
          <w:tcPr>
            <w:tcW w:w="10512" w:type="dxa"/>
            <w:gridSpan w:val="8"/>
            <w:tcBorders>
              <w:top w:val="single" w:sz="4" w:space="0" w:color="auto"/>
              <w:left w:val="nil"/>
              <w:bottom w:val="single" w:sz="4" w:space="0" w:color="auto"/>
              <w:right w:val="nil"/>
            </w:tcBorders>
          </w:tcPr>
          <w:p w14:paraId="38BBD13A" w14:textId="77777777" w:rsidR="00750B7F" w:rsidRPr="00A1767C" w:rsidRDefault="00750B7F" w:rsidP="009B7446">
            <w:pPr>
              <w:spacing w:after="0" w:line="240" w:lineRule="auto"/>
              <w:jc w:val="center"/>
              <w:rPr>
                <w:rFonts w:ascii="Calibri" w:eastAsia="Calibri" w:hAnsi="Calibri" w:cs="Times New Roman"/>
                <w:b/>
              </w:rPr>
            </w:pPr>
            <w:r w:rsidRPr="00A1767C">
              <w:rPr>
                <w:rFonts w:ascii="Calibri" w:eastAsia="Calibri" w:hAnsi="Calibri" w:cs="Times New Roman"/>
              </w:rPr>
              <w:t>CPRD non-interventional population</w:t>
            </w:r>
          </w:p>
        </w:tc>
      </w:tr>
      <w:tr w:rsidR="00750B7F" w:rsidRPr="00A1767C" w14:paraId="14AA1390" w14:textId="77777777" w:rsidTr="009B7446">
        <w:tc>
          <w:tcPr>
            <w:tcW w:w="4253" w:type="dxa"/>
            <w:tcBorders>
              <w:top w:val="nil"/>
              <w:left w:val="nil"/>
              <w:bottom w:val="nil"/>
              <w:right w:val="nil"/>
            </w:tcBorders>
          </w:tcPr>
          <w:p w14:paraId="48AA72A9" w14:textId="77777777" w:rsidR="00750B7F" w:rsidRPr="00A1767C" w:rsidRDefault="00750B7F" w:rsidP="009B7446">
            <w:pPr>
              <w:spacing w:after="0" w:line="240" w:lineRule="auto"/>
              <w:jc w:val="center"/>
              <w:rPr>
                <w:rFonts w:ascii="Calibri" w:eastAsia="Calibri" w:hAnsi="Calibri" w:cs="Times New Roman"/>
                <w:b/>
              </w:rPr>
            </w:pPr>
          </w:p>
        </w:tc>
        <w:tc>
          <w:tcPr>
            <w:tcW w:w="5441" w:type="dxa"/>
            <w:gridSpan w:val="3"/>
            <w:tcBorders>
              <w:top w:val="single" w:sz="4" w:space="0" w:color="auto"/>
              <w:left w:val="nil"/>
              <w:bottom w:val="single" w:sz="4" w:space="0" w:color="auto"/>
              <w:right w:val="nil"/>
            </w:tcBorders>
          </w:tcPr>
          <w:p w14:paraId="4DFD9BE1" w14:textId="77777777" w:rsidR="00750B7F" w:rsidRPr="00A1767C" w:rsidRDefault="00750B7F" w:rsidP="009B7446">
            <w:pPr>
              <w:spacing w:after="0" w:line="240" w:lineRule="auto"/>
              <w:jc w:val="center"/>
              <w:rPr>
                <w:rFonts w:ascii="Calibri" w:eastAsia="Calibri" w:hAnsi="Calibri" w:cs="Times New Roman"/>
                <w:b/>
              </w:rPr>
            </w:pPr>
            <w:r w:rsidRPr="00A1767C">
              <w:rPr>
                <w:rFonts w:ascii="Calibri" w:eastAsia="Calibri" w:hAnsi="Calibri" w:cs="Times New Roman"/>
                <w:b/>
              </w:rPr>
              <w:t>Before propensity score matching</w:t>
            </w:r>
          </w:p>
        </w:tc>
        <w:tc>
          <w:tcPr>
            <w:tcW w:w="247" w:type="dxa"/>
            <w:tcBorders>
              <w:top w:val="single" w:sz="4" w:space="0" w:color="auto"/>
              <w:left w:val="nil"/>
              <w:bottom w:val="nil"/>
              <w:right w:val="nil"/>
            </w:tcBorders>
          </w:tcPr>
          <w:p w14:paraId="1551E274" w14:textId="77777777" w:rsidR="00750B7F" w:rsidRPr="00A1767C" w:rsidRDefault="00750B7F" w:rsidP="009B7446">
            <w:pPr>
              <w:spacing w:after="0" w:line="240" w:lineRule="auto"/>
              <w:jc w:val="center"/>
              <w:rPr>
                <w:rFonts w:ascii="Calibri" w:eastAsia="Calibri" w:hAnsi="Calibri" w:cs="Times New Roman"/>
                <w:b/>
              </w:rPr>
            </w:pPr>
          </w:p>
        </w:tc>
        <w:tc>
          <w:tcPr>
            <w:tcW w:w="247" w:type="dxa"/>
            <w:tcBorders>
              <w:top w:val="single" w:sz="4" w:space="0" w:color="auto"/>
              <w:left w:val="nil"/>
              <w:bottom w:val="nil"/>
              <w:right w:val="nil"/>
            </w:tcBorders>
          </w:tcPr>
          <w:p w14:paraId="01693C35" w14:textId="77777777" w:rsidR="00750B7F" w:rsidRPr="00A1767C" w:rsidRDefault="00750B7F" w:rsidP="009B7446">
            <w:pPr>
              <w:spacing w:after="0" w:line="240" w:lineRule="auto"/>
              <w:jc w:val="center"/>
              <w:rPr>
                <w:rFonts w:ascii="Calibri" w:eastAsia="Calibri" w:hAnsi="Calibri" w:cs="Times New Roman"/>
                <w:b/>
              </w:rPr>
            </w:pPr>
          </w:p>
        </w:tc>
        <w:tc>
          <w:tcPr>
            <w:tcW w:w="4577" w:type="dxa"/>
            <w:gridSpan w:val="3"/>
            <w:tcBorders>
              <w:top w:val="single" w:sz="4" w:space="0" w:color="auto"/>
              <w:left w:val="nil"/>
              <w:bottom w:val="single" w:sz="4" w:space="0" w:color="auto"/>
              <w:right w:val="nil"/>
            </w:tcBorders>
          </w:tcPr>
          <w:p w14:paraId="3D377C58" w14:textId="77777777" w:rsidR="00750B7F" w:rsidRPr="00A1767C" w:rsidRDefault="00750B7F" w:rsidP="009B7446">
            <w:pPr>
              <w:spacing w:after="0" w:line="240" w:lineRule="auto"/>
              <w:jc w:val="center"/>
              <w:rPr>
                <w:rFonts w:ascii="Calibri" w:eastAsia="Calibri" w:hAnsi="Calibri" w:cs="Times New Roman"/>
                <w:b/>
              </w:rPr>
            </w:pPr>
            <w:r w:rsidRPr="00A1767C">
              <w:rPr>
                <w:rFonts w:ascii="Calibri" w:eastAsia="Calibri" w:hAnsi="Calibri" w:cs="Times New Roman"/>
                <w:b/>
              </w:rPr>
              <w:t>After propensity score</w:t>
            </w:r>
            <w:r w:rsidRPr="00A1767C">
              <w:rPr>
                <w:rFonts w:ascii="Calibri" w:eastAsia="Calibri" w:hAnsi="Calibri" w:cs="Times New Roman"/>
                <w:b/>
                <w:vertAlign w:val="superscript"/>
              </w:rPr>
              <w:t>1</w:t>
            </w:r>
            <w:r w:rsidRPr="00A1767C">
              <w:rPr>
                <w:rFonts w:ascii="Calibri" w:eastAsia="Calibri" w:hAnsi="Calibri" w:cs="Times New Roman"/>
                <w:b/>
              </w:rPr>
              <w:t xml:space="preserve"> matching</w:t>
            </w:r>
          </w:p>
        </w:tc>
      </w:tr>
      <w:tr w:rsidR="00750B7F" w:rsidRPr="00A1767C" w14:paraId="48FC1196" w14:textId="77777777" w:rsidTr="009B7446">
        <w:tc>
          <w:tcPr>
            <w:tcW w:w="4253" w:type="dxa"/>
            <w:tcBorders>
              <w:top w:val="nil"/>
              <w:left w:val="nil"/>
              <w:bottom w:val="nil"/>
              <w:right w:val="nil"/>
            </w:tcBorders>
          </w:tcPr>
          <w:p w14:paraId="5BBD4737" w14:textId="77777777" w:rsidR="00750B7F" w:rsidRPr="00A1767C" w:rsidRDefault="00750B7F" w:rsidP="009B7446">
            <w:pPr>
              <w:spacing w:after="0" w:line="240" w:lineRule="auto"/>
              <w:rPr>
                <w:rFonts w:ascii="Calibri" w:eastAsia="Calibri" w:hAnsi="Calibri" w:cs="Times New Roman"/>
                <w:b/>
              </w:rPr>
            </w:pPr>
          </w:p>
          <w:p w14:paraId="0761E2E6" w14:textId="77777777" w:rsidR="00750B7F" w:rsidRPr="00A1767C" w:rsidRDefault="00750B7F" w:rsidP="009B7446">
            <w:pPr>
              <w:spacing w:after="0" w:line="240" w:lineRule="auto"/>
              <w:rPr>
                <w:rFonts w:ascii="Calibri" w:eastAsia="Calibri" w:hAnsi="Calibri" w:cs="Times New Roman"/>
                <w:b/>
              </w:rPr>
            </w:pPr>
          </w:p>
          <w:p w14:paraId="514A43D5" w14:textId="77777777" w:rsidR="00750B7F" w:rsidRPr="00A1767C" w:rsidRDefault="00750B7F" w:rsidP="009B7446">
            <w:pPr>
              <w:spacing w:after="0" w:line="240" w:lineRule="auto"/>
              <w:rPr>
                <w:rFonts w:ascii="Calibri" w:eastAsia="Calibri" w:hAnsi="Calibri" w:cs="Times New Roman"/>
                <w:b/>
              </w:rPr>
            </w:pPr>
          </w:p>
          <w:p w14:paraId="291917A6" w14:textId="77777777" w:rsidR="00750B7F" w:rsidRPr="00A1767C" w:rsidRDefault="00750B7F" w:rsidP="009B7446">
            <w:pPr>
              <w:spacing w:after="0" w:line="240" w:lineRule="auto"/>
              <w:rPr>
                <w:rFonts w:ascii="Calibri" w:eastAsia="Calibri" w:hAnsi="Calibri" w:cs="Times New Roman"/>
                <w:b/>
              </w:rPr>
            </w:pPr>
          </w:p>
          <w:p w14:paraId="42AD09E8"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 xml:space="preserve">Variable – </w:t>
            </w:r>
            <w:proofErr w:type="gramStart"/>
            <w:r w:rsidRPr="00A1767C">
              <w:rPr>
                <w:rFonts w:ascii="Calibri" w:eastAsia="Calibri" w:hAnsi="Calibri" w:cs="Times New Roman"/>
                <w:b/>
              </w:rPr>
              <w:t>n(</w:t>
            </w:r>
            <w:proofErr w:type="gramEnd"/>
            <w:r w:rsidRPr="00A1767C">
              <w:rPr>
                <w:rFonts w:ascii="Calibri" w:eastAsia="Calibri" w:hAnsi="Calibri" w:cs="Times New Roman"/>
                <w:b/>
              </w:rPr>
              <w:t xml:space="preserve">%) </w:t>
            </w:r>
            <w:r w:rsidRPr="00A1767C">
              <w:rPr>
                <w:rFonts w:ascii="Calibri" w:eastAsia="Calibri" w:hAnsi="Calibri" w:cs="Times New Roman"/>
                <w:i/>
              </w:rPr>
              <w:t>unless specified</w:t>
            </w:r>
          </w:p>
        </w:tc>
        <w:tc>
          <w:tcPr>
            <w:tcW w:w="2457" w:type="dxa"/>
            <w:tcBorders>
              <w:top w:val="single" w:sz="4" w:space="0" w:color="auto"/>
              <w:left w:val="nil"/>
              <w:bottom w:val="nil"/>
              <w:right w:val="nil"/>
            </w:tcBorders>
          </w:tcPr>
          <w:p w14:paraId="0361D184" w14:textId="77777777" w:rsidR="00750B7F" w:rsidRPr="00A1767C" w:rsidRDefault="00750B7F" w:rsidP="009B7446">
            <w:pPr>
              <w:spacing w:after="0" w:line="240" w:lineRule="auto"/>
              <w:ind w:left="405"/>
              <w:contextualSpacing/>
              <w:jc w:val="center"/>
              <w:rPr>
                <w:rFonts w:ascii="Calibri" w:eastAsia="Calibri" w:hAnsi="Calibri" w:cs="Times New Roman"/>
                <w:vertAlign w:val="superscript"/>
              </w:rPr>
            </w:pPr>
            <w:r w:rsidRPr="00A1767C">
              <w:rPr>
                <w:rFonts w:ascii="Calibri" w:eastAsia="Calibri" w:hAnsi="Calibri" w:cs="Times New Roman"/>
              </w:rPr>
              <w:t>SAL</w:t>
            </w:r>
            <w:r w:rsidRPr="00A1767C">
              <w:rPr>
                <w:rFonts w:ascii="Calibri" w:eastAsia="Calibri" w:hAnsi="Calibri" w:cs="Times New Roman"/>
                <w:vertAlign w:val="superscript"/>
              </w:rPr>
              <w:t>2</w:t>
            </w:r>
          </w:p>
          <w:p w14:paraId="5AAF6C53" w14:textId="77777777" w:rsidR="00750B7F" w:rsidRPr="00A1767C" w:rsidRDefault="00750B7F" w:rsidP="009B7446">
            <w:pPr>
              <w:spacing w:after="0" w:line="240" w:lineRule="auto"/>
              <w:ind w:left="405"/>
              <w:contextualSpacing/>
              <w:jc w:val="center"/>
              <w:rPr>
                <w:rFonts w:ascii="Calibri" w:eastAsia="Calibri" w:hAnsi="Calibri" w:cs="Times New Roman"/>
              </w:rPr>
            </w:pPr>
            <w:r w:rsidRPr="00A1767C">
              <w:rPr>
                <w:rFonts w:ascii="Calibri" w:eastAsia="Calibri" w:hAnsi="Calibri" w:cs="Times New Roman"/>
                <w:i/>
              </w:rPr>
              <w:t>(N=1146 people)</w:t>
            </w:r>
          </w:p>
        </w:tc>
        <w:tc>
          <w:tcPr>
            <w:tcW w:w="1597" w:type="dxa"/>
            <w:tcBorders>
              <w:top w:val="single" w:sz="4" w:space="0" w:color="auto"/>
              <w:left w:val="nil"/>
              <w:bottom w:val="nil"/>
              <w:right w:val="nil"/>
            </w:tcBorders>
          </w:tcPr>
          <w:p w14:paraId="16DB8EE9"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Times New Roman"/>
              </w:rPr>
              <w:t>FP-SAL</w:t>
            </w:r>
            <w:r w:rsidRPr="00A1767C">
              <w:rPr>
                <w:rFonts w:ascii="Calibri" w:eastAsia="Calibri" w:hAnsi="Calibri" w:cs="Times New Roman"/>
                <w:vertAlign w:val="superscript"/>
              </w:rPr>
              <w:t>3</w:t>
            </w:r>
            <w:r w:rsidRPr="00A1767C">
              <w:rPr>
                <w:rFonts w:ascii="Calibri" w:eastAsia="Calibri" w:hAnsi="Calibri" w:cs="Times New Roman"/>
              </w:rPr>
              <w:t xml:space="preserve"> </w:t>
            </w:r>
          </w:p>
          <w:p w14:paraId="0006438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Times New Roman"/>
                <w:i/>
              </w:rPr>
              <w:t>(N=11235 exposed time periods from 4523 people)</w:t>
            </w:r>
          </w:p>
        </w:tc>
        <w:tc>
          <w:tcPr>
            <w:tcW w:w="1387" w:type="dxa"/>
            <w:tcBorders>
              <w:top w:val="single" w:sz="4" w:space="0" w:color="auto"/>
              <w:left w:val="nil"/>
              <w:bottom w:val="nil"/>
              <w:right w:val="nil"/>
            </w:tcBorders>
          </w:tcPr>
          <w:p w14:paraId="0B5A804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Times New Roman"/>
              </w:rPr>
              <w:t>Standardised difference</w:t>
            </w:r>
          </w:p>
        </w:tc>
        <w:tc>
          <w:tcPr>
            <w:tcW w:w="247" w:type="dxa"/>
            <w:tcBorders>
              <w:top w:val="nil"/>
              <w:left w:val="nil"/>
              <w:bottom w:val="nil"/>
              <w:right w:val="nil"/>
            </w:tcBorders>
          </w:tcPr>
          <w:p w14:paraId="29F891B1" w14:textId="77777777" w:rsidR="00750B7F" w:rsidRPr="00A1767C" w:rsidRDefault="00750B7F" w:rsidP="009B7446">
            <w:pPr>
              <w:spacing w:after="0" w:line="240" w:lineRule="auto"/>
              <w:jc w:val="center"/>
              <w:rPr>
                <w:rFonts w:ascii="Calibri" w:eastAsia="Calibri" w:hAnsi="Calibri" w:cs="Times New Roman"/>
                <w:b/>
              </w:rPr>
            </w:pPr>
          </w:p>
        </w:tc>
        <w:tc>
          <w:tcPr>
            <w:tcW w:w="247" w:type="dxa"/>
            <w:tcBorders>
              <w:top w:val="nil"/>
              <w:left w:val="nil"/>
              <w:bottom w:val="nil"/>
              <w:right w:val="nil"/>
            </w:tcBorders>
          </w:tcPr>
          <w:p w14:paraId="3FFA0FA2" w14:textId="77777777" w:rsidR="00750B7F" w:rsidRPr="00A1767C" w:rsidRDefault="00750B7F" w:rsidP="009B7446">
            <w:pPr>
              <w:spacing w:after="0" w:line="240" w:lineRule="auto"/>
              <w:jc w:val="center"/>
              <w:rPr>
                <w:rFonts w:ascii="Calibri" w:eastAsia="Calibri" w:hAnsi="Calibri" w:cs="Times New Roman"/>
                <w:b/>
              </w:rPr>
            </w:pPr>
          </w:p>
        </w:tc>
        <w:tc>
          <w:tcPr>
            <w:tcW w:w="1626" w:type="dxa"/>
            <w:tcBorders>
              <w:top w:val="nil"/>
              <w:left w:val="nil"/>
              <w:bottom w:val="nil"/>
              <w:right w:val="nil"/>
            </w:tcBorders>
          </w:tcPr>
          <w:p w14:paraId="7736836E" w14:textId="77777777" w:rsidR="00750B7F" w:rsidRPr="00A1767C" w:rsidRDefault="00750B7F" w:rsidP="009B7446">
            <w:pPr>
              <w:spacing w:after="0" w:line="240" w:lineRule="auto"/>
              <w:ind w:left="405"/>
              <w:contextualSpacing/>
              <w:jc w:val="center"/>
              <w:rPr>
                <w:rFonts w:ascii="Calibri" w:eastAsia="Calibri" w:hAnsi="Calibri" w:cs="Times New Roman"/>
              </w:rPr>
            </w:pPr>
            <w:r w:rsidRPr="00A1767C">
              <w:rPr>
                <w:rFonts w:ascii="Calibri" w:eastAsia="Calibri" w:hAnsi="Calibri" w:cs="Times New Roman"/>
              </w:rPr>
              <w:t>SAL</w:t>
            </w:r>
          </w:p>
          <w:p w14:paraId="015CFB0A" w14:textId="77777777" w:rsidR="00750B7F" w:rsidRPr="00A1767C" w:rsidRDefault="00750B7F" w:rsidP="009B7446">
            <w:pPr>
              <w:spacing w:after="0" w:line="240" w:lineRule="auto"/>
              <w:ind w:left="405"/>
              <w:contextualSpacing/>
              <w:jc w:val="center"/>
              <w:rPr>
                <w:rFonts w:ascii="Calibri" w:eastAsia="Calibri" w:hAnsi="Calibri" w:cs="Times New Roman"/>
              </w:rPr>
            </w:pPr>
            <w:r w:rsidRPr="00A1767C">
              <w:rPr>
                <w:rFonts w:ascii="Calibri" w:eastAsia="Calibri" w:hAnsi="Calibri" w:cs="Times New Roman"/>
                <w:i/>
              </w:rPr>
              <w:t>(N=991 people)</w:t>
            </w:r>
          </w:p>
        </w:tc>
        <w:tc>
          <w:tcPr>
            <w:tcW w:w="1511" w:type="dxa"/>
            <w:tcBorders>
              <w:top w:val="nil"/>
              <w:left w:val="nil"/>
              <w:bottom w:val="nil"/>
              <w:right w:val="nil"/>
            </w:tcBorders>
          </w:tcPr>
          <w:p w14:paraId="67176DA5" w14:textId="77777777" w:rsidR="00750B7F" w:rsidRPr="00A1767C" w:rsidRDefault="00750B7F" w:rsidP="009B7446">
            <w:pPr>
              <w:spacing w:after="0" w:line="240" w:lineRule="auto"/>
              <w:ind w:left="405"/>
              <w:contextualSpacing/>
              <w:jc w:val="center"/>
              <w:rPr>
                <w:rFonts w:ascii="Calibri" w:eastAsia="Calibri" w:hAnsi="Calibri" w:cs="Times New Roman"/>
              </w:rPr>
            </w:pPr>
            <w:r w:rsidRPr="00A1767C">
              <w:rPr>
                <w:rFonts w:ascii="Calibri" w:eastAsia="Calibri" w:hAnsi="Calibri" w:cs="Times New Roman"/>
              </w:rPr>
              <w:t>FP-SAL</w:t>
            </w:r>
          </w:p>
          <w:p w14:paraId="08D649EF" w14:textId="77777777" w:rsidR="00750B7F" w:rsidRPr="00A1767C" w:rsidRDefault="00750B7F" w:rsidP="009B7446">
            <w:pPr>
              <w:spacing w:after="0" w:line="240" w:lineRule="auto"/>
              <w:ind w:left="405"/>
              <w:contextualSpacing/>
              <w:jc w:val="center"/>
              <w:rPr>
                <w:rFonts w:ascii="Calibri" w:eastAsia="Calibri" w:hAnsi="Calibri" w:cs="Times New Roman"/>
              </w:rPr>
            </w:pPr>
            <w:r w:rsidRPr="00A1767C">
              <w:rPr>
                <w:rFonts w:ascii="Calibri" w:eastAsia="Calibri" w:hAnsi="Calibri" w:cs="Times New Roman"/>
                <w:i/>
              </w:rPr>
              <w:t>(N=991 people)</w:t>
            </w:r>
          </w:p>
        </w:tc>
        <w:tc>
          <w:tcPr>
            <w:tcW w:w="1440" w:type="dxa"/>
            <w:tcBorders>
              <w:top w:val="single" w:sz="4" w:space="0" w:color="auto"/>
              <w:left w:val="nil"/>
              <w:bottom w:val="nil"/>
              <w:right w:val="nil"/>
            </w:tcBorders>
          </w:tcPr>
          <w:p w14:paraId="1FDEFF7D" w14:textId="77777777" w:rsidR="00750B7F" w:rsidRPr="00A1767C" w:rsidRDefault="00750B7F" w:rsidP="009B7446">
            <w:pPr>
              <w:spacing w:after="0" w:line="240" w:lineRule="auto"/>
              <w:ind w:left="45"/>
              <w:jc w:val="center"/>
              <w:rPr>
                <w:rFonts w:ascii="Calibri" w:eastAsia="Calibri" w:hAnsi="Calibri" w:cs="Times New Roman"/>
              </w:rPr>
            </w:pPr>
            <w:r w:rsidRPr="00A1767C">
              <w:rPr>
                <w:rFonts w:ascii="Calibri" w:eastAsia="Calibri" w:hAnsi="Calibri" w:cs="Times New Roman"/>
              </w:rPr>
              <w:t>Standardised difference</w:t>
            </w:r>
          </w:p>
        </w:tc>
      </w:tr>
      <w:tr w:rsidR="00750B7F" w:rsidRPr="00A1767C" w14:paraId="653D64A7" w14:textId="77777777" w:rsidTr="009B7446">
        <w:tc>
          <w:tcPr>
            <w:tcW w:w="4253" w:type="dxa"/>
            <w:tcBorders>
              <w:top w:val="single" w:sz="4" w:space="0" w:color="auto"/>
              <w:left w:val="nil"/>
              <w:bottom w:val="nil"/>
              <w:right w:val="nil"/>
            </w:tcBorders>
          </w:tcPr>
          <w:p w14:paraId="093B83A8"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 xml:space="preserve">Age </w:t>
            </w:r>
            <w:r w:rsidRPr="00A1767C">
              <w:rPr>
                <w:rFonts w:ascii="Calibri" w:eastAsia="Calibri" w:hAnsi="Calibri" w:cs="Times New Roman"/>
              </w:rPr>
              <w:t>– year (</w:t>
            </w:r>
            <w:proofErr w:type="gramStart"/>
            <w:r w:rsidRPr="00A1767C">
              <w:rPr>
                <w:rFonts w:ascii="Calibri" w:eastAsia="Calibri" w:hAnsi="Calibri" w:cs="Times New Roman"/>
              </w:rPr>
              <w:t>median(</w:t>
            </w:r>
            <w:proofErr w:type="gramEnd"/>
            <w:r w:rsidRPr="00A1767C">
              <w:rPr>
                <w:rFonts w:ascii="Calibri" w:eastAsia="Calibri" w:hAnsi="Calibri" w:cs="Times New Roman"/>
              </w:rPr>
              <w:t>IQR))</w:t>
            </w:r>
          </w:p>
        </w:tc>
        <w:tc>
          <w:tcPr>
            <w:tcW w:w="2457" w:type="dxa"/>
            <w:tcBorders>
              <w:top w:val="single" w:sz="4" w:space="0" w:color="auto"/>
              <w:left w:val="nil"/>
              <w:bottom w:val="nil"/>
              <w:right w:val="nil"/>
            </w:tcBorders>
            <w:vAlign w:val="bottom"/>
          </w:tcPr>
          <w:p w14:paraId="4B36878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68 (62-73)</w:t>
            </w:r>
          </w:p>
        </w:tc>
        <w:tc>
          <w:tcPr>
            <w:tcW w:w="1597" w:type="dxa"/>
            <w:tcBorders>
              <w:top w:val="single" w:sz="4" w:space="0" w:color="auto"/>
              <w:left w:val="nil"/>
              <w:bottom w:val="nil"/>
              <w:right w:val="nil"/>
            </w:tcBorders>
            <w:vAlign w:val="bottom"/>
          </w:tcPr>
          <w:p w14:paraId="05FAAC3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68 (62-74)</w:t>
            </w:r>
          </w:p>
        </w:tc>
        <w:tc>
          <w:tcPr>
            <w:tcW w:w="1387" w:type="dxa"/>
            <w:tcBorders>
              <w:top w:val="single" w:sz="4" w:space="0" w:color="auto"/>
              <w:left w:val="nil"/>
              <w:bottom w:val="nil"/>
              <w:right w:val="nil"/>
            </w:tcBorders>
            <w:vAlign w:val="bottom"/>
          </w:tcPr>
          <w:p w14:paraId="7CADE08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0.051</w:t>
            </w:r>
          </w:p>
        </w:tc>
        <w:tc>
          <w:tcPr>
            <w:tcW w:w="247" w:type="dxa"/>
            <w:tcBorders>
              <w:top w:val="single" w:sz="4" w:space="0" w:color="auto"/>
              <w:left w:val="nil"/>
              <w:bottom w:val="nil"/>
              <w:right w:val="nil"/>
            </w:tcBorders>
          </w:tcPr>
          <w:p w14:paraId="358C2C88"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single" w:sz="4" w:space="0" w:color="auto"/>
              <w:left w:val="nil"/>
              <w:bottom w:val="nil"/>
              <w:right w:val="nil"/>
            </w:tcBorders>
          </w:tcPr>
          <w:p w14:paraId="5D9536F2"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single" w:sz="4" w:space="0" w:color="auto"/>
              <w:left w:val="nil"/>
              <w:bottom w:val="nil"/>
              <w:right w:val="nil"/>
            </w:tcBorders>
            <w:vAlign w:val="bottom"/>
          </w:tcPr>
          <w:p w14:paraId="4069BE1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68 (62-73)</w:t>
            </w:r>
          </w:p>
        </w:tc>
        <w:tc>
          <w:tcPr>
            <w:tcW w:w="1511" w:type="dxa"/>
            <w:tcBorders>
              <w:top w:val="single" w:sz="4" w:space="0" w:color="auto"/>
              <w:left w:val="nil"/>
              <w:bottom w:val="nil"/>
              <w:right w:val="nil"/>
            </w:tcBorders>
            <w:vAlign w:val="bottom"/>
          </w:tcPr>
          <w:p w14:paraId="33ADC8C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67 (61-73)</w:t>
            </w:r>
          </w:p>
        </w:tc>
        <w:tc>
          <w:tcPr>
            <w:tcW w:w="1440" w:type="dxa"/>
            <w:tcBorders>
              <w:top w:val="single" w:sz="4" w:space="0" w:color="auto"/>
              <w:left w:val="nil"/>
              <w:bottom w:val="nil"/>
              <w:right w:val="nil"/>
            </w:tcBorders>
            <w:vAlign w:val="bottom"/>
          </w:tcPr>
          <w:p w14:paraId="2CFC470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0.038</w:t>
            </w:r>
          </w:p>
        </w:tc>
      </w:tr>
      <w:tr w:rsidR="00750B7F" w:rsidRPr="00A1767C" w14:paraId="502CB8AA" w14:textId="77777777" w:rsidTr="009B7446">
        <w:tc>
          <w:tcPr>
            <w:tcW w:w="4253" w:type="dxa"/>
            <w:tcBorders>
              <w:top w:val="nil"/>
              <w:left w:val="nil"/>
              <w:bottom w:val="nil"/>
              <w:right w:val="nil"/>
            </w:tcBorders>
          </w:tcPr>
          <w:p w14:paraId="7F4B52B3"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Male sex*</w:t>
            </w:r>
          </w:p>
        </w:tc>
        <w:tc>
          <w:tcPr>
            <w:tcW w:w="2457" w:type="dxa"/>
            <w:tcBorders>
              <w:top w:val="nil"/>
              <w:left w:val="nil"/>
              <w:bottom w:val="nil"/>
              <w:right w:val="nil"/>
            </w:tcBorders>
            <w:vAlign w:val="bottom"/>
          </w:tcPr>
          <w:p w14:paraId="07B09CC9"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728 (64)</w:t>
            </w:r>
          </w:p>
        </w:tc>
        <w:tc>
          <w:tcPr>
            <w:tcW w:w="1597" w:type="dxa"/>
            <w:tcBorders>
              <w:top w:val="nil"/>
              <w:left w:val="nil"/>
              <w:bottom w:val="nil"/>
              <w:right w:val="nil"/>
            </w:tcBorders>
            <w:vAlign w:val="bottom"/>
          </w:tcPr>
          <w:p w14:paraId="1D7B72F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6960 (62)</w:t>
            </w:r>
          </w:p>
        </w:tc>
        <w:tc>
          <w:tcPr>
            <w:tcW w:w="1387" w:type="dxa"/>
            <w:tcBorders>
              <w:top w:val="nil"/>
              <w:left w:val="nil"/>
              <w:bottom w:val="nil"/>
              <w:right w:val="nil"/>
            </w:tcBorders>
            <w:vAlign w:val="bottom"/>
          </w:tcPr>
          <w:p w14:paraId="23F5F3B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0.033</w:t>
            </w:r>
          </w:p>
        </w:tc>
        <w:tc>
          <w:tcPr>
            <w:tcW w:w="247" w:type="dxa"/>
            <w:tcBorders>
              <w:top w:val="nil"/>
              <w:left w:val="nil"/>
              <w:bottom w:val="nil"/>
              <w:right w:val="nil"/>
            </w:tcBorders>
          </w:tcPr>
          <w:p w14:paraId="2D93EE6E"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F2EACDB"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5CAA1E8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628 (63)</w:t>
            </w:r>
          </w:p>
        </w:tc>
        <w:tc>
          <w:tcPr>
            <w:tcW w:w="1511" w:type="dxa"/>
            <w:tcBorders>
              <w:top w:val="nil"/>
              <w:left w:val="nil"/>
              <w:bottom w:val="nil"/>
              <w:right w:val="nil"/>
            </w:tcBorders>
            <w:vAlign w:val="bottom"/>
          </w:tcPr>
          <w:p w14:paraId="056314F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637 (64)</w:t>
            </w:r>
          </w:p>
        </w:tc>
        <w:tc>
          <w:tcPr>
            <w:tcW w:w="1440" w:type="dxa"/>
            <w:tcBorders>
              <w:top w:val="nil"/>
              <w:left w:val="nil"/>
              <w:bottom w:val="nil"/>
              <w:right w:val="nil"/>
            </w:tcBorders>
            <w:vAlign w:val="bottom"/>
          </w:tcPr>
          <w:p w14:paraId="4528FADD"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0.019</w:t>
            </w:r>
          </w:p>
        </w:tc>
      </w:tr>
      <w:tr w:rsidR="00750B7F" w:rsidRPr="00A1767C" w14:paraId="08EF1559" w14:textId="77777777" w:rsidTr="009B7446">
        <w:tc>
          <w:tcPr>
            <w:tcW w:w="4253" w:type="dxa"/>
            <w:tcBorders>
              <w:top w:val="nil"/>
              <w:left w:val="nil"/>
              <w:bottom w:val="nil"/>
              <w:right w:val="nil"/>
            </w:tcBorders>
          </w:tcPr>
          <w:p w14:paraId="5EB53D6E"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Lung function</w:t>
            </w:r>
            <w:r w:rsidRPr="00A1767C">
              <w:rPr>
                <w:rFonts w:ascii="Calibri" w:eastAsia="Calibri" w:hAnsi="Calibri" w:cs="Times New Roman"/>
                <w:b/>
                <w:vertAlign w:val="superscript"/>
              </w:rPr>
              <w:t xml:space="preserve">4 </w:t>
            </w:r>
            <w:r w:rsidRPr="00A1767C">
              <w:rPr>
                <w:rFonts w:ascii="Calibri" w:eastAsia="Calibri" w:hAnsi="Calibri" w:cs="Times New Roman"/>
                <w:b/>
              </w:rPr>
              <w:t xml:space="preserve"> </w:t>
            </w:r>
          </w:p>
        </w:tc>
        <w:tc>
          <w:tcPr>
            <w:tcW w:w="2457" w:type="dxa"/>
            <w:tcBorders>
              <w:top w:val="nil"/>
              <w:left w:val="nil"/>
              <w:bottom w:val="nil"/>
              <w:right w:val="nil"/>
            </w:tcBorders>
          </w:tcPr>
          <w:p w14:paraId="6A027F79" w14:textId="77777777" w:rsidR="00750B7F" w:rsidRPr="00A1767C" w:rsidRDefault="00750B7F" w:rsidP="009B7446">
            <w:pPr>
              <w:spacing w:after="0" w:line="240" w:lineRule="auto"/>
              <w:jc w:val="center"/>
              <w:rPr>
                <w:rFonts w:ascii="Calibri" w:eastAsia="Calibri" w:hAnsi="Calibri" w:cs="Times New Roman"/>
              </w:rPr>
            </w:pPr>
          </w:p>
        </w:tc>
        <w:tc>
          <w:tcPr>
            <w:tcW w:w="1597" w:type="dxa"/>
            <w:tcBorders>
              <w:top w:val="nil"/>
              <w:left w:val="nil"/>
              <w:bottom w:val="nil"/>
              <w:right w:val="nil"/>
            </w:tcBorders>
          </w:tcPr>
          <w:p w14:paraId="7CE12EFA" w14:textId="77777777" w:rsidR="00750B7F" w:rsidRPr="00A1767C" w:rsidRDefault="00750B7F" w:rsidP="009B7446">
            <w:pPr>
              <w:spacing w:after="0" w:line="240" w:lineRule="auto"/>
              <w:jc w:val="center"/>
              <w:rPr>
                <w:rFonts w:ascii="Calibri" w:eastAsia="Calibri" w:hAnsi="Calibri" w:cs="Times New Roman"/>
              </w:rPr>
            </w:pPr>
          </w:p>
        </w:tc>
        <w:tc>
          <w:tcPr>
            <w:tcW w:w="1387" w:type="dxa"/>
            <w:tcBorders>
              <w:top w:val="nil"/>
              <w:left w:val="nil"/>
              <w:bottom w:val="nil"/>
              <w:right w:val="nil"/>
            </w:tcBorders>
          </w:tcPr>
          <w:p w14:paraId="65D42DD8"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7EFAF95"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12FA11F"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7B4512BA" w14:textId="77777777" w:rsidR="00750B7F" w:rsidRPr="00A1767C" w:rsidRDefault="00750B7F" w:rsidP="009B7446">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23EC5C10" w14:textId="77777777" w:rsidR="00750B7F" w:rsidRPr="00A1767C" w:rsidRDefault="00750B7F" w:rsidP="009B7446">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3D949A45" w14:textId="77777777" w:rsidR="00750B7F" w:rsidRPr="00A1767C" w:rsidRDefault="00750B7F" w:rsidP="009B7446">
            <w:pPr>
              <w:spacing w:after="0" w:line="240" w:lineRule="auto"/>
              <w:jc w:val="center"/>
              <w:rPr>
                <w:rFonts w:ascii="Calibri" w:eastAsia="Calibri" w:hAnsi="Calibri" w:cs="Times New Roman"/>
              </w:rPr>
            </w:pPr>
          </w:p>
        </w:tc>
      </w:tr>
      <w:tr w:rsidR="00750B7F" w:rsidRPr="00A1767C" w14:paraId="31EF2229" w14:textId="77777777" w:rsidTr="009B7446">
        <w:tc>
          <w:tcPr>
            <w:tcW w:w="4253" w:type="dxa"/>
            <w:tcBorders>
              <w:top w:val="nil"/>
              <w:left w:val="nil"/>
              <w:bottom w:val="nil"/>
              <w:right w:val="nil"/>
            </w:tcBorders>
          </w:tcPr>
          <w:p w14:paraId="5712A75C"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 xml:space="preserve">     </w:t>
            </w:r>
            <w:r w:rsidRPr="00A1767C">
              <w:rPr>
                <w:rFonts w:ascii="Calibri" w:eastAsia="Calibri" w:hAnsi="Calibri" w:cs="Times New Roman"/>
              </w:rPr>
              <w:t>FEV</w:t>
            </w:r>
            <w:r w:rsidRPr="00A1767C">
              <w:rPr>
                <w:rFonts w:ascii="Calibri" w:eastAsia="Calibri" w:hAnsi="Calibri" w:cs="Times New Roman"/>
                <w:vertAlign w:val="subscript"/>
              </w:rPr>
              <w:t>1</w:t>
            </w:r>
            <w:r w:rsidRPr="00A1767C">
              <w:rPr>
                <w:rFonts w:ascii="Calibri" w:eastAsia="Calibri" w:hAnsi="Calibri" w:cs="Times New Roman"/>
                <w:vertAlign w:val="superscript"/>
              </w:rPr>
              <w:t>5</w:t>
            </w:r>
            <w:r w:rsidRPr="00A1767C">
              <w:rPr>
                <w:rFonts w:ascii="Calibri" w:eastAsia="Calibri" w:hAnsi="Calibri" w:cs="Times New Roman"/>
                <w:vertAlign w:val="subscript"/>
              </w:rPr>
              <w:t xml:space="preserve"> - </w:t>
            </w:r>
            <w:r w:rsidRPr="00A1767C">
              <w:rPr>
                <w:rFonts w:ascii="Calibri" w:eastAsia="Calibri" w:hAnsi="Calibri" w:cs="Times New Roman"/>
              </w:rPr>
              <w:t>% of predicted (median (IQR</w:t>
            </w:r>
            <w:proofErr w:type="gramStart"/>
            <w:r w:rsidRPr="00A1767C">
              <w:rPr>
                <w:rFonts w:ascii="Calibri" w:eastAsia="Calibri" w:hAnsi="Calibri" w:cs="Times New Roman"/>
              </w:rPr>
              <w:t>))*</w:t>
            </w:r>
            <w:proofErr w:type="gramEnd"/>
          </w:p>
        </w:tc>
        <w:tc>
          <w:tcPr>
            <w:tcW w:w="2457" w:type="dxa"/>
            <w:tcBorders>
              <w:top w:val="nil"/>
              <w:left w:val="nil"/>
              <w:bottom w:val="nil"/>
              <w:right w:val="nil"/>
            </w:tcBorders>
            <w:vAlign w:val="bottom"/>
          </w:tcPr>
          <w:p w14:paraId="01AB5ED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49 (41-57)</w:t>
            </w:r>
          </w:p>
        </w:tc>
        <w:tc>
          <w:tcPr>
            <w:tcW w:w="1597" w:type="dxa"/>
            <w:tcBorders>
              <w:top w:val="nil"/>
              <w:left w:val="nil"/>
              <w:bottom w:val="nil"/>
              <w:right w:val="nil"/>
            </w:tcBorders>
            <w:vAlign w:val="bottom"/>
          </w:tcPr>
          <w:p w14:paraId="2661756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50 (40-60)</w:t>
            </w:r>
          </w:p>
        </w:tc>
        <w:tc>
          <w:tcPr>
            <w:tcW w:w="1387" w:type="dxa"/>
            <w:tcBorders>
              <w:top w:val="nil"/>
              <w:left w:val="nil"/>
              <w:bottom w:val="nil"/>
              <w:right w:val="nil"/>
            </w:tcBorders>
            <w:vAlign w:val="bottom"/>
          </w:tcPr>
          <w:p w14:paraId="03E2E05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0.272</w:t>
            </w:r>
          </w:p>
        </w:tc>
        <w:tc>
          <w:tcPr>
            <w:tcW w:w="247" w:type="dxa"/>
            <w:tcBorders>
              <w:top w:val="nil"/>
              <w:left w:val="nil"/>
              <w:bottom w:val="nil"/>
              <w:right w:val="nil"/>
            </w:tcBorders>
          </w:tcPr>
          <w:p w14:paraId="31C46EB9"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7D88D3E"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9AF5BC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50 (41-57)</w:t>
            </w:r>
          </w:p>
        </w:tc>
        <w:tc>
          <w:tcPr>
            <w:tcW w:w="1511" w:type="dxa"/>
            <w:tcBorders>
              <w:top w:val="nil"/>
              <w:left w:val="nil"/>
              <w:bottom w:val="nil"/>
              <w:right w:val="nil"/>
            </w:tcBorders>
            <w:vAlign w:val="bottom"/>
          </w:tcPr>
          <w:p w14:paraId="47612D2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49 (40-57)</w:t>
            </w:r>
          </w:p>
        </w:tc>
        <w:tc>
          <w:tcPr>
            <w:tcW w:w="1440" w:type="dxa"/>
            <w:tcBorders>
              <w:top w:val="nil"/>
              <w:left w:val="nil"/>
              <w:bottom w:val="nil"/>
              <w:right w:val="nil"/>
            </w:tcBorders>
            <w:vAlign w:val="bottom"/>
          </w:tcPr>
          <w:p w14:paraId="760ED430"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0.107</w:t>
            </w:r>
          </w:p>
        </w:tc>
      </w:tr>
      <w:tr w:rsidR="00750B7F" w:rsidRPr="00A1767C" w14:paraId="50C05DFB" w14:textId="77777777" w:rsidTr="009B7446">
        <w:tc>
          <w:tcPr>
            <w:tcW w:w="4253" w:type="dxa"/>
            <w:tcBorders>
              <w:top w:val="nil"/>
              <w:left w:val="nil"/>
              <w:bottom w:val="nil"/>
              <w:right w:val="nil"/>
            </w:tcBorders>
          </w:tcPr>
          <w:p w14:paraId="3DFE47F3"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 xml:space="preserve">     </w:t>
            </w:r>
            <w:r w:rsidRPr="00A1767C">
              <w:rPr>
                <w:rFonts w:ascii="Calibri" w:eastAsia="Calibri" w:hAnsi="Calibri" w:cs="Times New Roman"/>
              </w:rPr>
              <w:t>FEV</w:t>
            </w:r>
            <w:r w:rsidRPr="00A1767C">
              <w:rPr>
                <w:rFonts w:ascii="Calibri" w:eastAsia="Calibri" w:hAnsi="Calibri" w:cs="Times New Roman"/>
                <w:vertAlign w:val="subscript"/>
              </w:rPr>
              <w:t>1</w:t>
            </w:r>
            <w:r w:rsidRPr="00A1767C">
              <w:rPr>
                <w:rFonts w:ascii="Calibri" w:eastAsia="Calibri" w:hAnsi="Calibri" w:cs="Times New Roman"/>
              </w:rPr>
              <w:t>:FVC</w:t>
            </w:r>
            <w:r w:rsidRPr="00A1767C">
              <w:rPr>
                <w:rFonts w:ascii="Calibri" w:eastAsia="Calibri" w:hAnsi="Calibri" w:cs="Times New Roman"/>
                <w:vertAlign w:val="superscript"/>
              </w:rPr>
              <w:t>6</w:t>
            </w:r>
            <w:r w:rsidRPr="00A1767C">
              <w:rPr>
                <w:rFonts w:ascii="Calibri" w:eastAsia="Calibri" w:hAnsi="Calibri" w:cs="Times New Roman"/>
              </w:rPr>
              <w:t xml:space="preserve"> - </w:t>
            </w:r>
            <w:proofErr w:type="gramStart"/>
            <w:r w:rsidRPr="00A1767C">
              <w:rPr>
                <w:rFonts w:ascii="Calibri" w:eastAsia="Calibri" w:hAnsi="Calibri" w:cs="Times New Roman"/>
              </w:rPr>
              <w:t>%  (</w:t>
            </w:r>
            <w:proofErr w:type="gramEnd"/>
            <w:r w:rsidRPr="00A1767C">
              <w:rPr>
                <w:rFonts w:ascii="Calibri" w:eastAsia="Calibri" w:hAnsi="Calibri" w:cs="Times New Roman"/>
              </w:rPr>
              <w:t>median (IQR))</w:t>
            </w:r>
          </w:p>
        </w:tc>
        <w:tc>
          <w:tcPr>
            <w:tcW w:w="2457" w:type="dxa"/>
            <w:tcBorders>
              <w:top w:val="nil"/>
              <w:left w:val="nil"/>
              <w:bottom w:val="nil"/>
              <w:right w:val="nil"/>
            </w:tcBorders>
            <w:vAlign w:val="bottom"/>
          </w:tcPr>
          <w:p w14:paraId="5F1B12F0"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53 (44-61)</w:t>
            </w:r>
          </w:p>
        </w:tc>
        <w:tc>
          <w:tcPr>
            <w:tcW w:w="1597" w:type="dxa"/>
            <w:tcBorders>
              <w:top w:val="nil"/>
              <w:left w:val="nil"/>
              <w:bottom w:val="nil"/>
              <w:right w:val="nil"/>
            </w:tcBorders>
            <w:vAlign w:val="bottom"/>
          </w:tcPr>
          <w:p w14:paraId="2CB25CF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53 (44-62)</w:t>
            </w:r>
          </w:p>
        </w:tc>
        <w:tc>
          <w:tcPr>
            <w:tcW w:w="1387" w:type="dxa"/>
            <w:tcBorders>
              <w:top w:val="nil"/>
              <w:left w:val="nil"/>
              <w:bottom w:val="nil"/>
              <w:right w:val="nil"/>
            </w:tcBorders>
            <w:vAlign w:val="bottom"/>
          </w:tcPr>
          <w:p w14:paraId="51A5A9D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0.022</w:t>
            </w:r>
          </w:p>
        </w:tc>
        <w:tc>
          <w:tcPr>
            <w:tcW w:w="247" w:type="dxa"/>
            <w:tcBorders>
              <w:top w:val="nil"/>
              <w:left w:val="nil"/>
              <w:bottom w:val="nil"/>
              <w:right w:val="nil"/>
            </w:tcBorders>
          </w:tcPr>
          <w:p w14:paraId="5B71F187"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3D4BA002"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946500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53 (45-62)</w:t>
            </w:r>
          </w:p>
        </w:tc>
        <w:tc>
          <w:tcPr>
            <w:tcW w:w="1511" w:type="dxa"/>
            <w:tcBorders>
              <w:top w:val="nil"/>
              <w:left w:val="nil"/>
              <w:bottom w:val="nil"/>
              <w:right w:val="nil"/>
            </w:tcBorders>
            <w:vAlign w:val="bottom"/>
          </w:tcPr>
          <w:p w14:paraId="39782A0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51 (42-60)</w:t>
            </w:r>
          </w:p>
        </w:tc>
        <w:tc>
          <w:tcPr>
            <w:tcW w:w="1440" w:type="dxa"/>
            <w:tcBorders>
              <w:top w:val="nil"/>
              <w:left w:val="nil"/>
              <w:bottom w:val="nil"/>
              <w:right w:val="nil"/>
            </w:tcBorders>
            <w:vAlign w:val="bottom"/>
          </w:tcPr>
          <w:p w14:paraId="51F21FF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0.122</w:t>
            </w:r>
          </w:p>
        </w:tc>
      </w:tr>
      <w:tr w:rsidR="00750B7F" w:rsidRPr="00A1767C" w14:paraId="568E4FC5" w14:textId="77777777" w:rsidTr="009B7446">
        <w:tc>
          <w:tcPr>
            <w:tcW w:w="4253" w:type="dxa"/>
            <w:tcBorders>
              <w:top w:val="nil"/>
              <w:left w:val="nil"/>
              <w:bottom w:val="nil"/>
              <w:right w:val="nil"/>
            </w:tcBorders>
          </w:tcPr>
          <w:p w14:paraId="7EE24291"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Body-mass index</w:t>
            </w:r>
            <w:r w:rsidRPr="00A1767C">
              <w:rPr>
                <w:rFonts w:ascii="Calibri" w:eastAsia="Calibri" w:hAnsi="Calibri" w:cs="Times New Roman"/>
                <w:vertAlign w:val="superscript"/>
              </w:rPr>
              <w:t>4</w:t>
            </w:r>
            <w:r w:rsidRPr="00A1767C">
              <w:rPr>
                <w:rFonts w:ascii="Calibri" w:eastAsia="Calibri" w:hAnsi="Calibri" w:cs="Times New Roman"/>
                <w:b/>
              </w:rPr>
              <w:t xml:space="preserve"> </w:t>
            </w:r>
            <w:r w:rsidRPr="00A1767C">
              <w:rPr>
                <w:rFonts w:ascii="Calibri" w:eastAsia="Calibri" w:hAnsi="Calibri" w:cs="Times New Roman"/>
              </w:rPr>
              <w:t>(median (IQR)))</w:t>
            </w:r>
          </w:p>
        </w:tc>
        <w:tc>
          <w:tcPr>
            <w:tcW w:w="2457" w:type="dxa"/>
            <w:tcBorders>
              <w:top w:val="nil"/>
              <w:left w:val="nil"/>
              <w:bottom w:val="nil"/>
              <w:right w:val="nil"/>
            </w:tcBorders>
            <w:vAlign w:val="bottom"/>
          </w:tcPr>
          <w:p w14:paraId="4920B37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26 (23-30)</w:t>
            </w:r>
          </w:p>
        </w:tc>
        <w:tc>
          <w:tcPr>
            <w:tcW w:w="1597" w:type="dxa"/>
            <w:tcBorders>
              <w:top w:val="nil"/>
              <w:left w:val="nil"/>
              <w:bottom w:val="nil"/>
              <w:right w:val="nil"/>
            </w:tcBorders>
            <w:vAlign w:val="bottom"/>
          </w:tcPr>
          <w:p w14:paraId="06914FD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26 (22-30)</w:t>
            </w:r>
          </w:p>
        </w:tc>
        <w:tc>
          <w:tcPr>
            <w:tcW w:w="1387" w:type="dxa"/>
            <w:tcBorders>
              <w:top w:val="nil"/>
              <w:left w:val="nil"/>
              <w:bottom w:val="nil"/>
              <w:right w:val="nil"/>
            </w:tcBorders>
            <w:vAlign w:val="bottom"/>
          </w:tcPr>
          <w:p w14:paraId="0FB1D29D"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0.057</w:t>
            </w:r>
          </w:p>
        </w:tc>
        <w:tc>
          <w:tcPr>
            <w:tcW w:w="247" w:type="dxa"/>
            <w:tcBorders>
              <w:top w:val="nil"/>
              <w:left w:val="nil"/>
              <w:bottom w:val="nil"/>
              <w:right w:val="nil"/>
            </w:tcBorders>
          </w:tcPr>
          <w:p w14:paraId="33E99825"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37E8561"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47CFAE1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26 (23-30)</w:t>
            </w:r>
          </w:p>
        </w:tc>
        <w:tc>
          <w:tcPr>
            <w:tcW w:w="1511" w:type="dxa"/>
            <w:tcBorders>
              <w:top w:val="nil"/>
              <w:left w:val="nil"/>
              <w:bottom w:val="nil"/>
              <w:right w:val="nil"/>
            </w:tcBorders>
            <w:vAlign w:val="bottom"/>
          </w:tcPr>
          <w:p w14:paraId="05563F4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26 (22-29)</w:t>
            </w:r>
          </w:p>
        </w:tc>
        <w:tc>
          <w:tcPr>
            <w:tcW w:w="1440" w:type="dxa"/>
            <w:tcBorders>
              <w:top w:val="nil"/>
              <w:left w:val="nil"/>
              <w:bottom w:val="nil"/>
              <w:right w:val="nil"/>
            </w:tcBorders>
            <w:vAlign w:val="bottom"/>
          </w:tcPr>
          <w:p w14:paraId="58C69D5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0.123</w:t>
            </w:r>
          </w:p>
        </w:tc>
      </w:tr>
      <w:tr w:rsidR="00750B7F" w:rsidRPr="00A1767C" w14:paraId="38FA7BD4" w14:textId="77777777" w:rsidTr="009B7446">
        <w:tc>
          <w:tcPr>
            <w:tcW w:w="4253" w:type="dxa"/>
            <w:tcBorders>
              <w:top w:val="nil"/>
              <w:left w:val="nil"/>
              <w:bottom w:val="nil"/>
              <w:right w:val="nil"/>
            </w:tcBorders>
          </w:tcPr>
          <w:p w14:paraId="2C971182"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Prior exacerbations</w:t>
            </w:r>
            <w:r w:rsidRPr="00A1767C">
              <w:rPr>
                <w:rFonts w:ascii="Calibri" w:eastAsia="Calibri" w:hAnsi="Calibri" w:cs="Times New Roman"/>
                <w:b/>
                <w:vertAlign w:val="superscript"/>
              </w:rPr>
              <w:t xml:space="preserve">11 </w:t>
            </w:r>
            <w:r w:rsidRPr="00A1767C">
              <w:rPr>
                <w:rFonts w:ascii="Calibri" w:eastAsia="Calibri" w:hAnsi="Calibri" w:cs="Times New Roman"/>
              </w:rPr>
              <w:t>((</w:t>
            </w:r>
            <w:proofErr w:type="gramStart"/>
            <w:r w:rsidRPr="00A1767C">
              <w:rPr>
                <w:rFonts w:ascii="Calibri" w:eastAsia="Calibri" w:hAnsi="Calibri" w:cs="Times New Roman"/>
              </w:rPr>
              <w:t>mean(</w:t>
            </w:r>
            <w:proofErr w:type="gramEnd"/>
            <w:r w:rsidRPr="00A1767C">
              <w:rPr>
                <w:rFonts w:ascii="Calibri" w:eastAsia="Calibri" w:hAnsi="Calibri" w:cs="Times New Roman"/>
              </w:rPr>
              <w:t>SD))</w:t>
            </w:r>
          </w:p>
        </w:tc>
        <w:tc>
          <w:tcPr>
            <w:tcW w:w="2457" w:type="dxa"/>
            <w:tcBorders>
              <w:top w:val="nil"/>
              <w:left w:val="nil"/>
              <w:bottom w:val="nil"/>
              <w:right w:val="nil"/>
            </w:tcBorders>
            <w:vAlign w:val="bottom"/>
          </w:tcPr>
          <w:p w14:paraId="3A877301"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 xml:space="preserve">     0.63 (1.02)</w:t>
            </w:r>
          </w:p>
        </w:tc>
        <w:tc>
          <w:tcPr>
            <w:tcW w:w="1597" w:type="dxa"/>
            <w:tcBorders>
              <w:top w:val="nil"/>
              <w:left w:val="nil"/>
              <w:bottom w:val="nil"/>
              <w:right w:val="nil"/>
            </w:tcBorders>
            <w:vAlign w:val="bottom"/>
          </w:tcPr>
          <w:p w14:paraId="7953D1D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 xml:space="preserve">     0.61 (1.07)</w:t>
            </w:r>
          </w:p>
        </w:tc>
        <w:tc>
          <w:tcPr>
            <w:tcW w:w="1387" w:type="dxa"/>
            <w:tcBorders>
              <w:top w:val="nil"/>
              <w:left w:val="nil"/>
              <w:bottom w:val="nil"/>
              <w:right w:val="nil"/>
            </w:tcBorders>
            <w:vAlign w:val="bottom"/>
          </w:tcPr>
          <w:p w14:paraId="1FA6153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0.017</w:t>
            </w:r>
          </w:p>
        </w:tc>
        <w:tc>
          <w:tcPr>
            <w:tcW w:w="247" w:type="dxa"/>
            <w:tcBorders>
              <w:top w:val="nil"/>
              <w:left w:val="nil"/>
              <w:bottom w:val="nil"/>
              <w:right w:val="nil"/>
            </w:tcBorders>
          </w:tcPr>
          <w:p w14:paraId="4188152D"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CA13C69"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7097528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 xml:space="preserve">     0.62 (1.01)</w:t>
            </w:r>
          </w:p>
        </w:tc>
        <w:tc>
          <w:tcPr>
            <w:tcW w:w="1511" w:type="dxa"/>
            <w:tcBorders>
              <w:top w:val="nil"/>
              <w:left w:val="nil"/>
              <w:bottom w:val="nil"/>
              <w:right w:val="nil"/>
            </w:tcBorders>
            <w:vAlign w:val="bottom"/>
          </w:tcPr>
          <w:p w14:paraId="7846ACD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 xml:space="preserve">     0.61 (1.03)</w:t>
            </w:r>
          </w:p>
        </w:tc>
        <w:tc>
          <w:tcPr>
            <w:tcW w:w="1440" w:type="dxa"/>
            <w:tcBorders>
              <w:top w:val="nil"/>
              <w:left w:val="nil"/>
              <w:bottom w:val="nil"/>
              <w:right w:val="nil"/>
            </w:tcBorders>
            <w:vAlign w:val="bottom"/>
          </w:tcPr>
          <w:p w14:paraId="4A62524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0.010</w:t>
            </w:r>
          </w:p>
        </w:tc>
      </w:tr>
      <w:tr w:rsidR="00750B7F" w:rsidRPr="00A1767C" w14:paraId="4EA6D864" w14:textId="77777777" w:rsidTr="009B7446">
        <w:tc>
          <w:tcPr>
            <w:tcW w:w="4253" w:type="dxa"/>
            <w:tcBorders>
              <w:top w:val="nil"/>
              <w:left w:val="nil"/>
              <w:bottom w:val="nil"/>
              <w:right w:val="nil"/>
            </w:tcBorders>
          </w:tcPr>
          <w:p w14:paraId="7C6D4349"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Cardiovascular disease</w:t>
            </w:r>
            <w:r w:rsidRPr="00A1767C">
              <w:rPr>
                <w:rFonts w:ascii="Calibri" w:eastAsia="Calibri" w:hAnsi="Calibri" w:cs="Times New Roman"/>
                <w:vertAlign w:val="superscript"/>
              </w:rPr>
              <w:t>7</w:t>
            </w:r>
          </w:p>
        </w:tc>
        <w:tc>
          <w:tcPr>
            <w:tcW w:w="2457" w:type="dxa"/>
            <w:tcBorders>
              <w:top w:val="nil"/>
              <w:left w:val="nil"/>
              <w:bottom w:val="nil"/>
              <w:right w:val="nil"/>
            </w:tcBorders>
          </w:tcPr>
          <w:p w14:paraId="06BB4E78" w14:textId="77777777" w:rsidR="00750B7F" w:rsidRPr="00A1767C" w:rsidRDefault="00750B7F" w:rsidP="009B7446">
            <w:pPr>
              <w:spacing w:after="0" w:line="240" w:lineRule="auto"/>
              <w:jc w:val="center"/>
              <w:rPr>
                <w:rFonts w:ascii="Calibri" w:eastAsia="Calibri" w:hAnsi="Calibri" w:cs="Times New Roman"/>
              </w:rPr>
            </w:pPr>
          </w:p>
        </w:tc>
        <w:tc>
          <w:tcPr>
            <w:tcW w:w="1597" w:type="dxa"/>
            <w:tcBorders>
              <w:top w:val="nil"/>
              <w:left w:val="nil"/>
              <w:bottom w:val="nil"/>
              <w:right w:val="nil"/>
            </w:tcBorders>
          </w:tcPr>
          <w:p w14:paraId="5ABE0A50" w14:textId="77777777" w:rsidR="00750B7F" w:rsidRPr="00A1767C" w:rsidRDefault="00750B7F" w:rsidP="009B7446">
            <w:pPr>
              <w:spacing w:after="0" w:line="240" w:lineRule="auto"/>
              <w:jc w:val="center"/>
              <w:rPr>
                <w:rFonts w:ascii="Calibri" w:eastAsia="Calibri" w:hAnsi="Calibri" w:cs="Times New Roman"/>
              </w:rPr>
            </w:pPr>
          </w:p>
        </w:tc>
        <w:tc>
          <w:tcPr>
            <w:tcW w:w="1387" w:type="dxa"/>
            <w:tcBorders>
              <w:top w:val="nil"/>
              <w:left w:val="nil"/>
              <w:bottom w:val="nil"/>
              <w:right w:val="nil"/>
            </w:tcBorders>
          </w:tcPr>
          <w:p w14:paraId="479E8C28"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873C65B"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7C8D5324"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54BB9439" w14:textId="77777777" w:rsidR="00750B7F" w:rsidRPr="00A1767C" w:rsidRDefault="00750B7F" w:rsidP="009B7446">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3B322A32" w14:textId="77777777" w:rsidR="00750B7F" w:rsidRPr="00A1767C" w:rsidRDefault="00750B7F" w:rsidP="009B7446">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0E8991B0" w14:textId="77777777" w:rsidR="00750B7F" w:rsidRPr="00A1767C" w:rsidRDefault="00750B7F" w:rsidP="009B7446">
            <w:pPr>
              <w:spacing w:after="0" w:line="240" w:lineRule="auto"/>
              <w:jc w:val="center"/>
              <w:rPr>
                <w:rFonts w:ascii="Calibri" w:eastAsia="Calibri" w:hAnsi="Calibri" w:cs="Times New Roman"/>
              </w:rPr>
            </w:pPr>
          </w:p>
        </w:tc>
      </w:tr>
      <w:tr w:rsidR="00750B7F" w:rsidRPr="00A1767C" w14:paraId="37DBC334" w14:textId="77777777" w:rsidTr="009B7446">
        <w:tc>
          <w:tcPr>
            <w:tcW w:w="4253" w:type="dxa"/>
            <w:tcBorders>
              <w:top w:val="nil"/>
              <w:left w:val="nil"/>
              <w:bottom w:val="nil"/>
              <w:right w:val="nil"/>
            </w:tcBorders>
          </w:tcPr>
          <w:p w14:paraId="71C84ACB"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Coronary heart disease</w:t>
            </w:r>
          </w:p>
        </w:tc>
        <w:tc>
          <w:tcPr>
            <w:tcW w:w="2457" w:type="dxa"/>
            <w:tcBorders>
              <w:top w:val="nil"/>
              <w:left w:val="nil"/>
              <w:bottom w:val="nil"/>
              <w:right w:val="nil"/>
            </w:tcBorders>
            <w:vAlign w:val="bottom"/>
          </w:tcPr>
          <w:p w14:paraId="2BEA3F1D"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207 (18)</w:t>
            </w:r>
          </w:p>
        </w:tc>
        <w:tc>
          <w:tcPr>
            <w:tcW w:w="1597" w:type="dxa"/>
            <w:tcBorders>
              <w:top w:val="nil"/>
              <w:left w:val="nil"/>
              <w:bottom w:val="nil"/>
              <w:right w:val="nil"/>
            </w:tcBorders>
            <w:vAlign w:val="bottom"/>
          </w:tcPr>
          <w:p w14:paraId="54840EA1"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1958 (17)</w:t>
            </w:r>
          </w:p>
        </w:tc>
        <w:tc>
          <w:tcPr>
            <w:tcW w:w="1387" w:type="dxa"/>
            <w:tcBorders>
              <w:top w:val="nil"/>
              <w:left w:val="nil"/>
              <w:bottom w:val="nil"/>
              <w:right w:val="nil"/>
            </w:tcBorders>
            <w:vAlign w:val="bottom"/>
          </w:tcPr>
          <w:p w14:paraId="6932212F"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0.017</w:t>
            </w:r>
          </w:p>
        </w:tc>
        <w:tc>
          <w:tcPr>
            <w:tcW w:w="247" w:type="dxa"/>
            <w:tcBorders>
              <w:top w:val="nil"/>
              <w:left w:val="nil"/>
              <w:bottom w:val="nil"/>
              <w:right w:val="nil"/>
            </w:tcBorders>
          </w:tcPr>
          <w:p w14:paraId="432FFB17" w14:textId="77777777" w:rsidR="00750B7F" w:rsidRPr="00A1767C" w:rsidRDefault="00750B7F" w:rsidP="009B7446">
            <w:pPr>
              <w:spacing w:after="0" w:line="240" w:lineRule="auto"/>
              <w:jc w:val="center"/>
              <w:rPr>
                <w:rFonts w:ascii="Calibri" w:eastAsia="Calibri" w:hAnsi="Calibri" w:cs="Times New Roman"/>
                <w:color w:val="FF0000"/>
              </w:rPr>
            </w:pPr>
          </w:p>
        </w:tc>
        <w:tc>
          <w:tcPr>
            <w:tcW w:w="247" w:type="dxa"/>
            <w:tcBorders>
              <w:top w:val="nil"/>
              <w:left w:val="nil"/>
              <w:bottom w:val="nil"/>
              <w:right w:val="nil"/>
            </w:tcBorders>
          </w:tcPr>
          <w:p w14:paraId="22C0743A" w14:textId="77777777" w:rsidR="00750B7F" w:rsidRPr="00A1767C" w:rsidRDefault="00750B7F" w:rsidP="009B7446">
            <w:pPr>
              <w:spacing w:after="0" w:line="240" w:lineRule="auto"/>
              <w:jc w:val="center"/>
              <w:rPr>
                <w:rFonts w:ascii="Calibri" w:eastAsia="Calibri" w:hAnsi="Calibri" w:cs="Times New Roman"/>
                <w:color w:val="FF0000"/>
              </w:rPr>
            </w:pPr>
          </w:p>
        </w:tc>
        <w:tc>
          <w:tcPr>
            <w:tcW w:w="1626" w:type="dxa"/>
            <w:tcBorders>
              <w:top w:val="nil"/>
              <w:left w:val="nil"/>
              <w:bottom w:val="nil"/>
              <w:right w:val="nil"/>
            </w:tcBorders>
            <w:vAlign w:val="bottom"/>
          </w:tcPr>
          <w:p w14:paraId="4C37AADD"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175 (18)</w:t>
            </w:r>
          </w:p>
        </w:tc>
        <w:tc>
          <w:tcPr>
            <w:tcW w:w="1511" w:type="dxa"/>
            <w:tcBorders>
              <w:top w:val="nil"/>
              <w:left w:val="nil"/>
              <w:bottom w:val="nil"/>
              <w:right w:val="nil"/>
            </w:tcBorders>
            <w:vAlign w:val="bottom"/>
          </w:tcPr>
          <w:p w14:paraId="0EA2B94E"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129 (13)</w:t>
            </w:r>
          </w:p>
        </w:tc>
        <w:tc>
          <w:tcPr>
            <w:tcW w:w="1440" w:type="dxa"/>
            <w:tcBorders>
              <w:top w:val="nil"/>
              <w:left w:val="nil"/>
              <w:bottom w:val="nil"/>
              <w:right w:val="nil"/>
            </w:tcBorders>
            <w:vAlign w:val="bottom"/>
          </w:tcPr>
          <w:p w14:paraId="13AB90B9"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0.129</w:t>
            </w:r>
          </w:p>
        </w:tc>
      </w:tr>
      <w:tr w:rsidR="00750B7F" w:rsidRPr="00A1767C" w14:paraId="4C4EDAB9" w14:textId="77777777" w:rsidTr="009B7446">
        <w:tc>
          <w:tcPr>
            <w:tcW w:w="4253" w:type="dxa"/>
            <w:tcBorders>
              <w:top w:val="nil"/>
              <w:left w:val="nil"/>
              <w:bottom w:val="nil"/>
              <w:right w:val="nil"/>
            </w:tcBorders>
          </w:tcPr>
          <w:p w14:paraId="04DC6C00"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Peripheral vascular disease</w:t>
            </w:r>
          </w:p>
        </w:tc>
        <w:tc>
          <w:tcPr>
            <w:tcW w:w="2457" w:type="dxa"/>
            <w:tcBorders>
              <w:top w:val="nil"/>
              <w:left w:val="nil"/>
              <w:bottom w:val="nil"/>
              <w:right w:val="nil"/>
            </w:tcBorders>
            <w:vAlign w:val="bottom"/>
          </w:tcPr>
          <w:p w14:paraId="1727E1C4"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71 (6)</w:t>
            </w:r>
          </w:p>
        </w:tc>
        <w:tc>
          <w:tcPr>
            <w:tcW w:w="1597" w:type="dxa"/>
            <w:tcBorders>
              <w:top w:val="nil"/>
              <w:left w:val="nil"/>
              <w:bottom w:val="nil"/>
              <w:right w:val="nil"/>
            </w:tcBorders>
            <w:vAlign w:val="bottom"/>
          </w:tcPr>
          <w:p w14:paraId="700CE4A8"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749 (7)</w:t>
            </w:r>
          </w:p>
        </w:tc>
        <w:tc>
          <w:tcPr>
            <w:tcW w:w="1387" w:type="dxa"/>
            <w:tcBorders>
              <w:top w:val="nil"/>
              <w:left w:val="nil"/>
              <w:bottom w:val="nil"/>
              <w:right w:val="nil"/>
            </w:tcBorders>
            <w:vAlign w:val="bottom"/>
          </w:tcPr>
          <w:p w14:paraId="39ACF3AC"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0.019</w:t>
            </w:r>
          </w:p>
        </w:tc>
        <w:tc>
          <w:tcPr>
            <w:tcW w:w="247" w:type="dxa"/>
            <w:tcBorders>
              <w:top w:val="nil"/>
              <w:left w:val="nil"/>
              <w:bottom w:val="nil"/>
              <w:right w:val="nil"/>
            </w:tcBorders>
          </w:tcPr>
          <w:p w14:paraId="3B0CE407" w14:textId="77777777" w:rsidR="00750B7F" w:rsidRPr="00A1767C" w:rsidRDefault="00750B7F" w:rsidP="009B7446">
            <w:pPr>
              <w:spacing w:after="0" w:line="240" w:lineRule="auto"/>
              <w:jc w:val="center"/>
              <w:rPr>
                <w:rFonts w:ascii="Calibri" w:eastAsia="Calibri" w:hAnsi="Calibri" w:cs="Times New Roman"/>
                <w:color w:val="FF0000"/>
              </w:rPr>
            </w:pPr>
          </w:p>
        </w:tc>
        <w:tc>
          <w:tcPr>
            <w:tcW w:w="247" w:type="dxa"/>
            <w:tcBorders>
              <w:top w:val="nil"/>
              <w:left w:val="nil"/>
              <w:bottom w:val="nil"/>
              <w:right w:val="nil"/>
            </w:tcBorders>
          </w:tcPr>
          <w:p w14:paraId="7894B283" w14:textId="77777777" w:rsidR="00750B7F" w:rsidRPr="00A1767C" w:rsidRDefault="00750B7F" w:rsidP="009B7446">
            <w:pPr>
              <w:spacing w:after="0" w:line="240" w:lineRule="auto"/>
              <w:jc w:val="center"/>
              <w:rPr>
                <w:rFonts w:ascii="Calibri" w:eastAsia="Calibri" w:hAnsi="Calibri" w:cs="Times New Roman"/>
                <w:color w:val="FF0000"/>
              </w:rPr>
            </w:pPr>
          </w:p>
        </w:tc>
        <w:tc>
          <w:tcPr>
            <w:tcW w:w="1626" w:type="dxa"/>
            <w:tcBorders>
              <w:top w:val="nil"/>
              <w:left w:val="nil"/>
              <w:bottom w:val="nil"/>
              <w:right w:val="nil"/>
            </w:tcBorders>
            <w:vAlign w:val="bottom"/>
          </w:tcPr>
          <w:p w14:paraId="7B9140D9"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62 (6)</w:t>
            </w:r>
          </w:p>
        </w:tc>
        <w:tc>
          <w:tcPr>
            <w:tcW w:w="1511" w:type="dxa"/>
            <w:tcBorders>
              <w:top w:val="nil"/>
              <w:left w:val="nil"/>
              <w:bottom w:val="nil"/>
              <w:right w:val="nil"/>
            </w:tcBorders>
            <w:vAlign w:val="bottom"/>
          </w:tcPr>
          <w:p w14:paraId="0E71CF61"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62 (6)</w:t>
            </w:r>
          </w:p>
        </w:tc>
        <w:tc>
          <w:tcPr>
            <w:tcW w:w="1440" w:type="dxa"/>
            <w:tcBorders>
              <w:top w:val="nil"/>
              <w:left w:val="nil"/>
              <w:bottom w:val="nil"/>
              <w:right w:val="nil"/>
            </w:tcBorders>
            <w:vAlign w:val="bottom"/>
          </w:tcPr>
          <w:p w14:paraId="3F2D6A2B"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0.000</w:t>
            </w:r>
          </w:p>
        </w:tc>
      </w:tr>
      <w:tr w:rsidR="00750B7F" w:rsidRPr="00A1767C" w14:paraId="688D1C65" w14:textId="77777777" w:rsidTr="009B7446">
        <w:tc>
          <w:tcPr>
            <w:tcW w:w="4253" w:type="dxa"/>
            <w:tcBorders>
              <w:top w:val="nil"/>
              <w:left w:val="nil"/>
              <w:bottom w:val="nil"/>
              <w:right w:val="nil"/>
            </w:tcBorders>
          </w:tcPr>
          <w:p w14:paraId="0829C2A7"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Cerebrovascular disease</w:t>
            </w:r>
          </w:p>
        </w:tc>
        <w:tc>
          <w:tcPr>
            <w:tcW w:w="2457" w:type="dxa"/>
            <w:tcBorders>
              <w:top w:val="nil"/>
              <w:left w:val="nil"/>
              <w:bottom w:val="nil"/>
              <w:right w:val="nil"/>
            </w:tcBorders>
            <w:vAlign w:val="bottom"/>
          </w:tcPr>
          <w:p w14:paraId="451D332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87 (8)</w:t>
            </w:r>
          </w:p>
        </w:tc>
        <w:tc>
          <w:tcPr>
            <w:tcW w:w="1597" w:type="dxa"/>
            <w:tcBorders>
              <w:top w:val="nil"/>
              <w:left w:val="nil"/>
              <w:bottom w:val="nil"/>
              <w:right w:val="nil"/>
            </w:tcBorders>
            <w:vAlign w:val="bottom"/>
          </w:tcPr>
          <w:p w14:paraId="0C40E2C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792 (7)</w:t>
            </w:r>
          </w:p>
        </w:tc>
        <w:tc>
          <w:tcPr>
            <w:tcW w:w="1387" w:type="dxa"/>
            <w:tcBorders>
              <w:top w:val="nil"/>
              <w:left w:val="nil"/>
              <w:bottom w:val="nil"/>
              <w:right w:val="nil"/>
            </w:tcBorders>
            <w:vAlign w:val="bottom"/>
          </w:tcPr>
          <w:p w14:paraId="30496E59"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0.021</w:t>
            </w:r>
          </w:p>
        </w:tc>
        <w:tc>
          <w:tcPr>
            <w:tcW w:w="247" w:type="dxa"/>
            <w:tcBorders>
              <w:top w:val="nil"/>
              <w:left w:val="nil"/>
              <w:bottom w:val="nil"/>
              <w:right w:val="nil"/>
            </w:tcBorders>
          </w:tcPr>
          <w:p w14:paraId="0C1B15B1"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61BD41D"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74A50179"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81 (8)</w:t>
            </w:r>
          </w:p>
        </w:tc>
        <w:tc>
          <w:tcPr>
            <w:tcW w:w="1511" w:type="dxa"/>
            <w:tcBorders>
              <w:top w:val="nil"/>
              <w:left w:val="nil"/>
              <w:bottom w:val="nil"/>
              <w:right w:val="nil"/>
            </w:tcBorders>
            <w:vAlign w:val="bottom"/>
          </w:tcPr>
          <w:p w14:paraId="79366DD9"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64 (6)</w:t>
            </w:r>
          </w:p>
        </w:tc>
        <w:tc>
          <w:tcPr>
            <w:tcW w:w="1440" w:type="dxa"/>
            <w:tcBorders>
              <w:top w:val="nil"/>
              <w:left w:val="nil"/>
              <w:bottom w:val="nil"/>
              <w:right w:val="nil"/>
            </w:tcBorders>
            <w:vAlign w:val="bottom"/>
          </w:tcPr>
          <w:p w14:paraId="38211771"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0.066</w:t>
            </w:r>
          </w:p>
        </w:tc>
      </w:tr>
      <w:tr w:rsidR="00750B7F" w:rsidRPr="00A1767C" w14:paraId="402B597A" w14:textId="77777777" w:rsidTr="009B7446">
        <w:tc>
          <w:tcPr>
            <w:tcW w:w="4253" w:type="dxa"/>
            <w:tcBorders>
              <w:top w:val="nil"/>
              <w:left w:val="nil"/>
              <w:bottom w:val="nil"/>
              <w:right w:val="nil"/>
            </w:tcBorders>
          </w:tcPr>
          <w:p w14:paraId="08874070"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Other atherosclerosis</w:t>
            </w:r>
          </w:p>
        </w:tc>
        <w:tc>
          <w:tcPr>
            <w:tcW w:w="2457" w:type="dxa"/>
            <w:tcBorders>
              <w:top w:val="nil"/>
              <w:left w:val="nil"/>
              <w:bottom w:val="nil"/>
              <w:right w:val="nil"/>
            </w:tcBorders>
            <w:vAlign w:val="bottom"/>
          </w:tcPr>
          <w:p w14:paraId="47BFB1D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 (0)</w:t>
            </w:r>
          </w:p>
        </w:tc>
        <w:tc>
          <w:tcPr>
            <w:tcW w:w="1597" w:type="dxa"/>
            <w:tcBorders>
              <w:top w:val="nil"/>
              <w:left w:val="nil"/>
              <w:bottom w:val="nil"/>
              <w:right w:val="nil"/>
            </w:tcBorders>
            <w:vAlign w:val="bottom"/>
          </w:tcPr>
          <w:p w14:paraId="2015BAC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21 (0)</w:t>
            </w:r>
          </w:p>
        </w:tc>
        <w:tc>
          <w:tcPr>
            <w:tcW w:w="1387" w:type="dxa"/>
            <w:tcBorders>
              <w:top w:val="nil"/>
              <w:left w:val="nil"/>
              <w:bottom w:val="nil"/>
              <w:right w:val="nil"/>
            </w:tcBorders>
            <w:vAlign w:val="bottom"/>
          </w:tcPr>
          <w:p w14:paraId="7CAB36E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0.027</w:t>
            </w:r>
          </w:p>
        </w:tc>
        <w:tc>
          <w:tcPr>
            <w:tcW w:w="247" w:type="dxa"/>
            <w:tcBorders>
              <w:top w:val="nil"/>
              <w:left w:val="nil"/>
              <w:bottom w:val="nil"/>
              <w:right w:val="nil"/>
            </w:tcBorders>
          </w:tcPr>
          <w:p w14:paraId="4F677C70"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01DBA37"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F7DAE8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 (0)</w:t>
            </w:r>
          </w:p>
        </w:tc>
        <w:tc>
          <w:tcPr>
            <w:tcW w:w="1511" w:type="dxa"/>
            <w:tcBorders>
              <w:top w:val="nil"/>
              <w:left w:val="nil"/>
              <w:bottom w:val="nil"/>
              <w:right w:val="nil"/>
            </w:tcBorders>
            <w:vAlign w:val="bottom"/>
          </w:tcPr>
          <w:p w14:paraId="339DC6D1"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 (0)</w:t>
            </w:r>
          </w:p>
        </w:tc>
        <w:tc>
          <w:tcPr>
            <w:tcW w:w="1440" w:type="dxa"/>
            <w:tcBorders>
              <w:top w:val="nil"/>
              <w:left w:val="nil"/>
              <w:bottom w:val="nil"/>
              <w:right w:val="nil"/>
            </w:tcBorders>
            <w:vAlign w:val="bottom"/>
          </w:tcPr>
          <w:p w14:paraId="46E0FBD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0.026</w:t>
            </w:r>
          </w:p>
        </w:tc>
      </w:tr>
      <w:tr w:rsidR="00750B7F" w:rsidRPr="00A1767C" w14:paraId="26435B17" w14:textId="77777777" w:rsidTr="009B7446">
        <w:tc>
          <w:tcPr>
            <w:tcW w:w="4253" w:type="dxa"/>
            <w:tcBorders>
              <w:top w:val="nil"/>
              <w:left w:val="nil"/>
              <w:bottom w:val="nil"/>
              <w:right w:val="nil"/>
            </w:tcBorders>
          </w:tcPr>
          <w:p w14:paraId="5A147163"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Statin prescription</w:t>
            </w:r>
            <w:r w:rsidRPr="00A1767C">
              <w:rPr>
                <w:rFonts w:ascii="Calibri" w:eastAsia="Calibri" w:hAnsi="Calibri" w:cs="Times New Roman"/>
                <w:b/>
                <w:vertAlign w:val="superscript"/>
              </w:rPr>
              <w:t>8</w:t>
            </w:r>
          </w:p>
        </w:tc>
        <w:tc>
          <w:tcPr>
            <w:tcW w:w="2457" w:type="dxa"/>
            <w:tcBorders>
              <w:top w:val="nil"/>
              <w:left w:val="nil"/>
              <w:bottom w:val="nil"/>
              <w:right w:val="nil"/>
            </w:tcBorders>
            <w:vAlign w:val="bottom"/>
          </w:tcPr>
          <w:p w14:paraId="5D4EDB8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462 (40)</w:t>
            </w:r>
          </w:p>
        </w:tc>
        <w:tc>
          <w:tcPr>
            <w:tcW w:w="1597" w:type="dxa"/>
            <w:tcBorders>
              <w:top w:val="nil"/>
              <w:left w:val="nil"/>
              <w:bottom w:val="nil"/>
              <w:right w:val="nil"/>
            </w:tcBorders>
            <w:vAlign w:val="bottom"/>
          </w:tcPr>
          <w:p w14:paraId="3548877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4906 (44)</w:t>
            </w:r>
          </w:p>
        </w:tc>
        <w:tc>
          <w:tcPr>
            <w:tcW w:w="1387" w:type="dxa"/>
            <w:tcBorders>
              <w:top w:val="nil"/>
              <w:left w:val="nil"/>
              <w:bottom w:val="nil"/>
              <w:right w:val="nil"/>
            </w:tcBorders>
            <w:vAlign w:val="bottom"/>
          </w:tcPr>
          <w:p w14:paraId="3A8277C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0.068</w:t>
            </w:r>
          </w:p>
        </w:tc>
        <w:tc>
          <w:tcPr>
            <w:tcW w:w="247" w:type="dxa"/>
            <w:tcBorders>
              <w:top w:val="nil"/>
              <w:left w:val="nil"/>
              <w:bottom w:val="nil"/>
              <w:right w:val="nil"/>
            </w:tcBorders>
          </w:tcPr>
          <w:p w14:paraId="3A3A4EC2"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9EC422A"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7B32F5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411 (41)</w:t>
            </w:r>
          </w:p>
        </w:tc>
        <w:tc>
          <w:tcPr>
            <w:tcW w:w="1511" w:type="dxa"/>
            <w:tcBorders>
              <w:top w:val="nil"/>
              <w:left w:val="nil"/>
              <w:bottom w:val="nil"/>
              <w:right w:val="nil"/>
            </w:tcBorders>
            <w:vAlign w:val="bottom"/>
          </w:tcPr>
          <w:p w14:paraId="202C97B1"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344 (35)</w:t>
            </w:r>
          </w:p>
        </w:tc>
        <w:tc>
          <w:tcPr>
            <w:tcW w:w="1440" w:type="dxa"/>
            <w:tcBorders>
              <w:top w:val="nil"/>
              <w:left w:val="nil"/>
              <w:bottom w:val="nil"/>
              <w:right w:val="nil"/>
            </w:tcBorders>
            <w:vAlign w:val="bottom"/>
          </w:tcPr>
          <w:p w14:paraId="69C42EC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0.140</w:t>
            </w:r>
          </w:p>
        </w:tc>
      </w:tr>
      <w:tr w:rsidR="00750B7F" w:rsidRPr="00A1767C" w14:paraId="460845CB" w14:textId="77777777" w:rsidTr="009B7446">
        <w:tc>
          <w:tcPr>
            <w:tcW w:w="4253" w:type="dxa"/>
            <w:tcBorders>
              <w:top w:val="nil"/>
              <w:left w:val="nil"/>
              <w:bottom w:val="nil"/>
              <w:right w:val="nil"/>
            </w:tcBorders>
          </w:tcPr>
          <w:p w14:paraId="010A502F"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Aspirin prescription</w:t>
            </w:r>
            <w:r w:rsidRPr="00A1767C">
              <w:rPr>
                <w:rFonts w:ascii="Calibri" w:eastAsia="Calibri" w:hAnsi="Calibri" w:cs="Times New Roman"/>
                <w:b/>
                <w:vertAlign w:val="superscript"/>
              </w:rPr>
              <w:t>8</w:t>
            </w:r>
          </w:p>
        </w:tc>
        <w:tc>
          <w:tcPr>
            <w:tcW w:w="2457" w:type="dxa"/>
            <w:tcBorders>
              <w:top w:val="nil"/>
              <w:left w:val="nil"/>
              <w:bottom w:val="nil"/>
              <w:right w:val="nil"/>
            </w:tcBorders>
            <w:vAlign w:val="bottom"/>
          </w:tcPr>
          <w:p w14:paraId="03B2D1D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333 (29)</w:t>
            </w:r>
          </w:p>
        </w:tc>
        <w:tc>
          <w:tcPr>
            <w:tcW w:w="1597" w:type="dxa"/>
            <w:tcBorders>
              <w:top w:val="nil"/>
              <w:left w:val="nil"/>
              <w:bottom w:val="nil"/>
              <w:right w:val="nil"/>
            </w:tcBorders>
            <w:vAlign w:val="bottom"/>
          </w:tcPr>
          <w:p w14:paraId="7E29433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3376 (30)</w:t>
            </w:r>
          </w:p>
        </w:tc>
        <w:tc>
          <w:tcPr>
            <w:tcW w:w="1387" w:type="dxa"/>
            <w:tcBorders>
              <w:top w:val="nil"/>
              <w:left w:val="nil"/>
              <w:bottom w:val="nil"/>
              <w:right w:val="nil"/>
            </w:tcBorders>
            <w:vAlign w:val="bottom"/>
          </w:tcPr>
          <w:p w14:paraId="1004114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0.022</w:t>
            </w:r>
          </w:p>
        </w:tc>
        <w:tc>
          <w:tcPr>
            <w:tcW w:w="247" w:type="dxa"/>
            <w:tcBorders>
              <w:top w:val="nil"/>
              <w:left w:val="nil"/>
              <w:bottom w:val="nil"/>
              <w:right w:val="nil"/>
            </w:tcBorders>
          </w:tcPr>
          <w:p w14:paraId="07174389"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2868C7A"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1EC7F68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297 (30)</w:t>
            </w:r>
          </w:p>
        </w:tc>
        <w:tc>
          <w:tcPr>
            <w:tcW w:w="1511" w:type="dxa"/>
            <w:tcBorders>
              <w:top w:val="nil"/>
              <w:left w:val="nil"/>
              <w:bottom w:val="nil"/>
              <w:right w:val="nil"/>
            </w:tcBorders>
            <w:vAlign w:val="bottom"/>
          </w:tcPr>
          <w:p w14:paraId="784909C1"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246 (25)</w:t>
            </w:r>
          </w:p>
        </w:tc>
        <w:tc>
          <w:tcPr>
            <w:tcW w:w="1440" w:type="dxa"/>
            <w:tcBorders>
              <w:top w:val="nil"/>
              <w:left w:val="nil"/>
              <w:bottom w:val="nil"/>
              <w:right w:val="nil"/>
            </w:tcBorders>
            <w:vAlign w:val="bottom"/>
          </w:tcPr>
          <w:p w14:paraId="25082F38"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0.116</w:t>
            </w:r>
          </w:p>
        </w:tc>
      </w:tr>
      <w:tr w:rsidR="00750B7F" w:rsidRPr="00A1767C" w14:paraId="04D3AB76" w14:textId="77777777" w:rsidTr="009B7446">
        <w:tc>
          <w:tcPr>
            <w:tcW w:w="4253" w:type="dxa"/>
            <w:tcBorders>
              <w:top w:val="nil"/>
              <w:left w:val="nil"/>
              <w:bottom w:val="nil"/>
              <w:right w:val="nil"/>
            </w:tcBorders>
          </w:tcPr>
          <w:p w14:paraId="466A5D67"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Other COPD medication prescriptions</w:t>
            </w:r>
            <w:r w:rsidRPr="00A1767C">
              <w:rPr>
                <w:rFonts w:ascii="Calibri" w:eastAsia="Calibri" w:hAnsi="Calibri" w:cs="Times New Roman"/>
                <w:b/>
                <w:vertAlign w:val="superscript"/>
              </w:rPr>
              <w:t>8</w:t>
            </w:r>
            <w:r w:rsidRPr="00A1767C">
              <w:rPr>
                <w:rFonts w:ascii="Calibri" w:eastAsia="Calibri" w:hAnsi="Calibri" w:cs="Times New Roman"/>
                <w:b/>
              </w:rPr>
              <w:t>:</w:t>
            </w:r>
          </w:p>
        </w:tc>
        <w:tc>
          <w:tcPr>
            <w:tcW w:w="2457" w:type="dxa"/>
            <w:tcBorders>
              <w:top w:val="nil"/>
              <w:left w:val="nil"/>
              <w:bottom w:val="nil"/>
              <w:right w:val="nil"/>
            </w:tcBorders>
          </w:tcPr>
          <w:p w14:paraId="798E1E64" w14:textId="77777777" w:rsidR="00750B7F" w:rsidRPr="00A1767C" w:rsidRDefault="00750B7F" w:rsidP="009B7446">
            <w:pPr>
              <w:spacing w:after="0" w:line="240" w:lineRule="auto"/>
              <w:jc w:val="center"/>
              <w:rPr>
                <w:rFonts w:ascii="Calibri" w:eastAsia="Calibri" w:hAnsi="Calibri" w:cs="Times New Roman"/>
              </w:rPr>
            </w:pPr>
          </w:p>
        </w:tc>
        <w:tc>
          <w:tcPr>
            <w:tcW w:w="1597" w:type="dxa"/>
            <w:tcBorders>
              <w:top w:val="nil"/>
              <w:left w:val="nil"/>
              <w:bottom w:val="nil"/>
              <w:right w:val="nil"/>
            </w:tcBorders>
          </w:tcPr>
          <w:p w14:paraId="5C30EAB2" w14:textId="77777777" w:rsidR="00750B7F" w:rsidRPr="00A1767C" w:rsidRDefault="00750B7F" w:rsidP="009B7446">
            <w:pPr>
              <w:spacing w:after="0" w:line="240" w:lineRule="auto"/>
              <w:jc w:val="center"/>
              <w:rPr>
                <w:rFonts w:ascii="Calibri" w:eastAsia="Calibri" w:hAnsi="Calibri" w:cs="Times New Roman"/>
              </w:rPr>
            </w:pPr>
          </w:p>
        </w:tc>
        <w:tc>
          <w:tcPr>
            <w:tcW w:w="1387" w:type="dxa"/>
            <w:tcBorders>
              <w:top w:val="nil"/>
              <w:left w:val="nil"/>
              <w:bottom w:val="nil"/>
              <w:right w:val="nil"/>
            </w:tcBorders>
          </w:tcPr>
          <w:p w14:paraId="5BA89EFB"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EE7E7BC"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51B20E5B"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36DDAB07" w14:textId="77777777" w:rsidR="00750B7F" w:rsidRPr="00A1767C" w:rsidRDefault="00750B7F" w:rsidP="009B7446">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70F6E995" w14:textId="77777777" w:rsidR="00750B7F" w:rsidRPr="00A1767C" w:rsidRDefault="00750B7F" w:rsidP="009B7446">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4B6BE241" w14:textId="77777777" w:rsidR="00750B7F" w:rsidRPr="00A1767C" w:rsidRDefault="00750B7F" w:rsidP="009B7446">
            <w:pPr>
              <w:spacing w:after="0" w:line="240" w:lineRule="auto"/>
              <w:jc w:val="center"/>
              <w:rPr>
                <w:rFonts w:ascii="Calibri" w:eastAsia="Calibri" w:hAnsi="Calibri" w:cs="Times New Roman"/>
              </w:rPr>
            </w:pPr>
          </w:p>
        </w:tc>
      </w:tr>
      <w:tr w:rsidR="00750B7F" w:rsidRPr="00A1767C" w14:paraId="20C37933" w14:textId="77777777" w:rsidTr="009B7446">
        <w:tc>
          <w:tcPr>
            <w:tcW w:w="4253" w:type="dxa"/>
            <w:tcBorders>
              <w:top w:val="nil"/>
              <w:left w:val="nil"/>
              <w:bottom w:val="nil"/>
              <w:right w:val="nil"/>
            </w:tcBorders>
          </w:tcPr>
          <w:p w14:paraId="47658B29"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LABA</w:t>
            </w:r>
            <w:r w:rsidRPr="00A1767C">
              <w:rPr>
                <w:rFonts w:ascii="Calibri" w:eastAsia="Calibri" w:hAnsi="Calibri" w:cs="Times New Roman"/>
                <w:vertAlign w:val="superscript"/>
              </w:rPr>
              <w:t>9</w:t>
            </w:r>
          </w:p>
        </w:tc>
        <w:tc>
          <w:tcPr>
            <w:tcW w:w="2457" w:type="dxa"/>
            <w:tcBorders>
              <w:top w:val="nil"/>
              <w:left w:val="nil"/>
              <w:bottom w:val="nil"/>
              <w:right w:val="nil"/>
            </w:tcBorders>
            <w:vAlign w:val="bottom"/>
          </w:tcPr>
          <w:p w14:paraId="1D986DB4"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793 (69)</w:t>
            </w:r>
          </w:p>
        </w:tc>
        <w:tc>
          <w:tcPr>
            <w:tcW w:w="1597" w:type="dxa"/>
            <w:tcBorders>
              <w:top w:val="nil"/>
              <w:left w:val="nil"/>
              <w:bottom w:val="nil"/>
              <w:right w:val="nil"/>
            </w:tcBorders>
            <w:vAlign w:val="bottom"/>
          </w:tcPr>
          <w:p w14:paraId="7BB542A4"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98 (1)</w:t>
            </w:r>
          </w:p>
        </w:tc>
        <w:tc>
          <w:tcPr>
            <w:tcW w:w="1387" w:type="dxa"/>
            <w:tcBorders>
              <w:top w:val="nil"/>
              <w:left w:val="nil"/>
              <w:bottom w:val="nil"/>
              <w:right w:val="nil"/>
            </w:tcBorders>
            <w:vAlign w:val="bottom"/>
          </w:tcPr>
          <w:p w14:paraId="73CA8CE1"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2.052</w:t>
            </w:r>
          </w:p>
        </w:tc>
        <w:tc>
          <w:tcPr>
            <w:tcW w:w="247" w:type="dxa"/>
            <w:tcBorders>
              <w:top w:val="nil"/>
              <w:left w:val="nil"/>
              <w:bottom w:val="nil"/>
              <w:right w:val="nil"/>
            </w:tcBorders>
          </w:tcPr>
          <w:p w14:paraId="3C8B84F5" w14:textId="77777777" w:rsidR="00750B7F" w:rsidRPr="00A1767C" w:rsidRDefault="00750B7F" w:rsidP="009B7446">
            <w:pPr>
              <w:spacing w:after="0" w:line="240" w:lineRule="auto"/>
              <w:jc w:val="center"/>
              <w:rPr>
                <w:rFonts w:ascii="Calibri" w:eastAsia="Calibri" w:hAnsi="Calibri" w:cs="Times New Roman"/>
                <w:color w:val="FF0000"/>
              </w:rPr>
            </w:pPr>
          </w:p>
        </w:tc>
        <w:tc>
          <w:tcPr>
            <w:tcW w:w="247" w:type="dxa"/>
            <w:tcBorders>
              <w:top w:val="nil"/>
              <w:left w:val="nil"/>
              <w:bottom w:val="nil"/>
              <w:right w:val="nil"/>
            </w:tcBorders>
          </w:tcPr>
          <w:p w14:paraId="4F787029" w14:textId="77777777" w:rsidR="00750B7F" w:rsidRPr="00A1767C" w:rsidRDefault="00750B7F" w:rsidP="009B7446">
            <w:pPr>
              <w:spacing w:after="0" w:line="240" w:lineRule="auto"/>
              <w:jc w:val="center"/>
              <w:rPr>
                <w:rFonts w:ascii="Calibri" w:eastAsia="Calibri" w:hAnsi="Calibri" w:cs="Times New Roman"/>
                <w:color w:val="FF0000"/>
              </w:rPr>
            </w:pPr>
          </w:p>
        </w:tc>
        <w:tc>
          <w:tcPr>
            <w:tcW w:w="1626" w:type="dxa"/>
            <w:tcBorders>
              <w:top w:val="nil"/>
              <w:left w:val="nil"/>
              <w:bottom w:val="nil"/>
              <w:right w:val="nil"/>
            </w:tcBorders>
            <w:vAlign w:val="bottom"/>
          </w:tcPr>
          <w:p w14:paraId="5A73C7D5"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648 (65)</w:t>
            </w:r>
          </w:p>
        </w:tc>
        <w:tc>
          <w:tcPr>
            <w:tcW w:w="1511" w:type="dxa"/>
            <w:tcBorders>
              <w:top w:val="nil"/>
              <w:left w:val="nil"/>
              <w:bottom w:val="nil"/>
              <w:right w:val="nil"/>
            </w:tcBorders>
            <w:vAlign w:val="bottom"/>
          </w:tcPr>
          <w:p w14:paraId="26C628A5"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15 (2)</w:t>
            </w:r>
          </w:p>
        </w:tc>
        <w:tc>
          <w:tcPr>
            <w:tcW w:w="1440" w:type="dxa"/>
            <w:tcBorders>
              <w:top w:val="nil"/>
              <w:left w:val="nil"/>
              <w:bottom w:val="nil"/>
              <w:right w:val="nil"/>
            </w:tcBorders>
            <w:vAlign w:val="bottom"/>
          </w:tcPr>
          <w:p w14:paraId="1B121BDC"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1.839</w:t>
            </w:r>
          </w:p>
        </w:tc>
      </w:tr>
      <w:tr w:rsidR="00750B7F" w:rsidRPr="00A1767C" w14:paraId="7D59C092" w14:textId="77777777" w:rsidTr="009B7446">
        <w:tc>
          <w:tcPr>
            <w:tcW w:w="4253" w:type="dxa"/>
            <w:tcBorders>
              <w:top w:val="nil"/>
              <w:left w:val="nil"/>
              <w:bottom w:val="nil"/>
              <w:right w:val="nil"/>
            </w:tcBorders>
          </w:tcPr>
          <w:p w14:paraId="060D6ECD"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ICS*</w:t>
            </w:r>
            <w:r w:rsidRPr="00A1767C">
              <w:rPr>
                <w:rFonts w:ascii="Calibri" w:eastAsia="Calibri" w:hAnsi="Calibri" w:cs="Times New Roman"/>
                <w:vertAlign w:val="superscript"/>
              </w:rPr>
              <w:t>9</w:t>
            </w:r>
          </w:p>
        </w:tc>
        <w:tc>
          <w:tcPr>
            <w:tcW w:w="2457" w:type="dxa"/>
            <w:tcBorders>
              <w:top w:val="nil"/>
              <w:left w:val="nil"/>
              <w:bottom w:val="nil"/>
              <w:right w:val="nil"/>
            </w:tcBorders>
            <w:vAlign w:val="bottom"/>
          </w:tcPr>
          <w:p w14:paraId="4C6056B5"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419 (37)</w:t>
            </w:r>
          </w:p>
        </w:tc>
        <w:tc>
          <w:tcPr>
            <w:tcW w:w="1597" w:type="dxa"/>
            <w:tcBorders>
              <w:top w:val="nil"/>
              <w:left w:val="nil"/>
              <w:bottom w:val="nil"/>
              <w:right w:val="nil"/>
            </w:tcBorders>
            <w:vAlign w:val="bottom"/>
          </w:tcPr>
          <w:p w14:paraId="26EB4C5A"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862 (8)</w:t>
            </w:r>
          </w:p>
        </w:tc>
        <w:tc>
          <w:tcPr>
            <w:tcW w:w="1387" w:type="dxa"/>
            <w:tcBorders>
              <w:top w:val="nil"/>
              <w:left w:val="nil"/>
              <w:bottom w:val="nil"/>
              <w:right w:val="nil"/>
            </w:tcBorders>
            <w:vAlign w:val="bottom"/>
          </w:tcPr>
          <w:p w14:paraId="2BDCD012"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0.742</w:t>
            </w:r>
          </w:p>
        </w:tc>
        <w:tc>
          <w:tcPr>
            <w:tcW w:w="247" w:type="dxa"/>
            <w:tcBorders>
              <w:top w:val="nil"/>
              <w:left w:val="nil"/>
              <w:bottom w:val="nil"/>
              <w:right w:val="nil"/>
            </w:tcBorders>
          </w:tcPr>
          <w:p w14:paraId="5126FEEE" w14:textId="77777777" w:rsidR="00750B7F" w:rsidRPr="00A1767C" w:rsidRDefault="00750B7F" w:rsidP="009B7446">
            <w:pPr>
              <w:spacing w:after="0" w:line="240" w:lineRule="auto"/>
              <w:jc w:val="center"/>
              <w:rPr>
                <w:rFonts w:ascii="Calibri" w:eastAsia="Calibri" w:hAnsi="Calibri" w:cs="Times New Roman"/>
                <w:color w:val="FF0000"/>
              </w:rPr>
            </w:pPr>
          </w:p>
        </w:tc>
        <w:tc>
          <w:tcPr>
            <w:tcW w:w="247" w:type="dxa"/>
            <w:tcBorders>
              <w:top w:val="nil"/>
              <w:left w:val="nil"/>
              <w:bottom w:val="nil"/>
              <w:right w:val="nil"/>
            </w:tcBorders>
          </w:tcPr>
          <w:p w14:paraId="600ED9BC" w14:textId="77777777" w:rsidR="00750B7F" w:rsidRPr="00A1767C" w:rsidRDefault="00750B7F" w:rsidP="009B7446">
            <w:pPr>
              <w:spacing w:after="0" w:line="240" w:lineRule="auto"/>
              <w:jc w:val="center"/>
              <w:rPr>
                <w:rFonts w:ascii="Calibri" w:eastAsia="Calibri" w:hAnsi="Calibri" w:cs="Times New Roman"/>
                <w:color w:val="FF0000"/>
              </w:rPr>
            </w:pPr>
          </w:p>
        </w:tc>
        <w:tc>
          <w:tcPr>
            <w:tcW w:w="1626" w:type="dxa"/>
            <w:tcBorders>
              <w:top w:val="nil"/>
              <w:left w:val="nil"/>
              <w:bottom w:val="nil"/>
              <w:right w:val="nil"/>
            </w:tcBorders>
            <w:vAlign w:val="bottom"/>
          </w:tcPr>
          <w:p w14:paraId="34C3E301"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275 (28)</w:t>
            </w:r>
          </w:p>
        </w:tc>
        <w:tc>
          <w:tcPr>
            <w:tcW w:w="1511" w:type="dxa"/>
            <w:tcBorders>
              <w:top w:val="nil"/>
              <w:left w:val="nil"/>
              <w:bottom w:val="nil"/>
              <w:right w:val="nil"/>
            </w:tcBorders>
            <w:vAlign w:val="bottom"/>
          </w:tcPr>
          <w:p w14:paraId="59E871CE"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387 (39)</w:t>
            </w:r>
          </w:p>
        </w:tc>
        <w:tc>
          <w:tcPr>
            <w:tcW w:w="1440" w:type="dxa"/>
            <w:tcBorders>
              <w:top w:val="nil"/>
              <w:left w:val="nil"/>
              <w:bottom w:val="nil"/>
              <w:right w:val="nil"/>
            </w:tcBorders>
            <w:vAlign w:val="bottom"/>
          </w:tcPr>
          <w:p w14:paraId="4562E0E0" w14:textId="77777777" w:rsidR="00750B7F" w:rsidRPr="00A1767C" w:rsidRDefault="00750B7F" w:rsidP="009B7446">
            <w:pPr>
              <w:spacing w:after="0" w:line="240" w:lineRule="auto"/>
              <w:jc w:val="center"/>
              <w:rPr>
                <w:rFonts w:ascii="Calibri" w:eastAsia="Calibri" w:hAnsi="Calibri" w:cs="Times New Roman"/>
                <w:color w:val="FF0000"/>
              </w:rPr>
            </w:pPr>
            <w:r w:rsidRPr="00A1767C">
              <w:rPr>
                <w:rFonts w:ascii="Calibri" w:eastAsia="Calibri" w:hAnsi="Calibri" w:cs="Calibri"/>
                <w:color w:val="000000"/>
              </w:rPr>
              <w:t>0.241</w:t>
            </w:r>
          </w:p>
        </w:tc>
      </w:tr>
      <w:tr w:rsidR="00750B7F" w:rsidRPr="00A1767C" w14:paraId="08992773" w14:textId="77777777" w:rsidTr="009B7446">
        <w:tc>
          <w:tcPr>
            <w:tcW w:w="4253" w:type="dxa"/>
            <w:tcBorders>
              <w:top w:val="nil"/>
              <w:left w:val="nil"/>
              <w:bottom w:val="nil"/>
              <w:right w:val="nil"/>
            </w:tcBorders>
          </w:tcPr>
          <w:p w14:paraId="773DA103"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LAMA</w:t>
            </w:r>
            <w:r w:rsidRPr="00A1767C">
              <w:rPr>
                <w:rFonts w:ascii="Calibri" w:eastAsia="Calibri" w:hAnsi="Calibri" w:cs="Times New Roman"/>
                <w:vertAlign w:val="superscript"/>
              </w:rPr>
              <w:t>9</w:t>
            </w:r>
          </w:p>
        </w:tc>
        <w:tc>
          <w:tcPr>
            <w:tcW w:w="2457" w:type="dxa"/>
            <w:tcBorders>
              <w:top w:val="nil"/>
              <w:left w:val="nil"/>
              <w:bottom w:val="nil"/>
              <w:right w:val="nil"/>
            </w:tcBorders>
            <w:vAlign w:val="bottom"/>
          </w:tcPr>
          <w:p w14:paraId="1256F99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477 (42)</w:t>
            </w:r>
          </w:p>
        </w:tc>
        <w:tc>
          <w:tcPr>
            <w:tcW w:w="1597" w:type="dxa"/>
            <w:tcBorders>
              <w:top w:val="nil"/>
              <w:left w:val="nil"/>
              <w:bottom w:val="nil"/>
              <w:right w:val="nil"/>
            </w:tcBorders>
            <w:vAlign w:val="bottom"/>
          </w:tcPr>
          <w:p w14:paraId="2DB1AEF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6598 (59)</w:t>
            </w:r>
          </w:p>
        </w:tc>
        <w:tc>
          <w:tcPr>
            <w:tcW w:w="1387" w:type="dxa"/>
            <w:tcBorders>
              <w:top w:val="nil"/>
              <w:left w:val="nil"/>
              <w:bottom w:val="nil"/>
              <w:right w:val="nil"/>
            </w:tcBorders>
            <w:vAlign w:val="bottom"/>
          </w:tcPr>
          <w:p w14:paraId="1491C11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0.347</w:t>
            </w:r>
          </w:p>
        </w:tc>
        <w:tc>
          <w:tcPr>
            <w:tcW w:w="247" w:type="dxa"/>
            <w:tcBorders>
              <w:top w:val="nil"/>
              <w:left w:val="nil"/>
              <w:bottom w:val="nil"/>
              <w:right w:val="nil"/>
            </w:tcBorders>
          </w:tcPr>
          <w:p w14:paraId="36A8C819"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4114AE4"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672BE3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432 (44)</w:t>
            </w:r>
          </w:p>
        </w:tc>
        <w:tc>
          <w:tcPr>
            <w:tcW w:w="1511" w:type="dxa"/>
            <w:tcBorders>
              <w:top w:val="nil"/>
              <w:left w:val="nil"/>
              <w:bottom w:val="nil"/>
              <w:right w:val="nil"/>
            </w:tcBorders>
            <w:vAlign w:val="bottom"/>
          </w:tcPr>
          <w:p w14:paraId="1AF7C5A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487 (49)</w:t>
            </w:r>
          </w:p>
        </w:tc>
        <w:tc>
          <w:tcPr>
            <w:tcW w:w="1440" w:type="dxa"/>
            <w:tcBorders>
              <w:top w:val="nil"/>
              <w:left w:val="nil"/>
              <w:bottom w:val="nil"/>
              <w:right w:val="nil"/>
            </w:tcBorders>
            <w:vAlign w:val="bottom"/>
          </w:tcPr>
          <w:p w14:paraId="2E658B2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0.111</w:t>
            </w:r>
          </w:p>
        </w:tc>
      </w:tr>
      <w:tr w:rsidR="00750B7F" w:rsidRPr="00A1767C" w14:paraId="199629B5" w14:textId="77777777" w:rsidTr="009B7446">
        <w:tc>
          <w:tcPr>
            <w:tcW w:w="4253" w:type="dxa"/>
            <w:tcBorders>
              <w:top w:val="nil"/>
              <w:left w:val="nil"/>
              <w:bottom w:val="nil"/>
              <w:right w:val="nil"/>
            </w:tcBorders>
          </w:tcPr>
          <w:p w14:paraId="768B220B"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rPr>
              <w:t xml:space="preserve">      ICS plus LABA</w:t>
            </w:r>
            <w:r w:rsidRPr="00A1767C">
              <w:rPr>
                <w:rFonts w:ascii="Calibri" w:eastAsia="Calibri" w:hAnsi="Calibri" w:cs="Times New Roman"/>
                <w:vertAlign w:val="superscript"/>
              </w:rPr>
              <w:t>10</w:t>
            </w:r>
          </w:p>
        </w:tc>
        <w:tc>
          <w:tcPr>
            <w:tcW w:w="2457" w:type="dxa"/>
            <w:tcBorders>
              <w:top w:val="nil"/>
              <w:left w:val="nil"/>
              <w:bottom w:val="nil"/>
              <w:right w:val="nil"/>
            </w:tcBorders>
            <w:vAlign w:val="bottom"/>
          </w:tcPr>
          <w:p w14:paraId="52A5F3D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28 (2)</w:t>
            </w:r>
          </w:p>
        </w:tc>
        <w:tc>
          <w:tcPr>
            <w:tcW w:w="1597" w:type="dxa"/>
            <w:tcBorders>
              <w:top w:val="nil"/>
              <w:left w:val="nil"/>
              <w:bottom w:val="nil"/>
              <w:right w:val="nil"/>
            </w:tcBorders>
            <w:vAlign w:val="bottom"/>
          </w:tcPr>
          <w:p w14:paraId="43882BB0"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537 (5)</w:t>
            </w:r>
          </w:p>
        </w:tc>
        <w:tc>
          <w:tcPr>
            <w:tcW w:w="1387" w:type="dxa"/>
            <w:tcBorders>
              <w:top w:val="nil"/>
              <w:left w:val="nil"/>
              <w:bottom w:val="nil"/>
              <w:right w:val="nil"/>
            </w:tcBorders>
            <w:vAlign w:val="bottom"/>
          </w:tcPr>
          <w:p w14:paraId="5A00DBB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0.125</w:t>
            </w:r>
          </w:p>
        </w:tc>
        <w:tc>
          <w:tcPr>
            <w:tcW w:w="247" w:type="dxa"/>
            <w:tcBorders>
              <w:top w:val="nil"/>
              <w:left w:val="nil"/>
              <w:bottom w:val="nil"/>
              <w:right w:val="nil"/>
            </w:tcBorders>
          </w:tcPr>
          <w:p w14:paraId="6DF936EB"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0CBCCDDC"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4232276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24 (2)</w:t>
            </w:r>
          </w:p>
        </w:tc>
        <w:tc>
          <w:tcPr>
            <w:tcW w:w="1511" w:type="dxa"/>
            <w:tcBorders>
              <w:top w:val="nil"/>
              <w:left w:val="nil"/>
              <w:bottom w:val="nil"/>
              <w:right w:val="nil"/>
            </w:tcBorders>
            <w:vAlign w:val="bottom"/>
          </w:tcPr>
          <w:p w14:paraId="191E298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50 (5)</w:t>
            </w:r>
          </w:p>
        </w:tc>
        <w:tc>
          <w:tcPr>
            <w:tcW w:w="1440" w:type="dxa"/>
            <w:tcBorders>
              <w:top w:val="nil"/>
              <w:left w:val="nil"/>
              <w:bottom w:val="nil"/>
              <w:right w:val="nil"/>
            </w:tcBorders>
            <w:vAlign w:val="bottom"/>
          </w:tcPr>
          <w:p w14:paraId="352CFA9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0.139</w:t>
            </w:r>
          </w:p>
        </w:tc>
      </w:tr>
      <w:tr w:rsidR="00750B7F" w:rsidRPr="00A1767C" w14:paraId="462F1821" w14:textId="77777777" w:rsidTr="009B7446">
        <w:tc>
          <w:tcPr>
            <w:tcW w:w="4253" w:type="dxa"/>
            <w:tcBorders>
              <w:top w:val="nil"/>
              <w:left w:val="nil"/>
              <w:bottom w:val="nil"/>
              <w:right w:val="nil"/>
            </w:tcBorders>
          </w:tcPr>
          <w:p w14:paraId="30CAB6BB"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Type 2 diabetes*</w:t>
            </w:r>
            <w:r w:rsidRPr="00A1767C">
              <w:rPr>
                <w:rFonts w:ascii="Calibri" w:eastAsia="Calibri" w:hAnsi="Calibri" w:cs="Times New Roman"/>
                <w:b/>
                <w:vertAlign w:val="superscript"/>
              </w:rPr>
              <w:t>7</w:t>
            </w:r>
          </w:p>
        </w:tc>
        <w:tc>
          <w:tcPr>
            <w:tcW w:w="2457" w:type="dxa"/>
            <w:tcBorders>
              <w:top w:val="nil"/>
              <w:left w:val="nil"/>
              <w:bottom w:val="nil"/>
              <w:right w:val="nil"/>
            </w:tcBorders>
            <w:vAlign w:val="bottom"/>
          </w:tcPr>
          <w:p w14:paraId="6BD103B1"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116 (10)</w:t>
            </w:r>
          </w:p>
        </w:tc>
        <w:tc>
          <w:tcPr>
            <w:tcW w:w="1597" w:type="dxa"/>
            <w:tcBorders>
              <w:top w:val="nil"/>
              <w:left w:val="nil"/>
              <w:bottom w:val="nil"/>
              <w:right w:val="nil"/>
            </w:tcBorders>
            <w:vAlign w:val="bottom"/>
          </w:tcPr>
          <w:p w14:paraId="4C877C6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1549 (14)</w:t>
            </w:r>
          </w:p>
        </w:tc>
        <w:tc>
          <w:tcPr>
            <w:tcW w:w="1387" w:type="dxa"/>
            <w:tcBorders>
              <w:top w:val="nil"/>
              <w:left w:val="nil"/>
              <w:bottom w:val="nil"/>
              <w:right w:val="nil"/>
            </w:tcBorders>
            <w:vAlign w:val="bottom"/>
          </w:tcPr>
          <w:p w14:paraId="04BBA8C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0.113</w:t>
            </w:r>
          </w:p>
        </w:tc>
        <w:tc>
          <w:tcPr>
            <w:tcW w:w="247" w:type="dxa"/>
            <w:tcBorders>
              <w:top w:val="nil"/>
              <w:left w:val="nil"/>
              <w:bottom w:val="nil"/>
              <w:right w:val="nil"/>
            </w:tcBorders>
          </w:tcPr>
          <w:p w14:paraId="2E46805C"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1B70763"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45A3431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101 (10)</w:t>
            </w:r>
          </w:p>
        </w:tc>
        <w:tc>
          <w:tcPr>
            <w:tcW w:w="1511" w:type="dxa"/>
            <w:tcBorders>
              <w:top w:val="nil"/>
              <w:left w:val="nil"/>
              <w:bottom w:val="nil"/>
              <w:right w:val="nil"/>
            </w:tcBorders>
            <w:vAlign w:val="bottom"/>
          </w:tcPr>
          <w:p w14:paraId="2352D428"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100 (10)</w:t>
            </w:r>
          </w:p>
        </w:tc>
        <w:tc>
          <w:tcPr>
            <w:tcW w:w="1440" w:type="dxa"/>
            <w:tcBorders>
              <w:top w:val="nil"/>
              <w:left w:val="nil"/>
              <w:bottom w:val="nil"/>
              <w:right w:val="nil"/>
            </w:tcBorders>
            <w:vAlign w:val="bottom"/>
          </w:tcPr>
          <w:p w14:paraId="3BA1B87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0.003</w:t>
            </w:r>
          </w:p>
        </w:tc>
      </w:tr>
      <w:tr w:rsidR="00750B7F" w:rsidRPr="00A1767C" w14:paraId="54EFE31C" w14:textId="77777777" w:rsidTr="009B7446">
        <w:tc>
          <w:tcPr>
            <w:tcW w:w="4253" w:type="dxa"/>
            <w:tcBorders>
              <w:top w:val="nil"/>
              <w:left w:val="nil"/>
              <w:bottom w:val="nil"/>
              <w:right w:val="nil"/>
            </w:tcBorders>
          </w:tcPr>
          <w:p w14:paraId="17BD94D7"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History of cancer</w:t>
            </w:r>
            <w:r w:rsidRPr="00A1767C">
              <w:rPr>
                <w:rFonts w:ascii="Calibri" w:eastAsia="Calibri" w:hAnsi="Calibri" w:cs="Times New Roman"/>
                <w:b/>
                <w:vertAlign w:val="superscript"/>
              </w:rPr>
              <w:t>7</w:t>
            </w:r>
          </w:p>
        </w:tc>
        <w:tc>
          <w:tcPr>
            <w:tcW w:w="2457" w:type="dxa"/>
            <w:tcBorders>
              <w:top w:val="nil"/>
              <w:left w:val="nil"/>
              <w:bottom w:val="nil"/>
              <w:right w:val="nil"/>
            </w:tcBorders>
            <w:vAlign w:val="bottom"/>
          </w:tcPr>
          <w:p w14:paraId="5F03B05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200 (17)</w:t>
            </w:r>
          </w:p>
        </w:tc>
        <w:tc>
          <w:tcPr>
            <w:tcW w:w="1597" w:type="dxa"/>
            <w:tcBorders>
              <w:top w:val="nil"/>
              <w:left w:val="nil"/>
              <w:bottom w:val="nil"/>
              <w:right w:val="nil"/>
            </w:tcBorders>
            <w:vAlign w:val="bottom"/>
          </w:tcPr>
          <w:p w14:paraId="2B907782"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2252 (20)</w:t>
            </w:r>
          </w:p>
        </w:tc>
        <w:tc>
          <w:tcPr>
            <w:tcW w:w="1387" w:type="dxa"/>
            <w:tcBorders>
              <w:top w:val="nil"/>
              <w:left w:val="nil"/>
              <w:bottom w:val="nil"/>
              <w:right w:val="nil"/>
            </w:tcBorders>
            <w:vAlign w:val="bottom"/>
          </w:tcPr>
          <w:p w14:paraId="60458CC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0.066</w:t>
            </w:r>
          </w:p>
        </w:tc>
        <w:tc>
          <w:tcPr>
            <w:tcW w:w="247" w:type="dxa"/>
            <w:tcBorders>
              <w:top w:val="nil"/>
              <w:left w:val="nil"/>
              <w:bottom w:val="nil"/>
              <w:right w:val="nil"/>
            </w:tcBorders>
          </w:tcPr>
          <w:p w14:paraId="67363389"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5640409"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08FB8B0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178 (18)</w:t>
            </w:r>
          </w:p>
        </w:tc>
        <w:tc>
          <w:tcPr>
            <w:tcW w:w="1511" w:type="dxa"/>
            <w:tcBorders>
              <w:top w:val="nil"/>
              <w:left w:val="nil"/>
              <w:bottom w:val="nil"/>
              <w:right w:val="nil"/>
            </w:tcBorders>
            <w:vAlign w:val="bottom"/>
          </w:tcPr>
          <w:p w14:paraId="3510BF58"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163 (16)</w:t>
            </w:r>
          </w:p>
        </w:tc>
        <w:tc>
          <w:tcPr>
            <w:tcW w:w="1440" w:type="dxa"/>
            <w:tcBorders>
              <w:top w:val="nil"/>
              <w:left w:val="nil"/>
              <w:bottom w:val="nil"/>
              <w:right w:val="nil"/>
            </w:tcBorders>
            <w:vAlign w:val="bottom"/>
          </w:tcPr>
          <w:p w14:paraId="5E8950D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0.040</w:t>
            </w:r>
          </w:p>
        </w:tc>
      </w:tr>
      <w:tr w:rsidR="00750B7F" w:rsidRPr="00A1767C" w14:paraId="18B73EEE" w14:textId="77777777" w:rsidTr="009B7446">
        <w:tc>
          <w:tcPr>
            <w:tcW w:w="4253" w:type="dxa"/>
            <w:tcBorders>
              <w:top w:val="nil"/>
              <w:left w:val="nil"/>
              <w:bottom w:val="nil"/>
              <w:right w:val="nil"/>
            </w:tcBorders>
          </w:tcPr>
          <w:p w14:paraId="11E88530"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Chronic kidney disease*</w:t>
            </w:r>
            <w:r w:rsidRPr="00A1767C">
              <w:rPr>
                <w:rFonts w:ascii="Calibri" w:eastAsia="Calibri" w:hAnsi="Calibri" w:cs="Times New Roman"/>
                <w:b/>
                <w:vertAlign w:val="superscript"/>
              </w:rPr>
              <w:t>7</w:t>
            </w:r>
          </w:p>
        </w:tc>
        <w:tc>
          <w:tcPr>
            <w:tcW w:w="2457" w:type="dxa"/>
            <w:tcBorders>
              <w:top w:val="nil"/>
              <w:left w:val="nil"/>
              <w:bottom w:val="nil"/>
              <w:right w:val="nil"/>
            </w:tcBorders>
            <w:vAlign w:val="bottom"/>
          </w:tcPr>
          <w:p w14:paraId="204A380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104 (9)</w:t>
            </w:r>
          </w:p>
        </w:tc>
        <w:tc>
          <w:tcPr>
            <w:tcW w:w="1597" w:type="dxa"/>
            <w:tcBorders>
              <w:top w:val="nil"/>
              <w:left w:val="nil"/>
              <w:bottom w:val="nil"/>
              <w:right w:val="nil"/>
            </w:tcBorders>
            <w:vAlign w:val="bottom"/>
          </w:tcPr>
          <w:p w14:paraId="5A53A00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1535 (14)</w:t>
            </w:r>
          </w:p>
        </w:tc>
        <w:tc>
          <w:tcPr>
            <w:tcW w:w="1387" w:type="dxa"/>
            <w:tcBorders>
              <w:top w:val="nil"/>
              <w:left w:val="nil"/>
              <w:bottom w:val="nil"/>
              <w:right w:val="nil"/>
            </w:tcBorders>
            <w:vAlign w:val="bottom"/>
          </w:tcPr>
          <w:p w14:paraId="5530388A"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0.145</w:t>
            </w:r>
          </w:p>
        </w:tc>
        <w:tc>
          <w:tcPr>
            <w:tcW w:w="247" w:type="dxa"/>
            <w:tcBorders>
              <w:top w:val="nil"/>
              <w:left w:val="nil"/>
              <w:bottom w:val="nil"/>
              <w:right w:val="nil"/>
            </w:tcBorders>
          </w:tcPr>
          <w:p w14:paraId="35F5DED9"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34730712"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3BE3080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89 (9)</w:t>
            </w:r>
          </w:p>
        </w:tc>
        <w:tc>
          <w:tcPr>
            <w:tcW w:w="1511" w:type="dxa"/>
            <w:tcBorders>
              <w:top w:val="nil"/>
              <w:left w:val="nil"/>
              <w:bottom w:val="nil"/>
              <w:right w:val="nil"/>
            </w:tcBorders>
            <w:vAlign w:val="bottom"/>
          </w:tcPr>
          <w:p w14:paraId="0FB7706D"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85 (9)</w:t>
            </w:r>
          </w:p>
        </w:tc>
        <w:tc>
          <w:tcPr>
            <w:tcW w:w="1440" w:type="dxa"/>
            <w:tcBorders>
              <w:top w:val="nil"/>
              <w:left w:val="nil"/>
              <w:bottom w:val="nil"/>
              <w:right w:val="nil"/>
            </w:tcBorders>
            <w:vAlign w:val="bottom"/>
          </w:tcPr>
          <w:p w14:paraId="0B60B97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0.014</w:t>
            </w:r>
          </w:p>
        </w:tc>
      </w:tr>
      <w:tr w:rsidR="00750B7F" w:rsidRPr="00A1767C" w14:paraId="656C516B" w14:textId="77777777" w:rsidTr="009B7446">
        <w:tc>
          <w:tcPr>
            <w:tcW w:w="4253" w:type="dxa"/>
            <w:tcBorders>
              <w:top w:val="nil"/>
              <w:left w:val="nil"/>
              <w:bottom w:val="nil"/>
              <w:right w:val="nil"/>
            </w:tcBorders>
          </w:tcPr>
          <w:p w14:paraId="48F5F53F" w14:textId="77777777" w:rsidR="00750B7F" w:rsidRPr="00A1767C" w:rsidRDefault="00750B7F" w:rsidP="009B7446">
            <w:pPr>
              <w:spacing w:after="0" w:line="240" w:lineRule="auto"/>
              <w:rPr>
                <w:rFonts w:ascii="Calibri" w:eastAsia="Calibri" w:hAnsi="Calibri" w:cs="Times New Roman"/>
                <w:b/>
              </w:rPr>
            </w:pPr>
            <w:r w:rsidRPr="00A1767C">
              <w:rPr>
                <w:rFonts w:ascii="Calibri" w:eastAsia="Calibri" w:hAnsi="Calibri" w:cs="Times New Roman"/>
                <w:b/>
              </w:rPr>
              <w:t>Healthcare utilisation</w:t>
            </w:r>
            <w:r w:rsidRPr="00A1767C">
              <w:rPr>
                <w:rFonts w:ascii="Calibri" w:eastAsia="Calibri" w:hAnsi="Calibri" w:cs="Times New Roman"/>
                <w:b/>
                <w:vertAlign w:val="superscript"/>
              </w:rPr>
              <w:t>11</w:t>
            </w:r>
          </w:p>
        </w:tc>
        <w:tc>
          <w:tcPr>
            <w:tcW w:w="2457" w:type="dxa"/>
            <w:tcBorders>
              <w:top w:val="nil"/>
              <w:left w:val="nil"/>
              <w:bottom w:val="nil"/>
              <w:right w:val="nil"/>
            </w:tcBorders>
            <w:vAlign w:val="bottom"/>
          </w:tcPr>
          <w:p w14:paraId="1ECE41FD" w14:textId="77777777" w:rsidR="00750B7F" w:rsidRPr="00A1767C" w:rsidRDefault="00750B7F" w:rsidP="009B7446">
            <w:pPr>
              <w:spacing w:after="0" w:line="240" w:lineRule="auto"/>
              <w:jc w:val="center"/>
              <w:rPr>
                <w:rFonts w:ascii="Calibri" w:eastAsia="Calibri" w:hAnsi="Calibri" w:cs="Times New Roman"/>
              </w:rPr>
            </w:pPr>
          </w:p>
        </w:tc>
        <w:tc>
          <w:tcPr>
            <w:tcW w:w="1597" w:type="dxa"/>
            <w:tcBorders>
              <w:top w:val="nil"/>
              <w:left w:val="nil"/>
              <w:bottom w:val="nil"/>
              <w:right w:val="nil"/>
            </w:tcBorders>
          </w:tcPr>
          <w:p w14:paraId="69C6410D" w14:textId="77777777" w:rsidR="00750B7F" w:rsidRPr="00A1767C" w:rsidRDefault="00750B7F" w:rsidP="009B7446">
            <w:pPr>
              <w:spacing w:after="0" w:line="240" w:lineRule="auto"/>
              <w:jc w:val="center"/>
              <w:rPr>
                <w:rFonts w:ascii="Calibri" w:eastAsia="Calibri" w:hAnsi="Calibri" w:cs="Times New Roman"/>
              </w:rPr>
            </w:pPr>
          </w:p>
        </w:tc>
        <w:tc>
          <w:tcPr>
            <w:tcW w:w="1387" w:type="dxa"/>
            <w:tcBorders>
              <w:top w:val="nil"/>
              <w:left w:val="nil"/>
              <w:bottom w:val="nil"/>
              <w:right w:val="nil"/>
            </w:tcBorders>
          </w:tcPr>
          <w:p w14:paraId="75BA8E20"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10EB4BE0"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2DCA99BB"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tcPr>
          <w:p w14:paraId="50786E1A" w14:textId="77777777" w:rsidR="00750B7F" w:rsidRPr="00A1767C" w:rsidRDefault="00750B7F" w:rsidP="009B7446">
            <w:pPr>
              <w:spacing w:after="0" w:line="240" w:lineRule="auto"/>
              <w:jc w:val="center"/>
              <w:rPr>
                <w:rFonts w:ascii="Calibri" w:eastAsia="Calibri" w:hAnsi="Calibri" w:cs="Times New Roman"/>
              </w:rPr>
            </w:pPr>
          </w:p>
        </w:tc>
        <w:tc>
          <w:tcPr>
            <w:tcW w:w="1511" w:type="dxa"/>
            <w:tcBorders>
              <w:top w:val="nil"/>
              <w:left w:val="nil"/>
              <w:bottom w:val="nil"/>
              <w:right w:val="nil"/>
            </w:tcBorders>
          </w:tcPr>
          <w:p w14:paraId="3724CD1D" w14:textId="77777777" w:rsidR="00750B7F" w:rsidRPr="00A1767C" w:rsidRDefault="00750B7F" w:rsidP="009B7446">
            <w:pPr>
              <w:spacing w:after="0" w:line="240" w:lineRule="auto"/>
              <w:jc w:val="center"/>
              <w:rPr>
                <w:rFonts w:ascii="Calibri" w:eastAsia="Calibri" w:hAnsi="Calibri" w:cs="Times New Roman"/>
              </w:rPr>
            </w:pPr>
          </w:p>
        </w:tc>
        <w:tc>
          <w:tcPr>
            <w:tcW w:w="1440" w:type="dxa"/>
            <w:tcBorders>
              <w:top w:val="nil"/>
              <w:left w:val="nil"/>
              <w:bottom w:val="nil"/>
              <w:right w:val="nil"/>
            </w:tcBorders>
          </w:tcPr>
          <w:p w14:paraId="19DD9A12" w14:textId="77777777" w:rsidR="00750B7F" w:rsidRPr="00A1767C" w:rsidRDefault="00750B7F" w:rsidP="009B7446">
            <w:pPr>
              <w:spacing w:after="0" w:line="240" w:lineRule="auto"/>
              <w:jc w:val="center"/>
              <w:rPr>
                <w:rFonts w:ascii="Calibri" w:eastAsia="Calibri" w:hAnsi="Calibri" w:cs="Times New Roman"/>
              </w:rPr>
            </w:pPr>
          </w:p>
        </w:tc>
      </w:tr>
      <w:tr w:rsidR="00750B7F" w:rsidRPr="00A1767C" w14:paraId="725B77CE" w14:textId="77777777" w:rsidTr="009B7446">
        <w:tc>
          <w:tcPr>
            <w:tcW w:w="4253" w:type="dxa"/>
            <w:tcBorders>
              <w:top w:val="nil"/>
              <w:left w:val="nil"/>
              <w:bottom w:val="nil"/>
              <w:right w:val="nil"/>
            </w:tcBorders>
          </w:tcPr>
          <w:p w14:paraId="077C6E82"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 xml:space="preserve">      </w:t>
            </w:r>
            <w:r w:rsidRPr="00A1767C">
              <w:rPr>
                <w:rFonts w:ascii="Calibri" w:eastAsia="Calibri" w:hAnsi="Calibri" w:cs="Times New Roman"/>
              </w:rPr>
              <w:t># of GP consultations (median (IQR</w:t>
            </w:r>
            <w:proofErr w:type="gramStart"/>
            <w:r w:rsidRPr="00A1767C">
              <w:rPr>
                <w:rFonts w:ascii="Calibri" w:eastAsia="Calibri" w:hAnsi="Calibri" w:cs="Times New Roman"/>
              </w:rPr>
              <w:t>))*</w:t>
            </w:r>
            <w:proofErr w:type="gramEnd"/>
          </w:p>
        </w:tc>
        <w:tc>
          <w:tcPr>
            <w:tcW w:w="2457" w:type="dxa"/>
            <w:tcBorders>
              <w:top w:val="nil"/>
              <w:left w:val="nil"/>
              <w:bottom w:val="nil"/>
              <w:right w:val="nil"/>
            </w:tcBorders>
            <w:vAlign w:val="bottom"/>
          </w:tcPr>
          <w:p w14:paraId="4BA835A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101 (0-215)</w:t>
            </w:r>
          </w:p>
        </w:tc>
        <w:tc>
          <w:tcPr>
            <w:tcW w:w="1597" w:type="dxa"/>
            <w:tcBorders>
              <w:top w:val="nil"/>
              <w:left w:val="nil"/>
              <w:bottom w:val="nil"/>
              <w:right w:val="nil"/>
            </w:tcBorders>
            <w:vAlign w:val="bottom"/>
          </w:tcPr>
          <w:p w14:paraId="0F1E81D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207 (136-301)</w:t>
            </w:r>
          </w:p>
        </w:tc>
        <w:tc>
          <w:tcPr>
            <w:tcW w:w="1387" w:type="dxa"/>
            <w:tcBorders>
              <w:top w:val="nil"/>
              <w:left w:val="nil"/>
              <w:bottom w:val="nil"/>
              <w:right w:val="nil"/>
            </w:tcBorders>
            <w:vAlign w:val="bottom"/>
          </w:tcPr>
          <w:p w14:paraId="2067BD7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0.765</w:t>
            </w:r>
          </w:p>
        </w:tc>
        <w:tc>
          <w:tcPr>
            <w:tcW w:w="247" w:type="dxa"/>
            <w:tcBorders>
              <w:top w:val="nil"/>
              <w:left w:val="nil"/>
              <w:bottom w:val="nil"/>
              <w:right w:val="nil"/>
            </w:tcBorders>
          </w:tcPr>
          <w:p w14:paraId="46DD60F1"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35DCD30B"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7399307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124 (0-237)</w:t>
            </w:r>
          </w:p>
        </w:tc>
        <w:tc>
          <w:tcPr>
            <w:tcW w:w="1511" w:type="dxa"/>
            <w:tcBorders>
              <w:top w:val="nil"/>
              <w:left w:val="nil"/>
              <w:bottom w:val="nil"/>
              <w:right w:val="nil"/>
            </w:tcBorders>
            <w:vAlign w:val="bottom"/>
          </w:tcPr>
          <w:p w14:paraId="56E680B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147 (91-218)</w:t>
            </w:r>
          </w:p>
        </w:tc>
        <w:tc>
          <w:tcPr>
            <w:tcW w:w="1440" w:type="dxa"/>
            <w:tcBorders>
              <w:top w:val="nil"/>
              <w:left w:val="nil"/>
              <w:bottom w:val="nil"/>
              <w:right w:val="nil"/>
            </w:tcBorders>
            <w:vAlign w:val="bottom"/>
          </w:tcPr>
          <w:p w14:paraId="63E564DE"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0.175</w:t>
            </w:r>
          </w:p>
        </w:tc>
      </w:tr>
      <w:tr w:rsidR="00750B7F" w:rsidRPr="00A1767C" w14:paraId="5EA47C57" w14:textId="77777777" w:rsidTr="009B7446">
        <w:tc>
          <w:tcPr>
            <w:tcW w:w="4253" w:type="dxa"/>
            <w:tcBorders>
              <w:top w:val="nil"/>
              <w:left w:val="nil"/>
              <w:bottom w:val="nil"/>
              <w:right w:val="nil"/>
            </w:tcBorders>
          </w:tcPr>
          <w:p w14:paraId="3A100DE7"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 xml:space="preserve">      </w:t>
            </w:r>
            <w:r w:rsidRPr="00A1767C">
              <w:rPr>
                <w:rFonts w:ascii="Calibri" w:eastAsia="Calibri" w:hAnsi="Calibri" w:cs="Times New Roman"/>
              </w:rPr>
              <w:t># of distinct medications (median (IQR))</w:t>
            </w:r>
          </w:p>
        </w:tc>
        <w:tc>
          <w:tcPr>
            <w:tcW w:w="2457" w:type="dxa"/>
            <w:tcBorders>
              <w:top w:val="nil"/>
              <w:left w:val="nil"/>
              <w:bottom w:val="nil"/>
              <w:right w:val="nil"/>
            </w:tcBorders>
            <w:vAlign w:val="bottom"/>
          </w:tcPr>
          <w:p w14:paraId="14F21855"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 (3-8)</w:t>
            </w:r>
          </w:p>
        </w:tc>
        <w:tc>
          <w:tcPr>
            <w:tcW w:w="1597" w:type="dxa"/>
            <w:tcBorders>
              <w:top w:val="nil"/>
              <w:left w:val="nil"/>
              <w:bottom w:val="nil"/>
              <w:right w:val="nil"/>
            </w:tcBorders>
            <w:vAlign w:val="bottom"/>
          </w:tcPr>
          <w:p w14:paraId="269C3E4F"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 (3-8)</w:t>
            </w:r>
          </w:p>
        </w:tc>
        <w:tc>
          <w:tcPr>
            <w:tcW w:w="1387" w:type="dxa"/>
            <w:tcBorders>
              <w:top w:val="nil"/>
              <w:left w:val="nil"/>
              <w:bottom w:val="nil"/>
              <w:right w:val="nil"/>
            </w:tcBorders>
            <w:vAlign w:val="bottom"/>
          </w:tcPr>
          <w:p w14:paraId="530F36D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0.039</w:t>
            </w:r>
          </w:p>
        </w:tc>
        <w:tc>
          <w:tcPr>
            <w:tcW w:w="247" w:type="dxa"/>
            <w:tcBorders>
              <w:top w:val="nil"/>
              <w:left w:val="nil"/>
              <w:bottom w:val="nil"/>
              <w:right w:val="nil"/>
            </w:tcBorders>
          </w:tcPr>
          <w:p w14:paraId="09B79D4A"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419E8C9"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51045D1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 (3-8)</w:t>
            </w:r>
          </w:p>
        </w:tc>
        <w:tc>
          <w:tcPr>
            <w:tcW w:w="1511" w:type="dxa"/>
            <w:tcBorders>
              <w:top w:val="nil"/>
              <w:left w:val="nil"/>
              <w:bottom w:val="nil"/>
              <w:right w:val="nil"/>
            </w:tcBorders>
            <w:vAlign w:val="bottom"/>
          </w:tcPr>
          <w:p w14:paraId="2F74B8D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5 (3-8)</w:t>
            </w:r>
          </w:p>
        </w:tc>
        <w:tc>
          <w:tcPr>
            <w:tcW w:w="1440" w:type="dxa"/>
            <w:tcBorders>
              <w:top w:val="nil"/>
              <w:left w:val="nil"/>
              <w:bottom w:val="nil"/>
              <w:right w:val="nil"/>
            </w:tcBorders>
            <w:vAlign w:val="bottom"/>
          </w:tcPr>
          <w:p w14:paraId="2BE3D66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0.019</w:t>
            </w:r>
          </w:p>
        </w:tc>
      </w:tr>
      <w:tr w:rsidR="00750B7F" w:rsidRPr="00A1767C" w14:paraId="4815254D" w14:textId="77777777" w:rsidTr="009B7446">
        <w:tc>
          <w:tcPr>
            <w:tcW w:w="4253" w:type="dxa"/>
            <w:tcBorders>
              <w:top w:val="nil"/>
              <w:left w:val="nil"/>
              <w:bottom w:val="nil"/>
              <w:right w:val="nil"/>
            </w:tcBorders>
          </w:tcPr>
          <w:p w14:paraId="6742F06B"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 xml:space="preserve">      </w:t>
            </w:r>
            <w:r w:rsidRPr="00A1767C">
              <w:rPr>
                <w:rFonts w:ascii="Calibri" w:eastAsia="Calibri" w:hAnsi="Calibri" w:cs="Times New Roman"/>
              </w:rPr>
              <w:t>#</w:t>
            </w:r>
            <w:r w:rsidRPr="00A1767C">
              <w:rPr>
                <w:rFonts w:ascii="Calibri" w:eastAsia="Calibri" w:hAnsi="Calibri" w:cs="Times New Roman"/>
                <w:b/>
              </w:rPr>
              <w:t xml:space="preserve"> </w:t>
            </w:r>
            <w:r w:rsidRPr="00A1767C">
              <w:rPr>
                <w:rFonts w:ascii="Calibri" w:eastAsia="Calibri" w:hAnsi="Calibri" w:cs="Times New Roman"/>
              </w:rPr>
              <w:t>of hospitalisations (median (IQR</w:t>
            </w:r>
            <w:proofErr w:type="gramStart"/>
            <w:r w:rsidRPr="00A1767C">
              <w:rPr>
                <w:rFonts w:ascii="Calibri" w:eastAsia="Calibri" w:hAnsi="Calibri" w:cs="Times New Roman"/>
              </w:rPr>
              <w:t>))*</w:t>
            </w:r>
            <w:proofErr w:type="gramEnd"/>
          </w:p>
        </w:tc>
        <w:tc>
          <w:tcPr>
            <w:tcW w:w="2457" w:type="dxa"/>
            <w:tcBorders>
              <w:top w:val="nil"/>
              <w:left w:val="nil"/>
              <w:bottom w:val="nil"/>
              <w:right w:val="nil"/>
            </w:tcBorders>
            <w:vAlign w:val="bottom"/>
          </w:tcPr>
          <w:p w14:paraId="0E0E1868"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(0-1)</w:t>
            </w:r>
          </w:p>
        </w:tc>
        <w:tc>
          <w:tcPr>
            <w:tcW w:w="1597" w:type="dxa"/>
            <w:tcBorders>
              <w:top w:val="nil"/>
              <w:left w:val="nil"/>
              <w:bottom w:val="nil"/>
              <w:right w:val="nil"/>
            </w:tcBorders>
            <w:vAlign w:val="bottom"/>
          </w:tcPr>
          <w:p w14:paraId="4DCB17F6"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(0-1)</w:t>
            </w:r>
          </w:p>
        </w:tc>
        <w:tc>
          <w:tcPr>
            <w:tcW w:w="1387" w:type="dxa"/>
            <w:tcBorders>
              <w:top w:val="nil"/>
              <w:left w:val="nil"/>
              <w:bottom w:val="nil"/>
              <w:right w:val="nil"/>
            </w:tcBorders>
            <w:vAlign w:val="bottom"/>
          </w:tcPr>
          <w:p w14:paraId="03630B7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0.063</w:t>
            </w:r>
          </w:p>
        </w:tc>
        <w:tc>
          <w:tcPr>
            <w:tcW w:w="247" w:type="dxa"/>
            <w:tcBorders>
              <w:top w:val="nil"/>
              <w:left w:val="nil"/>
              <w:bottom w:val="nil"/>
              <w:right w:val="nil"/>
            </w:tcBorders>
          </w:tcPr>
          <w:p w14:paraId="09BB9892"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7CD8BF53"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2230CC63"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(0-1)</w:t>
            </w:r>
          </w:p>
        </w:tc>
        <w:tc>
          <w:tcPr>
            <w:tcW w:w="1511" w:type="dxa"/>
            <w:tcBorders>
              <w:top w:val="nil"/>
              <w:left w:val="nil"/>
              <w:bottom w:val="nil"/>
              <w:right w:val="nil"/>
            </w:tcBorders>
            <w:vAlign w:val="bottom"/>
          </w:tcPr>
          <w:p w14:paraId="451DC7E8"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(0-1)</w:t>
            </w:r>
          </w:p>
        </w:tc>
        <w:tc>
          <w:tcPr>
            <w:tcW w:w="1440" w:type="dxa"/>
            <w:tcBorders>
              <w:top w:val="nil"/>
              <w:left w:val="nil"/>
              <w:bottom w:val="nil"/>
              <w:right w:val="nil"/>
            </w:tcBorders>
            <w:vAlign w:val="bottom"/>
          </w:tcPr>
          <w:p w14:paraId="228AF63C"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0.005</w:t>
            </w:r>
          </w:p>
        </w:tc>
      </w:tr>
      <w:tr w:rsidR="00750B7F" w:rsidRPr="00A1767C" w14:paraId="565DE546" w14:textId="77777777" w:rsidTr="009B7446">
        <w:tc>
          <w:tcPr>
            <w:tcW w:w="4253" w:type="dxa"/>
            <w:tcBorders>
              <w:top w:val="nil"/>
              <w:left w:val="nil"/>
              <w:bottom w:val="nil"/>
              <w:right w:val="nil"/>
            </w:tcBorders>
          </w:tcPr>
          <w:p w14:paraId="6E44DC14" w14:textId="77777777" w:rsidR="00750B7F" w:rsidRPr="00A1767C" w:rsidRDefault="00750B7F" w:rsidP="009B7446">
            <w:pPr>
              <w:spacing w:after="0" w:line="240" w:lineRule="auto"/>
              <w:rPr>
                <w:rFonts w:ascii="Calibri" w:eastAsia="Calibri" w:hAnsi="Calibri" w:cs="Times New Roman"/>
              </w:rPr>
            </w:pPr>
            <w:r w:rsidRPr="00A1767C">
              <w:rPr>
                <w:rFonts w:ascii="Calibri" w:eastAsia="Calibri" w:hAnsi="Calibri" w:cs="Times New Roman"/>
                <w:b/>
              </w:rPr>
              <w:t xml:space="preserve">      </w:t>
            </w:r>
            <w:r w:rsidRPr="00A1767C">
              <w:rPr>
                <w:rFonts w:ascii="Calibri" w:eastAsia="Calibri" w:hAnsi="Calibri" w:cs="Times New Roman"/>
              </w:rPr>
              <w:t># of hospital procedures (median (IQR</w:t>
            </w:r>
            <w:proofErr w:type="gramStart"/>
            <w:r w:rsidRPr="00A1767C">
              <w:rPr>
                <w:rFonts w:ascii="Calibri" w:eastAsia="Calibri" w:hAnsi="Calibri" w:cs="Times New Roman"/>
              </w:rPr>
              <w:t>))*</w:t>
            </w:r>
            <w:proofErr w:type="gramEnd"/>
          </w:p>
        </w:tc>
        <w:tc>
          <w:tcPr>
            <w:tcW w:w="2457" w:type="dxa"/>
            <w:tcBorders>
              <w:top w:val="nil"/>
              <w:left w:val="nil"/>
              <w:bottom w:val="nil"/>
              <w:right w:val="nil"/>
            </w:tcBorders>
            <w:vAlign w:val="bottom"/>
          </w:tcPr>
          <w:p w14:paraId="62BBD4B0"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(0-0)</w:t>
            </w:r>
          </w:p>
        </w:tc>
        <w:tc>
          <w:tcPr>
            <w:tcW w:w="1597" w:type="dxa"/>
            <w:tcBorders>
              <w:top w:val="nil"/>
              <w:left w:val="nil"/>
              <w:bottom w:val="nil"/>
              <w:right w:val="nil"/>
            </w:tcBorders>
            <w:vAlign w:val="bottom"/>
          </w:tcPr>
          <w:p w14:paraId="5ADB53A7"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(0-1)</w:t>
            </w:r>
          </w:p>
        </w:tc>
        <w:tc>
          <w:tcPr>
            <w:tcW w:w="1387" w:type="dxa"/>
            <w:tcBorders>
              <w:top w:val="nil"/>
              <w:left w:val="nil"/>
              <w:bottom w:val="nil"/>
              <w:right w:val="nil"/>
            </w:tcBorders>
            <w:vAlign w:val="bottom"/>
          </w:tcPr>
          <w:p w14:paraId="2B252734"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0.065</w:t>
            </w:r>
          </w:p>
        </w:tc>
        <w:tc>
          <w:tcPr>
            <w:tcW w:w="247" w:type="dxa"/>
            <w:tcBorders>
              <w:top w:val="nil"/>
              <w:left w:val="nil"/>
              <w:bottom w:val="nil"/>
              <w:right w:val="nil"/>
            </w:tcBorders>
          </w:tcPr>
          <w:p w14:paraId="4B5DC131" w14:textId="77777777" w:rsidR="00750B7F" w:rsidRPr="00A1767C" w:rsidRDefault="00750B7F" w:rsidP="009B7446">
            <w:pPr>
              <w:spacing w:after="0" w:line="240" w:lineRule="auto"/>
              <w:jc w:val="center"/>
              <w:rPr>
                <w:rFonts w:ascii="Calibri" w:eastAsia="Calibri" w:hAnsi="Calibri" w:cs="Times New Roman"/>
              </w:rPr>
            </w:pPr>
          </w:p>
        </w:tc>
        <w:tc>
          <w:tcPr>
            <w:tcW w:w="247" w:type="dxa"/>
            <w:tcBorders>
              <w:top w:val="nil"/>
              <w:left w:val="nil"/>
              <w:bottom w:val="nil"/>
              <w:right w:val="nil"/>
            </w:tcBorders>
          </w:tcPr>
          <w:p w14:paraId="66C963B1" w14:textId="77777777" w:rsidR="00750B7F" w:rsidRPr="00A1767C" w:rsidRDefault="00750B7F" w:rsidP="009B7446">
            <w:pPr>
              <w:spacing w:after="0" w:line="240" w:lineRule="auto"/>
              <w:jc w:val="center"/>
              <w:rPr>
                <w:rFonts w:ascii="Calibri" w:eastAsia="Calibri" w:hAnsi="Calibri" w:cs="Times New Roman"/>
              </w:rPr>
            </w:pPr>
          </w:p>
        </w:tc>
        <w:tc>
          <w:tcPr>
            <w:tcW w:w="1626" w:type="dxa"/>
            <w:tcBorders>
              <w:top w:val="nil"/>
              <w:left w:val="nil"/>
              <w:bottom w:val="nil"/>
              <w:right w:val="nil"/>
            </w:tcBorders>
            <w:vAlign w:val="bottom"/>
          </w:tcPr>
          <w:p w14:paraId="570276E9"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(0-0)</w:t>
            </w:r>
          </w:p>
        </w:tc>
        <w:tc>
          <w:tcPr>
            <w:tcW w:w="1511" w:type="dxa"/>
            <w:tcBorders>
              <w:top w:val="nil"/>
              <w:left w:val="nil"/>
              <w:bottom w:val="nil"/>
              <w:right w:val="nil"/>
            </w:tcBorders>
            <w:vAlign w:val="bottom"/>
          </w:tcPr>
          <w:p w14:paraId="14989AEB"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 (0-0)</w:t>
            </w:r>
          </w:p>
        </w:tc>
        <w:tc>
          <w:tcPr>
            <w:tcW w:w="1440" w:type="dxa"/>
            <w:tcBorders>
              <w:top w:val="nil"/>
              <w:left w:val="nil"/>
              <w:bottom w:val="nil"/>
              <w:right w:val="nil"/>
            </w:tcBorders>
            <w:vAlign w:val="bottom"/>
          </w:tcPr>
          <w:p w14:paraId="3D7BEDC8" w14:textId="77777777" w:rsidR="00750B7F" w:rsidRPr="00A1767C" w:rsidRDefault="00750B7F" w:rsidP="009B7446">
            <w:pPr>
              <w:spacing w:after="0" w:line="240" w:lineRule="auto"/>
              <w:jc w:val="center"/>
              <w:rPr>
                <w:rFonts w:ascii="Calibri" w:eastAsia="Calibri" w:hAnsi="Calibri" w:cs="Times New Roman"/>
              </w:rPr>
            </w:pPr>
            <w:r w:rsidRPr="00A1767C">
              <w:rPr>
                <w:rFonts w:ascii="Calibri" w:eastAsia="Calibri" w:hAnsi="Calibri" w:cs="Calibri"/>
                <w:color w:val="000000"/>
              </w:rPr>
              <w:t>0.035</w:t>
            </w:r>
          </w:p>
        </w:tc>
      </w:tr>
      <w:tr w:rsidR="00750B7F" w:rsidRPr="00A1767C" w14:paraId="6A5BE1A9" w14:textId="77777777" w:rsidTr="009B7446">
        <w:tc>
          <w:tcPr>
            <w:tcW w:w="14765" w:type="dxa"/>
            <w:gridSpan w:val="9"/>
            <w:tcBorders>
              <w:top w:val="single" w:sz="4" w:space="0" w:color="auto"/>
              <w:left w:val="nil"/>
              <w:bottom w:val="single" w:sz="4" w:space="0" w:color="auto"/>
              <w:right w:val="nil"/>
            </w:tcBorders>
          </w:tcPr>
          <w:p w14:paraId="6B31A38A" w14:textId="77777777" w:rsidR="00750B7F" w:rsidRPr="009B7446" w:rsidRDefault="00750B7F" w:rsidP="009B7446">
            <w:pPr>
              <w:spacing w:after="0" w:line="240" w:lineRule="auto"/>
              <w:rPr>
                <w:rFonts w:ascii="Calibri" w:eastAsia="Calibri" w:hAnsi="Calibri" w:cs="Calibri Light"/>
                <w:b/>
                <w:sz w:val="14"/>
                <w:szCs w:val="14"/>
              </w:rPr>
            </w:pPr>
            <w:r w:rsidRPr="009B7446">
              <w:rPr>
                <w:rFonts w:ascii="Calibri" w:eastAsia="Calibri" w:hAnsi="Calibri" w:cs="Calibri Light"/>
                <w:b/>
                <w:sz w:val="14"/>
                <w:szCs w:val="14"/>
              </w:rPr>
              <w:t xml:space="preserve">Note 1: </w:t>
            </w:r>
            <w:r w:rsidRPr="009B7446">
              <w:rPr>
                <w:rFonts w:ascii="Calibri" w:eastAsia="Calibri" w:hAnsi="Calibri" w:cs="Calibri Light"/>
                <w:sz w:val="14"/>
                <w:szCs w:val="14"/>
              </w:rPr>
              <w:t>See Appendix Table A2-3 for list of variables included in final exacerbations propensity score model.</w:t>
            </w:r>
            <w:r w:rsidRPr="009B7446">
              <w:rPr>
                <w:rFonts w:ascii="Calibri" w:eastAsia="Calibri" w:hAnsi="Calibri" w:cs="Calibri Light"/>
                <w:b/>
                <w:sz w:val="14"/>
                <w:szCs w:val="14"/>
              </w:rPr>
              <w:t xml:space="preserve"> </w:t>
            </w:r>
            <w:r w:rsidRPr="009B7446">
              <w:rPr>
                <w:rFonts w:ascii="Calibri" w:eastAsia="Calibri" w:hAnsi="Calibri" w:cs="Calibri Light"/>
                <w:sz w:val="14"/>
                <w:szCs w:val="14"/>
              </w:rPr>
              <w:t>Variables in this table that were included in the propensity score are annotated with an “*”.</w:t>
            </w:r>
            <w:r w:rsidRPr="009B7446">
              <w:rPr>
                <w:rFonts w:ascii="Calibri" w:eastAsia="Calibri" w:hAnsi="Calibri" w:cs="Calibri Light"/>
                <w:b/>
                <w:sz w:val="14"/>
                <w:szCs w:val="14"/>
              </w:rPr>
              <w:t xml:space="preserve">  Note 2: </w:t>
            </w:r>
            <w:r w:rsidRPr="009B7446">
              <w:rPr>
                <w:rFonts w:ascii="Calibri" w:eastAsia="Calibri" w:hAnsi="Calibri" w:cs="Calibri Light"/>
                <w:sz w:val="14"/>
                <w:szCs w:val="14"/>
              </w:rPr>
              <w:t>TORCH inclusion/exclusion criteria applied and matched to individual TORCH patients.</w:t>
            </w:r>
            <w:r w:rsidRPr="009B7446">
              <w:rPr>
                <w:rFonts w:ascii="Calibri" w:eastAsia="Calibri" w:hAnsi="Calibri" w:cs="Calibri Light"/>
                <w:b/>
                <w:sz w:val="14"/>
                <w:szCs w:val="14"/>
              </w:rPr>
              <w:t xml:space="preserve"> Note 3: </w:t>
            </w:r>
            <w:r w:rsidRPr="009B7446">
              <w:rPr>
                <w:rFonts w:ascii="Calibri" w:eastAsia="Calibri" w:hAnsi="Calibri" w:cs="Calibri Light"/>
                <w:sz w:val="14"/>
                <w:szCs w:val="14"/>
              </w:rPr>
              <w:t>TORCH inclusion/exclusion criteria applied.</w:t>
            </w:r>
            <w:r w:rsidRPr="009B7446">
              <w:rPr>
                <w:rFonts w:ascii="Calibri" w:eastAsia="Calibri" w:hAnsi="Calibri" w:cs="Calibri Light"/>
                <w:b/>
                <w:sz w:val="14"/>
                <w:szCs w:val="14"/>
              </w:rPr>
              <w:t xml:space="preserve"> Note 4:</w:t>
            </w:r>
            <w:r w:rsidRPr="009B7446">
              <w:rPr>
                <w:rFonts w:ascii="Calibri" w:eastAsia="Calibri" w:hAnsi="Calibri" w:cs="Calibri Light"/>
                <w:sz w:val="14"/>
                <w:szCs w:val="14"/>
              </w:rPr>
              <w:t xml:space="preserve"> Closest record prior to index date. </w:t>
            </w:r>
            <w:r w:rsidRPr="009B7446">
              <w:rPr>
                <w:rFonts w:ascii="Calibri" w:eastAsia="Calibri" w:hAnsi="Calibri" w:cs="Calibri Light"/>
                <w:b/>
                <w:sz w:val="14"/>
                <w:szCs w:val="14"/>
              </w:rPr>
              <w:t xml:space="preserve">Note 5: </w:t>
            </w:r>
            <w:r w:rsidRPr="009B7446">
              <w:rPr>
                <w:rFonts w:ascii="Calibri" w:eastAsia="Calibri" w:hAnsi="Calibri" w:cs="Calibri Light"/>
                <w:sz w:val="14"/>
                <w:szCs w:val="14"/>
              </w:rPr>
              <w:t>FEV</w:t>
            </w:r>
            <w:r w:rsidRPr="009B7446">
              <w:rPr>
                <w:rFonts w:ascii="Calibri" w:eastAsia="Calibri" w:hAnsi="Calibri" w:cs="Calibri Light"/>
                <w:sz w:val="14"/>
                <w:szCs w:val="14"/>
                <w:vertAlign w:val="subscript"/>
              </w:rPr>
              <w:t>1</w:t>
            </w:r>
            <w:r w:rsidRPr="009B7446">
              <w:rPr>
                <w:rFonts w:ascii="Calibri" w:eastAsia="Calibri" w:hAnsi="Calibri" w:cs="Calibri Light"/>
                <w:sz w:val="14"/>
                <w:szCs w:val="14"/>
              </w:rPr>
              <w:t xml:space="preserve">=Forced expiratory volume in 1 second. </w:t>
            </w:r>
            <w:r w:rsidRPr="009B7446">
              <w:rPr>
                <w:rFonts w:ascii="Calibri" w:eastAsia="Calibri" w:hAnsi="Calibri" w:cs="Calibri Light"/>
                <w:b/>
                <w:sz w:val="14"/>
                <w:szCs w:val="14"/>
              </w:rPr>
              <w:t xml:space="preserve">Note 6: </w:t>
            </w:r>
            <w:r w:rsidRPr="009B7446">
              <w:rPr>
                <w:rFonts w:ascii="Calibri" w:eastAsia="Calibri" w:hAnsi="Calibri" w:cs="Calibri Light"/>
                <w:sz w:val="14"/>
                <w:szCs w:val="14"/>
              </w:rPr>
              <w:t xml:space="preserve">FVC=Forced vital capacity </w:t>
            </w:r>
            <w:r w:rsidRPr="009B7446">
              <w:rPr>
                <w:rFonts w:ascii="Calibri" w:eastAsia="Calibri" w:hAnsi="Calibri" w:cs="Calibri Light"/>
                <w:b/>
                <w:sz w:val="14"/>
                <w:szCs w:val="14"/>
              </w:rPr>
              <w:t>Note 7:</w:t>
            </w:r>
            <w:r w:rsidRPr="009B7446">
              <w:rPr>
                <w:rFonts w:ascii="Calibri" w:eastAsia="Calibri" w:hAnsi="Calibri" w:cs="Calibri Light"/>
                <w:sz w:val="14"/>
                <w:szCs w:val="14"/>
              </w:rPr>
              <w:t xml:space="preserve"> Any diagnosis for condition prior to index date. </w:t>
            </w:r>
            <w:r w:rsidRPr="009B7446">
              <w:rPr>
                <w:rFonts w:ascii="Calibri" w:eastAsia="Calibri" w:hAnsi="Calibri" w:cs="Calibri Light"/>
                <w:b/>
                <w:sz w:val="14"/>
                <w:szCs w:val="14"/>
              </w:rPr>
              <w:t>Note 8:</w:t>
            </w:r>
            <w:r w:rsidRPr="009B7446">
              <w:rPr>
                <w:rFonts w:ascii="Calibri" w:eastAsia="Calibri" w:hAnsi="Calibri" w:cs="Calibri Light"/>
                <w:sz w:val="14"/>
                <w:szCs w:val="14"/>
              </w:rPr>
              <w:t xml:space="preserve"> Number who had at least one prescription within the previous year. LABA=long acting beta-agonist, ICS=inhaled corticosteroid, LAMA=long-acting muscarinic antagonist </w:t>
            </w:r>
            <w:r w:rsidRPr="009B7446">
              <w:rPr>
                <w:rFonts w:ascii="Calibri" w:eastAsia="Calibri" w:hAnsi="Calibri" w:cs="Calibri Light"/>
                <w:b/>
                <w:sz w:val="14"/>
                <w:szCs w:val="14"/>
              </w:rPr>
              <w:t>Note 9:</w:t>
            </w:r>
            <w:r w:rsidRPr="009B7446">
              <w:rPr>
                <w:rFonts w:ascii="Calibri" w:eastAsia="Calibri" w:hAnsi="Calibri" w:cs="Calibri Light"/>
                <w:sz w:val="14"/>
                <w:szCs w:val="14"/>
              </w:rPr>
              <w:t xml:space="preserve"> Single product only. </w:t>
            </w:r>
            <w:r w:rsidRPr="009B7446">
              <w:rPr>
                <w:rFonts w:ascii="Calibri" w:eastAsia="Calibri" w:hAnsi="Calibri" w:cs="Calibri Light"/>
                <w:b/>
                <w:sz w:val="14"/>
                <w:szCs w:val="14"/>
              </w:rPr>
              <w:t xml:space="preserve">Note 10: </w:t>
            </w:r>
            <w:r w:rsidRPr="009B7446">
              <w:rPr>
                <w:rFonts w:ascii="Calibri" w:eastAsia="Calibri" w:hAnsi="Calibri" w:cs="Calibri Light"/>
                <w:sz w:val="14"/>
                <w:szCs w:val="14"/>
              </w:rPr>
              <w:t xml:space="preserve">Combination product. </w:t>
            </w:r>
            <w:r w:rsidRPr="009B7446">
              <w:rPr>
                <w:rFonts w:ascii="Calibri" w:eastAsia="Calibri" w:hAnsi="Calibri" w:cs="Calibri Light"/>
                <w:b/>
                <w:sz w:val="14"/>
                <w:szCs w:val="14"/>
              </w:rPr>
              <w:t xml:space="preserve">Note 11: </w:t>
            </w:r>
            <w:r w:rsidRPr="009B7446">
              <w:rPr>
                <w:rFonts w:ascii="Calibri" w:eastAsia="Calibri" w:hAnsi="Calibri" w:cs="Calibri Light"/>
                <w:sz w:val="14"/>
                <w:szCs w:val="14"/>
              </w:rPr>
              <w:t>All counted within the year prior to index.</w:t>
            </w:r>
          </w:p>
        </w:tc>
      </w:tr>
    </w:tbl>
    <w:p w14:paraId="3A9F8D94" w14:textId="4DC8A3AE" w:rsidR="00A81218" w:rsidRDefault="00A81218" w:rsidP="008B0A52">
      <w:pPr>
        <w:pStyle w:val="Heading3-nonumber"/>
        <w:spacing w:line="480" w:lineRule="auto"/>
        <w:rPr>
          <w:b w:val="0"/>
        </w:rPr>
      </w:pPr>
    </w:p>
    <w:p w14:paraId="3970BCB8" w14:textId="24E68596" w:rsidR="009B7446" w:rsidRPr="009B7446" w:rsidRDefault="009B7446" w:rsidP="009B7446">
      <w:pPr>
        <w:sectPr w:rsidR="009B7446" w:rsidRPr="009B7446" w:rsidSect="00EC4F94">
          <w:pgSz w:w="16838" w:h="11906" w:orient="landscape"/>
          <w:pgMar w:top="222" w:right="153" w:bottom="895" w:left="1061" w:header="708" w:footer="708" w:gutter="0"/>
          <w:cols w:space="708"/>
          <w:docGrid w:linePitch="360"/>
        </w:sectPr>
      </w:pPr>
    </w:p>
    <w:p w14:paraId="6CE1CBF4" w14:textId="727336E2" w:rsidR="00A50F2E" w:rsidRPr="00A31DEE" w:rsidRDefault="00A50F2E" w:rsidP="008B0A52">
      <w:pPr>
        <w:keepNext/>
        <w:spacing w:after="200" w:line="480" w:lineRule="auto"/>
        <w:rPr>
          <w:b/>
          <w:bCs/>
          <w:sz w:val="26"/>
          <w:szCs w:val="26"/>
        </w:rPr>
      </w:pPr>
      <w:r w:rsidRPr="00A31DEE">
        <w:rPr>
          <w:b/>
          <w:bCs/>
          <w:sz w:val="26"/>
          <w:szCs w:val="26"/>
        </w:rPr>
        <w:lastRenderedPageBreak/>
        <w:t>Main results</w:t>
      </w:r>
      <w:r w:rsidR="00F22E1D" w:rsidRPr="00A31DEE">
        <w:rPr>
          <w:b/>
          <w:bCs/>
          <w:sz w:val="26"/>
          <w:szCs w:val="26"/>
        </w:rPr>
        <w:t xml:space="preserve"> </w:t>
      </w:r>
    </w:p>
    <w:p w14:paraId="4B109122" w14:textId="2053A996" w:rsidR="00A50F2E" w:rsidRDefault="00C968DC" w:rsidP="008B0A52">
      <w:pPr>
        <w:pStyle w:val="heading2nonumber"/>
        <w:keepNext/>
        <w:spacing w:line="480" w:lineRule="auto"/>
        <w:ind w:left="578" w:hanging="578"/>
        <w:rPr>
          <w:sz w:val="22"/>
          <w:szCs w:val="22"/>
        </w:rPr>
      </w:pPr>
      <w:r>
        <w:rPr>
          <w:sz w:val="22"/>
          <w:szCs w:val="22"/>
        </w:rPr>
        <w:t>FP-SAL</w:t>
      </w:r>
      <w:r w:rsidR="00A50F2E" w:rsidRPr="00DF1428">
        <w:rPr>
          <w:sz w:val="22"/>
          <w:szCs w:val="22"/>
        </w:rPr>
        <w:t xml:space="preserve"> exposed vs </w:t>
      </w:r>
      <w:r>
        <w:rPr>
          <w:sz w:val="22"/>
          <w:szCs w:val="22"/>
        </w:rPr>
        <w:t>FP-SAL</w:t>
      </w:r>
      <w:r w:rsidR="00A50F2E" w:rsidRPr="00DF1428">
        <w:rPr>
          <w:sz w:val="22"/>
          <w:szCs w:val="22"/>
        </w:rPr>
        <w:t xml:space="preserve"> unexposed </w:t>
      </w:r>
    </w:p>
    <w:p w14:paraId="13C038B0" w14:textId="548B1D10" w:rsidR="005B2439" w:rsidRDefault="00FD30FD" w:rsidP="008B0A52">
      <w:pPr>
        <w:pStyle w:val="Heading3-nonumber"/>
        <w:spacing w:line="480" w:lineRule="auto"/>
        <w:rPr>
          <w:b w:val="0"/>
        </w:rPr>
      </w:pPr>
      <w:r>
        <w:rPr>
          <w:b w:val="0"/>
        </w:rPr>
        <w:t xml:space="preserve">For the exacerbations analysis, </w:t>
      </w:r>
      <w:r w:rsidR="001645FD">
        <w:rPr>
          <w:b w:val="0"/>
        </w:rPr>
        <w:t>the</w:t>
      </w:r>
      <w:r w:rsidR="008C3E11">
        <w:rPr>
          <w:b w:val="0"/>
        </w:rPr>
        <w:t xml:space="preserve"> rate ratio in the</w:t>
      </w:r>
      <w:r w:rsidR="001645FD">
        <w:rPr>
          <w:b w:val="0"/>
        </w:rPr>
        <w:t xml:space="preserve"> propensity score matched groups</w:t>
      </w:r>
      <w:r w:rsidR="009F35E0">
        <w:rPr>
          <w:b w:val="0"/>
        </w:rPr>
        <w:t xml:space="preserve"> </w:t>
      </w:r>
      <w:r w:rsidR="008C3E11">
        <w:rPr>
          <w:b w:val="0"/>
        </w:rPr>
        <w:t>was</w:t>
      </w:r>
      <w:r w:rsidR="009F35E0">
        <w:rPr>
          <w:b w:val="0"/>
        </w:rPr>
        <w:t xml:space="preserve"> 1.3</w:t>
      </w:r>
      <w:r w:rsidR="00590A31">
        <w:rPr>
          <w:b w:val="0"/>
        </w:rPr>
        <w:t>0</w:t>
      </w:r>
      <w:r w:rsidR="009F35E0">
        <w:rPr>
          <w:b w:val="0"/>
        </w:rPr>
        <w:t xml:space="preserve"> (95% CI 1.</w:t>
      </w:r>
      <w:r w:rsidR="00590A31">
        <w:rPr>
          <w:b w:val="0"/>
        </w:rPr>
        <w:t>19</w:t>
      </w:r>
      <w:r w:rsidR="009F35E0">
        <w:rPr>
          <w:b w:val="0"/>
        </w:rPr>
        <w:t>-1.4</w:t>
      </w:r>
      <w:r w:rsidR="00590A31">
        <w:rPr>
          <w:b w:val="0"/>
        </w:rPr>
        <w:t>2</w:t>
      </w:r>
      <w:r w:rsidR="009F35E0">
        <w:rPr>
          <w:b w:val="0"/>
        </w:rPr>
        <w:t>)</w:t>
      </w:r>
      <w:r w:rsidR="002D4111">
        <w:rPr>
          <w:b w:val="0"/>
        </w:rPr>
        <w:t xml:space="preserve"> </w:t>
      </w:r>
      <w:r w:rsidR="00520E70">
        <w:rPr>
          <w:b w:val="0"/>
        </w:rPr>
        <w:t>(</w:t>
      </w:r>
      <w:r w:rsidR="00520E70" w:rsidRPr="00590A31">
        <w:rPr>
          <w:b w:val="0"/>
        </w:rPr>
        <w:t>Table 3</w:t>
      </w:r>
      <w:r w:rsidR="00520E70">
        <w:rPr>
          <w:b w:val="0"/>
        </w:rPr>
        <w:t>)</w:t>
      </w:r>
      <w:r w:rsidR="009F35E0">
        <w:rPr>
          <w:b w:val="0"/>
        </w:rPr>
        <w:t>. According to our</w:t>
      </w:r>
      <w:r w:rsidR="00231A89">
        <w:rPr>
          <w:b w:val="0"/>
        </w:rPr>
        <w:t xml:space="preserve"> pre-specified</w:t>
      </w:r>
      <w:r w:rsidR="009F35E0">
        <w:rPr>
          <w:b w:val="0"/>
        </w:rPr>
        <w:t xml:space="preserve"> protocol this</w:t>
      </w:r>
      <w:r w:rsidR="00366C16">
        <w:rPr>
          <w:b w:val="0"/>
        </w:rPr>
        <w:t xml:space="preserve"> (harmful) </w:t>
      </w:r>
      <w:r w:rsidR="00762BF8">
        <w:rPr>
          <w:b w:val="0"/>
        </w:rPr>
        <w:t>association</w:t>
      </w:r>
      <w:r w:rsidR="009F35E0">
        <w:rPr>
          <w:b w:val="0"/>
        </w:rPr>
        <w:t xml:space="preserve"> was not </w:t>
      </w:r>
      <w:r w:rsidR="006B2A4F">
        <w:rPr>
          <w:b w:val="0"/>
        </w:rPr>
        <w:t>considered to be consistent</w:t>
      </w:r>
      <w:r w:rsidR="009F35E0">
        <w:rPr>
          <w:b w:val="0"/>
        </w:rPr>
        <w:t xml:space="preserve"> </w:t>
      </w:r>
      <w:r w:rsidR="006B2A4F">
        <w:rPr>
          <w:b w:val="0"/>
        </w:rPr>
        <w:t>with</w:t>
      </w:r>
      <w:r w:rsidR="009F35E0">
        <w:rPr>
          <w:b w:val="0"/>
        </w:rPr>
        <w:t xml:space="preserve"> the</w:t>
      </w:r>
      <w:r w:rsidR="00366C16">
        <w:rPr>
          <w:b w:val="0"/>
        </w:rPr>
        <w:t xml:space="preserve"> (protective)</w:t>
      </w:r>
      <w:r w:rsidR="009F35E0">
        <w:rPr>
          <w:b w:val="0"/>
        </w:rPr>
        <w:t xml:space="preserve"> TORCH placebo-controlled result for the same outcome (0.75,</w:t>
      </w:r>
      <w:r w:rsidR="00520E70">
        <w:rPr>
          <w:b w:val="0"/>
        </w:rPr>
        <w:t xml:space="preserve"> 95% CI</w:t>
      </w:r>
      <w:r w:rsidR="009F35E0">
        <w:rPr>
          <w:b w:val="0"/>
        </w:rPr>
        <w:t xml:space="preserve"> 0.69-0.81).</w:t>
      </w:r>
      <w:r w:rsidR="00E82B86">
        <w:rPr>
          <w:b w:val="0"/>
        </w:rPr>
        <w:fldChar w:fldCharType="begin" w:fldLock="1"/>
      </w:r>
      <w:r w:rsidR="00B10790">
        <w:rPr>
          <w:b w:val="0"/>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E82B86">
        <w:rPr>
          <w:b w:val="0"/>
        </w:rPr>
        <w:fldChar w:fldCharType="separate"/>
      </w:r>
      <w:r w:rsidR="00B10790" w:rsidRPr="00B10790">
        <w:rPr>
          <w:b w:val="0"/>
          <w:noProof/>
        </w:rPr>
        <w:t>[2]</w:t>
      </w:r>
      <w:r w:rsidR="00E82B86">
        <w:rPr>
          <w:b w:val="0"/>
        </w:rPr>
        <w:fldChar w:fldCharType="end"/>
      </w:r>
      <w:r w:rsidR="009F35E0">
        <w:rPr>
          <w:b w:val="0"/>
        </w:rPr>
        <w:t xml:space="preserve"> </w:t>
      </w:r>
      <w:r w:rsidR="00520E70">
        <w:rPr>
          <w:b w:val="0"/>
        </w:rPr>
        <w:t>Similarly, our result for the mortality outcome (</w:t>
      </w:r>
      <w:r w:rsidR="004504BB">
        <w:rPr>
          <w:b w:val="0"/>
        </w:rPr>
        <w:t xml:space="preserve">HR </w:t>
      </w:r>
      <w:r w:rsidR="00520E70">
        <w:rPr>
          <w:b w:val="0"/>
        </w:rPr>
        <w:t>1.1</w:t>
      </w:r>
      <w:r w:rsidR="00590A31">
        <w:rPr>
          <w:b w:val="0"/>
        </w:rPr>
        <w:t>1</w:t>
      </w:r>
      <w:r w:rsidR="00520E70">
        <w:rPr>
          <w:b w:val="0"/>
        </w:rPr>
        <w:t xml:space="preserve">, 95% CI 0.95-1.26) </w:t>
      </w:r>
      <w:r w:rsidR="002D4111">
        <w:rPr>
          <w:b w:val="0"/>
        </w:rPr>
        <w:t>was</w:t>
      </w:r>
      <w:r w:rsidR="00520E70">
        <w:rPr>
          <w:b w:val="0"/>
        </w:rPr>
        <w:t xml:space="preserve"> in the opposite direction to the TORCH placebo-controlled result (0.83, 0.68-1.00). For the pneumonia analysis, we </w:t>
      </w:r>
      <w:r w:rsidR="00590A31">
        <w:rPr>
          <w:b w:val="0"/>
        </w:rPr>
        <w:t>found weak evidence for a 14% increased risk associated with FP-SAL</w:t>
      </w:r>
      <w:r w:rsidR="00B336DC">
        <w:rPr>
          <w:b w:val="0"/>
        </w:rPr>
        <w:t xml:space="preserve"> (</w:t>
      </w:r>
      <w:r w:rsidR="004504BB">
        <w:rPr>
          <w:b w:val="0"/>
        </w:rPr>
        <w:t xml:space="preserve">risk ratio </w:t>
      </w:r>
      <w:r w:rsidR="00B336DC">
        <w:rPr>
          <w:b w:val="0"/>
        </w:rPr>
        <w:t>1.</w:t>
      </w:r>
      <w:r w:rsidR="00590A31">
        <w:rPr>
          <w:b w:val="0"/>
        </w:rPr>
        <w:t>14</w:t>
      </w:r>
      <w:r w:rsidR="00B336DC">
        <w:rPr>
          <w:b w:val="0"/>
        </w:rPr>
        <w:t>, 0.</w:t>
      </w:r>
      <w:r w:rsidR="00590A31">
        <w:rPr>
          <w:b w:val="0"/>
        </w:rPr>
        <w:t>96</w:t>
      </w:r>
      <w:r w:rsidR="00B336DC">
        <w:rPr>
          <w:b w:val="0"/>
        </w:rPr>
        <w:t>-1.</w:t>
      </w:r>
      <w:r w:rsidR="00590A31">
        <w:rPr>
          <w:b w:val="0"/>
        </w:rPr>
        <w:t>34</w:t>
      </w:r>
      <w:r w:rsidR="00B336DC">
        <w:rPr>
          <w:b w:val="0"/>
        </w:rPr>
        <w:t xml:space="preserve">) </w:t>
      </w:r>
      <w:r w:rsidR="00590A31">
        <w:rPr>
          <w:b w:val="0"/>
        </w:rPr>
        <w:t>which was not consistent with the</w:t>
      </w:r>
      <w:r w:rsidR="00B336DC">
        <w:rPr>
          <w:b w:val="0"/>
        </w:rPr>
        <w:t xml:space="preserve"> strong</w:t>
      </w:r>
      <w:r w:rsidR="00615811">
        <w:rPr>
          <w:b w:val="0"/>
        </w:rPr>
        <w:t>er</w:t>
      </w:r>
      <w:r w:rsidR="00B336DC">
        <w:rPr>
          <w:b w:val="0"/>
        </w:rPr>
        <w:t xml:space="preserve"> </w:t>
      </w:r>
      <w:r w:rsidR="00231A89">
        <w:rPr>
          <w:b w:val="0"/>
        </w:rPr>
        <w:t>harmful</w:t>
      </w:r>
      <w:r w:rsidR="00B336DC">
        <w:rPr>
          <w:b w:val="0"/>
        </w:rPr>
        <w:t xml:space="preserve"> association found by the TORCH placebo-controlled analysis (1.59, 1.35-1.88).</w:t>
      </w:r>
    </w:p>
    <w:p w14:paraId="095E9426" w14:textId="1357DA5A" w:rsidR="007976DF" w:rsidRPr="008B3ABF" w:rsidRDefault="007976DF" w:rsidP="00BD51B4">
      <w:pPr>
        <w:spacing w:after="200" w:line="276" w:lineRule="auto"/>
        <w:jc w:val="center"/>
        <w:rPr>
          <w:rFonts w:ascii="Calibri" w:eastAsia="Calibri" w:hAnsi="Calibri" w:cs="Times New Roman"/>
          <w:b/>
        </w:rPr>
      </w:pPr>
      <w:r>
        <w:rPr>
          <w:b/>
        </w:rPr>
        <w:br w:type="page"/>
      </w:r>
      <w:r w:rsidRPr="008B3ABF">
        <w:rPr>
          <w:rFonts w:ascii="Calibri" w:eastAsia="Calibri" w:hAnsi="Calibri" w:cs="Times New Roman"/>
          <w:b/>
        </w:rPr>
        <w:lastRenderedPageBreak/>
        <w:t xml:space="preserve">Table 3: Results for the analysis of exacerbations, mortality, pneumonia and time to treatment discontinuation </w:t>
      </w:r>
      <w:r>
        <w:rPr>
          <w:rFonts w:ascii="Calibri" w:eastAsia="Calibri" w:hAnsi="Calibri" w:cs="Times New Roman"/>
          <w:b/>
        </w:rPr>
        <w:t xml:space="preserve">for </w:t>
      </w:r>
      <w:r w:rsidRPr="008B3ABF">
        <w:rPr>
          <w:rFonts w:ascii="Calibri" w:eastAsia="Calibri" w:hAnsi="Calibri" w:cs="Times New Roman"/>
          <w:b/>
        </w:rPr>
        <w:t xml:space="preserve">FP-SAL vs </w:t>
      </w:r>
      <w:r>
        <w:rPr>
          <w:rFonts w:ascii="Calibri" w:eastAsia="Calibri" w:hAnsi="Calibri" w:cs="Times New Roman"/>
          <w:b/>
        </w:rPr>
        <w:t>no</w:t>
      </w:r>
      <w:r w:rsidRPr="008B3ABF">
        <w:rPr>
          <w:rFonts w:ascii="Calibri" w:eastAsia="Calibri" w:hAnsi="Calibri" w:cs="Times New Roman"/>
          <w:b/>
        </w:rPr>
        <w:t xml:space="preserve"> FP-SAL</w:t>
      </w:r>
      <w:r>
        <w:rPr>
          <w:rFonts w:ascii="Calibri" w:eastAsia="Calibri" w:hAnsi="Calibri" w:cs="Times New Roman"/>
          <w:b/>
        </w:rPr>
        <w:t xml:space="preserve"> (compared to TORCH results)</w:t>
      </w:r>
    </w:p>
    <w:tbl>
      <w:tblPr>
        <w:tblStyle w:val="TableGrid7"/>
        <w:tblW w:w="10321" w:type="dxa"/>
        <w:jc w:val="center"/>
        <w:tblLook w:val="04A0" w:firstRow="1" w:lastRow="0" w:firstColumn="1" w:lastColumn="0" w:noHBand="0" w:noVBand="1"/>
      </w:tblPr>
      <w:tblGrid>
        <w:gridCol w:w="3402"/>
        <w:gridCol w:w="1701"/>
        <w:gridCol w:w="1873"/>
        <w:gridCol w:w="7"/>
        <w:gridCol w:w="277"/>
        <w:gridCol w:w="7"/>
        <w:gridCol w:w="1306"/>
        <w:gridCol w:w="7"/>
        <w:gridCol w:w="1403"/>
        <w:gridCol w:w="338"/>
      </w:tblGrid>
      <w:tr w:rsidR="007976DF" w:rsidRPr="008B3ABF" w14:paraId="7D4A8492" w14:textId="77777777" w:rsidTr="00125EE0">
        <w:trPr>
          <w:jc w:val="center"/>
        </w:trPr>
        <w:tc>
          <w:tcPr>
            <w:tcW w:w="3402" w:type="dxa"/>
            <w:tcBorders>
              <w:top w:val="single" w:sz="4" w:space="0" w:color="auto"/>
              <w:left w:val="nil"/>
              <w:bottom w:val="nil"/>
              <w:right w:val="nil"/>
            </w:tcBorders>
          </w:tcPr>
          <w:p w14:paraId="0C662816" w14:textId="77777777" w:rsidR="007976DF" w:rsidRPr="008B3ABF" w:rsidRDefault="007976DF" w:rsidP="00125EE0">
            <w:pPr>
              <w:spacing w:after="0" w:line="240" w:lineRule="auto"/>
              <w:jc w:val="center"/>
              <w:rPr>
                <w:rFonts w:ascii="Calibri" w:eastAsia="Calibri" w:hAnsi="Calibri" w:cs="Times New Roman"/>
              </w:rPr>
            </w:pPr>
          </w:p>
        </w:tc>
        <w:tc>
          <w:tcPr>
            <w:tcW w:w="3574" w:type="dxa"/>
            <w:gridSpan w:val="2"/>
            <w:tcBorders>
              <w:top w:val="single" w:sz="4" w:space="0" w:color="auto"/>
              <w:left w:val="nil"/>
              <w:bottom w:val="single" w:sz="4" w:space="0" w:color="auto"/>
              <w:right w:val="nil"/>
            </w:tcBorders>
          </w:tcPr>
          <w:p w14:paraId="461C82E6"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b/>
              </w:rPr>
              <w:t>CPRD non-interventional population</w:t>
            </w:r>
          </w:p>
        </w:tc>
        <w:tc>
          <w:tcPr>
            <w:tcW w:w="284" w:type="dxa"/>
            <w:gridSpan w:val="2"/>
            <w:tcBorders>
              <w:top w:val="single" w:sz="4" w:space="0" w:color="auto"/>
              <w:left w:val="nil"/>
              <w:bottom w:val="nil"/>
              <w:right w:val="nil"/>
            </w:tcBorders>
          </w:tcPr>
          <w:p w14:paraId="4ED68027" w14:textId="77777777" w:rsidR="007976DF" w:rsidRPr="008B3ABF" w:rsidRDefault="007976DF" w:rsidP="00125EE0">
            <w:pPr>
              <w:spacing w:after="0" w:line="240" w:lineRule="auto"/>
              <w:jc w:val="center"/>
              <w:rPr>
                <w:rFonts w:ascii="Calibri" w:eastAsia="Calibri" w:hAnsi="Calibri" w:cs="Times New Roman"/>
                <w:b/>
              </w:rPr>
            </w:pPr>
          </w:p>
        </w:tc>
        <w:tc>
          <w:tcPr>
            <w:tcW w:w="3061" w:type="dxa"/>
            <w:gridSpan w:val="5"/>
            <w:tcBorders>
              <w:top w:val="single" w:sz="4" w:space="0" w:color="auto"/>
              <w:left w:val="nil"/>
              <w:bottom w:val="single" w:sz="4" w:space="0" w:color="auto"/>
              <w:right w:val="nil"/>
            </w:tcBorders>
          </w:tcPr>
          <w:p w14:paraId="15FF46C4" w14:textId="77777777" w:rsidR="007976DF" w:rsidRPr="008B3ABF" w:rsidRDefault="007976DF" w:rsidP="00125EE0">
            <w:pPr>
              <w:spacing w:after="0" w:line="240" w:lineRule="auto"/>
              <w:jc w:val="center"/>
              <w:rPr>
                <w:rFonts w:ascii="Calibri" w:eastAsia="Calibri" w:hAnsi="Calibri" w:cs="Times New Roman"/>
                <w:b/>
              </w:rPr>
            </w:pPr>
            <w:r w:rsidRPr="008B3ABF">
              <w:rPr>
                <w:rFonts w:ascii="Calibri" w:eastAsia="Calibri" w:hAnsi="Calibri" w:cs="Times New Roman"/>
                <w:b/>
              </w:rPr>
              <w:t>TORCH trial population</w:t>
            </w:r>
            <w:r w:rsidRPr="008B3ABF">
              <w:rPr>
                <w:rFonts w:ascii="Calibri" w:eastAsia="Calibri" w:hAnsi="Calibri" w:cs="Times New Roman"/>
                <w:b/>
                <w:vertAlign w:val="superscript"/>
              </w:rPr>
              <w:t>1</w:t>
            </w:r>
          </w:p>
        </w:tc>
      </w:tr>
      <w:tr w:rsidR="007976DF" w:rsidRPr="008B3ABF" w14:paraId="12515979" w14:textId="77777777" w:rsidTr="00125EE0">
        <w:trPr>
          <w:jc w:val="center"/>
        </w:trPr>
        <w:tc>
          <w:tcPr>
            <w:tcW w:w="3402" w:type="dxa"/>
            <w:tcBorders>
              <w:top w:val="nil"/>
              <w:left w:val="nil"/>
              <w:bottom w:val="single" w:sz="4" w:space="0" w:color="auto"/>
              <w:right w:val="nil"/>
            </w:tcBorders>
          </w:tcPr>
          <w:p w14:paraId="2ECCDE29" w14:textId="77777777" w:rsidR="007976DF" w:rsidRPr="008B3ABF" w:rsidRDefault="007976DF" w:rsidP="00125EE0">
            <w:pPr>
              <w:spacing w:after="0" w:line="240" w:lineRule="auto"/>
              <w:jc w:val="center"/>
              <w:rPr>
                <w:rFonts w:ascii="Calibri" w:eastAsia="Calibri" w:hAnsi="Calibri" w:cs="Times New Roman"/>
              </w:rPr>
            </w:pPr>
          </w:p>
        </w:tc>
        <w:tc>
          <w:tcPr>
            <w:tcW w:w="1701" w:type="dxa"/>
            <w:tcBorders>
              <w:top w:val="nil"/>
              <w:left w:val="nil"/>
              <w:bottom w:val="single" w:sz="4" w:space="0" w:color="auto"/>
              <w:right w:val="nil"/>
            </w:tcBorders>
          </w:tcPr>
          <w:p w14:paraId="04738DF6" w14:textId="77777777" w:rsidR="007976DF" w:rsidRPr="008B3ABF" w:rsidRDefault="007976DF" w:rsidP="00125EE0">
            <w:pPr>
              <w:spacing w:after="0" w:line="240" w:lineRule="auto"/>
              <w:jc w:val="center"/>
              <w:rPr>
                <w:rFonts w:ascii="Calibri" w:eastAsia="Calibri" w:hAnsi="Calibri" w:cs="Times New Roman"/>
                <w:b/>
              </w:rPr>
            </w:pPr>
            <w:r w:rsidRPr="008B3ABF">
              <w:rPr>
                <w:rFonts w:ascii="Calibri" w:eastAsia="Calibri" w:hAnsi="Calibri" w:cs="Times New Roman"/>
                <w:b/>
              </w:rPr>
              <w:t>Unexposed to FP-SAL</w:t>
            </w:r>
          </w:p>
          <w:p w14:paraId="6019B948"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(n=4196)</w:t>
            </w:r>
          </w:p>
        </w:tc>
        <w:tc>
          <w:tcPr>
            <w:tcW w:w="1880" w:type="dxa"/>
            <w:gridSpan w:val="2"/>
            <w:tcBorders>
              <w:top w:val="nil"/>
              <w:left w:val="nil"/>
              <w:bottom w:val="single" w:sz="4" w:space="0" w:color="auto"/>
              <w:right w:val="nil"/>
            </w:tcBorders>
          </w:tcPr>
          <w:p w14:paraId="55E5F1B8" w14:textId="77777777" w:rsidR="007976DF" w:rsidRPr="008B3ABF" w:rsidRDefault="007976DF" w:rsidP="00125EE0">
            <w:pPr>
              <w:spacing w:after="0" w:line="240" w:lineRule="auto"/>
              <w:jc w:val="center"/>
              <w:rPr>
                <w:rFonts w:ascii="Calibri" w:eastAsia="Calibri" w:hAnsi="Calibri" w:cs="Times New Roman"/>
                <w:b/>
              </w:rPr>
            </w:pPr>
            <w:r w:rsidRPr="008B3ABF">
              <w:rPr>
                <w:rFonts w:ascii="Calibri" w:eastAsia="Calibri" w:hAnsi="Calibri" w:cs="Times New Roman"/>
                <w:b/>
              </w:rPr>
              <w:t>Exposed to FP-SAL</w:t>
            </w:r>
          </w:p>
          <w:p w14:paraId="717715A1"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(n=10463)</w:t>
            </w:r>
          </w:p>
        </w:tc>
        <w:tc>
          <w:tcPr>
            <w:tcW w:w="284" w:type="dxa"/>
            <w:gridSpan w:val="2"/>
            <w:tcBorders>
              <w:top w:val="nil"/>
              <w:left w:val="nil"/>
              <w:bottom w:val="single" w:sz="4" w:space="0" w:color="auto"/>
              <w:right w:val="nil"/>
            </w:tcBorders>
          </w:tcPr>
          <w:p w14:paraId="0085B003" w14:textId="77777777" w:rsidR="007976DF" w:rsidRPr="008B3ABF" w:rsidRDefault="007976DF" w:rsidP="00125EE0">
            <w:pPr>
              <w:spacing w:after="0" w:line="240" w:lineRule="auto"/>
              <w:jc w:val="center"/>
              <w:rPr>
                <w:rFonts w:ascii="Calibri" w:eastAsia="Calibri" w:hAnsi="Calibri" w:cs="Times New Roman"/>
                <w:b/>
              </w:rPr>
            </w:pPr>
          </w:p>
        </w:tc>
        <w:tc>
          <w:tcPr>
            <w:tcW w:w="1313" w:type="dxa"/>
            <w:gridSpan w:val="2"/>
            <w:tcBorders>
              <w:top w:val="nil"/>
              <w:left w:val="nil"/>
              <w:bottom w:val="single" w:sz="4" w:space="0" w:color="auto"/>
              <w:right w:val="nil"/>
            </w:tcBorders>
          </w:tcPr>
          <w:p w14:paraId="23BE1392" w14:textId="77777777" w:rsidR="007976DF" w:rsidRPr="008B3ABF" w:rsidRDefault="007976DF" w:rsidP="00125EE0">
            <w:pPr>
              <w:spacing w:after="0" w:line="240" w:lineRule="auto"/>
              <w:jc w:val="center"/>
              <w:rPr>
                <w:rFonts w:ascii="Calibri" w:eastAsia="Calibri" w:hAnsi="Calibri" w:cs="Times New Roman"/>
                <w:b/>
              </w:rPr>
            </w:pPr>
            <w:r w:rsidRPr="008B3ABF">
              <w:rPr>
                <w:rFonts w:ascii="Calibri" w:eastAsia="Calibri" w:hAnsi="Calibri" w:cs="Times New Roman"/>
                <w:b/>
              </w:rPr>
              <w:t>Placebo</w:t>
            </w:r>
          </w:p>
          <w:p w14:paraId="4E018F8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(n=1524)</w:t>
            </w:r>
          </w:p>
        </w:tc>
        <w:tc>
          <w:tcPr>
            <w:tcW w:w="1741" w:type="dxa"/>
            <w:gridSpan w:val="2"/>
            <w:tcBorders>
              <w:top w:val="nil"/>
              <w:left w:val="nil"/>
              <w:bottom w:val="single" w:sz="4" w:space="0" w:color="auto"/>
              <w:right w:val="nil"/>
            </w:tcBorders>
          </w:tcPr>
          <w:p w14:paraId="2CEBD199" w14:textId="77777777" w:rsidR="007976DF" w:rsidRPr="008B3ABF" w:rsidRDefault="007976DF" w:rsidP="00125EE0">
            <w:pPr>
              <w:spacing w:after="0" w:line="240" w:lineRule="auto"/>
              <w:jc w:val="center"/>
              <w:rPr>
                <w:rFonts w:ascii="Calibri" w:eastAsia="Calibri" w:hAnsi="Calibri" w:cs="Times New Roman"/>
                <w:b/>
              </w:rPr>
            </w:pPr>
            <w:r w:rsidRPr="008B3ABF">
              <w:rPr>
                <w:rFonts w:ascii="Calibri" w:eastAsia="Calibri" w:hAnsi="Calibri" w:cs="Times New Roman"/>
                <w:b/>
              </w:rPr>
              <w:t>FP-SAL</w:t>
            </w:r>
          </w:p>
          <w:p w14:paraId="6DD4A881" w14:textId="77777777" w:rsidR="007976DF" w:rsidRPr="008B3ABF" w:rsidRDefault="007976DF" w:rsidP="00125EE0">
            <w:pPr>
              <w:spacing w:after="0" w:line="240" w:lineRule="auto"/>
              <w:jc w:val="center"/>
              <w:rPr>
                <w:rFonts w:ascii="Calibri" w:eastAsia="Calibri" w:hAnsi="Calibri" w:cs="Times New Roman"/>
                <w:b/>
              </w:rPr>
            </w:pPr>
            <w:r w:rsidRPr="008B3ABF">
              <w:rPr>
                <w:rFonts w:ascii="Calibri" w:eastAsia="Calibri" w:hAnsi="Calibri" w:cs="Times New Roman"/>
              </w:rPr>
              <w:t>(n=1533)</w:t>
            </w:r>
          </w:p>
        </w:tc>
      </w:tr>
      <w:tr w:rsidR="007976DF" w:rsidRPr="008B3ABF" w14:paraId="1373B518" w14:textId="77777777" w:rsidTr="00125EE0">
        <w:trPr>
          <w:jc w:val="center"/>
        </w:trPr>
        <w:tc>
          <w:tcPr>
            <w:tcW w:w="3402" w:type="dxa"/>
            <w:tcBorders>
              <w:top w:val="nil"/>
              <w:left w:val="nil"/>
              <w:bottom w:val="nil"/>
              <w:right w:val="nil"/>
            </w:tcBorders>
            <w:shd w:val="clear" w:color="auto" w:fill="F2F2F2"/>
          </w:tcPr>
          <w:p w14:paraId="55E22D21" w14:textId="77777777" w:rsidR="007976DF" w:rsidRPr="008B3ABF" w:rsidRDefault="007976DF" w:rsidP="00125EE0">
            <w:pPr>
              <w:spacing w:after="0" w:line="240" w:lineRule="auto"/>
              <w:rPr>
                <w:rFonts w:ascii="Calibri" w:eastAsia="Calibri" w:hAnsi="Calibri" w:cs="Times New Roman"/>
                <w:b/>
              </w:rPr>
            </w:pPr>
            <w:r w:rsidRPr="008B3ABF">
              <w:rPr>
                <w:rFonts w:ascii="Calibri" w:eastAsia="Calibri" w:hAnsi="Calibri" w:cs="Times New Roman"/>
                <w:b/>
              </w:rPr>
              <w:t>Exacerbations</w:t>
            </w:r>
          </w:p>
        </w:tc>
        <w:tc>
          <w:tcPr>
            <w:tcW w:w="6919" w:type="dxa"/>
            <w:gridSpan w:val="9"/>
            <w:tcBorders>
              <w:top w:val="nil"/>
              <w:left w:val="nil"/>
              <w:bottom w:val="nil"/>
              <w:right w:val="nil"/>
            </w:tcBorders>
            <w:shd w:val="clear" w:color="auto" w:fill="F2F2F2"/>
          </w:tcPr>
          <w:p w14:paraId="60EA3157" w14:textId="77777777" w:rsidR="007976DF" w:rsidRPr="008B3ABF" w:rsidRDefault="007976DF" w:rsidP="00125EE0">
            <w:pPr>
              <w:spacing w:after="0" w:line="240" w:lineRule="auto"/>
              <w:jc w:val="center"/>
              <w:rPr>
                <w:rFonts w:ascii="Calibri" w:eastAsia="Calibri" w:hAnsi="Calibri" w:cs="Times New Roman"/>
                <w:b/>
              </w:rPr>
            </w:pPr>
          </w:p>
        </w:tc>
      </w:tr>
      <w:tr w:rsidR="007976DF" w:rsidRPr="008B3ABF" w14:paraId="4EACB5FD" w14:textId="77777777" w:rsidTr="00125EE0">
        <w:trPr>
          <w:jc w:val="center"/>
        </w:trPr>
        <w:tc>
          <w:tcPr>
            <w:tcW w:w="3402" w:type="dxa"/>
            <w:tcBorders>
              <w:top w:val="nil"/>
              <w:left w:val="nil"/>
              <w:bottom w:val="nil"/>
              <w:right w:val="nil"/>
            </w:tcBorders>
          </w:tcPr>
          <w:p w14:paraId="58F70F11"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Person-years at risk</w:t>
            </w:r>
          </w:p>
        </w:tc>
        <w:tc>
          <w:tcPr>
            <w:tcW w:w="1701" w:type="dxa"/>
            <w:tcBorders>
              <w:top w:val="nil"/>
              <w:left w:val="nil"/>
              <w:bottom w:val="nil"/>
              <w:right w:val="nil"/>
            </w:tcBorders>
          </w:tcPr>
          <w:p w14:paraId="1909E59B"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9330</w:t>
            </w:r>
          </w:p>
        </w:tc>
        <w:tc>
          <w:tcPr>
            <w:tcW w:w="1880" w:type="dxa"/>
            <w:gridSpan w:val="2"/>
            <w:tcBorders>
              <w:top w:val="nil"/>
              <w:left w:val="nil"/>
              <w:bottom w:val="nil"/>
              <w:right w:val="nil"/>
            </w:tcBorders>
          </w:tcPr>
          <w:p w14:paraId="2BBA2A66"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22054</w:t>
            </w:r>
          </w:p>
        </w:tc>
        <w:tc>
          <w:tcPr>
            <w:tcW w:w="284" w:type="dxa"/>
            <w:gridSpan w:val="2"/>
            <w:tcBorders>
              <w:top w:val="nil"/>
              <w:left w:val="nil"/>
              <w:bottom w:val="nil"/>
              <w:right w:val="nil"/>
            </w:tcBorders>
          </w:tcPr>
          <w:p w14:paraId="1FF962A6"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3D4A3AB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63BC6CF4"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37A69D94" w14:textId="77777777" w:rsidTr="00125EE0">
        <w:trPr>
          <w:jc w:val="center"/>
        </w:trPr>
        <w:tc>
          <w:tcPr>
            <w:tcW w:w="3402" w:type="dxa"/>
            <w:tcBorders>
              <w:top w:val="nil"/>
              <w:left w:val="nil"/>
              <w:bottom w:val="nil"/>
              <w:right w:val="nil"/>
            </w:tcBorders>
          </w:tcPr>
          <w:p w14:paraId="52CE9396"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Events</w:t>
            </w:r>
          </w:p>
        </w:tc>
        <w:tc>
          <w:tcPr>
            <w:tcW w:w="1701" w:type="dxa"/>
            <w:tcBorders>
              <w:top w:val="nil"/>
              <w:left w:val="nil"/>
              <w:bottom w:val="nil"/>
              <w:right w:val="nil"/>
            </w:tcBorders>
          </w:tcPr>
          <w:p w14:paraId="5A00B1D0"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4994</w:t>
            </w:r>
          </w:p>
        </w:tc>
        <w:tc>
          <w:tcPr>
            <w:tcW w:w="1880" w:type="dxa"/>
            <w:gridSpan w:val="2"/>
            <w:tcBorders>
              <w:top w:val="nil"/>
              <w:left w:val="nil"/>
              <w:bottom w:val="nil"/>
              <w:right w:val="nil"/>
            </w:tcBorders>
          </w:tcPr>
          <w:p w14:paraId="67B26DF9"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15944</w:t>
            </w:r>
          </w:p>
        </w:tc>
        <w:tc>
          <w:tcPr>
            <w:tcW w:w="284" w:type="dxa"/>
            <w:gridSpan w:val="2"/>
            <w:tcBorders>
              <w:top w:val="nil"/>
              <w:left w:val="nil"/>
              <w:bottom w:val="nil"/>
              <w:right w:val="nil"/>
            </w:tcBorders>
          </w:tcPr>
          <w:p w14:paraId="4331DB7F"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6ABE8282"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29A19A3B"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2BF8F30C" w14:textId="77777777" w:rsidTr="00125EE0">
        <w:trPr>
          <w:jc w:val="center"/>
        </w:trPr>
        <w:tc>
          <w:tcPr>
            <w:tcW w:w="3402" w:type="dxa"/>
            <w:tcBorders>
              <w:top w:val="nil"/>
              <w:left w:val="nil"/>
              <w:bottom w:val="nil"/>
              <w:right w:val="nil"/>
            </w:tcBorders>
          </w:tcPr>
          <w:p w14:paraId="0DF80FEF"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Rate</w:t>
            </w:r>
            <w:r w:rsidRPr="008B3ABF">
              <w:rPr>
                <w:rFonts w:ascii="Calibri" w:eastAsia="Calibri" w:hAnsi="Calibri" w:cs="Times New Roman"/>
                <w:vertAlign w:val="superscript"/>
              </w:rPr>
              <w:t>2</w:t>
            </w:r>
          </w:p>
        </w:tc>
        <w:tc>
          <w:tcPr>
            <w:tcW w:w="1701" w:type="dxa"/>
            <w:tcBorders>
              <w:top w:val="nil"/>
              <w:left w:val="nil"/>
              <w:bottom w:val="nil"/>
              <w:right w:val="nil"/>
            </w:tcBorders>
          </w:tcPr>
          <w:p w14:paraId="0087FD26"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0.53</w:t>
            </w:r>
          </w:p>
        </w:tc>
        <w:tc>
          <w:tcPr>
            <w:tcW w:w="1880" w:type="dxa"/>
            <w:gridSpan w:val="2"/>
            <w:tcBorders>
              <w:top w:val="nil"/>
              <w:left w:val="nil"/>
              <w:bottom w:val="nil"/>
              <w:right w:val="nil"/>
            </w:tcBorders>
          </w:tcPr>
          <w:p w14:paraId="7C074C8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0.72</w:t>
            </w:r>
          </w:p>
        </w:tc>
        <w:tc>
          <w:tcPr>
            <w:tcW w:w="284" w:type="dxa"/>
            <w:gridSpan w:val="2"/>
            <w:tcBorders>
              <w:top w:val="nil"/>
              <w:left w:val="nil"/>
              <w:bottom w:val="nil"/>
              <w:right w:val="nil"/>
            </w:tcBorders>
          </w:tcPr>
          <w:p w14:paraId="3F10D4CE"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03C0B38A"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1.13</w:t>
            </w:r>
          </w:p>
        </w:tc>
        <w:tc>
          <w:tcPr>
            <w:tcW w:w="1741" w:type="dxa"/>
            <w:gridSpan w:val="2"/>
            <w:tcBorders>
              <w:top w:val="nil"/>
              <w:left w:val="nil"/>
              <w:bottom w:val="nil"/>
              <w:right w:val="nil"/>
            </w:tcBorders>
          </w:tcPr>
          <w:p w14:paraId="12B45A4D"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0.85</w:t>
            </w:r>
          </w:p>
        </w:tc>
      </w:tr>
      <w:tr w:rsidR="007976DF" w:rsidRPr="008B3ABF" w14:paraId="7EB0BB25" w14:textId="77777777" w:rsidTr="00125EE0">
        <w:trPr>
          <w:jc w:val="center"/>
        </w:trPr>
        <w:tc>
          <w:tcPr>
            <w:tcW w:w="3402" w:type="dxa"/>
            <w:tcBorders>
              <w:top w:val="nil"/>
              <w:left w:val="nil"/>
              <w:bottom w:val="nil"/>
              <w:right w:val="nil"/>
            </w:tcBorders>
          </w:tcPr>
          <w:p w14:paraId="0890DA3F"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Crude rate ratio</w:t>
            </w:r>
          </w:p>
        </w:tc>
        <w:tc>
          <w:tcPr>
            <w:tcW w:w="1701" w:type="dxa"/>
            <w:tcBorders>
              <w:top w:val="nil"/>
              <w:left w:val="nil"/>
              <w:bottom w:val="nil"/>
              <w:right w:val="nil"/>
            </w:tcBorders>
          </w:tcPr>
          <w:p w14:paraId="38114FEB"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 xml:space="preserve">1 </w:t>
            </w:r>
          </w:p>
        </w:tc>
        <w:tc>
          <w:tcPr>
            <w:tcW w:w="1880" w:type="dxa"/>
            <w:gridSpan w:val="2"/>
            <w:tcBorders>
              <w:top w:val="nil"/>
              <w:left w:val="nil"/>
              <w:bottom w:val="nil"/>
              <w:right w:val="nil"/>
            </w:tcBorders>
          </w:tcPr>
          <w:p w14:paraId="0B33CA9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1.35 (1.28-1.43)</w:t>
            </w:r>
          </w:p>
        </w:tc>
        <w:tc>
          <w:tcPr>
            <w:tcW w:w="284" w:type="dxa"/>
            <w:gridSpan w:val="2"/>
            <w:tcBorders>
              <w:top w:val="nil"/>
              <w:left w:val="nil"/>
              <w:bottom w:val="nil"/>
              <w:right w:val="nil"/>
            </w:tcBorders>
          </w:tcPr>
          <w:p w14:paraId="5CEF724B"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6900A1FA"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5852E1E4"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370F9DDE" w14:textId="77777777" w:rsidTr="00125EE0">
        <w:trPr>
          <w:jc w:val="center"/>
        </w:trPr>
        <w:tc>
          <w:tcPr>
            <w:tcW w:w="3402" w:type="dxa"/>
            <w:tcBorders>
              <w:top w:val="nil"/>
              <w:left w:val="nil"/>
              <w:bottom w:val="nil"/>
              <w:right w:val="nil"/>
            </w:tcBorders>
          </w:tcPr>
          <w:p w14:paraId="5D087A0B" w14:textId="77777777" w:rsidR="007976DF" w:rsidRPr="008B3ABF" w:rsidRDefault="007976DF" w:rsidP="00125EE0">
            <w:pPr>
              <w:spacing w:after="60" w:line="240" w:lineRule="auto"/>
              <w:ind w:right="-527"/>
              <w:rPr>
                <w:rFonts w:ascii="Calibri" w:eastAsia="Calibri" w:hAnsi="Calibri" w:cs="Times New Roman"/>
              </w:rPr>
            </w:pPr>
            <w:r w:rsidRPr="008B3ABF">
              <w:rPr>
                <w:rFonts w:ascii="Calibri" w:eastAsia="Calibri" w:hAnsi="Calibri" w:cs="Times New Roman"/>
              </w:rPr>
              <w:t>Propensity matched rate ratio</w:t>
            </w:r>
          </w:p>
        </w:tc>
        <w:tc>
          <w:tcPr>
            <w:tcW w:w="1701" w:type="dxa"/>
            <w:tcBorders>
              <w:top w:val="nil"/>
              <w:left w:val="nil"/>
              <w:bottom w:val="nil"/>
              <w:right w:val="nil"/>
            </w:tcBorders>
          </w:tcPr>
          <w:p w14:paraId="293EDEB9"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 xml:space="preserve">1 </w:t>
            </w:r>
          </w:p>
        </w:tc>
        <w:tc>
          <w:tcPr>
            <w:tcW w:w="1880" w:type="dxa"/>
            <w:gridSpan w:val="2"/>
            <w:tcBorders>
              <w:top w:val="nil"/>
              <w:left w:val="nil"/>
              <w:bottom w:val="nil"/>
              <w:right w:val="nil"/>
            </w:tcBorders>
          </w:tcPr>
          <w:p w14:paraId="6BF33A2B"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1.30 (1.19-1.42)</w:t>
            </w:r>
            <w:r w:rsidRPr="008B3ABF">
              <w:rPr>
                <w:rFonts w:ascii="Calibri" w:eastAsia="Calibri" w:hAnsi="Calibri" w:cs="Times New Roman"/>
                <w:vertAlign w:val="superscript"/>
              </w:rPr>
              <w:t>3</w:t>
            </w:r>
          </w:p>
        </w:tc>
        <w:tc>
          <w:tcPr>
            <w:tcW w:w="284" w:type="dxa"/>
            <w:gridSpan w:val="2"/>
            <w:tcBorders>
              <w:top w:val="nil"/>
              <w:left w:val="nil"/>
              <w:bottom w:val="nil"/>
              <w:right w:val="nil"/>
            </w:tcBorders>
          </w:tcPr>
          <w:p w14:paraId="6D0B7117" w14:textId="77777777" w:rsidR="007976DF" w:rsidRPr="008B3ABF" w:rsidRDefault="007976DF" w:rsidP="00125EE0">
            <w:pPr>
              <w:spacing w:after="60" w:line="240" w:lineRule="auto"/>
              <w:jc w:val="center"/>
              <w:rPr>
                <w:rFonts w:ascii="Calibri" w:eastAsia="Calibri" w:hAnsi="Calibri" w:cs="Times New Roman"/>
              </w:rPr>
            </w:pPr>
          </w:p>
        </w:tc>
        <w:tc>
          <w:tcPr>
            <w:tcW w:w="1313" w:type="dxa"/>
            <w:gridSpan w:val="2"/>
            <w:tcBorders>
              <w:top w:val="nil"/>
              <w:left w:val="nil"/>
              <w:bottom w:val="nil"/>
              <w:right w:val="nil"/>
            </w:tcBorders>
          </w:tcPr>
          <w:p w14:paraId="6AFE67BA"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1</w:t>
            </w:r>
          </w:p>
        </w:tc>
        <w:tc>
          <w:tcPr>
            <w:tcW w:w="1741" w:type="dxa"/>
            <w:gridSpan w:val="2"/>
            <w:tcBorders>
              <w:top w:val="nil"/>
              <w:left w:val="nil"/>
              <w:bottom w:val="nil"/>
              <w:right w:val="nil"/>
            </w:tcBorders>
          </w:tcPr>
          <w:p w14:paraId="3CDE4BD2"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0.75 (0.69-0.81)</w:t>
            </w:r>
          </w:p>
        </w:tc>
      </w:tr>
      <w:tr w:rsidR="007976DF" w:rsidRPr="008B3ABF" w14:paraId="2381AEAC" w14:textId="77777777" w:rsidTr="00125EE0">
        <w:trPr>
          <w:jc w:val="center"/>
        </w:trPr>
        <w:tc>
          <w:tcPr>
            <w:tcW w:w="3402" w:type="dxa"/>
            <w:tcBorders>
              <w:top w:val="nil"/>
              <w:left w:val="nil"/>
              <w:bottom w:val="nil"/>
              <w:right w:val="nil"/>
            </w:tcBorders>
            <w:shd w:val="clear" w:color="auto" w:fill="F2F2F2"/>
          </w:tcPr>
          <w:p w14:paraId="6D281AAC" w14:textId="77777777" w:rsidR="007976DF" w:rsidRPr="008B3ABF" w:rsidRDefault="007976DF" w:rsidP="00125EE0">
            <w:pPr>
              <w:spacing w:after="0" w:line="240" w:lineRule="auto"/>
              <w:rPr>
                <w:rFonts w:ascii="Calibri" w:eastAsia="Calibri" w:hAnsi="Calibri" w:cs="Times New Roman"/>
                <w:b/>
              </w:rPr>
            </w:pPr>
            <w:r w:rsidRPr="008B3ABF">
              <w:rPr>
                <w:rFonts w:ascii="Calibri" w:eastAsia="Calibri" w:hAnsi="Calibri" w:cs="Times New Roman"/>
                <w:b/>
              </w:rPr>
              <w:t>Mortality</w:t>
            </w:r>
          </w:p>
        </w:tc>
        <w:tc>
          <w:tcPr>
            <w:tcW w:w="3574" w:type="dxa"/>
            <w:gridSpan w:val="2"/>
            <w:tcBorders>
              <w:top w:val="nil"/>
              <w:left w:val="nil"/>
              <w:bottom w:val="nil"/>
              <w:right w:val="nil"/>
            </w:tcBorders>
            <w:shd w:val="clear" w:color="auto" w:fill="F2F2F2"/>
          </w:tcPr>
          <w:p w14:paraId="36942E33" w14:textId="77777777" w:rsidR="007976DF" w:rsidRPr="008B3ABF" w:rsidRDefault="007976DF" w:rsidP="00125EE0">
            <w:pPr>
              <w:spacing w:after="0" w:line="240" w:lineRule="auto"/>
              <w:jc w:val="center"/>
              <w:rPr>
                <w:rFonts w:ascii="Calibri" w:eastAsia="Calibri" w:hAnsi="Calibri" w:cs="Times New Roman"/>
                <w:b/>
              </w:rPr>
            </w:pPr>
          </w:p>
        </w:tc>
        <w:tc>
          <w:tcPr>
            <w:tcW w:w="284" w:type="dxa"/>
            <w:gridSpan w:val="2"/>
            <w:tcBorders>
              <w:top w:val="nil"/>
              <w:left w:val="nil"/>
              <w:bottom w:val="nil"/>
              <w:right w:val="nil"/>
            </w:tcBorders>
            <w:shd w:val="clear" w:color="auto" w:fill="F2F2F2"/>
          </w:tcPr>
          <w:p w14:paraId="6DBD1BCA" w14:textId="77777777" w:rsidR="007976DF" w:rsidRPr="008B3ABF" w:rsidRDefault="007976DF" w:rsidP="00125EE0">
            <w:pPr>
              <w:spacing w:after="0" w:line="240" w:lineRule="auto"/>
              <w:jc w:val="center"/>
              <w:rPr>
                <w:rFonts w:ascii="Calibri" w:eastAsia="Calibri" w:hAnsi="Calibri" w:cs="Times New Roman"/>
                <w:b/>
                <w:sz w:val="24"/>
              </w:rPr>
            </w:pPr>
          </w:p>
        </w:tc>
        <w:tc>
          <w:tcPr>
            <w:tcW w:w="1313" w:type="dxa"/>
            <w:gridSpan w:val="2"/>
            <w:tcBorders>
              <w:top w:val="nil"/>
              <w:left w:val="nil"/>
              <w:bottom w:val="nil"/>
              <w:right w:val="nil"/>
            </w:tcBorders>
            <w:shd w:val="clear" w:color="auto" w:fill="F2F2F2"/>
          </w:tcPr>
          <w:p w14:paraId="0ADFF63E" w14:textId="77777777" w:rsidR="007976DF" w:rsidRPr="008B3ABF" w:rsidRDefault="007976DF" w:rsidP="00125EE0">
            <w:pPr>
              <w:spacing w:after="0" w:line="240" w:lineRule="auto"/>
              <w:jc w:val="center"/>
              <w:rPr>
                <w:rFonts w:ascii="Calibri" w:eastAsia="Calibri" w:hAnsi="Calibri" w:cs="Times New Roman"/>
                <w:b/>
                <w:sz w:val="24"/>
              </w:rPr>
            </w:pPr>
          </w:p>
        </w:tc>
        <w:tc>
          <w:tcPr>
            <w:tcW w:w="1748" w:type="dxa"/>
            <w:gridSpan w:val="3"/>
            <w:tcBorders>
              <w:top w:val="nil"/>
              <w:left w:val="nil"/>
              <w:bottom w:val="nil"/>
              <w:right w:val="nil"/>
            </w:tcBorders>
            <w:shd w:val="clear" w:color="auto" w:fill="F2F2F2"/>
          </w:tcPr>
          <w:p w14:paraId="4CF664B1" w14:textId="77777777" w:rsidR="007976DF" w:rsidRPr="008B3ABF" w:rsidRDefault="007976DF" w:rsidP="00125EE0">
            <w:pPr>
              <w:spacing w:after="0" w:line="240" w:lineRule="auto"/>
              <w:jc w:val="center"/>
              <w:rPr>
                <w:rFonts w:ascii="Calibri" w:eastAsia="Calibri" w:hAnsi="Calibri" w:cs="Times New Roman"/>
                <w:b/>
              </w:rPr>
            </w:pPr>
          </w:p>
        </w:tc>
      </w:tr>
      <w:tr w:rsidR="007976DF" w:rsidRPr="008B3ABF" w14:paraId="38B2C0F9" w14:textId="77777777" w:rsidTr="00125EE0">
        <w:trPr>
          <w:jc w:val="center"/>
        </w:trPr>
        <w:tc>
          <w:tcPr>
            <w:tcW w:w="3402" w:type="dxa"/>
            <w:tcBorders>
              <w:top w:val="nil"/>
              <w:left w:val="nil"/>
              <w:bottom w:val="nil"/>
              <w:right w:val="nil"/>
            </w:tcBorders>
          </w:tcPr>
          <w:p w14:paraId="4116C431"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Person-years at risk</w:t>
            </w:r>
          </w:p>
        </w:tc>
        <w:tc>
          <w:tcPr>
            <w:tcW w:w="1701" w:type="dxa"/>
            <w:tcBorders>
              <w:top w:val="nil"/>
              <w:left w:val="nil"/>
              <w:bottom w:val="nil"/>
              <w:right w:val="nil"/>
            </w:tcBorders>
          </w:tcPr>
          <w:p w14:paraId="21715F20" w14:textId="77777777" w:rsidR="007976DF" w:rsidRPr="008B3ABF" w:rsidRDefault="007976DF" w:rsidP="00125EE0">
            <w:pPr>
              <w:spacing w:after="0" w:line="240" w:lineRule="auto"/>
              <w:ind w:left="-1950" w:firstLine="1950"/>
              <w:jc w:val="center"/>
              <w:rPr>
                <w:rFonts w:ascii="Calibri" w:eastAsia="Calibri" w:hAnsi="Calibri" w:cs="Times New Roman"/>
              </w:rPr>
            </w:pPr>
            <w:r w:rsidRPr="008B3ABF">
              <w:rPr>
                <w:rFonts w:ascii="Calibri" w:eastAsia="Calibri" w:hAnsi="Calibri" w:cs="Times New Roman"/>
              </w:rPr>
              <w:t>9330</w:t>
            </w:r>
          </w:p>
        </w:tc>
        <w:tc>
          <w:tcPr>
            <w:tcW w:w="1880" w:type="dxa"/>
            <w:gridSpan w:val="2"/>
            <w:tcBorders>
              <w:top w:val="nil"/>
              <w:left w:val="nil"/>
              <w:bottom w:val="nil"/>
              <w:right w:val="nil"/>
            </w:tcBorders>
          </w:tcPr>
          <w:p w14:paraId="155B0181"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22054</w:t>
            </w:r>
          </w:p>
        </w:tc>
        <w:tc>
          <w:tcPr>
            <w:tcW w:w="284" w:type="dxa"/>
            <w:gridSpan w:val="2"/>
            <w:tcBorders>
              <w:top w:val="nil"/>
              <w:left w:val="nil"/>
              <w:bottom w:val="nil"/>
              <w:right w:val="nil"/>
            </w:tcBorders>
          </w:tcPr>
          <w:p w14:paraId="5F557226"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6C091629"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33A4147D"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11CFE4A6" w14:textId="77777777" w:rsidTr="00125EE0">
        <w:trPr>
          <w:jc w:val="center"/>
        </w:trPr>
        <w:tc>
          <w:tcPr>
            <w:tcW w:w="3402" w:type="dxa"/>
            <w:tcBorders>
              <w:top w:val="nil"/>
              <w:left w:val="nil"/>
              <w:bottom w:val="nil"/>
              <w:right w:val="nil"/>
            </w:tcBorders>
          </w:tcPr>
          <w:p w14:paraId="3CA1E7D3"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Events</w:t>
            </w:r>
          </w:p>
        </w:tc>
        <w:tc>
          <w:tcPr>
            <w:tcW w:w="1701" w:type="dxa"/>
            <w:tcBorders>
              <w:top w:val="nil"/>
              <w:left w:val="nil"/>
              <w:bottom w:val="nil"/>
              <w:right w:val="nil"/>
            </w:tcBorders>
          </w:tcPr>
          <w:p w14:paraId="2A475B8D" w14:textId="77777777" w:rsidR="007976DF" w:rsidRPr="008B3ABF" w:rsidRDefault="007976DF" w:rsidP="00125EE0">
            <w:pPr>
              <w:spacing w:after="0" w:line="240" w:lineRule="auto"/>
              <w:ind w:left="-1950" w:firstLine="1950"/>
              <w:jc w:val="center"/>
              <w:rPr>
                <w:rFonts w:ascii="Calibri" w:eastAsia="Calibri" w:hAnsi="Calibri" w:cs="Times New Roman"/>
              </w:rPr>
            </w:pPr>
            <w:r w:rsidRPr="008B3ABF">
              <w:rPr>
                <w:rFonts w:ascii="Calibri" w:eastAsia="Calibri" w:hAnsi="Calibri" w:cs="Times New Roman"/>
              </w:rPr>
              <w:t>543</w:t>
            </w:r>
          </w:p>
        </w:tc>
        <w:tc>
          <w:tcPr>
            <w:tcW w:w="1880" w:type="dxa"/>
            <w:gridSpan w:val="2"/>
            <w:tcBorders>
              <w:top w:val="nil"/>
              <w:left w:val="nil"/>
              <w:bottom w:val="nil"/>
              <w:right w:val="nil"/>
            </w:tcBorders>
          </w:tcPr>
          <w:p w14:paraId="0E8FF828"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1245</w:t>
            </w:r>
          </w:p>
        </w:tc>
        <w:tc>
          <w:tcPr>
            <w:tcW w:w="284" w:type="dxa"/>
            <w:gridSpan w:val="2"/>
            <w:tcBorders>
              <w:top w:val="nil"/>
              <w:left w:val="nil"/>
              <w:bottom w:val="nil"/>
              <w:right w:val="nil"/>
            </w:tcBorders>
          </w:tcPr>
          <w:p w14:paraId="442FD865"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7A8D6791"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1DCB0D74"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48605121" w14:textId="77777777" w:rsidTr="00125EE0">
        <w:trPr>
          <w:jc w:val="center"/>
        </w:trPr>
        <w:tc>
          <w:tcPr>
            <w:tcW w:w="3402" w:type="dxa"/>
            <w:tcBorders>
              <w:top w:val="nil"/>
              <w:left w:val="nil"/>
              <w:bottom w:val="nil"/>
              <w:right w:val="nil"/>
            </w:tcBorders>
            <w:shd w:val="clear" w:color="auto" w:fill="FFFFFF"/>
          </w:tcPr>
          <w:p w14:paraId="6F836F0C"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Prob</w:t>
            </w:r>
            <w:r w:rsidRPr="008B3ABF">
              <w:rPr>
                <w:rFonts w:ascii="Calibri" w:eastAsia="Calibri" w:hAnsi="Calibri" w:cs="Times New Roman"/>
                <w:vertAlign w:val="superscript"/>
              </w:rPr>
              <w:t>4</w:t>
            </w:r>
            <w:r w:rsidRPr="008B3ABF">
              <w:rPr>
                <w:rFonts w:ascii="Calibri" w:eastAsia="Calibri" w:hAnsi="Calibri" w:cs="Times New Roman"/>
              </w:rPr>
              <w:t xml:space="preserve"> at 3 </w:t>
            </w:r>
            <w:proofErr w:type="spellStart"/>
            <w:r w:rsidRPr="008B3ABF">
              <w:rPr>
                <w:rFonts w:ascii="Calibri" w:eastAsia="Calibri" w:hAnsi="Calibri" w:cs="Times New Roman"/>
              </w:rPr>
              <w:t>yrs</w:t>
            </w:r>
            <w:proofErr w:type="spellEnd"/>
            <w:r w:rsidRPr="008B3ABF">
              <w:rPr>
                <w:rFonts w:ascii="Calibri" w:eastAsia="Calibri" w:hAnsi="Calibri" w:cs="Times New Roman"/>
              </w:rPr>
              <w:t xml:space="preserve"> (%)</w:t>
            </w:r>
          </w:p>
        </w:tc>
        <w:tc>
          <w:tcPr>
            <w:tcW w:w="1701" w:type="dxa"/>
            <w:tcBorders>
              <w:top w:val="nil"/>
              <w:left w:val="nil"/>
              <w:bottom w:val="nil"/>
              <w:right w:val="nil"/>
            </w:tcBorders>
            <w:shd w:val="clear" w:color="auto" w:fill="FFFFFF"/>
          </w:tcPr>
          <w:p w14:paraId="204808C9"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16.13</w:t>
            </w:r>
          </w:p>
        </w:tc>
        <w:tc>
          <w:tcPr>
            <w:tcW w:w="1880" w:type="dxa"/>
            <w:gridSpan w:val="2"/>
            <w:tcBorders>
              <w:top w:val="nil"/>
              <w:left w:val="nil"/>
              <w:bottom w:val="nil"/>
              <w:right w:val="nil"/>
            </w:tcBorders>
            <w:shd w:val="clear" w:color="auto" w:fill="FFFFFF"/>
          </w:tcPr>
          <w:p w14:paraId="0685D061"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16.04</w:t>
            </w:r>
          </w:p>
        </w:tc>
        <w:tc>
          <w:tcPr>
            <w:tcW w:w="284" w:type="dxa"/>
            <w:gridSpan w:val="2"/>
            <w:tcBorders>
              <w:top w:val="nil"/>
              <w:left w:val="nil"/>
              <w:bottom w:val="nil"/>
              <w:right w:val="nil"/>
            </w:tcBorders>
            <w:shd w:val="clear" w:color="auto" w:fill="FFFFFF"/>
          </w:tcPr>
          <w:p w14:paraId="5697C60B"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FFFFF"/>
          </w:tcPr>
          <w:p w14:paraId="179585AA"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15.16</w:t>
            </w:r>
          </w:p>
        </w:tc>
        <w:tc>
          <w:tcPr>
            <w:tcW w:w="1741" w:type="dxa"/>
            <w:gridSpan w:val="2"/>
            <w:tcBorders>
              <w:top w:val="nil"/>
              <w:left w:val="nil"/>
              <w:bottom w:val="nil"/>
              <w:right w:val="nil"/>
            </w:tcBorders>
            <w:shd w:val="clear" w:color="auto" w:fill="FFFFFF"/>
          </w:tcPr>
          <w:p w14:paraId="5E359349"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12.59</w:t>
            </w:r>
          </w:p>
        </w:tc>
      </w:tr>
      <w:tr w:rsidR="007976DF" w:rsidRPr="008B3ABF" w14:paraId="35060559" w14:textId="77777777" w:rsidTr="00125EE0">
        <w:trPr>
          <w:jc w:val="center"/>
        </w:trPr>
        <w:tc>
          <w:tcPr>
            <w:tcW w:w="3402" w:type="dxa"/>
            <w:tcBorders>
              <w:top w:val="nil"/>
              <w:left w:val="nil"/>
              <w:bottom w:val="nil"/>
              <w:right w:val="nil"/>
            </w:tcBorders>
            <w:shd w:val="clear" w:color="auto" w:fill="FFFFFF"/>
          </w:tcPr>
          <w:p w14:paraId="32153143"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Crude hazard ratio</w:t>
            </w:r>
          </w:p>
        </w:tc>
        <w:tc>
          <w:tcPr>
            <w:tcW w:w="1701" w:type="dxa"/>
            <w:tcBorders>
              <w:top w:val="nil"/>
              <w:left w:val="nil"/>
              <w:bottom w:val="nil"/>
              <w:right w:val="nil"/>
            </w:tcBorders>
            <w:shd w:val="clear" w:color="auto" w:fill="FFFFFF"/>
          </w:tcPr>
          <w:p w14:paraId="720F9BBF"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w:t>
            </w:r>
          </w:p>
        </w:tc>
        <w:tc>
          <w:tcPr>
            <w:tcW w:w="1880" w:type="dxa"/>
            <w:gridSpan w:val="2"/>
            <w:tcBorders>
              <w:top w:val="nil"/>
              <w:left w:val="nil"/>
              <w:bottom w:val="nil"/>
              <w:right w:val="nil"/>
            </w:tcBorders>
            <w:shd w:val="clear" w:color="auto" w:fill="FFFFFF"/>
          </w:tcPr>
          <w:p w14:paraId="5BD6E85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0.98 (0.88-1.08)</w:t>
            </w:r>
          </w:p>
        </w:tc>
        <w:tc>
          <w:tcPr>
            <w:tcW w:w="284" w:type="dxa"/>
            <w:gridSpan w:val="2"/>
            <w:tcBorders>
              <w:top w:val="nil"/>
              <w:left w:val="nil"/>
              <w:bottom w:val="nil"/>
              <w:right w:val="nil"/>
            </w:tcBorders>
            <w:shd w:val="clear" w:color="auto" w:fill="FFFFFF"/>
          </w:tcPr>
          <w:p w14:paraId="5E9D5343"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FFFFF"/>
          </w:tcPr>
          <w:p w14:paraId="54900782"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shd w:val="clear" w:color="auto" w:fill="FFFFFF"/>
          </w:tcPr>
          <w:p w14:paraId="347CDBB9"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3D7EF6D8" w14:textId="77777777" w:rsidTr="00125EE0">
        <w:trPr>
          <w:jc w:val="center"/>
        </w:trPr>
        <w:tc>
          <w:tcPr>
            <w:tcW w:w="3402" w:type="dxa"/>
            <w:tcBorders>
              <w:top w:val="nil"/>
              <w:left w:val="nil"/>
              <w:bottom w:val="nil"/>
              <w:right w:val="nil"/>
            </w:tcBorders>
            <w:shd w:val="clear" w:color="auto" w:fill="FFFFFF"/>
          </w:tcPr>
          <w:p w14:paraId="43080990" w14:textId="77777777" w:rsidR="007976DF" w:rsidRPr="008B3ABF" w:rsidRDefault="007976DF" w:rsidP="00125EE0">
            <w:pPr>
              <w:spacing w:after="60" w:line="240" w:lineRule="auto"/>
              <w:rPr>
                <w:rFonts w:ascii="Calibri" w:eastAsia="Calibri" w:hAnsi="Calibri" w:cs="Times New Roman"/>
              </w:rPr>
            </w:pPr>
            <w:r w:rsidRPr="008B3ABF">
              <w:rPr>
                <w:rFonts w:ascii="Calibri" w:eastAsia="Calibri" w:hAnsi="Calibri" w:cs="Times New Roman"/>
              </w:rPr>
              <w:t>Propensity matched hazard ratio</w:t>
            </w:r>
          </w:p>
        </w:tc>
        <w:tc>
          <w:tcPr>
            <w:tcW w:w="1701" w:type="dxa"/>
            <w:tcBorders>
              <w:top w:val="nil"/>
              <w:left w:val="nil"/>
              <w:bottom w:val="nil"/>
              <w:right w:val="nil"/>
            </w:tcBorders>
            <w:shd w:val="clear" w:color="auto" w:fill="FFFFFF"/>
          </w:tcPr>
          <w:p w14:paraId="2663B82C"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1</w:t>
            </w:r>
          </w:p>
        </w:tc>
        <w:tc>
          <w:tcPr>
            <w:tcW w:w="1880" w:type="dxa"/>
            <w:gridSpan w:val="2"/>
            <w:tcBorders>
              <w:top w:val="nil"/>
              <w:left w:val="nil"/>
              <w:bottom w:val="nil"/>
              <w:right w:val="nil"/>
            </w:tcBorders>
            <w:shd w:val="clear" w:color="auto" w:fill="FFFFFF"/>
          </w:tcPr>
          <w:p w14:paraId="5A9D482C"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1.11 (0.95-1.26)</w:t>
            </w:r>
            <w:r w:rsidRPr="008B3ABF">
              <w:rPr>
                <w:rFonts w:ascii="Calibri" w:eastAsia="Calibri" w:hAnsi="Calibri" w:cs="Times New Roman"/>
                <w:vertAlign w:val="superscript"/>
              </w:rPr>
              <w:t>5</w:t>
            </w:r>
          </w:p>
        </w:tc>
        <w:tc>
          <w:tcPr>
            <w:tcW w:w="284" w:type="dxa"/>
            <w:gridSpan w:val="2"/>
            <w:tcBorders>
              <w:top w:val="nil"/>
              <w:left w:val="nil"/>
              <w:bottom w:val="nil"/>
              <w:right w:val="nil"/>
            </w:tcBorders>
            <w:shd w:val="clear" w:color="auto" w:fill="FFFFFF"/>
          </w:tcPr>
          <w:p w14:paraId="5EE6B82B" w14:textId="77777777" w:rsidR="007976DF" w:rsidRPr="008B3ABF" w:rsidRDefault="007976DF" w:rsidP="00125EE0">
            <w:pPr>
              <w:spacing w:after="6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FFFFF"/>
          </w:tcPr>
          <w:p w14:paraId="543430F2"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1</w:t>
            </w:r>
          </w:p>
        </w:tc>
        <w:tc>
          <w:tcPr>
            <w:tcW w:w="1741" w:type="dxa"/>
            <w:gridSpan w:val="2"/>
            <w:tcBorders>
              <w:top w:val="nil"/>
              <w:left w:val="nil"/>
              <w:bottom w:val="nil"/>
              <w:right w:val="nil"/>
            </w:tcBorders>
            <w:shd w:val="clear" w:color="auto" w:fill="FFFFFF"/>
          </w:tcPr>
          <w:p w14:paraId="7146A042" w14:textId="77777777" w:rsidR="007976DF" w:rsidRPr="008B3ABF" w:rsidRDefault="007976DF" w:rsidP="00125EE0">
            <w:pPr>
              <w:spacing w:after="60" w:line="240" w:lineRule="auto"/>
              <w:jc w:val="center"/>
              <w:rPr>
                <w:rFonts w:ascii="Calibri" w:eastAsia="Calibri" w:hAnsi="Calibri" w:cs="Times New Roman"/>
              </w:rPr>
            </w:pPr>
            <w:r w:rsidRPr="008B3ABF">
              <w:rPr>
                <w:rFonts w:ascii="Calibri" w:eastAsia="Calibri" w:hAnsi="Calibri" w:cs="Times New Roman"/>
              </w:rPr>
              <w:t>0.83 (0.68-1.00)</w:t>
            </w:r>
          </w:p>
        </w:tc>
      </w:tr>
      <w:tr w:rsidR="007976DF" w:rsidRPr="008B3ABF" w14:paraId="5A46B351" w14:textId="77777777" w:rsidTr="00125EE0">
        <w:trPr>
          <w:jc w:val="center"/>
        </w:trPr>
        <w:tc>
          <w:tcPr>
            <w:tcW w:w="3402" w:type="dxa"/>
            <w:tcBorders>
              <w:top w:val="nil"/>
              <w:left w:val="nil"/>
              <w:bottom w:val="nil"/>
              <w:right w:val="nil"/>
            </w:tcBorders>
            <w:shd w:val="clear" w:color="auto" w:fill="F2F2F2"/>
          </w:tcPr>
          <w:p w14:paraId="4AD0817A" w14:textId="77777777" w:rsidR="007976DF" w:rsidRPr="008B3ABF" w:rsidRDefault="007976DF" w:rsidP="00125EE0">
            <w:pPr>
              <w:spacing w:after="0" w:line="240" w:lineRule="auto"/>
              <w:rPr>
                <w:rFonts w:ascii="Calibri" w:eastAsia="Calibri" w:hAnsi="Calibri" w:cs="Times New Roman"/>
                <w:b/>
              </w:rPr>
            </w:pPr>
            <w:r w:rsidRPr="008B3ABF">
              <w:rPr>
                <w:rFonts w:ascii="Calibri" w:eastAsia="Calibri" w:hAnsi="Calibri" w:cs="Times New Roman"/>
                <w:b/>
              </w:rPr>
              <w:t>Pneumonia</w:t>
            </w:r>
          </w:p>
        </w:tc>
        <w:tc>
          <w:tcPr>
            <w:tcW w:w="1701" w:type="dxa"/>
            <w:tcBorders>
              <w:top w:val="nil"/>
              <w:left w:val="nil"/>
              <w:bottom w:val="nil"/>
              <w:right w:val="nil"/>
            </w:tcBorders>
            <w:shd w:val="clear" w:color="auto" w:fill="F2F2F2"/>
          </w:tcPr>
          <w:p w14:paraId="3C040A53" w14:textId="77777777" w:rsidR="007976DF" w:rsidRPr="008B3ABF" w:rsidRDefault="007976DF" w:rsidP="00125EE0">
            <w:pPr>
              <w:spacing w:after="0" w:line="240" w:lineRule="auto"/>
              <w:jc w:val="center"/>
              <w:rPr>
                <w:rFonts w:ascii="Calibri" w:eastAsia="Calibri" w:hAnsi="Calibri" w:cs="Times New Roman"/>
              </w:rPr>
            </w:pPr>
          </w:p>
        </w:tc>
        <w:tc>
          <w:tcPr>
            <w:tcW w:w="1880" w:type="dxa"/>
            <w:gridSpan w:val="2"/>
            <w:tcBorders>
              <w:top w:val="nil"/>
              <w:left w:val="nil"/>
              <w:bottom w:val="nil"/>
              <w:right w:val="nil"/>
            </w:tcBorders>
            <w:shd w:val="clear" w:color="auto" w:fill="F2F2F2"/>
          </w:tcPr>
          <w:p w14:paraId="020CE64D" w14:textId="77777777" w:rsidR="007976DF" w:rsidRPr="008B3ABF" w:rsidRDefault="007976DF" w:rsidP="00125EE0">
            <w:pPr>
              <w:spacing w:after="0" w:line="240" w:lineRule="auto"/>
              <w:jc w:val="center"/>
              <w:rPr>
                <w:rFonts w:ascii="Calibri" w:eastAsia="Calibri" w:hAnsi="Calibri" w:cs="Times New Roman"/>
              </w:rPr>
            </w:pPr>
          </w:p>
        </w:tc>
        <w:tc>
          <w:tcPr>
            <w:tcW w:w="284" w:type="dxa"/>
            <w:gridSpan w:val="2"/>
            <w:tcBorders>
              <w:top w:val="nil"/>
              <w:left w:val="nil"/>
              <w:bottom w:val="nil"/>
              <w:right w:val="nil"/>
            </w:tcBorders>
            <w:shd w:val="clear" w:color="auto" w:fill="F2F2F2"/>
          </w:tcPr>
          <w:p w14:paraId="43EBCAC6"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2F2F2"/>
          </w:tcPr>
          <w:p w14:paraId="47CEED9E" w14:textId="77777777" w:rsidR="007976DF" w:rsidRPr="008B3ABF" w:rsidRDefault="007976DF" w:rsidP="00125EE0">
            <w:pPr>
              <w:spacing w:after="0" w:line="240" w:lineRule="auto"/>
              <w:jc w:val="center"/>
              <w:rPr>
                <w:rFonts w:ascii="Calibri" w:eastAsia="Calibri" w:hAnsi="Calibri" w:cs="Times New Roman"/>
              </w:rPr>
            </w:pPr>
          </w:p>
        </w:tc>
        <w:tc>
          <w:tcPr>
            <w:tcW w:w="1741" w:type="dxa"/>
            <w:gridSpan w:val="2"/>
            <w:tcBorders>
              <w:top w:val="nil"/>
              <w:left w:val="nil"/>
              <w:bottom w:val="nil"/>
              <w:right w:val="nil"/>
            </w:tcBorders>
            <w:shd w:val="clear" w:color="auto" w:fill="F2F2F2"/>
          </w:tcPr>
          <w:p w14:paraId="687E8F27" w14:textId="77777777" w:rsidR="007976DF" w:rsidRPr="008B3ABF" w:rsidRDefault="007976DF" w:rsidP="00125EE0">
            <w:pPr>
              <w:spacing w:after="0" w:line="240" w:lineRule="auto"/>
              <w:jc w:val="center"/>
              <w:rPr>
                <w:rFonts w:ascii="Calibri" w:eastAsia="Calibri" w:hAnsi="Calibri" w:cs="Times New Roman"/>
              </w:rPr>
            </w:pPr>
          </w:p>
        </w:tc>
      </w:tr>
      <w:tr w:rsidR="007976DF" w:rsidRPr="008B3ABF" w14:paraId="625958E2" w14:textId="77777777" w:rsidTr="00125EE0">
        <w:trPr>
          <w:jc w:val="center"/>
        </w:trPr>
        <w:tc>
          <w:tcPr>
            <w:tcW w:w="3402" w:type="dxa"/>
            <w:tcBorders>
              <w:top w:val="nil"/>
              <w:left w:val="nil"/>
              <w:bottom w:val="nil"/>
              <w:right w:val="nil"/>
            </w:tcBorders>
          </w:tcPr>
          <w:p w14:paraId="655A16B2"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Events</w:t>
            </w:r>
          </w:p>
        </w:tc>
        <w:tc>
          <w:tcPr>
            <w:tcW w:w="1701" w:type="dxa"/>
            <w:tcBorders>
              <w:top w:val="nil"/>
              <w:left w:val="nil"/>
              <w:bottom w:val="nil"/>
              <w:right w:val="nil"/>
            </w:tcBorders>
          </w:tcPr>
          <w:p w14:paraId="4C25968F"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350</w:t>
            </w:r>
          </w:p>
        </w:tc>
        <w:tc>
          <w:tcPr>
            <w:tcW w:w="1880" w:type="dxa"/>
            <w:gridSpan w:val="2"/>
            <w:tcBorders>
              <w:top w:val="nil"/>
              <w:left w:val="nil"/>
              <w:bottom w:val="nil"/>
              <w:right w:val="nil"/>
            </w:tcBorders>
          </w:tcPr>
          <w:p w14:paraId="590DDB5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998</w:t>
            </w:r>
          </w:p>
        </w:tc>
        <w:tc>
          <w:tcPr>
            <w:tcW w:w="284" w:type="dxa"/>
            <w:gridSpan w:val="2"/>
            <w:tcBorders>
              <w:top w:val="nil"/>
              <w:left w:val="nil"/>
              <w:bottom w:val="nil"/>
              <w:right w:val="nil"/>
            </w:tcBorders>
          </w:tcPr>
          <w:p w14:paraId="03A582D0"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7F981AFC"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095022F2"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03814300" w14:textId="77777777" w:rsidTr="00125EE0">
        <w:trPr>
          <w:jc w:val="center"/>
        </w:trPr>
        <w:tc>
          <w:tcPr>
            <w:tcW w:w="3402" w:type="dxa"/>
            <w:tcBorders>
              <w:top w:val="nil"/>
              <w:left w:val="nil"/>
              <w:bottom w:val="nil"/>
              <w:right w:val="nil"/>
            </w:tcBorders>
          </w:tcPr>
          <w:p w14:paraId="18B3AE12"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 of total patients</w:t>
            </w:r>
          </w:p>
        </w:tc>
        <w:tc>
          <w:tcPr>
            <w:tcW w:w="1701" w:type="dxa"/>
            <w:tcBorders>
              <w:top w:val="nil"/>
              <w:left w:val="nil"/>
              <w:bottom w:val="nil"/>
              <w:right w:val="nil"/>
            </w:tcBorders>
          </w:tcPr>
          <w:p w14:paraId="4029A57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8.34</w:t>
            </w:r>
          </w:p>
        </w:tc>
        <w:tc>
          <w:tcPr>
            <w:tcW w:w="1880" w:type="dxa"/>
            <w:gridSpan w:val="2"/>
            <w:tcBorders>
              <w:top w:val="nil"/>
              <w:left w:val="nil"/>
              <w:bottom w:val="nil"/>
              <w:right w:val="nil"/>
            </w:tcBorders>
          </w:tcPr>
          <w:p w14:paraId="18BD46D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9.54</w:t>
            </w:r>
          </w:p>
        </w:tc>
        <w:tc>
          <w:tcPr>
            <w:tcW w:w="284" w:type="dxa"/>
            <w:gridSpan w:val="2"/>
            <w:tcBorders>
              <w:top w:val="nil"/>
              <w:left w:val="nil"/>
              <w:bottom w:val="nil"/>
              <w:right w:val="nil"/>
            </w:tcBorders>
          </w:tcPr>
          <w:p w14:paraId="30531E3D"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7FBBE139"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12.31</w:t>
            </w:r>
          </w:p>
        </w:tc>
        <w:tc>
          <w:tcPr>
            <w:tcW w:w="1741" w:type="dxa"/>
            <w:gridSpan w:val="2"/>
            <w:tcBorders>
              <w:top w:val="nil"/>
              <w:left w:val="nil"/>
              <w:bottom w:val="nil"/>
              <w:right w:val="nil"/>
            </w:tcBorders>
          </w:tcPr>
          <w:p w14:paraId="65BC4A74"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19.60</w:t>
            </w:r>
          </w:p>
        </w:tc>
      </w:tr>
      <w:tr w:rsidR="007976DF" w:rsidRPr="008B3ABF" w14:paraId="0B262829" w14:textId="77777777" w:rsidTr="00125EE0">
        <w:trPr>
          <w:jc w:val="center"/>
        </w:trPr>
        <w:tc>
          <w:tcPr>
            <w:tcW w:w="3402" w:type="dxa"/>
            <w:tcBorders>
              <w:top w:val="nil"/>
              <w:left w:val="nil"/>
              <w:bottom w:val="nil"/>
              <w:right w:val="nil"/>
            </w:tcBorders>
          </w:tcPr>
          <w:p w14:paraId="10F3F7F9"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Crude risk ratio</w:t>
            </w:r>
          </w:p>
        </w:tc>
        <w:tc>
          <w:tcPr>
            <w:tcW w:w="1701" w:type="dxa"/>
            <w:tcBorders>
              <w:top w:val="nil"/>
              <w:left w:val="nil"/>
              <w:bottom w:val="nil"/>
              <w:right w:val="nil"/>
            </w:tcBorders>
          </w:tcPr>
          <w:p w14:paraId="7A7CBBEF"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w:t>
            </w:r>
          </w:p>
        </w:tc>
        <w:tc>
          <w:tcPr>
            <w:tcW w:w="1880" w:type="dxa"/>
            <w:gridSpan w:val="2"/>
            <w:tcBorders>
              <w:top w:val="nil"/>
              <w:left w:val="nil"/>
              <w:bottom w:val="nil"/>
              <w:right w:val="nil"/>
            </w:tcBorders>
          </w:tcPr>
          <w:p w14:paraId="1E42ADAC"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1.14 (1.01-1.28)</w:t>
            </w:r>
          </w:p>
        </w:tc>
        <w:tc>
          <w:tcPr>
            <w:tcW w:w="284" w:type="dxa"/>
            <w:gridSpan w:val="2"/>
            <w:tcBorders>
              <w:top w:val="nil"/>
              <w:left w:val="nil"/>
              <w:bottom w:val="nil"/>
              <w:right w:val="nil"/>
            </w:tcBorders>
          </w:tcPr>
          <w:p w14:paraId="7F0D5E0C"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3EDDE5E6"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61C985FD"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7D685D82" w14:textId="77777777" w:rsidTr="00125EE0">
        <w:trPr>
          <w:jc w:val="center"/>
        </w:trPr>
        <w:tc>
          <w:tcPr>
            <w:tcW w:w="3402" w:type="dxa"/>
            <w:tcBorders>
              <w:top w:val="nil"/>
              <w:left w:val="nil"/>
              <w:bottom w:val="nil"/>
              <w:right w:val="nil"/>
            </w:tcBorders>
          </w:tcPr>
          <w:p w14:paraId="51DF59ED"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Propensity matched risk ratio</w:t>
            </w:r>
          </w:p>
        </w:tc>
        <w:tc>
          <w:tcPr>
            <w:tcW w:w="1701" w:type="dxa"/>
            <w:tcBorders>
              <w:top w:val="nil"/>
              <w:left w:val="nil"/>
              <w:bottom w:val="nil"/>
              <w:right w:val="nil"/>
            </w:tcBorders>
          </w:tcPr>
          <w:p w14:paraId="0089B94F"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w:t>
            </w:r>
          </w:p>
        </w:tc>
        <w:tc>
          <w:tcPr>
            <w:tcW w:w="1880" w:type="dxa"/>
            <w:gridSpan w:val="2"/>
            <w:tcBorders>
              <w:top w:val="nil"/>
              <w:left w:val="nil"/>
              <w:bottom w:val="nil"/>
              <w:right w:val="nil"/>
            </w:tcBorders>
          </w:tcPr>
          <w:p w14:paraId="3E96C7D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1.14 (0.96-1.34)</w:t>
            </w:r>
            <w:r w:rsidRPr="008B3ABF">
              <w:rPr>
                <w:rFonts w:ascii="Calibri" w:eastAsia="Calibri" w:hAnsi="Calibri" w:cs="Times New Roman"/>
                <w:vertAlign w:val="superscript"/>
              </w:rPr>
              <w:t>7</w:t>
            </w:r>
          </w:p>
        </w:tc>
        <w:tc>
          <w:tcPr>
            <w:tcW w:w="284" w:type="dxa"/>
            <w:gridSpan w:val="2"/>
            <w:tcBorders>
              <w:top w:val="nil"/>
              <w:left w:val="nil"/>
              <w:bottom w:val="nil"/>
              <w:right w:val="nil"/>
            </w:tcBorders>
          </w:tcPr>
          <w:p w14:paraId="397E6405"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40CFE6FD"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 xml:space="preserve">1 </w:t>
            </w:r>
          </w:p>
        </w:tc>
        <w:tc>
          <w:tcPr>
            <w:tcW w:w="1741" w:type="dxa"/>
            <w:gridSpan w:val="2"/>
            <w:tcBorders>
              <w:top w:val="nil"/>
              <w:left w:val="nil"/>
              <w:bottom w:val="nil"/>
              <w:right w:val="nil"/>
            </w:tcBorders>
          </w:tcPr>
          <w:p w14:paraId="02DD4338"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1.59 (1.35-1.88)</w:t>
            </w:r>
          </w:p>
        </w:tc>
      </w:tr>
      <w:tr w:rsidR="007976DF" w:rsidRPr="008B3ABF" w14:paraId="2DC92405" w14:textId="77777777" w:rsidTr="00125EE0">
        <w:trPr>
          <w:gridAfter w:val="1"/>
          <w:wAfter w:w="338" w:type="dxa"/>
          <w:jc w:val="center"/>
        </w:trPr>
        <w:tc>
          <w:tcPr>
            <w:tcW w:w="9983" w:type="dxa"/>
            <w:gridSpan w:val="9"/>
            <w:tcBorders>
              <w:top w:val="nil"/>
              <w:left w:val="nil"/>
              <w:bottom w:val="nil"/>
              <w:right w:val="nil"/>
            </w:tcBorders>
            <w:shd w:val="clear" w:color="auto" w:fill="F2F2F2"/>
          </w:tcPr>
          <w:p w14:paraId="27D83DD7"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b/>
              </w:rPr>
              <w:t>Time to treatment discontinuation</w:t>
            </w:r>
          </w:p>
        </w:tc>
      </w:tr>
      <w:tr w:rsidR="007976DF" w:rsidRPr="008B3ABF" w14:paraId="252C68AF" w14:textId="77777777" w:rsidTr="00125EE0">
        <w:trPr>
          <w:jc w:val="center"/>
        </w:trPr>
        <w:tc>
          <w:tcPr>
            <w:tcW w:w="3402" w:type="dxa"/>
            <w:tcBorders>
              <w:top w:val="nil"/>
              <w:left w:val="nil"/>
              <w:bottom w:val="nil"/>
              <w:right w:val="nil"/>
            </w:tcBorders>
          </w:tcPr>
          <w:p w14:paraId="18778F2A"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Person-years at risk</w:t>
            </w:r>
          </w:p>
        </w:tc>
        <w:tc>
          <w:tcPr>
            <w:tcW w:w="1701" w:type="dxa"/>
            <w:tcBorders>
              <w:top w:val="nil"/>
              <w:left w:val="nil"/>
              <w:bottom w:val="nil"/>
              <w:right w:val="nil"/>
            </w:tcBorders>
          </w:tcPr>
          <w:p w14:paraId="3DBBEC57"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r w:rsidRPr="008B3ABF">
              <w:rPr>
                <w:rFonts w:ascii="Calibri" w:eastAsia="Calibri" w:hAnsi="Calibri" w:cs="Times New Roman"/>
                <w:vertAlign w:val="superscript"/>
              </w:rPr>
              <w:t>6</w:t>
            </w:r>
          </w:p>
        </w:tc>
        <w:tc>
          <w:tcPr>
            <w:tcW w:w="1880" w:type="dxa"/>
            <w:gridSpan w:val="2"/>
            <w:tcBorders>
              <w:top w:val="nil"/>
              <w:left w:val="nil"/>
              <w:bottom w:val="nil"/>
              <w:right w:val="nil"/>
            </w:tcBorders>
          </w:tcPr>
          <w:p w14:paraId="6D669447"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20402</w:t>
            </w:r>
          </w:p>
        </w:tc>
        <w:tc>
          <w:tcPr>
            <w:tcW w:w="284" w:type="dxa"/>
            <w:gridSpan w:val="2"/>
            <w:tcBorders>
              <w:top w:val="nil"/>
              <w:left w:val="nil"/>
              <w:bottom w:val="nil"/>
              <w:right w:val="nil"/>
            </w:tcBorders>
          </w:tcPr>
          <w:p w14:paraId="13535D5C"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003145C1"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7D4D9A7B"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2DFD4AD7" w14:textId="77777777" w:rsidTr="00125EE0">
        <w:trPr>
          <w:jc w:val="center"/>
        </w:trPr>
        <w:tc>
          <w:tcPr>
            <w:tcW w:w="3402" w:type="dxa"/>
            <w:tcBorders>
              <w:top w:val="nil"/>
              <w:left w:val="nil"/>
              <w:bottom w:val="nil"/>
              <w:right w:val="nil"/>
            </w:tcBorders>
          </w:tcPr>
          <w:p w14:paraId="33B8B726"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Events</w:t>
            </w:r>
          </w:p>
        </w:tc>
        <w:tc>
          <w:tcPr>
            <w:tcW w:w="1701" w:type="dxa"/>
            <w:tcBorders>
              <w:top w:val="nil"/>
              <w:left w:val="nil"/>
              <w:bottom w:val="nil"/>
              <w:right w:val="nil"/>
            </w:tcBorders>
          </w:tcPr>
          <w:p w14:paraId="505701C6"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880" w:type="dxa"/>
            <w:gridSpan w:val="2"/>
            <w:tcBorders>
              <w:top w:val="nil"/>
              <w:left w:val="nil"/>
              <w:bottom w:val="nil"/>
              <w:right w:val="nil"/>
            </w:tcBorders>
          </w:tcPr>
          <w:p w14:paraId="34EBE20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2255</w:t>
            </w:r>
          </w:p>
        </w:tc>
        <w:tc>
          <w:tcPr>
            <w:tcW w:w="284" w:type="dxa"/>
            <w:gridSpan w:val="2"/>
            <w:tcBorders>
              <w:top w:val="nil"/>
              <w:left w:val="nil"/>
              <w:bottom w:val="nil"/>
              <w:right w:val="nil"/>
            </w:tcBorders>
          </w:tcPr>
          <w:p w14:paraId="584AB288"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44AFE7A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2B566F6C"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686F25D1" w14:textId="77777777" w:rsidTr="00125EE0">
        <w:trPr>
          <w:jc w:val="center"/>
        </w:trPr>
        <w:tc>
          <w:tcPr>
            <w:tcW w:w="3402" w:type="dxa"/>
            <w:tcBorders>
              <w:top w:val="nil"/>
              <w:left w:val="nil"/>
              <w:bottom w:val="nil"/>
              <w:right w:val="nil"/>
            </w:tcBorders>
          </w:tcPr>
          <w:p w14:paraId="692CF451"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Prob</w:t>
            </w:r>
            <w:r w:rsidRPr="008B3ABF">
              <w:rPr>
                <w:rFonts w:ascii="Calibri" w:eastAsia="Calibri" w:hAnsi="Calibri" w:cs="Times New Roman"/>
                <w:vertAlign w:val="superscript"/>
              </w:rPr>
              <w:t>4</w:t>
            </w:r>
            <w:r w:rsidRPr="008B3ABF">
              <w:rPr>
                <w:rFonts w:ascii="Calibri" w:eastAsia="Calibri" w:hAnsi="Calibri" w:cs="Times New Roman"/>
              </w:rPr>
              <w:t xml:space="preserve"> at 3 </w:t>
            </w:r>
            <w:proofErr w:type="spellStart"/>
            <w:r w:rsidRPr="008B3ABF">
              <w:rPr>
                <w:rFonts w:ascii="Calibri" w:eastAsia="Calibri" w:hAnsi="Calibri" w:cs="Times New Roman"/>
              </w:rPr>
              <w:t>yrs</w:t>
            </w:r>
            <w:proofErr w:type="spellEnd"/>
            <w:r w:rsidRPr="008B3ABF">
              <w:rPr>
                <w:rFonts w:ascii="Calibri" w:eastAsia="Calibri" w:hAnsi="Calibri" w:cs="Times New Roman"/>
              </w:rPr>
              <w:t xml:space="preserve"> (%)</w:t>
            </w:r>
          </w:p>
        </w:tc>
        <w:tc>
          <w:tcPr>
            <w:tcW w:w="1701" w:type="dxa"/>
            <w:tcBorders>
              <w:top w:val="nil"/>
              <w:left w:val="nil"/>
              <w:bottom w:val="nil"/>
              <w:right w:val="nil"/>
            </w:tcBorders>
          </w:tcPr>
          <w:p w14:paraId="7CA5BBF0"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880" w:type="dxa"/>
            <w:gridSpan w:val="2"/>
            <w:tcBorders>
              <w:top w:val="nil"/>
              <w:left w:val="nil"/>
              <w:bottom w:val="nil"/>
              <w:right w:val="nil"/>
            </w:tcBorders>
          </w:tcPr>
          <w:p w14:paraId="7D27D155"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28.20</w:t>
            </w:r>
          </w:p>
        </w:tc>
        <w:tc>
          <w:tcPr>
            <w:tcW w:w="284" w:type="dxa"/>
            <w:gridSpan w:val="2"/>
            <w:tcBorders>
              <w:top w:val="nil"/>
              <w:left w:val="nil"/>
              <w:bottom w:val="nil"/>
              <w:right w:val="nil"/>
            </w:tcBorders>
          </w:tcPr>
          <w:p w14:paraId="7B96A07D" w14:textId="77777777" w:rsidR="007976DF" w:rsidRPr="008B3ABF" w:rsidRDefault="007976DF"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5C97C9E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43.50</w:t>
            </w:r>
          </w:p>
        </w:tc>
        <w:tc>
          <w:tcPr>
            <w:tcW w:w="1741" w:type="dxa"/>
            <w:gridSpan w:val="2"/>
            <w:tcBorders>
              <w:top w:val="nil"/>
              <w:left w:val="nil"/>
              <w:bottom w:val="nil"/>
              <w:right w:val="nil"/>
            </w:tcBorders>
          </w:tcPr>
          <w:p w14:paraId="462A864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33.70</w:t>
            </w:r>
          </w:p>
        </w:tc>
      </w:tr>
      <w:tr w:rsidR="007976DF" w:rsidRPr="008B3ABF" w14:paraId="32E52DF0" w14:textId="77777777" w:rsidTr="00125EE0">
        <w:trPr>
          <w:jc w:val="center"/>
        </w:trPr>
        <w:tc>
          <w:tcPr>
            <w:tcW w:w="3402" w:type="dxa"/>
            <w:tcBorders>
              <w:top w:val="nil"/>
              <w:left w:val="nil"/>
              <w:bottom w:val="nil"/>
              <w:right w:val="nil"/>
            </w:tcBorders>
          </w:tcPr>
          <w:p w14:paraId="0B0AA7B5"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Crude hazard ratio</w:t>
            </w:r>
          </w:p>
        </w:tc>
        <w:tc>
          <w:tcPr>
            <w:tcW w:w="1701" w:type="dxa"/>
            <w:tcBorders>
              <w:top w:val="nil"/>
              <w:left w:val="nil"/>
              <w:bottom w:val="nil"/>
              <w:right w:val="nil"/>
            </w:tcBorders>
          </w:tcPr>
          <w:p w14:paraId="32D089FF"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880" w:type="dxa"/>
            <w:gridSpan w:val="2"/>
            <w:tcBorders>
              <w:top w:val="nil"/>
              <w:left w:val="nil"/>
              <w:bottom w:val="nil"/>
              <w:right w:val="nil"/>
            </w:tcBorders>
          </w:tcPr>
          <w:p w14:paraId="054ABAC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284" w:type="dxa"/>
            <w:gridSpan w:val="2"/>
            <w:tcBorders>
              <w:top w:val="nil"/>
              <w:left w:val="nil"/>
              <w:bottom w:val="nil"/>
              <w:right w:val="nil"/>
            </w:tcBorders>
          </w:tcPr>
          <w:p w14:paraId="1EED2909" w14:textId="77777777" w:rsidR="007976DF" w:rsidRPr="008B3ABF" w:rsidRDefault="007976DF"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0B4BFA97"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741" w:type="dxa"/>
            <w:gridSpan w:val="2"/>
            <w:tcBorders>
              <w:top w:val="nil"/>
              <w:left w:val="nil"/>
              <w:bottom w:val="nil"/>
              <w:right w:val="nil"/>
            </w:tcBorders>
          </w:tcPr>
          <w:p w14:paraId="7CD92ECB"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r>
      <w:tr w:rsidR="007976DF" w:rsidRPr="008B3ABF" w14:paraId="08E31766" w14:textId="77777777" w:rsidTr="00125EE0">
        <w:trPr>
          <w:jc w:val="center"/>
        </w:trPr>
        <w:tc>
          <w:tcPr>
            <w:tcW w:w="3402" w:type="dxa"/>
            <w:tcBorders>
              <w:top w:val="nil"/>
              <w:left w:val="nil"/>
              <w:bottom w:val="single" w:sz="4" w:space="0" w:color="auto"/>
              <w:right w:val="nil"/>
            </w:tcBorders>
          </w:tcPr>
          <w:p w14:paraId="1D202456" w14:textId="77777777" w:rsidR="007976DF" w:rsidRPr="008B3ABF" w:rsidRDefault="007976DF" w:rsidP="00125EE0">
            <w:pPr>
              <w:spacing w:after="0" w:line="240" w:lineRule="auto"/>
              <w:rPr>
                <w:rFonts w:ascii="Calibri" w:eastAsia="Calibri" w:hAnsi="Calibri" w:cs="Times New Roman"/>
              </w:rPr>
            </w:pPr>
            <w:r w:rsidRPr="008B3ABF">
              <w:rPr>
                <w:rFonts w:ascii="Calibri" w:eastAsia="Calibri" w:hAnsi="Calibri" w:cs="Times New Roman"/>
              </w:rPr>
              <w:t>Propensity matched hazard ratio</w:t>
            </w:r>
          </w:p>
        </w:tc>
        <w:tc>
          <w:tcPr>
            <w:tcW w:w="1701" w:type="dxa"/>
            <w:tcBorders>
              <w:top w:val="nil"/>
              <w:left w:val="nil"/>
              <w:bottom w:val="single" w:sz="4" w:space="0" w:color="auto"/>
              <w:right w:val="nil"/>
            </w:tcBorders>
          </w:tcPr>
          <w:p w14:paraId="751EAA0A"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1880" w:type="dxa"/>
            <w:gridSpan w:val="2"/>
            <w:tcBorders>
              <w:top w:val="nil"/>
              <w:left w:val="nil"/>
              <w:bottom w:val="single" w:sz="4" w:space="0" w:color="auto"/>
              <w:right w:val="nil"/>
            </w:tcBorders>
          </w:tcPr>
          <w:p w14:paraId="346E47AE"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w:t>
            </w:r>
          </w:p>
        </w:tc>
        <w:tc>
          <w:tcPr>
            <w:tcW w:w="284" w:type="dxa"/>
            <w:gridSpan w:val="2"/>
            <w:tcBorders>
              <w:top w:val="nil"/>
              <w:left w:val="nil"/>
              <w:bottom w:val="single" w:sz="4" w:space="0" w:color="auto"/>
              <w:right w:val="nil"/>
            </w:tcBorders>
          </w:tcPr>
          <w:p w14:paraId="05C0B668" w14:textId="77777777" w:rsidR="007976DF" w:rsidRPr="008B3ABF" w:rsidRDefault="007976DF"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single" w:sz="4" w:space="0" w:color="auto"/>
              <w:right w:val="nil"/>
            </w:tcBorders>
          </w:tcPr>
          <w:p w14:paraId="4D225F3D"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1</w:t>
            </w:r>
          </w:p>
        </w:tc>
        <w:tc>
          <w:tcPr>
            <w:tcW w:w="1741" w:type="dxa"/>
            <w:gridSpan w:val="2"/>
            <w:tcBorders>
              <w:top w:val="nil"/>
              <w:left w:val="nil"/>
              <w:bottom w:val="single" w:sz="4" w:space="0" w:color="auto"/>
              <w:right w:val="nil"/>
            </w:tcBorders>
          </w:tcPr>
          <w:p w14:paraId="3AAC8E7D" w14:textId="77777777" w:rsidR="007976DF" w:rsidRPr="008B3ABF" w:rsidRDefault="007976DF" w:rsidP="00125EE0">
            <w:pPr>
              <w:spacing w:after="0" w:line="240" w:lineRule="auto"/>
              <w:jc w:val="center"/>
              <w:rPr>
                <w:rFonts w:ascii="Calibri" w:eastAsia="Calibri" w:hAnsi="Calibri" w:cs="Times New Roman"/>
              </w:rPr>
            </w:pPr>
            <w:r w:rsidRPr="008B3ABF">
              <w:rPr>
                <w:rFonts w:ascii="Calibri" w:eastAsia="Calibri" w:hAnsi="Calibri" w:cs="Times New Roman"/>
              </w:rPr>
              <w:t>0.69 (0.62-0.78)</w:t>
            </w:r>
          </w:p>
        </w:tc>
      </w:tr>
      <w:tr w:rsidR="007976DF" w:rsidRPr="008B3ABF" w14:paraId="64FC2519" w14:textId="77777777" w:rsidTr="00125EE0">
        <w:trPr>
          <w:gridAfter w:val="1"/>
          <w:wAfter w:w="338" w:type="dxa"/>
          <w:jc w:val="center"/>
        </w:trPr>
        <w:tc>
          <w:tcPr>
            <w:tcW w:w="9983" w:type="dxa"/>
            <w:gridSpan w:val="9"/>
            <w:tcBorders>
              <w:top w:val="single" w:sz="4" w:space="0" w:color="auto"/>
              <w:left w:val="nil"/>
              <w:bottom w:val="single" w:sz="4" w:space="0" w:color="auto"/>
              <w:right w:val="nil"/>
            </w:tcBorders>
          </w:tcPr>
          <w:p w14:paraId="0B054A32" w14:textId="10E9CC5B" w:rsidR="007976DF" w:rsidRPr="008B3ABF" w:rsidRDefault="007976DF" w:rsidP="00125EE0">
            <w:pPr>
              <w:spacing w:after="0" w:line="240" w:lineRule="auto"/>
              <w:rPr>
                <w:rFonts w:ascii="Calibri" w:eastAsia="Calibri" w:hAnsi="Calibri" w:cs="Times New Roman"/>
                <w:b/>
              </w:rPr>
            </w:pPr>
            <w:r w:rsidRPr="008B3ABF">
              <w:rPr>
                <w:rFonts w:ascii="Calibri" w:eastAsia="Calibri" w:hAnsi="Calibri" w:cs="Times New Roman"/>
                <w:b/>
                <w:sz w:val="18"/>
                <w:szCs w:val="20"/>
              </w:rPr>
              <w:t xml:space="preserve">Note 1: </w:t>
            </w:r>
            <w:r w:rsidRPr="008B3ABF">
              <w:rPr>
                <w:rFonts w:ascii="Calibri" w:eastAsia="Calibri" w:hAnsi="Calibri" w:cs="Times New Roman"/>
                <w:sz w:val="18"/>
                <w:szCs w:val="20"/>
              </w:rPr>
              <w:t>Only results reported in the TORCH trial publication are shown.</w:t>
            </w:r>
            <w:r w:rsidRPr="008B3ABF">
              <w:rPr>
                <w:rFonts w:ascii="Calibri" w:eastAsia="Calibri" w:hAnsi="Calibri" w:cs="Times New Roman"/>
                <w:b/>
                <w:sz w:val="18"/>
                <w:szCs w:val="20"/>
              </w:rPr>
              <w:t xml:space="preserve">  Note 2: </w:t>
            </w:r>
            <w:r w:rsidRPr="008B3ABF">
              <w:rPr>
                <w:rFonts w:ascii="Calibri" w:eastAsia="Calibri" w:hAnsi="Calibri" w:cs="Times New Roman"/>
                <w:sz w:val="18"/>
                <w:szCs w:val="20"/>
              </w:rPr>
              <w:t xml:space="preserve">Per person per year. </w:t>
            </w:r>
            <w:r w:rsidRPr="008B3ABF">
              <w:rPr>
                <w:rFonts w:ascii="Calibri" w:eastAsia="Calibri" w:hAnsi="Calibri" w:cs="Times New Roman"/>
                <w:b/>
                <w:sz w:val="18"/>
                <w:szCs w:val="20"/>
              </w:rPr>
              <w:t xml:space="preserve">Note 3: </w:t>
            </w:r>
            <w:r w:rsidRPr="008B3ABF">
              <w:rPr>
                <w:rFonts w:ascii="Calibri" w:eastAsia="Calibri" w:hAnsi="Calibri" w:cs="Times New Roman"/>
                <w:sz w:val="18"/>
                <w:szCs w:val="20"/>
              </w:rPr>
              <w:t xml:space="preserve">2652 in each exposure group after propensity score matching. See Appendix Table A2-3 for list of variables contributing to propensity score for exacerbations analysis. </w:t>
            </w:r>
            <w:r w:rsidRPr="008B3ABF">
              <w:rPr>
                <w:rFonts w:ascii="Calibri" w:eastAsia="Calibri" w:hAnsi="Calibri" w:cs="Times New Roman"/>
                <w:b/>
                <w:sz w:val="18"/>
                <w:szCs w:val="20"/>
              </w:rPr>
              <w:t xml:space="preserve">Note 4: </w:t>
            </w:r>
            <w:r w:rsidRPr="008B3ABF">
              <w:rPr>
                <w:rFonts w:ascii="Calibri" w:eastAsia="Calibri" w:hAnsi="Calibri" w:cs="Times New Roman"/>
                <w:sz w:val="18"/>
                <w:szCs w:val="20"/>
              </w:rPr>
              <w:t>Probability of event at 3 years, calculated using a Cox proportional-hazards model</w:t>
            </w:r>
            <w:r w:rsidRPr="008B3ABF">
              <w:rPr>
                <w:rFonts w:ascii="Calibri" w:eastAsia="Calibri" w:hAnsi="Calibri" w:cs="Times New Roman"/>
                <w:color w:val="000000"/>
                <w:sz w:val="18"/>
                <w:szCs w:val="20"/>
              </w:rPr>
              <w:t xml:space="preserve">. </w:t>
            </w:r>
            <w:r w:rsidRPr="008B3ABF">
              <w:rPr>
                <w:rFonts w:ascii="Calibri" w:eastAsia="Calibri" w:hAnsi="Calibri" w:cs="Times New Roman"/>
                <w:b/>
                <w:sz w:val="18"/>
                <w:szCs w:val="20"/>
              </w:rPr>
              <w:t xml:space="preserve">Note 5: </w:t>
            </w:r>
            <w:r w:rsidRPr="008B3ABF">
              <w:rPr>
                <w:rFonts w:ascii="Calibri" w:eastAsia="Calibri" w:hAnsi="Calibri" w:cs="Times New Roman"/>
                <w:sz w:val="18"/>
                <w:szCs w:val="20"/>
              </w:rPr>
              <w:t xml:space="preserve">2708 in each exposure group after propensity score matching. See Appendix Table A2-3 for list of variables contributing to propensity score for mortality analysis. </w:t>
            </w:r>
            <w:r w:rsidRPr="008B3ABF">
              <w:rPr>
                <w:rFonts w:ascii="Calibri" w:eastAsia="Calibri" w:hAnsi="Calibri" w:cs="Times New Roman"/>
                <w:b/>
                <w:sz w:val="18"/>
                <w:szCs w:val="20"/>
              </w:rPr>
              <w:t xml:space="preserve">Note 6: </w:t>
            </w:r>
            <w:r w:rsidRPr="008B3ABF">
              <w:rPr>
                <w:rFonts w:ascii="Calibri" w:eastAsia="Calibri" w:hAnsi="Calibri" w:cs="Times New Roman"/>
                <w:sz w:val="18"/>
                <w:szCs w:val="20"/>
              </w:rPr>
              <w:t xml:space="preserve">Time to treatment discontinuation analysis not applicable for unexposed to </w:t>
            </w:r>
            <w:r w:rsidR="00081565">
              <w:rPr>
                <w:rFonts w:ascii="Calibri" w:eastAsia="Calibri" w:hAnsi="Calibri" w:cs="Times New Roman"/>
                <w:sz w:val="18"/>
                <w:szCs w:val="20"/>
              </w:rPr>
              <w:t>FP-SAL</w:t>
            </w:r>
            <w:r w:rsidR="00081565" w:rsidRPr="008B3ABF">
              <w:rPr>
                <w:rFonts w:ascii="Calibri" w:eastAsia="Calibri" w:hAnsi="Calibri" w:cs="Times New Roman"/>
                <w:sz w:val="18"/>
                <w:szCs w:val="20"/>
              </w:rPr>
              <w:t xml:space="preserve"> </w:t>
            </w:r>
            <w:r w:rsidRPr="008B3ABF">
              <w:rPr>
                <w:rFonts w:ascii="Calibri" w:eastAsia="Calibri" w:hAnsi="Calibri" w:cs="Times New Roman"/>
                <w:sz w:val="18"/>
                <w:szCs w:val="20"/>
              </w:rPr>
              <w:t xml:space="preserve">group </w:t>
            </w:r>
            <w:r w:rsidRPr="008B3ABF">
              <w:rPr>
                <w:rFonts w:ascii="Calibri" w:eastAsia="Calibri" w:hAnsi="Calibri" w:cs="Times New Roman"/>
                <w:b/>
                <w:sz w:val="18"/>
                <w:szCs w:val="20"/>
              </w:rPr>
              <w:t xml:space="preserve">Note 7: </w:t>
            </w:r>
            <w:r w:rsidRPr="008B3ABF">
              <w:rPr>
                <w:rFonts w:ascii="Calibri" w:eastAsia="Calibri" w:hAnsi="Calibri" w:cs="Times New Roman"/>
                <w:sz w:val="18"/>
                <w:szCs w:val="20"/>
              </w:rPr>
              <w:t>2779 in each exposure group after propensity score matching.  See Appendix Table A2-3 for list of variables contributing to propensity score for pneumonia analysis.</w:t>
            </w:r>
          </w:p>
        </w:tc>
      </w:tr>
    </w:tbl>
    <w:p w14:paraId="38280E1E" w14:textId="77777777" w:rsidR="007976DF" w:rsidRPr="008B3ABF" w:rsidRDefault="007976DF" w:rsidP="007976DF">
      <w:pPr>
        <w:spacing w:after="160" w:line="259" w:lineRule="auto"/>
        <w:rPr>
          <w:rFonts w:ascii="Calibri" w:eastAsia="Calibri" w:hAnsi="Calibri" w:cs="Times New Roman"/>
          <w:b/>
        </w:rPr>
      </w:pPr>
    </w:p>
    <w:p w14:paraId="73B26D29" w14:textId="77777777" w:rsidR="007976DF" w:rsidRPr="008B3ABF" w:rsidRDefault="007976DF" w:rsidP="007976DF">
      <w:pPr>
        <w:spacing w:after="160" w:line="259" w:lineRule="auto"/>
        <w:rPr>
          <w:rFonts w:ascii="Calibri" w:eastAsia="Calibri" w:hAnsi="Calibri" w:cs="Times New Roman"/>
          <w:b/>
        </w:rPr>
      </w:pPr>
    </w:p>
    <w:p w14:paraId="69FBFFAB" w14:textId="1F12BD0D" w:rsidR="007976DF" w:rsidRDefault="007976DF">
      <w:pPr>
        <w:spacing w:after="200" w:line="276" w:lineRule="auto"/>
      </w:pPr>
    </w:p>
    <w:p w14:paraId="36058414" w14:textId="77777777" w:rsidR="007976DF" w:rsidRDefault="007976DF" w:rsidP="008B0A52">
      <w:pPr>
        <w:pStyle w:val="Heading3-nonumber"/>
        <w:spacing w:line="480" w:lineRule="auto"/>
        <w:rPr>
          <w:b w:val="0"/>
        </w:rPr>
      </w:pPr>
    </w:p>
    <w:p w14:paraId="70D72976" w14:textId="77777777" w:rsidR="007976DF" w:rsidRDefault="007976DF" w:rsidP="008B0A52">
      <w:pPr>
        <w:pStyle w:val="heading2nonumber"/>
        <w:keepNext/>
        <w:spacing w:line="480" w:lineRule="auto"/>
        <w:ind w:left="0" w:firstLine="0"/>
        <w:rPr>
          <w:sz w:val="22"/>
          <w:szCs w:val="22"/>
        </w:rPr>
        <w:sectPr w:rsidR="007976DF" w:rsidSect="007976DF">
          <w:type w:val="continuous"/>
          <w:pgSz w:w="11906" w:h="16838"/>
          <w:pgMar w:top="1061" w:right="1440" w:bottom="153" w:left="1418" w:header="708" w:footer="708" w:gutter="0"/>
          <w:cols w:space="708"/>
          <w:docGrid w:linePitch="360"/>
        </w:sectPr>
      </w:pPr>
    </w:p>
    <w:p w14:paraId="0891C470" w14:textId="77777777" w:rsidR="00BD51B4" w:rsidRDefault="00BD51B4">
      <w:pPr>
        <w:spacing w:after="200" w:line="276" w:lineRule="auto"/>
        <w:rPr>
          <w:b/>
        </w:rPr>
      </w:pPr>
      <w:r>
        <w:br w:type="page"/>
      </w:r>
    </w:p>
    <w:p w14:paraId="2EBE49A4" w14:textId="2C6061B9" w:rsidR="00A50F2E" w:rsidRPr="00AC562F" w:rsidRDefault="00C968DC" w:rsidP="008B0A52">
      <w:pPr>
        <w:pStyle w:val="heading2nonumber"/>
        <w:keepNext/>
        <w:spacing w:line="480" w:lineRule="auto"/>
        <w:ind w:left="0" w:firstLine="0"/>
        <w:rPr>
          <w:sz w:val="22"/>
          <w:szCs w:val="22"/>
        </w:rPr>
      </w:pPr>
      <w:r>
        <w:rPr>
          <w:sz w:val="22"/>
          <w:szCs w:val="22"/>
        </w:rPr>
        <w:lastRenderedPageBreak/>
        <w:t>FP-SAL</w:t>
      </w:r>
      <w:r w:rsidR="00A50F2E" w:rsidRPr="00DF1428">
        <w:rPr>
          <w:sz w:val="22"/>
          <w:szCs w:val="22"/>
        </w:rPr>
        <w:t xml:space="preserve"> exposed vs </w:t>
      </w:r>
      <w:r w:rsidR="00A50F2E">
        <w:rPr>
          <w:sz w:val="22"/>
          <w:szCs w:val="22"/>
        </w:rPr>
        <w:t xml:space="preserve">SAL </w:t>
      </w:r>
      <w:r w:rsidR="00A50F2E" w:rsidRPr="00DF1428">
        <w:rPr>
          <w:sz w:val="22"/>
          <w:szCs w:val="22"/>
        </w:rPr>
        <w:t>exposed</w:t>
      </w:r>
    </w:p>
    <w:p w14:paraId="4E16E51B" w14:textId="23F2E88C" w:rsidR="00BD51B4" w:rsidRDefault="00376DFF" w:rsidP="008B0A52">
      <w:pPr>
        <w:pStyle w:val="Heading3-nonumber"/>
        <w:spacing w:line="480" w:lineRule="auto"/>
        <w:rPr>
          <w:b w:val="0"/>
        </w:rPr>
      </w:pPr>
      <w:r>
        <w:rPr>
          <w:b w:val="0"/>
        </w:rPr>
        <w:t>For the exacerbations analysis</w:t>
      </w:r>
      <w:r w:rsidR="00945BD7">
        <w:rPr>
          <w:b w:val="0"/>
        </w:rPr>
        <w:t xml:space="preserve">, we obtained a propensity score matched rate ratio of </w:t>
      </w:r>
      <w:r w:rsidR="006A53C3">
        <w:rPr>
          <w:b w:val="0"/>
        </w:rPr>
        <w:t xml:space="preserve">0.85 (95% CI 0.74-0.97). </w:t>
      </w:r>
      <w:r w:rsidR="0052393A">
        <w:rPr>
          <w:b w:val="0"/>
        </w:rPr>
        <w:t xml:space="preserve">According to our pre-specified protocol this (protective) effect was considered to be consistent with the TORCH </w:t>
      </w:r>
      <w:r w:rsidR="00127BA9">
        <w:rPr>
          <w:b w:val="0"/>
        </w:rPr>
        <w:t>FP-SAL vs SAL</w:t>
      </w:r>
      <w:r w:rsidR="0052393A">
        <w:rPr>
          <w:b w:val="0"/>
        </w:rPr>
        <w:t xml:space="preserve"> result for the same outcome (</w:t>
      </w:r>
      <w:r w:rsidR="00B25200">
        <w:rPr>
          <w:b w:val="0"/>
        </w:rPr>
        <w:t>0.88, 0.81-0.95</w:t>
      </w:r>
      <w:r w:rsidR="0052393A">
        <w:rPr>
          <w:b w:val="0"/>
        </w:rPr>
        <w:t>)</w:t>
      </w:r>
      <w:r w:rsidR="001B611B">
        <w:rPr>
          <w:b w:val="0"/>
        </w:rPr>
        <w:t xml:space="preserve"> (Table 4)</w:t>
      </w:r>
      <w:r w:rsidR="0052393A">
        <w:rPr>
          <w:b w:val="0"/>
        </w:rPr>
        <w:t>.</w:t>
      </w:r>
      <w:r w:rsidR="0052393A">
        <w:rPr>
          <w:b w:val="0"/>
        </w:rPr>
        <w:fldChar w:fldCharType="begin" w:fldLock="1"/>
      </w:r>
      <w:r w:rsidR="00B10790">
        <w:rPr>
          <w:b w:val="0"/>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52393A">
        <w:rPr>
          <w:b w:val="0"/>
        </w:rPr>
        <w:fldChar w:fldCharType="separate"/>
      </w:r>
      <w:r w:rsidR="00B10790" w:rsidRPr="00B10790">
        <w:rPr>
          <w:b w:val="0"/>
          <w:noProof/>
        </w:rPr>
        <w:t>[2]</w:t>
      </w:r>
      <w:r w:rsidR="0052393A">
        <w:rPr>
          <w:b w:val="0"/>
        </w:rPr>
        <w:fldChar w:fldCharType="end"/>
      </w:r>
      <w:r w:rsidR="0052393A">
        <w:rPr>
          <w:b w:val="0"/>
        </w:rPr>
        <w:t xml:space="preserve"> Similarly, our result for the mortality outcome (HR </w:t>
      </w:r>
      <w:r w:rsidR="009A4A04">
        <w:rPr>
          <w:b w:val="0"/>
        </w:rPr>
        <w:t>0.93, 95% CI 0.65-1.32</w:t>
      </w:r>
      <w:r w:rsidR="0052393A">
        <w:rPr>
          <w:b w:val="0"/>
        </w:rPr>
        <w:t xml:space="preserve">) was </w:t>
      </w:r>
      <w:r w:rsidR="008F7A9C">
        <w:rPr>
          <w:b w:val="0"/>
        </w:rPr>
        <w:t>consistent with the</w:t>
      </w:r>
      <w:r w:rsidR="0052393A">
        <w:rPr>
          <w:b w:val="0"/>
        </w:rPr>
        <w:t xml:space="preserve"> TORCH </w:t>
      </w:r>
      <w:r w:rsidR="008F7A9C">
        <w:rPr>
          <w:b w:val="0"/>
        </w:rPr>
        <w:t>FP-SAL vs SAL</w:t>
      </w:r>
      <w:r w:rsidR="0052393A">
        <w:rPr>
          <w:b w:val="0"/>
        </w:rPr>
        <w:t xml:space="preserve"> result (</w:t>
      </w:r>
      <w:r w:rsidR="008F7A9C">
        <w:rPr>
          <w:b w:val="0"/>
        </w:rPr>
        <w:t>0.93, 0.77-1.13</w:t>
      </w:r>
      <w:r w:rsidR="0052393A">
        <w:rPr>
          <w:b w:val="0"/>
        </w:rPr>
        <w:t xml:space="preserve">). For the pneumonia analysis, we found evidence for a </w:t>
      </w:r>
      <w:r w:rsidR="00332AE6">
        <w:rPr>
          <w:b w:val="0"/>
        </w:rPr>
        <w:t>39</w:t>
      </w:r>
      <w:r w:rsidR="0052393A">
        <w:rPr>
          <w:b w:val="0"/>
        </w:rPr>
        <w:t xml:space="preserve">% increased risk associated with FP-SAL (risk ratio </w:t>
      </w:r>
      <w:r w:rsidR="00172E83">
        <w:rPr>
          <w:b w:val="0"/>
        </w:rPr>
        <w:t>1.39</w:t>
      </w:r>
      <w:r w:rsidR="0052393A">
        <w:rPr>
          <w:b w:val="0"/>
        </w:rPr>
        <w:t xml:space="preserve">, </w:t>
      </w:r>
      <w:r w:rsidR="00601EFD">
        <w:rPr>
          <w:b w:val="0"/>
        </w:rPr>
        <w:t xml:space="preserve">95% CI </w:t>
      </w:r>
      <w:r w:rsidR="00172E83">
        <w:rPr>
          <w:b w:val="0"/>
        </w:rPr>
        <w:t>1.04-</w:t>
      </w:r>
      <w:r w:rsidR="00601EFD">
        <w:rPr>
          <w:b w:val="0"/>
        </w:rPr>
        <w:t>1.87</w:t>
      </w:r>
      <w:r w:rsidR="0052393A">
        <w:rPr>
          <w:b w:val="0"/>
        </w:rPr>
        <w:t xml:space="preserve">) which was </w:t>
      </w:r>
      <w:r w:rsidR="00995E11">
        <w:rPr>
          <w:b w:val="0"/>
        </w:rPr>
        <w:t>also</w:t>
      </w:r>
      <w:r w:rsidR="0052393A">
        <w:rPr>
          <w:b w:val="0"/>
        </w:rPr>
        <w:t xml:space="preserve"> consistent with the harmful association found by the TORCH </w:t>
      </w:r>
      <w:r w:rsidR="00995E11">
        <w:rPr>
          <w:b w:val="0"/>
        </w:rPr>
        <w:t>FP-SAL vs SAL</w:t>
      </w:r>
      <w:r w:rsidR="0052393A">
        <w:rPr>
          <w:b w:val="0"/>
        </w:rPr>
        <w:t xml:space="preserve"> analysis (</w:t>
      </w:r>
      <w:r w:rsidR="00995E11">
        <w:rPr>
          <w:b w:val="0"/>
        </w:rPr>
        <w:t>1.47, 1.25-1.73</w:t>
      </w:r>
      <w:r w:rsidR="0052393A">
        <w:rPr>
          <w:b w:val="0"/>
        </w:rPr>
        <w:t>).</w:t>
      </w:r>
      <w:r w:rsidR="007B00A6">
        <w:rPr>
          <w:b w:val="0"/>
        </w:rPr>
        <w:t xml:space="preserve"> </w:t>
      </w:r>
      <w:r w:rsidR="00A84181">
        <w:rPr>
          <w:b w:val="0"/>
        </w:rPr>
        <w:t xml:space="preserve">For the time to treatment discontinuation analysis, </w:t>
      </w:r>
      <w:r w:rsidR="00315D6F">
        <w:rPr>
          <w:b w:val="0"/>
        </w:rPr>
        <w:t>the effect</w:t>
      </w:r>
      <w:r w:rsidR="00291017">
        <w:rPr>
          <w:b w:val="0"/>
        </w:rPr>
        <w:t xml:space="preserve"> was apparently much </w:t>
      </w:r>
      <w:r w:rsidR="00A84181">
        <w:rPr>
          <w:b w:val="0"/>
        </w:rPr>
        <w:t>stronger outside of the trial setting (non-interventional HR 0.</w:t>
      </w:r>
      <w:r w:rsidR="004A030E">
        <w:rPr>
          <w:b w:val="0"/>
        </w:rPr>
        <w:t>23</w:t>
      </w:r>
      <w:r w:rsidR="00A84181">
        <w:rPr>
          <w:b w:val="0"/>
        </w:rPr>
        <w:t>, 95% CI 0.2</w:t>
      </w:r>
      <w:r w:rsidR="004A030E">
        <w:rPr>
          <w:b w:val="0"/>
        </w:rPr>
        <w:t>0</w:t>
      </w:r>
      <w:r w:rsidR="00A84181">
        <w:rPr>
          <w:b w:val="0"/>
        </w:rPr>
        <w:t>-0.</w:t>
      </w:r>
      <w:r w:rsidR="004A030E">
        <w:rPr>
          <w:b w:val="0"/>
        </w:rPr>
        <w:t>27</w:t>
      </w:r>
      <w:r w:rsidR="00A84181">
        <w:rPr>
          <w:b w:val="0"/>
        </w:rPr>
        <w:t xml:space="preserve"> vs TORCH 0.89, 0.79-0.99).</w:t>
      </w:r>
    </w:p>
    <w:p w14:paraId="6E31964C" w14:textId="77777777" w:rsidR="00BD51B4" w:rsidRDefault="00BD51B4">
      <w:pPr>
        <w:spacing w:after="200" w:line="276" w:lineRule="auto"/>
      </w:pPr>
      <w:r>
        <w:rPr>
          <w:b/>
        </w:rPr>
        <w:br w:type="page"/>
      </w:r>
    </w:p>
    <w:p w14:paraId="3950AF27" w14:textId="77777777" w:rsidR="00BD51B4" w:rsidRDefault="00BD51B4">
      <w:pPr>
        <w:spacing w:after="200" w:line="276" w:lineRule="auto"/>
        <w:rPr>
          <w:b/>
        </w:rPr>
        <w:sectPr w:rsidR="00BD51B4" w:rsidSect="007976DF">
          <w:type w:val="continuous"/>
          <w:pgSz w:w="11906" w:h="16838"/>
          <w:pgMar w:top="1061" w:right="1440" w:bottom="153" w:left="1418" w:header="708" w:footer="708" w:gutter="0"/>
          <w:cols w:space="708"/>
          <w:docGrid w:linePitch="360"/>
        </w:sectPr>
      </w:pPr>
    </w:p>
    <w:p w14:paraId="686F0429" w14:textId="7C6844C2" w:rsidR="00196F5B" w:rsidRPr="00521418" w:rsidRDefault="00196F5B" w:rsidP="00196F5B">
      <w:pPr>
        <w:spacing w:after="160" w:line="259" w:lineRule="auto"/>
        <w:jc w:val="center"/>
        <w:rPr>
          <w:rFonts w:ascii="Calibri" w:eastAsia="Calibri" w:hAnsi="Calibri" w:cs="Times New Roman"/>
          <w:b/>
        </w:rPr>
      </w:pPr>
      <w:r w:rsidRPr="00521418">
        <w:rPr>
          <w:rFonts w:ascii="Calibri" w:eastAsia="Calibri" w:hAnsi="Calibri" w:cs="Times New Roman"/>
          <w:b/>
        </w:rPr>
        <w:lastRenderedPageBreak/>
        <w:t xml:space="preserve">Table 4: Results for the analysis of exacerbations, mortality, pneumonia and time to treatment </w:t>
      </w:r>
      <w:r>
        <w:rPr>
          <w:rFonts w:ascii="Calibri" w:eastAsia="Calibri" w:hAnsi="Calibri" w:cs="Times New Roman"/>
          <w:b/>
        </w:rPr>
        <w:t>discontinuation</w:t>
      </w:r>
      <w:r w:rsidRPr="00521418">
        <w:rPr>
          <w:rFonts w:ascii="Calibri" w:eastAsia="Calibri" w:hAnsi="Calibri" w:cs="Times New Roman"/>
          <w:b/>
        </w:rPr>
        <w:t xml:space="preserve"> </w:t>
      </w:r>
      <w:r>
        <w:rPr>
          <w:rFonts w:ascii="Calibri" w:eastAsia="Calibri" w:hAnsi="Calibri" w:cs="Times New Roman"/>
          <w:b/>
        </w:rPr>
        <w:t xml:space="preserve">for </w:t>
      </w:r>
      <w:r w:rsidRPr="00521418">
        <w:rPr>
          <w:rFonts w:ascii="Calibri" w:eastAsia="Calibri" w:hAnsi="Calibri" w:cs="Times New Roman"/>
          <w:b/>
        </w:rPr>
        <w:t xml:space="preserve">FP-SAL vs SAL </w:t>
      </w:r>
      <w:r>
        <w:rPr>
          <w:rFonts w:ascii="Calibri" w:eastAsia="Calibri" w:hAnsi="Calibri" w:cs="Times New Roman"/>
          <w:b/>
        </w:rPr>
        <w:t>(compared to TORCH results)</w:t>
      </w:r>
    </w:p>
    <w:tbl>
      <w:tblPr>
        <w:tblStyle w:val="TableGrid8"/>
        <w:tblW w:w="10327" w:type="dxa"/>
        <w:jc w:val="center"/>
        <w:tblLook w:val="04A0" w:firstRow="1" w:lastRow="0" w:firstColumn="1" w:lastColumn="0" w:noHBand="0" w:noVBand="1"/>
      </w:tblPr>
      <w:tblGrid>
        <w:gridCol w:w="3402"/>
        <w:gridCol w:w="1701"/>
        <w:gridCol w:w="1873"/>
        <w:gridCol w:w="7"/>
        <w:gridCol w:w="277"/>
        <w:gridCol w:w="7"/>
        <w:gridCol w:w="1306"/>
        <w:gridCol w:w="7"/>
        <w:gridCol w:w="1741"/>
        <w:gridCol w:w="6"/>
      </w:tblGrid>
      <w:tr w:rsidR="00196F5B" w:rsidRPr="00521418" w14:paraId="4F753E32" w14:textId="77777777" w:rsidTr="00125EE0">
        <w:trPr>
          <w:gridAfter w:val="1"/>
          <w:wAfter w:w="6" w:type="dxa"/>
          <w:jc w:val="center"/>
        </w:trPr>
        <w:tc>
          <w:tcPr>
            <w:tcW w:w="3402" w:type="dxa"/>
            <w:tcBorders>
              <w:top w:val="single" w:sz="4" w:space="0" w:color="auto"/>
              <w:left w:val="nil"/>
              <w:bottom w:val="nil"/>
              <w:right w:val="nil"/>
            </w:tcBorders>
          </w:tcPr>
          <w:p w14:paraId="05FF902F" w14:textId="77777777" w:rsidR="00196F5B" w:rsidRPr="00521418" w:rsidRDefault="00196F5B" w:rsidP="00125EE0">
            <w:pPr>
              <w:spacing w:after="0" w:line="240" w:lineRule="auto"/>
              <w:jc w:val="center"/>
              <w:rPr>
                <w:rFonts w:ascii="Calibri" w:eastAsia="Calibri" w:hAnsi="Calibri" w:cs="Times New Roman"/>
              </w:rPr>
            </w:pPr>
          </w:p>
        </w:tc>
        <w:tc>
          <w:tcPr>
            <w:tcW w:w="3574" w:type="dxa"/>
            <w:gridSpan w:val="2"/>
            <w:tcBorders>
              <w:top w:val="single" w:sz="4" w:space="0" w:color="auto"/>
              <w:left w:val="nil"/>
              <w:bottom w:val="single" w:sz="4" w:space="0" w:color="auto"/>
              <w:right w:val="nil"/>
            </w:tcBorders>
          </w:tcPr>
          <w:p w14:paraId="384B152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b/>
              </w:rPr>
              <w:t>CPRD non-interventional population</w:t>
            </w:r>
          </w:p>
        </w:tc>
        <w:tc>
          <w:tcPr>
            <w:tcW w:w="284" w:type="dxa"/>
            <w:gridSpan w:val="2"/>
            <w:tcBorders>
              <w:top w:val="single" w:sz="4" w:space="0" w:color="auto"/>
              <w:left w:val="nil"/>
              <w:bottom w:val="nil"/>
              <w:right w:val="nil"/>
            </w:tcBorders>
          </w:tcPr>
          <w:p w14:paraId="3376FD84" w14:textId="77777777" w:rsidR="00196F5B" w:rsidRPr="00521418" w:rsidRDefault="00196F5B" w:rsidP="00125EE0">
            <w:pPr>
              <w:spacing w:after="0" w:line="240" w:lineRule="auto"/>
              <w:jc w:val="center"/>
              <w:rPr>
                <w:rFonts w:ascii="Calibri" w:eastAsia="Calibri" w:hAnsi="Calibri" w:cs="Times New Roman"/>
                <w:b/>
              </w:rPr>
            </w:pPr>
          </w:p>
        </w:tc>
        <w:tc>
          <w:tcPr>
            <w:tcW w:w="3061" w:type="dxa"/>
            <w:gridSpan w:val="4"/>
            <w:tcBorders>
              <w:top w:val="single" w:sz="4" w:space="0" w:color="auto"/>
              <w:left w:val="nil"/>
              <w:bottom w:val="single" w:sz="4" w:space="0" w:color="auto"/>
              <w:right w:val="nil"/>
            </w:tcBorders>
          </w:tcPr>
          <w:p w14:paraId="76E878F5" w14:textId="77777777" w:rsidR="00196F5B" w:rsidRPr="00521418" w:rsidRDefault="00196F5B" w:rsidP="00125EE0">
            <w:pPr>
              <w:spacing w:after="0" w:line="240" w:lineRule="auto"/>
              <w:jc w:val="center"/>
              <w:rPr>
                <w:rFonts w:ascii="Calibri" w:eastAsia="Calibri" w:hAnsi="Calibri" w:cs="Times New Roman"/>
                <w:b/>
              </w:rPr>
            </w:pPr>
            <w:r w:rsidRPr="00521418">
              <w:rPr>
                <w:rFonts w:ascii="Calibri" w:eastAsia="Calibri" w:hAnsi="Calibri" w:cs="Times New Roman"/>
                <w:b/>
              </w:rPr>
              <w:t>TORCH trial population</w:t>
            </w:r>
            <w:r w:rsidRPr="00521418">
              <w:rPr>
                <w:rFonts w:ascii="Calibri" w:eastAsia="Calibri" w:hAnsi="Calibri" w:cs="Times New Roman"/>
                <w:b/>
                <w:vertAlign w:val="superscript"/>
              </w:rPr>
              <w:t>1</w:t>
            </w:r>
          </w:p>
        </w:tc>
      </w:tr>
      <w:tr w:rsidR="00196F5B" w:rsidRPr="00521418" w14:paraId="370B5A45" w14:textId="77777777" w:rsidTr="00125EE0">
        <w:trPr>
          <w:gridAfter w:val="1"/>
          <w:wAfter w:w="6" w:type="dxa"/>
          <w:jc w:val="center"/>
        </w:trPr>
        <w:tc>
          <w:tcPr>
            <w:tcW w:w="3402" w:type="dxa"/>
            <w:tcBorders>
              <w:top w:val="nil"/>
              <w:left w:val="nil"/>
              <w:bottom w:val="single" w:sz="4" w:space="0" w:color="auto"/>
              <w:right w:val="nil"/>
            </w:tcBorders>
          </w:tcPr>
          <w:p w14:paraId="5FDFF348" w14:textId="77777777" w:rsidR="00196F5B" w:rsidRPr="00521418" w:rsidRDefault="00196F5B" w:rsidP="00125EE0">
            <w:pPr>
              <w:spacing w:after="0" w:line="240" w:lineRule="auto"/>
              <w:jc w:val="center"/>
              <w:rPr>
                <w:rFonts w:ascii="Calibri" w:eastAsia="Calibri" w:hAnsi="Calibri" w:cs="Times New Roman"/>
              </w:rPr>
            </w:pPr>
          </w:p>
        </w:tc>
        <w:tc>
          <w:tcPr>
            <w:tcW w:w="1701" w:type="dxa"/>
            <w:tcBorders>
              <w:top w:val="nil"/>
              <w:left w:val="nil"/>
              <w:bottom w:val="single" w:sz="4" w:space="0" w:color="auto"/>
              <w:right w:val="nil"/>
            </w:tcBorders>
          </w:tcPr>
          <w:p w14:paraId="2D84F94F" w14:textId="77777777" w:rsidR="00196F5B" w:rsidRPr="00521418" w:rsidRDefault="00196F5B" w:rsidP="00125EE0">
            <w:pPr>
              <w:spacing w:after="0" w:line="240" w:lineRule="auto"/>
              <w:jc w:val="center"/>
              <w:rPr>
                <w:rFonts w:ascii="Calibri" w:eastAsia="Calibri" w:hAnsi="Calibri" w:cs="Times New Roman"/>
                <w:b/>
              </w:rPr>
            </w:pPr>
            <w:r w:rsidRPr="00521418">
              <w:rPr>
                <w:rFonts w:ascii="Calibri" w:eastAsia="Calibri" w:hAnsi="Calibri" w:cs="Times New Roman"/>
                <w:b/>
              </w:rPr>
              <w:t>SAL</w:t>
            </w:r>
          </w:p>
          <w:p w14:paraId="615D119B"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(n=1146)</w:t>
            </w:r>
          </w:p>
        </w:tc>
        <w:tc>
          <w:tcPr>
            <w:tcW w:w="1880" w:type="dxa"/>
            <w:gridSpan w:val="2"/>
            <w:tcBorders>
              <w:top w:val="nil"/>
              <w:left w:val="nil"/>
              <w:bottom w:val="single" w:sz="4" w:space="0" w:color="auto"/>
              <w:right w:val="nil"/>
            </w:tcBorders>
          </w:tcPr>
          <w:p w14:paraId="4A795334" w14:textId="77777777" w:rsidR="00196F5B" w:rsidRPr="00521418" w:rsidRDefault="00196F5B" w:rsidP="00125EE0">
            <w:pPr>
              <w:spacing w:after="0" w:line="240" w:lineRule="auto"/>
              <w:jc w:val="center"/>
              <w:rPr>
                <w:rFonts w:ascii="Calibri" w:eastAsia="Calibri" w:hAnsi="Calibri" w:cs="Times New Roman"/>
                <w:b/>
              </w:rPr>
            </w:pPr>
            <w:r w:rsidRPr="00521418">
              <w:rPr>
                <w:rFonts w:ascii="Calibri" w:eastAsia="Calibri" w:hAnsi="Calibri" w:cs="Times New Roman"/>
                <w:b/>
              </w:rPr>
              <w:t>FP-SAL</w:t>
            </w:r>
          </w:p>
          <w:p w14:paraId="2B79E150"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(n=11235)</w:t>
            </w:r>
          </w:p>
        </w:tc>
        <w:tc>
          <w:tcPr>
            <w:tcW w:w="284" w:type="dxa"/>
            <w:gridSpan w:val="2"/>
            <w:tcBorders>
              <w:top w:val="nil"/>
              <w:left w:val="nil"/>
              <w:bottom w:val="single" w:sz="4" w:space="0" w:color="auto"/>
              <w:right w:val="nil"/>
            </w:tcBorders>
          </w:tcPr>
          <w:p w14:paraId="7DC5715B" w14:textId="77777777" w:rsidR="00196F5B" w:rsidRPr="00521418" w:rsidRDefault="00196F5B" w:rsidP="00125EE0">
            <w:pPr>
              <w:spacing w:after="0" w:line="240" w:lineRule="auto"/>
              <w:jc w:val="center"/>
              <w:rPr>
                <w:rFonts w:ascii="Calibri" w:eastAsia="Calibri" w:hAnsi="Calibri" w:cs="Times New Roman"/>
                <w:b/>
              </w:rPr>
            </w:pPr>
          </w:p>
        </w:tc>
        <w:tc>
          <w:tcPr>
            <w:tcW w:w="1313" w:type="dxa"/>
            <w:gridSpan w:val="2"/>
            <w:tcBorders>
              <w:top w:val="nil"/>
              <w:left w:val="nil"/>
              <w:bottom w:val="single" w:sz="4" w:space="0" w:color="auto"/>
              <w:right w:val="nil"/>
            </w:tcBorders>
          </w:tcPr>
          <w:p w14:paraId="1A9AB236" w14:textId="77777777" w:rsidR="00196F5B" w:rsidRPr="00521418" w:rsidRDefault="00196F5B" w:rsidP="00125EE0">
            <w:pPr>
              <w:spacing w:after="0" w:line="240" w:lineRule="auto"/>
              <w:jc w:val="center"/>
              <w:rPr>
                <w:rFonts w:ascii="Calibri" w:eastAsia="Calibri" w:hAnsi="Calibri" w:cs="Times New Roman"/>
                <w:b/>
              </w:rPr>
            </w:pPr>
            <w:r w:rsidRPr="00521418">
              <w:rPr>
                <w:rFonts w:ascii="Calibri" w:eastAsia="Calibri" w:hAnsi="Calibri" w:cs="Times New Roman"/>
                <w:b/>
              </w:rPr>
              <w:t>SAL</w:t>
            </w:r>
          </w:p>
          <w:p w14:paraId="3BB388BA"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(n=1521)</w:t>
            </w:r>
          </w:p>
        </w:tc>
        <w:tc>
          <w:tcPr>
            <w:tcW w:w="1741" w:type="dxa"/>
            <w:tcBorders>
              <w:top w:val="nil"/>
              <w:left w:val="nil"/>
              <w:bottom w:val="single" w:sz="4" w:space="0" w:color="auto"/>
              <w:right w:val="nil"/>
            </w:tcBorders>
          </w:tcPr>
          <w:p w14:paraId="71910981" w14:textId="77777777" w:rsidR="00196F5B" w:rsidRPr="00521418" w:rsidRDefault="00196F5B" w:rsidP="00125EE0">
            <w:pPr>
              <w:spacing w:after="0" w:line="240" w:lineRule="auto"/>
              <w:jc w:val="center"/>
              <w:rPr>
                <w:rFonts w:ascii="Calibri" w:eastAsia="Calibri" w:hAnsi="Calibri" w:cs="Times New Roman"/>
                <w:b/>
              </w:rPr>
            </w:pPr>
            <w:r w:rsidRPr="00521418">
              <w:rPr>
                <w:rFonts w:ascii="Calibri" w:eastAsia="Calibri" w:hAnsi="Calibri" w:cs="Times New Roman"/>
                <w:b/>
              </w:rPr>
              <w:t>FP-SAL</w:t>
            </w:r>
          </w:p>
          <w:p w14:paraId="64269412" w14:textId="77777777" w:rsidR="00196F5B" w:rsidRPr="00521418" w:rsidRDefault="00196F5B" w:rsidP="00125EE0">
            <w:pPr>
              <w:spacing w:after="0" w:line="240" w:lineRule="auto"/>
              <w:jc w:val="center"/>
              <w:rPr>
                <w:rFonts w:ascii="Calibri" w:eastAsia="Calibri" w:hAnsi="Calibri" w:cs="Times New Roman"/>
                <w:b/>
              </w:rPr>
            </w:pPr>
            <w:r w:rsidRPr="00521418">
              <w:rPr>
                <w:rFonts w:ascii="Calibri" w:eastAsia="Calibri" w:hAnsi="Calibri" w:cs="Times New Roman"/>
              </w:rPr>
              <w:t>(n=1533)</w:t>
            </w:r>
          </w:p>
        </w:tc>
      </w:tr>
      <w:tr w:rsidR="00196F5B" w:rsidRPr="00521418" w14:paraId="3F7DF043" w14:textId="77777777" w:rsidTr="00125EE0">
        <w:trPr>
          <w:gridAfter w:val="1"/>
          <w:wAfter w:w="6" w:type="dxa"/>
          <w:jc w:val="center"/>
        </w:trPr>
        <w:tc>
          <w:tcPr>
            <w:tcW w:w="3402" w:type="dxa"/>
            <w:tcBorders>
              <w:top w:val="nil"/>
              <w:left w:val="nil"/>
              <w:bottom w:val="nil"/>
              <w:right w:val="nil"/>
            </w:tcBorders>
            <w:shd w:val="clear" w:color="auto" w:fill="F2F2F2"/>
          </w:tcPr>
          <w:p w14:paraId="4992D9D7" w14:textId="77777777" w:rsidR="00196F5B" w:rsidRPr="00521418" w:rsidRDefault="00196F5B" w:rsidP="00125EE0">
            <w:pPr>
              <w:spacing w:after="0" w:line="240" w:lineRule="auto"/>
              <w:rPr>
                <w:rFonts w:ascii="Calibri" w:eastAsia="Calibri" w:hAnsi="Calibri" w:cs="Times New Roman"/>
                <w:b/>
              </w:rPr>
            </w:pPr>
            <w:r w:rsidRPr="00521418">
              <w:rPr>
                <w:rFonts w:ascii="Calibri" w:eastAsia="Calibri" w:hAnsi="Calibri" w:cs="Times New Roman"/>
                <w:b/>
              </w:rPr>
              <w:t>Exacerbations</w:t>
            </w:r>
          </w:p>
        </w:tc>
        <w:tc>
          <w:tcPr>
            <w:tcW w:w="6919" w:type="dxa"/>
            <w:gridSpan w:val="8"/>
            <w:tcBorders>
              <w:top w:val="nil"/>
              <w:left w:val="nil"/>
              <w:bottom w:val="nil"/>
              <w:right w:val="nil"/>
            </w:tcBorders>
            <w:shd w:val="clear" w:color="auto" w:fill="F2F2F2"/>
          </w:tcPr>
          <w:p w14:paraId="21BBDF9B" w14:textId="77777777" w:rsidR="00196F5B" w:rsidRPr="00521418" w:rsidRDefault="00196F5B" w:rsidP="00125EE0">
            <w:pPr>
              <w:spacing w:after="0" w:line="240" w:lineRule="auto"/>
              <w:jc w:val="center"/>
              <w:rPr>
                <w:rFonts w:ascii="Calibri" w:eastAsia="Calibri" w:hAnsi="Calibri" w:cs="Times New Roman"/>
                <w:b/>
              </w:rPr>
            </w:pPr>
          </w:p>
        </w:tc>
      </w:tr>
      <w:tr w:rsidR="00196F5B" w:rsidRPr="00521418" w14:paraId="74A53A6E" w14:textId="77777777" w:rsidTr="00125EE0">
        <w:trPr>
          <w:gridAfter w:val="1"/>
          <w:wAfter w:w="6" w:type="dxa"/>
          <w:jc w:val="center"/>
        </w:trPr>
        <w:tc>
          <w:tcPr>
            <w:tcW w:w="3402" w:type="dxa"/>
            <w:tcBorders>
              <w:top w:val="nil"/>
              <w:left w:val="nil"/>
              <w:bottom w:val="nil"/>
              <w:right w:val="nil"/>
            </w:tcBorders>
          </w:tcPr>
          <w:p w14:paraId="5D770198"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Person-years at risk</w:t>
            </w:r>
          </w:p>
        </w:tc>
        <w:tc>
          <w:tcPr>
            <w:tcW w:w="1701" w:type="dxa"/>
            <w:tcBorders>
              <w:top w:val="nil"/>
              <w:left w:val="nil"/>
              <w:bottom w:val="nil"/>
              <w:right w:val="nil"/>
            </w:tcBorders>
          </w:tcPr>
          <w:p w14:paraId="39851A7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2566</w:t>
            </w:r>
          </w:p>
        </w:tc>
        <w:tc>
          <w:tcPr>
            <w:tcW w:w="1880" w:type="dxa"/>
            <w:gridSpan w:val="2"/>
            <w:tcBorders>
              <w:top w:val="nil"/>
              <w:left w:val="nil"/>
              <w:bottom w:val="nil"/>
              <w:right w:val="nil"/>
            </w:tcBorders>
          </w:tcPr>
          <w:p w14:paraId="4254C61B"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24062</w:t>
            </w:r>
          </w:p>
        </w:tc>
        <w:tc>
          <w:tcPr>
            <w:tcW w:w="284" w:type="dxa"/>
            <w:gridSpan w:val="2"/>
            <w:tcBorders>
              <w:top w:val="nil"/>
              <w:left w:val="nil"/>
              <w:bottom w:val="nil"/>
              <w:right w:val="nil"/>
            </w:tcBorders>
          </w:tcPr>
          <w:p w14:paraId="4940DE36"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5899A6BE"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199E9ACC"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517CE009" w14:textId="77777777" w:rsidTr="00125EE0">
        <w:trPr>
          <w:gridAfter w:val="1"/>
          <w:wAfter w:w="6" w:type="dxa"/>
          <w:jc w:val="center"/>
        </w:trPr>
        <w:tc>
          <w:tcPr>
            <w:tcW w:w="3402" w:type="dxa"/>
            <w:tcBorders>
              <w:top w:val="nil"/>
              <w:left w:val="nil"/>
              <w:bottom w:val="nil"/>
              <w:right w:val="nil"/>
            </w:tcBorders>
          </w:tcPr>
          <w:p w14:paraId="01BF8241"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Events</w:t>
            </w:r>
          </w:p>
        </w:tc>
        <w:tc>
          <w:tcPr>
            <w:tcW w:w="1701" w:type="dxa"/>
            <w:tcBorders>
              <w:top w:val="nil"/>
              <w:left w:val="nil"/>
              <w:bottom w:val="nil"/>
              <w:right w:val="nil"/>
            </w:tcBorders>
          </w:tcPr>
          <w:p w14:paraId="2AF4A77E"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1515</w:t>
            </w:r>
          </w:p>
        </w:tc>
        <w:tc>
          <w:tcPr>
            <w:tcW w:w="1880" w:type="dxa"/>
            <w:gridSpan w:val="2"/>
            <w:tcBorders>
              <w:top w:val="nil"/>
              <w:left w:val="nil"/>
              <w:bottom w:val="nil"/>
              <w:right w:val="nil"/>
            </w:tcBorders>
          </w:tcPr>
          <w:p w14:paraId="06CA693E"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14034</w:t>
            </w:r>
          </w:p>
        </w:tc>
        <w:tc>
          <w:tcPr>
            <w:tcW w:w="284" w:type="dxa"/>
            <w:gridSpan w:val="2"/>
            <w:tcBorders>
              <w:top w:val="nil"/>
              <w:left w:val="nil"/>
              <w:bottom w:val="nil"/>
              <w:right w:val="nil"/>
            </w:tcBorders>
          </w:tcPr>
          <w:p w14:paraId="1E341930"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4FB6F99D"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3992D833"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75F83108" w14:textId="77777777" w:rsidTr="00125EE0">
        <w:trPr>
          <w:gridAfter w:val="1"/>
          <w:wAfter w:w="6" w:type="dxa"/>
          <w:jc w:val="center"/>
        </w:trPr>
        <w:tc>
          <w:tcPr>
            <w:tcW w:w="3402" w:type="dxa"/>
            <w:tcBorders>
              <w:top w:val="nil"/>
              <w:left w:val="nil"/>
              <w:bottom w:val="nil"/>
              <w:right w:val="nil"/>
            </w:tcBorders>
          </w:tcPr>
          <w:p w14:paraId="3EABAC5C"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Rate</w:t>
            </w:r>
            <w:r w:rsidRPr="00521418">
              <w:rPr>
                <w:rFonts w:ascii="Calibri" w:eastAsia="Calibri" w:hAnsi="Calibri" w:cs="Times New Roman"/>
                <w:vertAlign w:val="superscript"/>
              </w:rPr>
              <w:t>2</w:t>
            </w:r>
          </w:p>
        </w:tc>
        <w:tc>
          <w:tcPr>
            <w:tcW w:w="1701" w:type="dxa"/>
            <w:tcBorders>
              <w:top w:val="nil"/>
              <w:left w:val="nil"/>
              <w:bottom w:val="nil"/>
              <w:right w:val="nil"/>
            </w:tcBorders>
          </w:tcPr>
          <w:p w14:paraId="5B001F42"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0.73</w:t>
            </w:r>
          </w:p>
        </w:tc>
        <w:tc>
          <w:tcPr>
            <w:tcW w:w="1880" w:type="dxa"/>
            <w:gridSpan w:val="2"/>
            <w:tcBorders>
              <w:top w:val="nil"/>
              <w:left w:val="nil"/>
              <w:bottom w:val="nil"/>
              <w:right w:val="nil"/>
            </w:tcBorders>
          </w:tcPr>
          <w:p w14:paraId="2EBC1F03"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0.59</w:t>
            </w:r>
          </w:p>
        </w:tc>
        <w:tc>
          <w:tcPr>
            <w:tcW w:w="284" w:type="dxa"/>
            <w:gridSpan w:val="2"/>
            <w:tcBorders>
              <w:top w:val="nil"/>
              <w:left w:val="nil"/>
              <w:bottom w:val="nil"/>
              <w:right w:val="nil"/>
            </w:tcBorders>
          </w:tcPr>
          <w:p w14:paraId="01FE8F7C"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1DD32FE9"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0.97</w:t>
            </w:r>
          </w:p>
        </w:tc>
        <w:tc>
          <w:tcPr>
            <w:tcW w:w="1741" w:type="dxa"/>
            <w:tcBorders>
              <w:top w:val="nil"/>
              <w:left w:val="nil"/>
              <w:bottom w:val="nil"/>
              <w:right w:val="nil"/>
            </w:tcBorders>
          </w:tcPr>
          <w:p w14:paraId="49E1C966"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0.85</w:t>
            </w:r>
          </w:p>
        </w:tc>
      </w:tr>
      <w:tr w:rsidR="00196F5B" w:rsidRPr="00521418" w14:paraId="072C2738" w14:textId="77777777" w:rsidTr="00125EE0">
        <w:trPr>
          <w:gridAfter w:val="1"/>
          <w:wAfter w:w="6" w:type="dxa"/>
          <w:jc w:val="center"/>
        </w:trPr>
        <w:tc>
          <w:tcPr>
            <w:tcW w:w="3402" w:type="dxa"/>
            <w:tcBorders>
              <w:top w:val="nil"/>
              <w:left w:val="nil"/>
              <w:bottom w:val="nil"/>
              <w:right w:val="nil"/>
            </w:tcBorders>
          </w:tcPr>
          <w:p w14:paraId="4D7DFE16"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Crude rate ratio</w:t>
            </w:r>
          </w:p>
        </w:tc>
        <w:tc>
          <w:tcPr>
            <w:tcW w:w="1701" w:type="dxa"/>
            <w:tcBorders>
              <w:top w:val="nil"/>
              <w:left w:val="nil"/>
              <w:bottom w:val="nil"/>
              <w:right w:val="nil"/>
            </w:tcBorders>
          </w:tcPr>
          <w:p w14:paraId="7589675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 xml:space="preserve">1 </w:t>
            </w:r>
          </w:p>
        </w:tc>
        <w:tc>
          <w:tcPr>
            <w:tcW w:w="1880" w:type="dxa"/>
            <w:gridSpan w:val="2"/>
            <w:tcBorders>
              <w:top w:val="nil"/>
              <w:left w:val="nil"/>
              <w:bottom w:val="nil"/>
              <w:right w:val="nil"/>
            </w:tcBorders>
          </w:tcPr>
          <w:p w14:paraId="334E23D0"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0.80 (0.72-0.88)</w:t>
            </w:r>
          </w:p>
        </w:tc>
        <w:tc>
          <w:tcPr>
            <w:tcW w:w="284" w:type="dxa"/>
            <w:gridSpan w:val="2"/>
            <w:tcBorders>
              <w:top w:val="nil"/>
              <w:left w:val="nil"/>
              <w:bottom w:val="nil"/>
              <w:right w:val="nil"/>
            </w:tcBorders>
          </w:tcPr>
          <w:p w14:paraId="57C0A6D2"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14CCB257"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0BE2643D"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31EA3451" w14:textId="77777777" w:rsidTr="00125EE0">
        <w:trPr>
          <w:gridAfter w:val="1"/>
          <w:wAfter w:w="6" w:type="dxa"/>
          <w:jc w:val="center"/>
        </w:trPr>
        <w:tc>
          <w:tcPr>
            <w:tcW w:w="3402" w:type="dxa"/>
            <w:tcBorders>
              <w:top w:val="nil"/>
              <w:left w:val="nil"/>
              <w:bottom w:val="nil"/>
              <w:right w:val="nil"/>
            </w:tcBorders>
          </w:tcPr>
          <w:p w14:paraId="43E94584" w14:textId="77777777" w:rsidR="00196F5B" w:rsidRPr="00521418" w:rsidRDefault="00196F5B" w:rsidP="00125EE0">
            <w:pPr>
              <w:spacing w:after="60" w:line="240" w:lineRule="auto"/>
              <w:ind w:right="-810"/>
              <w:rPr>
                <w:rFonts w:ascii="Calibri" w:eastAsia="Calibri" w:hAnsi="Calibri" w:cs="Times New Roman"/>
              </w:rPr>
            </w:pPr>
            <w:r w:rsidRPr="00521418">
              <w:rPr>
                <w:rFonts w:ascii="Calibri" w:eastAsia="Calibri" w:hAnsi="Calibri" w:cs="Times New Roman"/>
              </w:rPr>
              <w:t>Propensity matched rate ratio</w:t>
            </w:r>
          </w:p>
        </w:tc>
        <w:tc>
          <w:tcPr>
            <w:tcW w:w="1701" w:type="dxa"/>
            <w:tcBorders>
              <w:top w:val="nil"/>
              <w:left w:val="nil"/>
              <w:bottom w:val="nil"/>
              <w:right w:val="nil"/>
            </w:tcBorders>
          </w:tcPr>
          <w:p w14:paraId="671CBF4E"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 xml:space="preserve">1 </w:t>
            </w:r>
          </w:p>
        </w:tc>
        <w:tc>
          <w:tcPr>
            <w:tcW w:w="1880" w:type="dxa"/>
            <w:gridSpan w:val="2"/>
            <w:tcBorders>
              <w:top w:val="nil"/>
              <w:left w:val="nil"/>
              <w:bottom w:val="nil"/>
              <w:right w:val="nil"/>
            </w:tcBorders>
          </w:tcPr>
          <w:p w14:paraId="54E3F1D2"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0.85 (0.74-0.97)</w:t>
            </w:r>
            <w:r w:rsidRPr="00521418">
              <w:rPr>
                <w:rFonts w:ascii="Calibri" w:eastAsia="Calibri" w:hAnsi="Calibri" w:cs="Times New Roman"/>
                <w:vertAlign w:val="superscript"/>
              </w:rPr>
              <w:t>3</w:t>
            </w:r>
          </w:p>
        </w:tc>
        <w:tc>
          <w:tcPr>
            <w:tcW w:w="284" w:type="dxa"/>
            <w:gridSpan w:val="2"/>
            <w:tcBorders>
              <w:top w:val="nil"/>
              <w:left w:val="nil"/>
              <w:bottom w:val="nil"/>
              <w:right w:val="nil"/>
            </w:tcBorders>
          </w:tcPr>
          <w:p w14:paraId="47C0E100" w14:textId="77777777" w:rsidR="00196F5B" w:rsidRPr="00521418" w:rsidRDefault="00196F5B" w:rsidP="00125EE0">
            <w:pPr>
              <w:spacing w:after="60" w:line="240" w:lineRule="auto"/>
              <w:jc w:val="center"/>
              <w:rPr>
                <w:rFonts w:ascii="Calibri" w:eastAsia="Calibri" w:hAnsi="Calibri" w:cs="Times New Roman"/>
              </w:rPr>
            </w:pPr>
          </w:p>
        </w:tc>
        <w:tc>
          <w:tcPr>
            <w:tcW w:w="1313" w:type="dxa"/>
            <w:gridSpan w:val="2"/>
            <w:tcBorders>
              <w:top w:val="nil"/>
              <w:left w:val="nil"/>
              <w:bottom w:val="nil"/>
              <w:right w:val="nil"/>
            </w:tcBorders>
          </w:tcPr>
          <w:p w14:paraId="4D84A36D"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1</w:t>
            </w:r>
          </w:p>
        </w:tc>
        <w:tc>
          <w:tcPr>
            <w:tcW w:w="1741" w:type="dxa"/>
            <w:tcBorders>
              <w:top w:val="nil"/>
              <w:left w:val="nil"/>
              <w:bottom w:val="nil"/>
              <w:right w:val="nil"/>
            </w:tcBorders>
          </w:tcPr>
          <w:p w14:paraId="747E720C"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0.88 (0.81-0.95)</w:t>
            </w:r>
          </w:p>
        </w:tc>
      </w:tr>
      <w:tr w:rsidR="00196F5B" w:rsidRPr="00521418" w14:paraId="6C0798E8" w14:textId="77777777" w:rsidTr="00125EE0">
        <w:trPr>
          <w:gridAfter w:val="1"/>
          <w:wAfter w:w="6" w:type="dxa"/>
          <w:jc w:val="center"/>
        </w:trPr>
        <w:tc>
          <w:tcPr>
            <w:tcW w:w="3402" w:type="dxa"/>
            <w:tcBorders>
              <w:top w:val="nil"/>
              <w:left w:val="nil"/>
              <w:bottom w:val="nil"/>
              <w:right w:val="nil"/>
            </w:tcBorders>
            <w:shd w:val="clear" w:color="auto" w:fill="F2F2F2"/>
          </w:tcPr>
          <w:p w14:paraId="00E5C7F1" w14:textId="77777777" w:rsidR="00196F5B" w:rsidRPr="00521418" w:rsidRDefault="00196F5B" w:rsidP="00125EE0">
            <w:pPr>
              <w:spacing w:after="0" w:line="240" w:lineRule="auto"/>
              <w:rPr>
                <w:rFonts w:ascii="Calibri" w:eastAsia="Calibri" w:hAnsi="Calibri" w:cs="Times New Roman"/>
                <w:b/>
              </w:rPr>
            </w:pPr>
            <w:r w:rsidRPr="00521418">
              <w:rPr>
                <w:rFonts w:ascii="Calibri" w:eastAsia="Calibri" w:hAnsi="Calibri" w:cs="Times New Roman"/>
                <w:b/>
              </w:rPr>
              <w:t>Mortality</w:t>
            </w:r>
          </w:p>
        </w:tc>
        <w:tc>
          <w:tcPr>
            <w:tcW w:w="3574" w:type="dxa"/>
            <w:gridSpan w:val="2"/>
            <w:tcBorders>
              <w:top w:val="nil"/>
              <w:left w:val="nil"/>
              <w:bottom w:val="nil"/>
              <w:right w:val="nil"/>
            </w:tcBorders>
            <w:shd w:val="clear" w:color="auto" w:fill="F2F2F2"/>
          </w:tcPr>
          <w:p w14:paraId="0A342B17" w14:textId="77777777" w:rsidR="00196F5B" w:rsidRPr="00521418" w:rsidRDefault="00196F5B" w:rsidP="00125EE0">
            <w:pPr>
              <w:spacing w:after="0" w:line="240" w:lineRule="auto"/>
              <w:jc w:val="center"/>
              <w:rPr>
                <w:rFonts w:ascii="Calibri" w:eastAsia="Calibri" w:hAnsi="Calibri" w:cs="Times New Roman"/>
                <w:b/>
              </w:rPr>
            </w:pPr>
          </w:p>
        </w:tc>
        <w:tc>
          <w:tcPr>
            <w:tcW w:w="284" w:type="dxa"/>
            <w:gridSpan w:val="2"/>
            <w:tcBorders>
              <w:top w:val="nil"/>
              <w:left w:val="nil"/>
              <w:bottom w:val="nil"/>
              <w:right w:val="nil"/>
            </w:tcBorders>
            <w:shd w:val="clear" w:color="auto" w:fill="F2F2F2"/>
          </w:tcPr>
          <w:p w14:paraId="0E65D03A" w14:textId="77777777" w:rsidR="00196F5B" w:rsidRPr="00521418" w:rsidRDefault="00196F5B" w:rsidP="00125EE0">
            <w:pPr>
              <w:spacing w:after="0" w:line="240" w:lineRule="auto"/>
              <w:jc w:val="center"/>
              <w:rPr>
                <w:rFonts w:ascii="Calibri" w:eastAsia="Calibri" w:hAnsi="Calibri" w:cs="Times New Roman"/>
                <w:b/>
                <w:sz w:val="24"/>
              </w:rPr>
            </w:pPr>
          </w:p>
        </w:tc>
        <w:tc>
          <w:tcPr>
            <w:tcW w:w="1313" w:type="dxa"/>
            <w:gridSpan w:val="2"/>
            <w:tcBorders>
              <w:top w:val="nil"/>
              <w:left w:val="nil"/>
              <w:bottom w:val="nil"/>
              <w:right w:val="nil"/>
            </w:tcBorders>
            <w:shd w:val="clear" w:color="auto" w:fill="F2F2F2"/>
          </w:tcPr>
          <w:p w14:paraId="72F1E8E4" w14:textId="77777777" w:rsidR="00196F5B" w:rsidRPr="00521418" w:rsidRDefault="00196F5B" w:rsidP="00125EE0">
            <w:pPr>
              <w:spacing w:after="0" w:line="240" w:lineRule="auto"/>
              <w:jc w:val="center"/>
              <w:rPr>
                <w:rFonts w:ascii="Calibri" w:eastAsia="Calibri" w:hAnsi="Calibri" w:cs="Times New Roman"/>
                <w:b/>
                <w:sz w:val="24"/>
              </w:rPr>
            </w:pPr>
          </w:p>
        </w:tc>
        <w:tc>
          <w:tcPr>
            <w:tcW w:w="1748" w:type="dxa"/>
            <w:gridSpan w:val="2"/>
            <w:tcBorders>
              <w:top w:val="nil"/>
              <w:left w:val="nil"/>
              <w:bottom w:val="nil"/>
              <w:right w:val="nil"/>
            </w:tcBorders>
            <w:shd w:val="clear" w:color="auto" w:fill="F2F2F2"/>
          </w:tcPr>
          <w:p w14:paraId="458074A4" w14:textId="77777777" w:rsidR="00196F5B" w:rsidRPr="00521418" w:rsidRDefault="00196F5B" w:rsidP="00125EE0">
            <w:pPr>
              <w:spacing w:after="0" w:line="240" w:lineRule="auto"/>
              <w:jc w:val="center"/>
              <w:rPr>
                <w:rFonts w:ascii="Calibri" w:eastAsia="Calibri" w:hAnsi="Calibri" w:cs="Times New Roman"/>
                <w:b/>
              </w:rPr>
            </w:pPr>
          </w:p>
        </w:tc>
      </w:tr>
      <w:tr w:rsidR="00196F5B" w:rsidRPr="00521418" w14:paraId="4E7C09AD" w14:textId="77777777" w:rsidTr="00125EE0">
        <w:trPr>
          <w:gridAfter w:val="1"/>
          <w:wAfter w:w="6" w:type="dxa"/>
          <w:jc w:val="center"/>
        </w:trPr>
        <w:tc>
          <w:tcPr>
            <w:tcW w:w="3402" w:type="dxa"/>
            <w:tcBorders>
              <w:top w:val="nil"/>
              <w:left w:val="nil"/>
              <w:bottom w:val="nil"/>
              <w:right w:val="nil"/>
            </w:tcBorders>
          </w:tcPr>
          <w:p w14:paraId="7A81FA9B"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Person-years at risk</w:t>
            </w:r>
          </w:p>
        </w:tc>
        <w:tc>
          <w:tcPr>
            <w:tcW w:w="1701" w:type="dxa"/>
            <w:tcBorders>
              <w:top w:val="nil"/>
              <w:left w:val="nil"/>
              <w:bottom w:val="nil"/>
              <w:right w:val="nil"/>
            </w:tcBorders>
          </w:tcPr>
          <w:p w14:paraId="6778161A" w14:textId="77777777" w:rsidR="00196F5B" w:rsidRPr="00521418" w:rsidRDefault="00196F5B" w:rsidP="00125EE0">
            <w:pPr>
              <w:spacing w:after="0" w:line="240" w:lineRule="auto"/>
              <w:ind w:left="-1950" w:firstLine="1950"/>
              <w:jc w:val="center"/>
              <w:rPr>
                <w:rFonts w:ascii="Calibri" w:eastAsia="Calibri" w:hAnsi="Calibri" w:cs="Times New Roman"/>
              </w:rPr>
            </w:pPr>
            <w:r w:rsidRPr="00521418">
              <w:rPr>
                <w:rFonts w:ascii="Calibri" w:eastAsia="Calibri" w:hAnsi="Calibri" w:cs="Times New Roman"/>
              </w:rPr>
              <w:t>2566</w:t>
            </w:r>
          </w:p>
        </w:tc>
        <w:tc>
          <w:tcPr>
            <w:tcW w:w="1880" w:type="dxa"/>
            <w:gridSpan w:val="2"/>
            <w:tcBorders>
              <w:top w:val="nil"/>
              <w:left w:val="nil"/>
              <w:bottom w:val="nil"/>
              <w:right w:val="nil"/>
            </w:tcBorders>
          </w:tcPr>
          <w:p w14:paraId="04F4BEC9"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24062</w:t>
            </w:r>
          </w:p>
        </w:tc>
        <w:tc>
          <w:tcPr>
            <w:tcW w:w="284" w:type="dxa"/>
            <w:gridSpan w:val="2"/>
            <w:tcBorders>
              <w:top w:val="nil"/>
              <w:left w:val="nil"/>
              <w:bottom w:val="nil"/>
              <w:right w:val="nil"/>
            </w:tcBorders>
          </w:tcPr>
          <w:p w14:paraId="3C47E89B"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2DB35601"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53F73A1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7769CE22" w14:textId="77777777" w:rsidTr="00125EE0">
        <w:trPr>
          <w:gridAfter w:val="1"/>
          <w:wAfter w:w="6" w:type="dxa"/>
          <w:jc w:val="center"/>
        </w:trPr>
        <w:tc>
          <w:tcPr>
            <w:tcW w:w="3402" w:type="dxa"/>
            <w:tcBorders>
              <w:top w:val="nil"/>
              <w:left w:val="nil"/>
              <w:bottom w:val="nil"/>
              <w:right w:val="nil"/>
            </w:tcBorders>
          </w:tcPr>
          <w:p w14:paraId="078C07B8"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Events</w:t>
            </w:r>
          </w:p>
        </w:tc>
        <w:tc>
          <w:tcPr>
            <w:tcW w:w="1701" w:type="dxa"/>
            <w:tcBorders>
              <w:top w:val="nil"/>
              <w:left w:val="nil"/>
              <w:bottom w:val="nil"/>
              <w:right w:val="nil"/>
            </w:tcBorders>
          </w:tcPr>
          <w:p w14:paraId="2210D777" w14:textId="77777777" w:rsidR="00196F5B" w:rsidRPr="00521418" w:rsidRDefault="00196F5B" w:rsidP="00125EE0">
            <w:pPr>
              <w:spacing w:after="0" w:line="240" w:lineRule="auto"/>
              <w:ind w:left="-1950" w:firstLine="1950"/>
              <w:jc w:val="center"/>
              <w:rPr>
                <w:rFonts w:ascii="Calibri" w:eastAsia="Calibri" w:hAnsi="Calibri" w:cs="Times New Roman"/>
              </w:rPr>
            </w:pPr>
            <w:r w:rsidRPr="00521418">
              <w:rPr>
                <w:rFonts w:ascii="Calibri" w:eastAsia="Calibri" w:hAnsi="Calibri" w:cs="Times New Roman"/>
              </w:rPr>
              <w:t>138</w:t>
            </w:r>
          </w:p>
        </w:tc>
        <w:tc>
          <w:tcPr>
            <w:tcW w:w="1880" w:type="dxa"/>
            <w:gridSpan w:val="2"/>
            <w:tcBorders>
              <w:top w:val="nil"/>
              <w:left w:val="nil"/>
              <w:bottom w:val="nil"/>
              <w:right w:val="nil"/>
            </w:tcBorders>
          </w:tcPr>
          <w:p w14:paraId="7B26BDDA"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1445</w:t>
            </w:r>
          </w:p>
        </w:tc>
        <w:tc>
          <w:tcPr>
            <w:tcW w:w="284" w:type="dxa"/>
            <w:gridSpan w:val="2"/>
            <w:tcBorders>
              <w:top w:val="nil"/>
              <w:left w:val="nil"/>
              <w:bottom w:val="nil"/>
              <w:right w:val="nil"/>
            </w:tcBorders>
          </w:tcPr>
          <w:p w14:paraId="184E5B4B"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111112E8"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570F0CC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6FC09AB4" w14:textId="77777777" w:rsidTr="00125EE0">
        <w:trPr>
          <w:gridAfter w:val="1"/>
          <w:wAfter w:w="6" w:type="dxa"/>
          <w:jc w:val="center"/>
        </w:trPr>
        <w:tc>
          <w:tcPr>
            <w:tcW w:w="3402" w:type="dxa"/>
            <w:tcBorders>
              <w:top w:val="nil"/>
              <w:left w:val="nil"/>
              <w:bottom w:val="nil"/>
              <w:right w:val="nil"/>
            </w:tcBorders>
            <w:shd w:val="clear" w:color="auto" w:fill="FFFFFF"/>
          </w:tcPr>
          <w:p w14:paraId="3115F61F"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Prob</w:t>
            </w:r>
            <w:r w:rsidRPr="00521418">
              <w:rPr>
                <w:rFonts w:ascii="Calibri" w:eastAsia="Calibri" w:hAnsi="Calibri" w:cs="Times New Roman"/>
                <w:vertAlign w:val="superscript"/>
              </w:rPr>
              <w:t>4</w:t>
            </w:r>
            <w:r w:rsidRPr="00521418">
              <w:rPr>
                <w:rFonts w:ascii="Calibri" w:eastAsia="Calibri" w:hAnsi="Calibri" w:cs="Times New Roman"/>
              </w:rPr>
              <w:t xml:space="preserve"> at 3 </w:t>
            </w:r>
            <w:proofErr w:type="spellStart"/>
            <w:r w:rsidRPr="00521418">
              <w:rPr>
                <w:rFonts w:ascii="Calibri" w:eastAsia="Calibri" w:hAnsi="Calibri" w:cs="Times New Roman"/>
              </w:rPr>
              <w:t>yrs</w:t>
            </w:r>
            <w:proofErr w:type="spellEnd"/>
            <w:r w:rsidRPr="00521418">
              <w:rPr>
                <w:rFonts w:ascii="Calibri" w:eastAsia="Calibri" w:hAnsi="Calibri" w:cs="Times New Roman"/>
              </w:rPr>
              <w:t xml:space="preserve"> (%)</w:t>
            </w:r>
          </w:p>
        </w:tc>
        <w:tc>
          <w:tcPr>
            <w:tcW w:w="1701" w:type="dxa"/>
            <w:tcBorders>
              <w:top w:val="nil"/>
              <w:left w:val="nil"/>
              <w:bottom w:val="nil"/>
              <w:right w:val="nil"/>
            </w:tcBorders>
            <w:shd w:val="clear" w:color="auto" w:fill="FFFFFF"/>
          </w:tcPr>
          <w:p w14:paraId="328FE232"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15.09</w:t>
            </w:r>
          </w:p>
        </w:tc>
        <w:tc>
          <w:tcPr>
            <w:tcW w:w="1880" w:type="dxa"/>
            <w:gridSpan w:val="2"/>
            <w:tcBorders>
              <w:top w:val="nil"/>
              <w:left w:val="nil"/>
              <w:bottom w:val="nil"/>
              <w:right w:val="nil"/>
            </w:tcBorders>
            <w:shd w:val="clear" w:color="auto" w:fill="FFFFFF"/>
          </w:tcPr>
          <w:p w14:paraId="54E57752"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16.84</w:t>
            </w:r>
          </w:p>
        </w:tc>
        <w:tc>
          <w:tcPr>
            <w:tcW w:w="284" w:type="dxa"/>
            <w:gridSpan w:val="2"/>
            <w:tcBorders>
              <w:top w:val="nil"/>
              <w:left w:val="nil"/>
              <w:bottom w:val="nil"/>
              <w:right w:val="nil"/>
            </w:tcBorders>
            <w:shd w:val="clear" w:color="auto" w:fill="FFFFFF"/>
          </w:tcPr>
          <w:p w14:paraId="021F78DB"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FFFFF"/>
          </w:tcPr>
          <w:p w14:paraId="0C6C2AE6"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13.48</w:t>
            </w:r>
          </w:p>
        </w:tc>
        <w:tc>
          <w:tcPr>
            <w:tcW w:w="1741" w:type="dxa"/>
            <w:tcBorders>
              <w:top w:val="nil"/>
              <w:left w:val="nil"/>
              <w:bottom w:val="nil"/>
              <w:right w:val="nil"/>
            </w:tcBorders>
            <w:shd w:val="clear" w:color="auto" w:fill="FFFFFF"/>
          </w:tcPr>
          <w:p w14:paraId="2CB67C0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12.59</w:t>
            </w:r>
          </w:p>
        </w:tc>
      </w:tr>
      <w:tr w:rsidR="00196F5B" w:rsidRPr="00521418" w14:paraId="2786042E" w14:textId="77777777" w:rsidTr="00125EE0">
        <w:trPr>
          <w:gridAfter w:val="1"/>
          <w:wAfter w:w="6" w:type="dxa"/>
          <w:jc w:val="center"/>
        </w:trPr>
        <w:tc>
          <w:tcPr>
            <w:tcW w:w="3402" w:type="dxa"/>
            <w:tcBorders>
              <w:top w:val="nil"/>
              <w:left w:val="nil"/>
              <w:bottom w:val="nil"/>
              <w:right w:val="nil"/>
            </w:tcBorders>
            <w:shd w:val="clear" w:color="auto" w:fill="FFFFFF"/>
          </w:tcPr>
          <w:p w14:paraId="4AFBE69C"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Crude hazard ratio</w:t>
            </w:r>
          </w:p>
        </w:tc>
        <w:tc>
          <w:tcPr>
            <w:tcW w:w="1701" w:type="dxa"/>
            <w:tcBorders>
              <w:top w:val="nil"/>
              <w:left w:val="nil"/>
              <w:bottom w:val="nil"/>
              <w:right w:val="nil"/>
            </w:tcBorders>
            <w:shd w:val="clear" w:color="auto" w:fill="FFFFFF"/>
          </w:tcPr>
          <w:p w14:paraId="3CCAD09B"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w:t>
            </w:r>
          </w:p>
        </w:tc>
        <w:tc>
          <w:tcPr>
            <w:tcW w:w="1880" w:type="dxa"/>
            <w:gridSpan w:val="2"/>
            <w:tcBorders>
              <w:top w:val="nil"/>
              <w:left w:val="nil"/>
              <w:bottom w:val="nil"/>
              <w:right w:val="nil"/>
            </w:tcBorders>
            <w:shd w:val="clear" w:color="auto" w:fill="FFFFFF"/>
          </w:tcPr>
          <w:p w14:paraId="4BB18D4B"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1.12 (0.94-1.34)</w:t>
            </w:r>
          </w:p>
        </w:tc>
        <w:tc>
          <w:tcPr>
            <w:tcW w:w="284" w:type="dxa"/>
            <w:gridSpan w:val="2"/>
            <w:tcBorders>
              <w:top w:val="nil"/>
              <w:left w:val="nil"/>
              <w:bottom w:val="nil"/>
              <w:right w:val="nil"/>
            </w:tcBorders>
            <w:shd w:val="clear" w:color="auto" w:fill="FFFFFF"/>
          </w:tcPr>
          <w:p w14:paraId="75865EEB"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FFFFF"/>
          </w:tcPr>
          <w:p w14:paraId="3EF4540F"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shd w:val="clear" w:color="auto" w:fill="FFFFFF"/>
          </w:tcPr>
          <w:p w14:paraId="3E499280"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2785DD14" w14:textId="77777777" w:rsidTr="00125EE0">
        <w:trPr>
          <w:gridAfter w:val="1"/>
          <w:wAfter w:w="6" w:type="dxa"/>
          <w:jc w:val="center"/>
        </w:trPr>
        <w:tc>
          <w:tcPr>
            <w:tcW w:w="3402" w:type="dxa"/>
            <w:tcBorders>
              <w:top w:val="nil"/>
              <w:left w:val="nil"/>
              <w:bottom w:val="nil"/>
              <w:right w:val="nil"/>
            </w:tcBorders>
            <w:shd w:val="clear" w:color="auto" w:fill="FFFFFF"/>
          </w:tcPr>
          <w:p w14:paraId="5B5B1DB8" w14:textId="77777777" w:rsidR="00196F5B" w:rsidRPr="00521418" w:rsidRDefault="00196F5B" w:rsidP="00125EE0">
            <w:pPr>
              <w:spacing w:after="60" w:line="240" w:lineRule="auto"/>
              <w:rPr>
                <w:rFonts w:ascii="Calibri" w:eastAsia="Calibri" w:hAnsi="Calibri" w:cs="Times New Roman"/>
              </w:rPr>
            </w:pPr>
            <w:r w:rsidRPr="00521418">
              <w:rPr>
                <w:rFonts w:ascii="Calibri" w:eastAsia="Calibri" w:hAnsi="Calibri" w:cs="Times New Roman"/>
              </w:rPr>
              <w:t>Propensity matched hazard ratio</w:t>
            </w:r>
          </w:p>
        </w:tc>
        <w:tc>
          <w:tcPr>
            <w:tcW w:w="1701" w:type="dxa"/>
            <w:tcBorders>
              <w:top w:val="nil"/>
              <w:left w:val="nil"/>
              <w:bottom w:val="nil"/>
              <w:right w:val="nil"/>
            </w:tcBorders>
            <w:shd w:val="clear" w:color="auto" w:fill="FFFFFF"/>
          </w:tcPr>
          <w:p w14:paraId="519000D9"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1</w:t>
            </w:r>
          </w:p>
        </w:tc>
        <w:tc>
          <w:tcPr>
            <w:tcW w:w="1880" w:type="dxa"/>
            <w:gridSpan w:val="2"/>
            <w:tcBorders>
              <w:top w:val="nil"/>
              <w:left w:val="nil"/>
              <w:bottom w:val="nil"/>
              <w:right w:val="nil"/>
            </w:tcBorders>
            <w:shd w:val="clear" w:color="auto" w:fill="FFFFFF"/>
          </w:tcPr>
          <w:p w14:paraId="1C7D58FB"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0.93 (0.65-1.32)</w:t>
            </w:r>
            <w:r w:rsidRPr="00521418">
              <w:rPr>
                <w:rFonts w:ascii="Calibri" w:eastAsia="Calibri" w:hAnsi="Calibri" w:cs="Times New Roman"/>
                <w:vertAlign w:val="superscript"/>
              </w:rPr>
              <w:t>5</w:t>
            </w:r>
          </w:p>
        </w:tc>
        <w:tc>
          <w:tcPr>
            <w:tcW w:w="284" w:type="dxa"/>
            <w:gridSpan w:val="2"/>
            <w:tcBorders>
              <w:top w:val="nil"/>
              <w:left w:val="nil"/>
              <w:bottom w:val="nil"/>
              <w:right w:val="nil"/>
            </w:tcBorders>
            <w:shd w:val="clear" w:color="auto" w:fill="FFFFFF"/>
          </w:tcPr>
          <w:p w14:paraId="0FCB47FD" w14:textId="77777777" w:rsidR="00196F5B" w:rsidRPr="00521418" w:rsidRDefault="00196F5B" w:rsidP="00125EE0">
            <w:pPr>
              <w:spacing w:after="6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FFFFF"/>
          </w:tcPr>
          <w:p w14:paraId="04956E3C"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1</w:t>
            </w:r>
          </w:p>
        </w:tc>
        <w:tc>
          <w:tcPr>
            <w:tcW w:w="1741" w:type="dxa"/>
            <w:tcBorders>
              <w:top w:val="nil"/>
              <w:left w:val="nil"/>
              <w:bottom w:val="nil"/>
              <w:right w:val="nil"/>
            </w:tcBorders>
            <w:shd w:val="clear" w:color="auto" w:fill="FFFFFF"/>
          </w:tcPr>
          <w:p w14:paraId="73B2A58C" w14:textId="77777777" w:rsidR="00196F5B" w:rsidRPr="00521418" w:rsidRDefault="00196F5B" w:rsidP="00125EE0">
            <w:pPr>
              <w:spacing w:after="60" w:line="240" w:lineRule="auto"/>
              <w:jc w:val="center"/>
              <w:rPr>
                <w:rFonts w:ascii="Calibri" w:eastAsia="Calibri" w:hAnsi="Calibri" w:cs="Times New Roman"/>
              </w:rPr>
            </w:pPr>
            <w:r w:rsidRPr="00521418">
              <w:rPr>
                <w:rFonts w:ascii="Calibri" w:eastAsia="Calibri" w:hAnsi="Calibri" w:cs="Times New Roman"/>
              </w:rPr>
              <w:t>0.93 (0.77-1.13)</w:t>
            </w:r>
          </w:p>
        </w:tc>
      </w:tr>
      <w:tr w:rsidR="00196F5B" w:rsidRPr="00521418" w14:paraId="5A9B2240" w14:textId="77777777" w:rsidTr="00125EE0">
        <w:trPr>
          <w:gridAfter w:val="1"/>
          <w:wAfter w:w="6" w:type="dxa"/>
          <w:jc w:val="center"/>
        </w:trPr>
        <w:tc>
          <w:tcPr>
            <w:tcW w:w="3402" w:type="dxa"/>
            <w:tcBorders>
              <w:top w:val="nil"/>
              <w:left w:val="nil"/>
              <w:bottom w:val="nil"/>
              <w:right w:val="nil"/>
            </w:tcBorders>
            <w:shd w:val="clear" w:color="auto" w:fill="F2F2F2"/>
          </w:tcPr>
          <w:p w14:paraId="557F0D6C" w14:textId="77777777" w:rsidR="00196F5B" w:rsidRPr="00521418" w:rsidRDefault="00196F5B" w:rsidP="00125EE0">
            <w:pPr>
              <w:spacing w:after="0" w:line="240" w:lineRule="auto"/>
              <w:rPr>
                <w:rFonts w:ascii="Calibri" w:eastAsia="Calibri" w:hAnsi="Calibri" w:cs="Times New Roman"/>
                <w:b/>
              </w:rPr>
            </w:pPr>
            <w:r w:rsidRPr="00521418">
              <w:rPr>
                <w:rFonts w:ascii="Calibri" w:eastAsia="Calibri" w:hAnsi="Calibri" w:cs="Times New Roman"/>
                <w:b/>
              </w:rPr>
              <w:t>Pneumonia</w:t>
            </w:r>
          </w:p>
        </w:tc>
        <w:tc>
          <w:tcPr>
            <w:tcW w:w="1701" w:type="dxa"/>
            <w:tcBorders>
              <w:top w:val="nil"/>
              <w:left w:val="nil"/>
              <w:bottom w:val="nil"/>
              <w:right w:val="nil"/>
            </w:tcBorders>
            <w:shd w:val="clear" w:color="auto" w:fill="F2F2F2"/>
          </w:tcPr>
          <w:p w14:paraId="0632DB2E" w14:textId="77777777" w:rsidR="00196F5B" w:rsidRPr="00521418" w:rsidRDefault="00196F5B" w:rsidP="00125EE0">
            <w:pPr>
              <w:spacing w:after="0" w:line="240" w:lineRule="auto"/>
              <w:jc w:val="center"/>
              <w:rPr>
                <w:rFonts w:ascii="Calibri" w:eastAsia="Calibri" w:hAnsi="Calibri" w:cs="Times New Roman"/>
              </w:rPr>
            </w:pPr>
          </w:p>
        </w:tc>
        <w:tc>
          <w:tcPr>
            <w:tcW w:w="1880" w:type="dxa"/>
            <w:gridSpan w:val="2"/>
            <w:tcBorders>
              <w:top w:val="nil"/>
              <w:left w:val="nil"/>
              <w:bottom w:val="nil"/>
              <w:right w:val="nil"/>
            </w:tcBorders>
            <w:shd w:val="clear" w:color="auto" w:fill="F2F2F2"/>
          </w:tcPr>
          <w:p w14:paraId="680F193F" w14:textId="77777777" w:rsidR="00196F5B" w:rsidRPr="00521418" w:rsidRDefault="00196F5B" w:rsidP="00125EE0">
            <w:pPr>
              <w:spacing w:after="0" w:line="240" w:lineRule="auto"/>
              <w:jc w:val="center"/>
              <w:rPr>
                <w:rFonts w:ascii="Calibri" w:eastAsia="Calibri" w:hAnsi="Calibri" w:cs="Times New Roman"/>
              </w:rPr>
            </w:pPr>
          </w:p>
        </w:tc>
        <w:tc>
          <w:tcPr>
            <w:tcW w:w="284" w:type="dxa"/>
            <w:gridSpan w:val="2"/>
            <w:tcBorders>
              <w:top w:val="nil"/>
              <w:left w:val="nil"/>
              <w:bottom w:val="nil"/>
              <w:right w:val="nil"/>
            </w:tcBorders>
            <w:shd w:val="clear" w:color="auto" w:fill="F2F2F2"/>
          </w:tcPr>
          <w:p w14:paraId="2648862A"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shd w:val="clear" w:color="auto" w:fill="F2F2F2"/>
          </w:tcPr>
          <w:p w14:paraId="474FD1E6" w14:textId="77777777" w:rsidR="00196F5B" w:rsidRPr="00521418" w:rsidRDefault="00196F5B" w:rsidP="00125EE0">
            <w:pPr>
              <w:spacing w:after="0" w:line="240" w:lineRule="auto"/>
              <w:jc w:val="center"/>
              <w:rPr>
                <w:rFonts w:ascii="Calibri" w:eastAsia="Calibri" w:hAnsi="Calibri" w:cs="Times New Roman"/>
              </w:rPr>
            </w:pPr>
          </w:p>
        </w:tc>
        <w:tc>
          <w:tcPr>
            <w:tcW w:w="1741" w:type="dxa"/>
            <w:tcBorders>
              <w:top w:val="nil"/>
              <w:left w:val="nil"/>
              <w:bottom w:val="nil"/>
              <w:right w:val="nil"/>
            </w:tcBorders>
            <w:shd w:val="clear" w:color="auto" w:fill="F2F2F2"/>
          </w:tcPr>
          <w:p w14:paraId="5C3439D2" w14:textId="77777777" w:rsidR="00196F5B" w:rsidRPr="00521418" w:rsidRDefault="00196F5B" w:rsidP="00125EE0">
            <w:pPr>
              <w:spacing w:after="0" w:line="240" w:lineRule="auto"/>
              <w:jc w:val="center"/>
              <w:rPr>
                <w:rFonts w:ascii="Calibri" w:eastAsia="Calibri" w:hAnsi="Calibri" w:cs="Times New Roman"/>
              </w:rPr>
            </w:pPr>
          </w:p>
        </w:tc>
      </w:tr>
      <w:tr w:rsidR="00196F5B" w:rsidRPr="00521418" w14:paraId="1D857847" w14:textId="77777777" w:rsidTr="00125EE0">
        <w:trPr>
          <w:gridAfter w:val="1"/>
          <w:wAfter w:w="6" w:type="dxa"/>
          <w:jc w:val="center"/>
        </w:trPr>
        <w:tc>
          <w:tcPr>
            <w:tcW w:w="3402" w:type="dxa"/>
            <w:tcBorders>
              <w:top w:val="nil"/>
              <w:left w:val="nil"/>
              <w:bottom w:val="nil"/>
              <w:right w:val="nil"/>
            </w:tcBorders>
          </w:tcPr>
          <w:p w14:paraId="0C7DDFD9"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Events</w:t>
            </w:r>
          </w:p>
        </w:tc>
        <w:tc>
          <w:tcPr>
            <w:tcW w:w="1701" w:type="dxa"/>
            <w:tcBorders>
              <w:top w:val="nil"/>
              <w:left w:val="nil"/>
              <w:bottom w:val="nil"/>
              <w:right w:val="nil"/>
            </w:tcBorders>
          </w:tcPr>
          <w:p w14:paraId="54013F34"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86</w:t>
            </w:r>
          </w:p>
        </w:tc>
        <w:tc>
          <w:tcPr>
            <w:tcW w:w="1880" w:type="dxa"/>
            <w:gridSpan w:val="2"/>
            <w:tcBorders>
              <w:top w:val="nil"/>
              <w:left w:val="nil"/>
              <w:bottom w:val="nil"/>
              <w:right w:val="nil"/>
            </w:tcBorders>
          </w:tcPr>
          <w:p w14:paraId="4EE290A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1137</w:t>
            </w:r>
          </w:p>
        </w:tc>
        <w:tc>
          <w:tcPr>
            <w:tcW w:w="284" w:type="dxa"/>
            <w:gridSpan w:val="2"/>
            <w:tcBorders>
              <w:top w:val="nil"/>
              <w:left w:val="nil"/>
              <w:bottom w:val="nil"/>
              <w:right w:val="nil"/>
            </w:tcBorders>
          </w:tcPr>
          <w:p w14:paraId="64D3F337"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322666B0"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063E4263"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776102E9" w14:textId="77777777" w:rsidTr="00125EE0">
        <w:trPr>
          <w:gridAfter w:val="1"/>
          <w:wAfter w:w="6" w:type="dxa"/>
          <w:jc w:val="center"/>
        </w:trPr>
        <w:tc>
          <w:tcPr>
            <w:tcW w:w="3402" w:type="dxa"/>
            <w:tcBorders>
              <w:top w:val="nil"/>
              <w:left w:val="nil"/>
              <w:bottom w:val="nil"/>
              <w:right w:val="nil"/>
            </w:tcBorders>
          </w:tcPr>
          <w:p w14:paraId="24640AFF"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 of total patients</w:t>
            </w:r>
          </w:p>
        </w:tc>
        <w:tc>
          <w:tcPr>
            <w:tcW w:w="1701" w:type="dxa"/>
            <w:tcBorders>
              <w:top w:val="nil"/>
              <w:left w:val="nil"/>
              <w:bottom w:val="nil"/>
              <w:right w:val="nil"/>
            </w:tcBorders>
          </w:tcPr>
          <w:p w14:paraId="2D068BE4"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7.50</w:t>
            </w:r>
          </w:p>
        </w:tc>
        <w:tc>
          <w:tcPr>
            <w:tcW w:w="1880" w:type="dxa"/>
            <w:gridSpan w:val="2"/>
            <w:tcBorders>
              <w:top w:val="nil"/>
              <w:left w:val="nil"/>
              <w:bottom w:val="nil"/>
              <w:right w:val="nil"/>
            </w:tcBorders>
          </w:tcPr>
          <w:p w14:paraId="6F316698"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10.12</w:t>
            </w:r>
          </w:p>
        </w:tc>
        <w:tc>
          <w:tcPr>
            <w:tcW w:w="284" w:type="dxa"/>
            <w:gridSpan w:val="2"/>
            <w:tcBorders>
              <w:top w:val="nil"/>
              <w:left w:val="nil"/>
              <w:bottom w:val="nil"/>
              <w:right w:val="nil"/>
            </w:tcBorders>
          </w:tcPr>
          <w:p w14:paraId="5539BAF8" w14:textId="77777777" w:rsidR="00196F5B" w:rsidRPr="00521418" w:rsidRDefault="00196F5B" w:rsidP="00125EE0">
            <w:pPr>
              <w:spacing w:after="0" w:line="240" w:lineRule="auto"/>
              <w:jc w:val="center"/>
              <w:rPr>
                <w:rFonts w:ascii="Calibri" w:eastAsia="Calibri" w:hAnsi="Calibri" w:cs="Times New Roman"/>
              </w:rPr>
            </w:pPr>
          </w:p>
        </w:tc>
        <w:tc>
          <w:tcPr>
            <w:tcW w:w="1313" w:type="dxa"/>
            <w:gridSpan w:val="2"/>
            <w:tcBorders>
              <w:top w:val="nil"/>
              <w:left w:val="nil"/>
              <w:bottom w:val="nil"/>
              <w:right w:val="nil"/>
            </w:tcBorders>
          </w:tcPr>
          <w:p w14:paraId="22C6AFB6"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13.29</w:t>
            </w:r>
          </w:p>
        </w:tc>
        <w:tc>
          <w:tcPr>
            <w:tcW w:w="1741" w:type="dxa"/>
            <w:tcBorders>
              <w:top w:val="nil"/>
              <w:left w:val="nil"/>
              <w:bottom w:val="nil"/>
              <w:right w:val="nil"/>
            </w:tcBorders>
          </w:tcPr>
          <w:p w14:paraId="3B4F9702"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19.60</w:t>
            </w:r>
          </w:p>
        </w:tc>
      </w:tr>
      <w:tr w:rsidR="00196F5B" w:rsidRPr="00521418" w14:paraId="6393D652" w14:textId="77777777" w:rsidTr="00125EE0">
        <w:trPr>
          <w:gridAfter w:val="1"/>
          <w:wAfter w:w="6" w:type="dxa"/>
          <w:jc w:val="center"/>
        </w:trPr>
        <w:tc>
          <w:tcPr>
            <w:tcW w:w="3402" w:type="dxa"/>
            <w:tcBorders>
              <w:top w:val="nil"/>
              <w:left w:val="nil"/>
              <w:bottom w:val="nil"/>
              <w:right w:val="nil"/>
            </w:tcBorders>
          </w:tcPr>
          <w:p w14:paraId="5FB9A705"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Crude risk ratio</w:t>
            </w:r>
          </w:p>
        </w:tc>
        <w:tc>
          <w:tcPr>
            <w:tcW w:w="1701" w:type="dxa"/>
            <w:tcBorders>
              <w:top w:val="nil"/>
              <w:left w:val="nil"/>
              <w:bottom w:val="nil"/>
              <w:right w:val="nil"/>
            </w:tcBorders>
          </w:tcPr>
          <w:p w14:paraId="704946C0"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w:t>
            </w:r>
          </w:p>
        </w:tc>
        <w:tc>
          <w:tcPr>
            <w:tcW w:w="1880" w:type="dxa"/>
            <w:gridSpan w:val="2"/>
            <w:tcBorders>
              <w:top w:val="nil"/>
              <w:left w:val="nil"/>
              <w:bottom w:val="nil"/>
              <w:right w:val="nil"/>
            </w:tcBorders>
          </w:tcPr>
          <w:p w14:paraId="462C2F1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1.35 (1.09-1.66)</w:t>
            </w:r>
          </w:p>
        </w:tc>
        <w:tc>
          <w:tcPr>
            <w:tcW w:w="284" w:type="dxa"/>
            <w:gridSpan w:val="2"/>
            <w:tcBorders>
              <w:top w:val="nil"/>
              <w:left w:val="nil"/>
              <w:bottom w:val="nil"/>
              <w:right w:val="nil"/>
            </w:tcBorders>
          </w:tcPr>
          <w:p w14:paraId="281711DF"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1815584E"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05E955F9"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3A46FE02" w14:textId="77777777" w:rsidTr="00125EE0">
        <w:trPr>
          <w:gridAfter w:val="1"/>
          <w:wAfter w:w="6" w:type="dxa"/>
          <w:jc w:val="center"/>
        </w:trPr>
        <w:tc>
          <w:tcPr>
            <w:tcW w:w="3402" w:type="dxa"/>
            <w:tcBorders>
              <w:top w:val="nil"/>
              <w:left w:val="nil"/>
              <w:bottom w:val="nil"/>
              <w:right w:val="nil"/>
            </w:tcBorders>
          </w:tcPr>
          <w:p w14:paraId="3991EFB7"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Propensity matched risk ratio</w:t>
            </w:r>
          </w:p>
        </w:tc>
        <w:tc>
          <w:tcPr>
            <w:tcW w:w="1701" w:type="dxa"/>
            <w:tcBorders>
              <w:top w:val="nil"/>
              <w:left w:val="nil"/>
              <w:bottom w:val="nil"/>
              <w:right w:val="nil"/>
            </w:tcBorders>
          </w:tcPr>
          <w:p w14:paraId="2EA616D9"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w:t>
            </w:r>
          </w:p>
        </w:tc>
        <w:tc>
          <w:tcPr>
            <w:tcW w:w="1880" w:type="dxa"/>
            <w:gridSpan w:val="2"/>
            <w:tcBorders>
              <w:top w:val="nil"/>
              <w:left w:val="nil"/>
              <w:bottom w:val="nil"/>
              <w:right w:val="nil"/>
            </w:tcBorders>
          </w:tcPr>
          <w:p w14:paraId="34C754BB"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1.39 (1.04-1.87)</w:t>
            </w:r>
            <w:r w:rsidRPr="00521418">
              <w:rPr>
                <w:rFonts w:ascii="Calibri" w:eastAsia="Calibri" w:hAnsi="Calibri" w:cs="Times New Roman"/>
                <w:vertAlign w:val="superscript"/>
              </w:rPr>
              <w:t>7</w:t>
            </w:r>
          </w:p>
        </w:tc>
        <w:tc>
          <w:tcPr>
            <w:tcW w:w="284" w:type="dxa"/>
            <w:gridSpan w:val="2"/>
            <w:tcBorders>
              <w:top w:val="nil"/>
              <w:left w:val="nil"/>
              <w:bottom w:val="nil"/>
              <w:right w:val="nil"/>
            </w:tcBorders>
          </w:tcPr>
          <w:p w14:paraId="5E0A51DD"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4CF37383"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 xml:space="preserve">1 </w:t>
            </w:r>
          </w:p>
        </w:tc>
        <w:tc>
          <w:tcPr>
            <w:tcW w:w="1741" w:type="dxa"/>
            <w:tcBorders>
              <w:top w:val="nil"/>
              <w:left w:val="nil"/>
              <w:bottom w:val="nil"/>
              <w:right w:val="nil"/>
            </w:tcBorders>
          </w:tcPr>
          <w:p w14:paraId="32A33578"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1.47 (1.25-1.73)</w:t>
            </w:r>
          </w:p>
        </w:tc>
      </w:tr>
      <w:tr w:rsidR="00196F5B" w:rsidRPr="00521418" w14:paraId="0D5B44AC" w14:textId="77777777" w:rsidTr="00125EE0">
        <w:trPr>
          <w:jc w:val="center"/>
        </w:trPr>
        <w:tc>
          <w:tcPr>
            <w:tcW w:w="10327" w:type="dxa"/>
            <w:gridSpan w:val="10"/>
            <w:tcBorders>
              <w:top w:val="nil"/>
              <w:left w:val="nil"/>
              <w:bottom w:val="nil"/>
              <w:right w:val="nil"/>
            </w:tcBorders>
            <w:shd w:val="clear" w:color="auto" w:fill="F2F2F2"/>
          </w:tcPr>
          <w:p w14:paraId="508B5C28"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b/>
              </w:rPr>
              <w:t>Time to treatment discontinuation</w:t>
            </w:r>
          </w:p>
        </w:tc>
      </w:tr>
      <w:tr w:rsidR="00196F5B" w:rsidRPr="00521418" w14:paraId="27E39CDD" w14:textId="77777777" w:rsidTr="00125EE0">
        <w:trPr>
          <w:gridAfter w:val="1"/>
          <w:wAfter w:w="6" w:type="dxa"/>
          <w:jc w:val="center"/>
        </w:trPr>
        <w:tc>
          <w:tcPr>
            <w:tcW w:w="3402" w:type="dxa"/>
            <w:tcBorders>
              <w:top w:val="nil"/>
              <w:left w:val="nil"/>
              <w:bottom w:val="nil"/>
              <w:right w:val="nil"/>
            </w:tcBorders>
          </w:tcPr>
          <w:p w14:paraId="016641AC"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Person-years at risk</w:t>
            </w:r>
          </w:p>
        </w:tc>
        <w:tc>
          <w:tcPr>
            <w:tcW w:w="1701" w:type="dxa"/>
            <w:tcBorders>
              <w:top w:val="nil"/>
              <w:left w:val="nil"/>
              <w:bottom w:val="nil"/>
              <w:right w:val="nil"/>
            </w:tcBorders>
          </w:tcPr>
          <w:p w14:paraId="4AF20607"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1251</w:t>
            </w:r>
          </w:p>
        </w:tc>
        <w:tc>
          <w:tcPr>
            <w:tcW w:w="1880" w:type="dxa"/>
            <w:gridSpan w:val="2"/>
            <w:tcBorders>
              <w:top w:val="nil"/>
              <w:left w:val="nil"/>
              <w:bottom w:val="nil"/>
              <w:right w:val="nil"/>
            </w:tcBorders>
          </w:tcPr>
          <w:p w14:paraId="41DE0A4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21587</w:t>
            </w:r>
          </w:p>
        </w:tc>
        <w:tc>
          <w:tcPr>
            <w:tcW w:w="284" w:type="dxa"/>
            <w:gridSpan w:val="2"/>
            <w:tcBorders>
              <w:top w:val="nil"/>
              <w:left w:val="nil"/>
              <w:bottom w:val="nil"/>
              <w:right w:val="nil"/>
            </w:tcBorders>
          </w:tcPr>
          <w:p w14:paraId="7E3CC231"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7BF2DCCA"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2F0D2F7D"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2F3A2559" w14:textId="77777777" w:rsidTr="00125EE0">
        <w:trPr>
          <w:gridAfter w:val="1"/>
          <w:wAfter w:w="6" w:type="dxa"/>
          <w:jc w:val="center"/>
        </w:trPr>
        <w:tc>
          <w:tcPr>
            <w:tcW w:w="3402" w:type="dxa"/>
            <w:tcBorders>
              <w:top w:val="nil"/>
              <w:left w:val="nil"/>
              <w:bottom w:val="nil"/>
              <w:right w:val="nil"/>
            </w:tcBorders>
          </w:tcPr>
          <w:p w14:paraId="62058494"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Events</w:t>
            </w:r>
          </w:p>
        </w:tc>
        <w:tc>
          <w:tcPr>
            <w:tcW w:w="1701" w:type="dxa"/>
            <w:tcBorders>
              <w:top w:val="nil"/>
              <w:left w:val="nil"/>
              <w:bottom w:val="nil"/>
              <w:right w:val="nil"/>
            </w:tcBorders>
          </w:tcPr>
          <w:p w14:paraId="08BC07BF"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740</w:t>
            </w:r>
          </w:p>
        </w:tc>
        <w:tc>
          <w:tcPr>
            <w:tcW w:w="1880" w:type="dxa"/>
            <w:gridSpan w:val="2"/>
            <w:tcBorders>
              <w:top w:val="nil"/>
              <w:left w:val="nil"/>
              <w:bottom w:val="nil"/>
              <w:right w:val="nil"/>
            </w:tcBorders>
          </w:tcPr>
          <w:p w14:paraId="3081E608"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2449</w:t>
            </w:r>
          </w:p>
        </w:tc>
        <w:tc>
          <w:tcPr>
            <w:tcW w:w="284" w:type="dxa"/>
            <w:gridSpan w:val="2"/>
            <w:tcBorders>
              <w:top w:val="nil"/>
              <w:left w:val="nil"/>
              <w:bottom w:val="nil"/>
              <w:right w:val="nil"/>
            </w:tcBorders>
          </w:tcPr>
          <w:p w14:paraId="02628ADD"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1975FE7A"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5EB05F0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67A6BA44" w14:textId="77777777" w:rsidTr="00125EE0">
        <w:trPr>
          <w:gridAfter w:val="1"/>
          <w:wAfter w:w="6" w:type="dxa"/>
          <w:jc w:val="center"/>
        </w:trPr>
        <w:tc>
          <w:tcPr>
            <w:tcW w:w="3402" w:type="dxa"/>
            <w:tcBorders>
              <w:top w:val="nil"/>
              <w:left w:val="nil"/>
              <w:bottom w:val="nil"/>
              <w:right w:val="nil"/>
            </w:tcBorders>
          </w:tcPr>
          <w:p w14:paraId="64B79BB3"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Prob</w:t>
            </w:r>
            <w:r w:rsidRPr="00521418">
              <w:rPr>
                <w:rFonts w:ascii="Calibri" w:eastAsia="Calibri" w:hAnsi="Calibri" w:cs="Times New Roman"/>
                <w:vertAlign w:val="superscript"/>
              </w:rPr>
              <w:t>4</w:t>
            </w:r>
            <w:r w:rsidRPr="00521418">
              <w:rPr>
                <w:rFonts w:ascii="Calibri" w:eastAsia="Calibri" w:hAnsi="Calibri" w:cs="Times New Roman"/>
              </w:rPr>
              <w:t xml:space="preserve"> at 3 </w:t>
            </w:r>
            <w:proofErr w:type="spellStart"/>
            <w:r w:rsidRPr="00521418">
              <w:rPr>
                <w:rFonts w:ascii="Calibri" w:eastAsia="Calibri" w:hAnsi="Calibri" w:cs="Times New Roman"/>
              </w:rPr>
              <w:t>yrs</w:t>
            </w:r>
            <w:proofErr w:type="spellEnd"/>
            <w:r w:rsidRPr="00521418">
              <w:rPr>
                <w:rFonts w:ascii="Calibri" w:eastAsia="Calibri" w:hAnsi="Calibri" w:cs="Times New Roman"/>
              </w:rPr>
              <w:t xml:space="preserve"> (%)</w:t>
            </w:r>
          </w:p>
        </w:tc>
        <w:tc>
          <w:tcPr>
            <w:tcW w:w="1701" w:type="dxa"/>
            <w:tcBorders>
              <w:top w:val="nil"/>
              <w:left w:val="nil"/>
              <w:bottom w:val="nil"/>
              <w:right w:val="nil"/>
            </w:tcBorders>
          </w:tcPr>
          <w:p w14:paraId="72DD1018"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77.02</w:t>
            </w:r>
          </w:p>
        </w:tc>
        <w:tc>
          <w:tcPr>
            <w:tcW w:w="1880" w:type="dxa"/>
            <w:gridSpan w:val="2"/>
            <w:tcBorders>
              <w:top w:val="nil"/>
              <w:left w:val="nil"/>
              <w:bottom w:val="nil"/>
              <w:right w:val="nil"/>
            </w:tcBorders>
          </w:tcPr>
          <w:p w14:paraId="25BF6267"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28.04</w:t>
            </w:r>
          </w:p>
        </w:tc>
        <w:tc>
          <w:tcPr>
            <w:tcW w:w="284" w:type="dxa"/>
            <w:gridSpan w:val="2"/>
            <w:tcBorders>
              <w:top w:val="nil"/>
              <w:left w:val="nil"/>
              <w:bottom w:val="nil"/>
              <w:right w:val="nil"/>
            </w:tcBorders>
          </w:tcPr>
          <w:p w14:paraId="3A2EE2A9"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33BA2DAF"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36.40</w:t>
            </w:r>
          </w:p>
        </w:tc>
        <w:tc>
          <w:tcPr>
            <w:tcW w:w="1741" w:type="dxa"/>
            <w:tcBorders>
              <w:top w:val="nil"/>
              <w:left w:val="nil"/>
              <w:bottom w:val="nil"/>
              <w:right w:val="nil"/>
            </w:tcBorders>
          </w:tcPr>
          <w:p w14:paraId="08776693"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33.70</w:t>
            </w:r>
          </w:p>
        </w:tc>
      </w:tr>
      <w:tr w:rsidR="00196F5B" w:rsidRPr="00521418" w14:paraId="13B54CDA" w14:textId="77777777" w:rsidTr="00125EE0">
        <w:trPr>
          <w:gridAfter w:val="1"/>
          <w:wAfter w:w="6" w:type="dxa"/>
          <w:jc w:val="center"/>
        </w:trPr>
        <w:tc>
          <w:tcPr>
            <w:tcW w:w="3402" w:type="dxa"/>
            <w:tcBorders>
              <w:top w:val="nil"/>
              <w:left w:val="nil"/>
              <w:bottom w:val="nil"/>
              <w:right w:val="nil"/>
            </w:tcBorders>
          </w:tcPr>
          <w:p w14:paraId="0244AAA2"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Crude hazard ratio</w:t>
            </w:r>
          </w:p>
        </w:tc>
        <w:tc>
          <w:tcPr>
            <w:tcW w:w="1701" w:type="dxa"/>
            <w:tcBorders>
              <w:top w:val="nil"/>
              <w:left w:val="nil"/>
              <w:bottom w:val="nil"/>
              <w:right w:val="nil"/>
            </w:tcBorders>
          </w:tcPr>
          <w:p w14:paraId="1F52B9DB"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w:t>
            </w:r>
          </w:p>
        </w:tc>
        <w:tc>
          <w:tcPr>
            <w:tcW w:w="1880" w:type="dxa"/>
            <w:gridSpan w:val="2"/>
            <w:tcBorders>
              <w:top w:val="nil"/>
              <w:left w:val="nil"/>
              <w:bottom w:val="nil"/>
              <w:right w:val="nil"/>
            </w:tcBorders>
          </w:tcPr>
          <w:p w14:paraId="43B0D875"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0.22 (0.20-0.23)</w:t>
            </w:r>
          </w:p>
        </w:tc>
        <w:tc>
          <w:tcPr>
            <w:tcW w:w="284" w:type="dxa"/>
            <w:gridSpan w:val="2"/>
            <w:tcBorders>
              <w:top w:val="nil"/>
              <w:left w:val="nil"/>
              <w:bottom w:val="nil"/>
              <w:right w:val="nil"/>
            </w:tcBorders>
          </w:tcPr>
          <w:p w14:paraId="726CDF6F"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nil"/>
              <w:right w:val="nil"/>
            </w:tcBorders>
          </w:tcPr>
          <w:p w14:paraId="55C4AAD8"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c>
          <w:tcPr>
            <w:tcW w:w="1741" w:type="dxa"/>
            <w:tcBorders>
              <w:top w:val="nil"/>
              <w:left w:val="nil"/>
              <w:bottom w:val="nil"/>
              <w:right w:val="nil"/>
            </w:tcBorders>
          </w:tcPr>
          <w:p w14:paraId="74DB14AE"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w:t>
            </w:r>
          </w:p>
        </w:tc>
      </w:tr>
      <w:tr w:rsidR="00196F5B" w:rsidRPr="00521418" w14:paraId="3B515141" w14:textId="77777777" w:rsidTr="00125EE0">
        <w:trPr>
          <w:gridAfter w:val="1"/>
          <w:wAfter w:w="6" w:type="dxa"/>
          <w:jc w:val="center"/>
        </w:trPr>
        <w:tc>
          <w:tcPr>
            <w:tcW w:w="3402" w:type="dxa"/>
            <w:tcBorders>
              <w:top w:val="nil"/>
              <w:left w:val="nil"/>
              <w:bottom w:val="single" w:sz="4" w:space="0" w:color="auto"/>
              <w:right w:val="nil"/>
            </w:tcBorders>
          </w:tcPr>
          <w:p w14:paraId="2D520191" w14:textId="77777777" w:rsidR="00196F5B" w:rsidRPr="00521418" w:rsidRDefault="00196F5B" w:rsidP="00125EE0">
            <w:pPr>
              <w:spacing w:after="0" w:line="240" w:lineRule="auto"/>
              <w:rPr>
                <w:rFonts w:ascii="Calibri" w:eastAsia="Calibri" w:hAnsi="Calibri" w:cs="Times New Roman"/>
              </w:rPr>
            </w:pPr>
            <w:r w:rsidRPr="00521418">
              <w:rPr>
                <w:rFonts w:ascii="Calibri" w:eastAsia="Calibri" w:hAnsi="Calibri" w:cs="Times New Roman"/>
              </w:rPr>
              <w:t>Propensity matched hazard ratio</w:t>
            </w:r>
          </w:p>
        </w:tc>
        <w:tc>
          <w:tcPr>
            <w:tcW w:w="1701" w:type="dxa"/>
            <w:tcBorders>
              <w:top w:val="nil"/>
              <w:left w:val="nil"/>
              <w:bottom w:val="single" w:sz="4" w:space="0" w:color="auto"/>
              <w:right w:val="nil"/>
            </w:tcBorders>
          </w:tcPr>
          <w:p w14:paraId="3E12DE42"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w:t>
            </w:r>
          </w:p>
        </w:tc>
        <w:tc>
          <w:tcPr>
            <w:tcW w:w="1880" w:type="dxa"/>
            <w:gridSpan w:val="2"/>
            <w:tcBorders>
              <w:top w:val="nil"/>
              <w:left w:val="nil"/>
              <w:bottom w:val="single" w:sz="4" w:space="0" w:color="auto"/>
              <w:right w:val="nil"/>
            </w:tcBorders>
          </w:tcPr>
          <w:p w14:paraId="74E567DC"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0.23 (0.20-0.27)</w:t>
            </w:r>
            <w:r w:rsidRPr="00521418">
              <w:rPr>
                <w:rFonts w:ascii="Calibri" w:eastAsia="Calibri" w:hAnsi="Calibri" w:cs="Times New Roman"/>
                <w:vertAlign w:val="superscript"/>
              </w:rPr>
              <w:t>6</w:t>
            </w:r>
          </w:p>
        </w:tc>
        <w:tc>
          <w:tcPr>
            <w:tcW w:w="284" w:type="dxa"/>
            <w:gridSpan w:val="2"/>
            <w:tcBorders>
              <w:top w:val="nil"/>
              <w:left w:val="nil"/>
              <w:bottom w:val="single" w:sz="4" w:space="0" w:color="auto"/>
              <w:right w:val="nil"/>
            </w:tcBorders>
          </w:tcPr>
          <w:p w14:paraId="1FCE539E" w14:textId="77777777" w:rsidR="00196F5B" w:rsidRPr="00521418" w:rsidRDefault="00196F5B" w:rsidP="00125EE0">
            <w:pPr>
              <w:spacing w:after="0" w:line="240" w:lineRule="auto"/>
              <w:jc w:val="center"/>
              <w:rPr>
                <w:rFonts w:ascii="Calibri" w:eastAsia="Calibri" w:hAnsi="Calibri" w:cs="Times New Roman"/>
                <w:color w:val="FF0000"/>
              </w:rPr>
            </w:pPr>
          </w:p>
        </w:tc>
        <w:tc>
          <w:tcPr>
            <w:tcW w:w="1313" w:type="dxa"/>
            <w:gridSpan w:val="2"/>
            <w:tcBorders>
              <w:top w:val="nil"/>
              <w:left w:val="nil"/>
              <w:bottom w:val="single" w:sz="4" w:space="0" w:color="auto"/>
              <w:right w:val="nil"/>
            </w:tcBorders>
          </w:tcPr>
          <w:p w14:paraId="496A8F11"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1</w:t>
            </w:r>
          </w:p>
        </w:tc>
        <w:tc>
          <w:tcPr>
            <w:tcW w:w="1741" w:type="dxa"/>
            <w:tcBorders>
              <w:top w:val="nil"/>
              <w:left w:val="nil"/>
              <w:bottom w:val="single" w:sz="4" w:space="0" w:color="auto"/>
              <w:right w:val="nil"/>
            </w:tcBorders>
          </w:tcPr>
          <w:p w14:paraId="17FF61A2" w14:textId="77777777" w:rsidR="00196F5B" w:rsidRPr="00521418" w:rsidRDefault="00196F5B" w:rsidP="00125EE0">
            <w:pPr>
              <w:spacing w:after="0" w:line="240" w:lineRule="auto"/>
              <w:jc w:val="center"/>
              <w:rPr>
                <w:rFonts w:ascii="Calibri" w:eastAsia="Calibri" w:hAnsi="Calibri" w:cs="Times New Roman"/>
              </w:rPr>
            </w:pPr>
            <w:r w:rsidRPr="00521418">
              <w:rPr>
                <w:rFonts w:ascii="Calibri" w:eastAsia="Calibri" w:hAnsi="Calibri" w:cs="Times New Roman"/>
              </w:rPr>
              <w:t>0.89 (0.79-0.99)</w:t>
            </w:r>
          </w:p>
        </w:tc>
      </w:tr>
      <w:tr w:rsidR="00196F5B" w:rsidRPr="00521418" w14:paraId="55491FFF" w14:textId="77777777" w:rsidTr="00125EE0">
        <w:trPr>
          <w:jc w:val="center"/>
        </w:trPr>
        <w:tc>
          <w:tcPr>
            <w:tcW w:w="10327" w:type="dxa"/>
            <w:gridSpan w:val="10"/>
            <w:tcBorders>
              <w:top w:val="single" w:sz="4" w:space="0" w:color="auto"/>
              <w:left w:val="nil"/>
              <w:bottom w:val="single" w:sz="4" w:space="0" w:color="auto"/>
              <w:right w:val="nil"/>
            </w:tcBorders>
          </w:tcPr>
          <w:p w14:paraId="39A6F671" w14:textId="77777777" w:rsidR="00196F5B" w:rsidRPr="00521418" w:rsidRDefault="00196F5B" w:rsidP="00125EE0">
            <w:pPr>
              <w:spacing w:after="0" w:line="240" w:lineRule="auto"/>
              <w:rPr>
                <w:rFonts w:ascii="Calibri" w:eastAsia="Calibri" w:hAnsi="Calibri" w:cs="Times New Roman"/>
                <w:b/>
              </w:rPr>
            </w:pPr>
            <w:r w:rsidRPr="00521418">
              <w:rPr>
                <w:rFonts w:ascii="Calibri" w:eastAsia="Calibri" w:hAnsi="Calibri" w:cs="Times New Roman"/>
                <w:b/>
                <w:sz w:val="18"/>
                <w:szCs w:val="20"/>
              </w:rPr>
              <w:t xml:space="preserve">Note 1: </w:t>
            </w:r>
            <w:r w:rsidRPr="00521418">
              <w:rPr>
                <w:rFonts w:ascii="Calibri" w:eastAsia="Calibri" w:hAnsi="Calibri" w:cs="Times New Roman"/>
                <w:sz w:val="18"/>
                <w:szCs w:val="20"/>
              </w:rPr>
              <w:t>Only results reported in the TORCH trial publication are shown.</w:t>
            </w:r>
            <w:r w:rsidRPr="00521418">
              <w:rPr>
                <w:rFonts w:ascii="Calibri" w:eastAsia="Calibri" w:hAnsi="Calibri" w:cs="Times New Roman"/>
                <w:b/>
                <w:sz w:val="18"/>
                <w:szCs w:val="20"/>
              </w:rPr>
              <w:t xml:space="preserve">  Note 2: </w:t>
            </w:r>
            <w:r w:rsidRPr="00521418">
              <w:rPr>
                <w:rFonts w:ascii="Calibri" w:eastAsia="Calibri" w:hAnsi="Calibri" w:cs="Times New Roman"/>
                <w:sz w:val="18"/>
                <w:szCs w:val="20"/>
              </w:rPr>
              <w:t xml:space="preserve">Per person per year. </w:t>
            </w:r>
            <w:r w:rsidRPr="00521418">
              <w:rPr>
                <w:rFonts w:ascii="Calibri" w:eastAsia="Calibri" w:hAnsi="Calibri" w:cs="Times New Roman"/>
                <w:b/>
                <w:sz w:val="18"/>
                <w:szCs w:val="20"/>
              </w:rPr>
              <w:t xml:space="preserve">Note 3: </w:t>
            </w:r>
            <w:r w:rsidRPr="00521418">
              <w:rPr>
                <w:rFonts w:ascii="Calibri" w:eastAsia="Calibri" w:hAnsi="Calibri" w:cs="Times New Roman"/>
                <w:sz w:val="18"/>
                <w:szCs w:val="20"/>
              </w:rPr>
              <w:t>991 in each exposure group after propensity score matching</w:t>
            </w:r>
            <w:r w:rsidRPr="00521418">
              <w:rPr>
                <w:rFonts w:ascii="Calibri" w:eastAsia="Calibri" w:hAnsi="Calibri" w:cs="Times New Roman"/>
                <w:color w:val="000000"/>
                <w:sz w:val="18"/>
                <w:szCs w:val="20"/>
              </w:rPr>
              <w:t xml:space="preserve">. See Appendix Table A2-3 for list of variables contributing to propensity score for exacerbations analysis. </w:t>
            </w:r>
            <w:r w:rsidRPr="00521418">
              <w:rPr>
                <w:rFonts w:ascii="Calibri" w:eastAsia="Calibri" w:hAnsi="Calibri" w:cs="Times New Roman"/>
                <w:b/>
                <w:color w:val="000000"/>
                <w:sz w:val="18"/>
                <w:szCs w:val="20"/>
              </w:rPr>
              <w:t xml:space="preserve">Note 4: </w:t>
            </w:r>
            <w:r w:rsidRPr="00521418">
              <w:rPr>
                <w:rFonts w:ascii="Calibri" w:eastAsia="Calibri" w:hAnsi="Calibri" w:cs="Times New Roman"/>
                <w:color w:val="000000"/>
                <w:sz w:val="18"/>
                <w:szCs w:val="20"/>
              </w:rPr>
              <w:t xml:space="preserve">Probability of event at 3 years, calculated using a Cox proportional-hazards model </w:t>
            </w:r>
            <w:r w:rsidRPr="00521418">
              <w:rPr>
                <w:rFonts w:ascii="Calibri" w:eastAsia="Calibri" w:hAnsi="Calibri" w:cs="Times New Roman"/>
                <w:b/>
                <w:color w:val="000000"/>
                <w:sz w:val="18"/>
                <w:szCs w:val="20"/>
              </w:rPr>
              <w:t xml:space="preserve">Note 5: </w:t>
            </w:r>
            <w:r w:rsidRPr="00521418">
              <w:rPr>
                <w:rFonts w:ascii="Calibri" w:eastAsia="Calibri" w:hAnsi="Calibri" w:cs="Times New Roman"/>
                <w:color w:val="000000"/>
                <w:sz w:val="18"/>
                <w:szCs w:val="20"/>
              </w:rPr>
              <w:t xml:space="preserve">443 in each exposure group after propensity score matching. See Appendix Table A2-3 for list of variables contributing to propensity score for mortality analysis. </w:t>
            </w:r>
            <w:r w:rsidRPr="00521418">
              <w:rPr>
                <w:rFonts w:ascii="Calibri" w:eastAsia="Calibri" w:hAnsi="Calibri" w:cs="Times New Roman"/>
                <w:b/>
                <w:color w:val="000000"/>
                <w:sz w:val="18"/>
                <w:szCs w:val="20"/>
              </w:rPr>
              <w:t xml:space="preserve">Note 6: </w:t>
            </w:r>
            <w:r w:rsidRPr="00521418">
              <w:rPr>
                <w:rFonts w:ascii="Calibri" w:eastAsia="Calibri" w:hAnsi="Calibri" w:cs="Times New Roman"/>
                <w:color w:val="000000"/>
                <w:sz w:val="18"/>
                <w:szCs w:val="20"/>
              </w:rPr>
              <w:t xml:space="preserve">935 in each exposure group after propensity score matching. See Appendix Table A2-3 for list of variables contributing to propensity score for time to treatment discontinuation analysis. </w:t>
            </w:r>
            <w:r w:rsidRPr="00521418">
              <w:rPr>
                <w:rFonts w:ascii="Calibri" w:eastAsia="Calibri" w:hAnsi="Calibri" w:cs="Times New Roman"/>
                <w:b/>
                <w:color w:val="000000"/>
                <w:sz w:val="18"/>
                <w:szCs w:val="20"/>
              </w:rPr>
              <w:t xml:space="preserve">Note 7: </w:t>
            </w:r>
            <w:r w:rsidRPr="00521418">
              <w:rPr>
                <w:rFonts w:ascii="Calibri" w:eastAsia="Calibri" w:hAnsi="Calibri" w:cs="Times New Roman"/>
                <w:color w:val="000000"/>
                <w:sz w:val="18"/>
                <w:szCs w:val="20"/>
              </w:rPr>
              <w:t>996 in each exposure group after propensity score matching.  See Appendix Table A2-3 for list of variables contributing to propensity score for pneumonia analysis.</w:t>
            </w:r>
          </w:p>
        </w:tc>
      </w:tr>
    </w:tbl>
    <w:p w14:paraId="715D5665" w14:textId="77777777" w:rsidR="00196F5B" w:rsidRDefault="00196F5B" w:rsidP="00196F5B">
      <w:pPr>
        <w:spacing w:after="160" w:line="259" w:lineRule="auto"/>
        <w:rPr>
          <w:rFonts w:ascii="Calibri" w:eastAsia="Calibri" w:hAnsi="Calibri" w:cs="Times New Roman"/>
          <w:b/>
        </w:rPr>
      </w:pPr>
    </w:p>
    <w:p w14:paraId="24C85BF3" w14:textId="77777777" w:rsidR="00196F5B" w:rsidRDefault="00196F5B" w:rsidP="00196F5B">
      <w:pPr>
        <w:spacing w:after="200" w:line="276" w:lineRule="auto"/>
        <w:rPr>
          <w:rFonts w:ascii="Calibri" w:eastAsia="Calibri" w:hAnsi="Calibri" w:cs="Times New Roman"/>
          <w:b/>
        </w:rPr>
      </w:pPr>
      <w:r>
        <w:rPr>
          <w:rFonts w:ascii="Calibri" w:eastAsia="Calibri" w:hAnsi="Calibri" w:cs="Times New Roman"/>
          <w:b/>
        </w:rPr>
        <w:br w:type="page"/>
      </w:r>
    </w:p>
    <w:p w14:paraId="527A9596" w14:textId="77777777" w:rsidR="00BD51B4" w:rsidRDefault="00BD51B4" w:rsidP="008B0A52">
      <w:pPr>
        <w:pStyle w:val="Heading3-nonumber"/>
        <w:keepNext/>
        <w:spacing w:line="480" w:lineRule="auto"/>
        <w:sectPr w:rsidR="00BD51B4" w:rsidSect="007976DF">
          <w:type w:val="continuous"/>
          <w:pgSz w:w="11906" w:h="16838"/>
          <w:pgMar w:top="1061" w:right="1440" w:bottom="153" w:left="1418" w:header="708" w:footer="708" w:gutter="0"/>
          <w:cols w:space="708"/>
          <w:docGrid w:linePitch="360"/>
        </w:sectPr>
      </w:pPr>
    </w:p>
    <w:p w14:paraId="21EA7448" w14:textId="35568008" w:rsidR="004A030E" w:rsidRDefault="004A030E" w:rsidP="008B0A52">
      <w:pPr>
        <w:pStyle w:val="Heading3-nonumber"/>
        <w:keepNext/>
        <w:spacing w:line="480" w:lineRule="auto"/>
      </w:pPr>
      <w:r>
        <w:lastRenderedPageBreak/>
        <w:t>Analysis of impact of (1) TORCH matching (2) TORCH criteria (post-hoc analysis)</w:t>
      </w:r>
    </w:p>
    <w:p w14:paraId="3B4ADD2C" w14:textId="78FB30FE" w:rsidR="00670077" w:rsidRDefault="004A030E" w:rsidP="008B0A52">
      <w:pPr>
        <w:pStyle w:val="Heading3-nonumber"/>
        <w:keepNext/>
        <w:spacing w:line="480" w:lineRule="auto"/>
        <w:rPr>
          <w:b w:val="0"/>
        </w:rPr>
      </w:pPr>
      <w:r>
        <w:rPr>
          <w:b w:val="0"/>
        </w:rPr>
        <w:t>Repeating the FP-SAL vs SAL analysis omitting the TORCH matching step led to an exacerbations rate ratio of 0.87 (0.81-0.94) (</w:t>
      </w:r>
      <w:r w:rsidR="00706930">
        <w:rPr>
          <w:b w:val="0"/>
        </w:rPr>
        <w:t xml:space="preserve">Table </w:t>
      </w:r>
      <w:r w:rsidR="008119FA">
        <w:rPr>
          <w:b w:val="0"/>
        </w:rPr>
        <w:t>5</w:t>
      </w:r>
      <w:r>
        <w:rPr>
          <w:b w:val="0"/>
        </w:rPr>
        <w:t xml:space="preserve">), very similar to both the main analysis and TORCH result. In contrast, applying neither the TORCH criteria nor matching led to a </w:t>
      </w:r>
      <w:r w:rsidR="007E0CCA">
        <w:rPr>
          <w:b w:val="0"/>
        </w:rPr>
        <w:t>comp</w:t>
      </w:r>
      <w:r w:rsidR="00137540">
        <w:rPr>
          <w:b w:val="0"/>
        </w:rPr>
        <w:t>letely</w:t>
      </w:r>
      <w:r>
        <w:rPr>
          <w:b w:val="0"/>
        </w:rPr>
        <w:t xml:space="preserve"> different effect estimate (1.64, 1.52-1.77).</w:t>
      </w:r>
    </w:p>
    <w:p w14:paraId="57938ABE" w14:textId="77777777" w:rsidR="00670077" w:rsidRDefault="00670077">
      <w:pPr>
        <w:spacing w:after="200" w:line="276" w:lineRule="auto"/>
      </w:pPr>
      <w:r>
        <w:rPr>
          <w:b/>
        </w:rPr>
        <w:br w:type="page"/>
      </w:r>
    </w:p>
    <w:p w14:paraId="523E7F5A" w14:textId="77777777" w:rsidR="00670077" w:rsidRPr="002871BA" w:rsidRDefault="00670077" w:rsidP="00670077">
      <w:pPr>
        <w:spacing w:after="0" w:line="240" w:lineRule="auto"/>
        <w:jc w:val="center"/>
        <w:rPr>
          <w:rFonts w:eastAsia="Calibri" w:cstheme="minorHAnsi"/>
          <w:b/>
          <w:bCs/>
        </w:rPr>
      </w:pPr>
      <w:r w:rsidRPr="002871BA">
        <w:rPr>
          <w:rFonts w:eastAsia="Calibri" w:cstheme="minorHAnsi"/>
          <w:b/>
          <w:bCs/>
        </w:rPr>
        <w:lastRenderedPageBreak/>
        <w:t>Table 5 - Impact of choice of selection methods on ability to replicate trial results for the analysis of exacerbations, in people exposed to FP-SAL vs people exposed to SAL</w:t>
      </w:r>
    </w:p>
    <w:p w14:paraId="42A881DA" w14:textId="77777777" w:rsidR="00670077" w:rsidRPr="002871BA" w:rsidRDefault="00670077" w:rsidP="00670077">
      <w:pPr>
        <w:spacing w:after="0" w:line="240" w:lineRule="auto"/>
        <w:rPr>
          <w:rFonts w:ascii="Times New Roman" w:eastAsia="Calibri" w:hAnsi="Times New Roman" w:cs="Times New Roman"/>
          <w:b/>
          <w:bCs/>
          <w:sz w:val="20"/>
          <w:szCs w:val="20"/>
        </w:rPr>
      </w:pPr>
    </w:p>
    <w:tbl>
      <w:tblPr>
        <w:tblStyle w:val="TableGrid9"/>
        <w:tblW w:w="9781" w:type="dxa"/>
        <w:jc w:val="center"/>
        <w:tblLook w:val="04A0" w:firstRow="1" w:lastRow="0" w:firstColumn="1" w:lastColumn="0" w:noHBand="0" w:noVBand="1"/>
      </w:tblPr>
      <w:tblGrid>
        <w:gridCol w:w="5245"/>
        <w:gridCol w:w="992"/>
        <w:gridCol w:w="1701"/>
        <w:gridCol w:w="1843"/>
      </w:tblGrid>
      <w:tr w:rsidR="00670077" w:rsidRPr="002871BA" w14:paraId="02230882" w14:textId="77777777" w:rsidTr="00125EE0">
        <w:trPr>
          <w:jc w:val="center"/>
        </w:trPr>
        <w:tc>
          <w:tcPr>
            <w:tcW w:w="5245" w:type="dxa"/>
            <w:tcBorders>
              <w:top w:val="single" w:sz="4" w:space="0" w:color="auto"/>
              <w:left w:val="nil"/>
              <w:bottom w:val="nil"/>
              <w:right w:val="nil"/>
            </w:tcBorders>
          </w:tcPr>
          <w:p w14:paraId="558A6016"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b/>
                <w:bCs/>
                <w:sz w:val="20"/>
                <w:szCs w:val="20"/>
              </w:rPr>
              <w:br w:type="page"/>
            </w:r>
          </w:p>
        </w:tc>
        <w:tc>
          <w:tcPr>
            <w:tcW w:w="2693" w:type="dxa"/>
            <w:gridSpan w:val="2"/>
            <w:tcBorders>
              <w:top w:val="single" w:sz="4" w:space="0" w:color="auto"/>
              <w:left w:val="nil"/>
              <w:bottom w:val="single" w:sz="4" w:space="0" w:color="auto"/>
              <w:right w:val="nil"/>
            </w:tcBorders>
          </w:tcPr>
          <w:p w14:paraId="3895084E"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Rate ratio</w:t>
            </w:r>
          </w:p>
        </w:tc>
        <w:tc>
          <w:tcPr>
            <w:tcW w:w="1843" w:type="dxa"/>
            <w:tcBorders>
              <w:top w:val="single" w:sz="4" w:space="0" w:color="auto"/>
              <w:left w:val="nil"/>
              <w:bottom w:val="nil"/>
              <w:right w:val="nil"/>
            </w:tcBorders>
          </w:tcPr>
          <w:p w14:paraId="486C69C8" w14:textId="77777777" w:rsidR="00670077" w:rsidRPr="002871BA" w:rsidRDefault="00670077" w:rsidP="00125EE0">
            <w:pPr>
              <w:spacing w:after="0" w:line="240" w:lineRule="auto"/>
              <w:jc w:val="center"/>
              <w:rPr>
                <w:rFonts w:eastAsia="Calibri" w:cstheme="minorHAnsi"/>
                <w:b/>
                <w:sz w:val="20"/>
                <w:szCs w:val="20"/>
              </w:rPr>
            </w:pPr>
          </w:p>
        </w:tc>
      </w:tr>
      <w:tr w:rsidR="00670077" w:rsidRPr="002871BA" w14:paraId="6DECA9C6" w14:textId="77777777" w:rsidTr="00125EE0">
        <w:trPr>
          <w:jc w:val="center"/>
        </w:trPr>
        <w:tc>
          <w:tcPr>
            <w:tcW w:w="5245" w:type="dxa"/>
            <w:tcBorders>
              <w:top w:val="nil"/>
              <w:left w:val="nil"/>
              <w:bottom w:val="single" w:sz="4" w:space="0" w:color="auto"/>
              <w:right w:val="nil"/>
            </w:tcBorders>
          </w:tcPr>
          <w:p w14:paraId="150A1774" w14:textId="77777777" w:rsidR="00670077" w:rsidRPr="002871BA" w:rsidRDefault="00670077" w:rsidP="00125EE0">
            <w:pPr>
              <w:spacing w:after="0" w:line="240" w:lineRule="auto"/>
              <w:jc w:val="center"/>
              <w:rPr>
                <w:rFonts w:eastAsia="Calibri" w:cstheme="minorHAnsi"/>
                <w:sz w:val="20"/>
                <w:szCs w:val="20"/>
              </w:rPr>
            </w:pPr>
          </w:p>
        </w:tc>
        <w:tc>
          <w:tcPr>
            <w:tcW w:w="992" w:type="dxa"/>
            <w:tcBorders>
              <w:top w:val="single" w:sz="4" w:space="0" w:color="auto"/>
              <w:left w:val="nil"/>
              <w:bottom w:val="single" w:sz="4" w:space="0" w:color="auto"/>
              <w:right w:val="nil"/>
            </w:tcBorders>
          </w:tcPr>
          <w:p w14:paraId="3F3287C6" w14:textId="77777777" w:rsidR="00670077" w:rsidRPr="002871BA" w:rsidRDefault="00670077" w:rsidP="00125EE0">
            <w:pPr>
              <w:spacing w:after="0" w:line="240" w:lineRule="auto"/>
              <w:jc w:val="center"/>
              <w:rPr>
                <w:rFonts w:eastAsia="Calibri" w:cstheme="minorHAnsi"/>
                <w:b/>
                <w:sz w:val="20"/>
                <w:szCs w:val="20"/>
              </w:rPr>
            </w:pPr>
            <w:r w:rsidRPr="002871BA">
              <w:rPr>
                <w:rFonts w:eastAsia="Calibri" w:cstheme="minorHAnsi"/>
                <w:b/>
                <w:sz w:val="20"/>
                <w:szCs w:val="20"/>
              </w:rPr>
              <w:t>SAL</w:t>
            </w:r>
          </w:p>
        </w:tc>
        <w:tc>
          <w:tcPr>
            <w:tcW w:w="1701" w:type="dxa"/>
            <w:tcBorders>
              <w:top w:val="single" w:sz="4" w:space="0" w:color="auto"/>
              <w:left w:val="nil"/>
              <w:bottom w:val="single" w:sz="4" w:space="0" w:color="auto"/>
              <w:right w:val="nil"/>
            </w:tcBorders>
          </w:tcPr>
          <w:p w14:paraId="108F7E1D" w14:textId="77777777" w:rsidR="00670077" w:rsidRPr="002871BA" w:rsidRDefault="00670077" w:rsidP="00125EE0">
            <w:pPr>
              <w:spacing w:after="0" w:line="240" w:lineRule="auto"/>
              <w:jc w:val="center"/>
              <w:rPr>
                <w:rFonts w:eastAsia="Calibri" w:cstheme="minorHAnsi"/>
                <w:b/>
                <w:sz w:val="20"/>
                <w:szCs w:val="20"/>
              </w:rPr>
            </w:pPr>
            <w:r w:rsidRPr="002871BA">
              <w:rPr>
                <w:rFonts w:eastAsia="Calibri" w:cstheme="minorHAnsi"/>
                <w:b/>
                <w:sz w:val="20"/>
                <w:szCs w:val="20"/>
              </w:rPr>
              <w:t>FP-SAL</w:t>
            </w:r>
          </w:p>
        </w:tc>
        <w:tc>
          <w:tcPr>
            <w:tcW w:w="1843" w:type="dxa"/>
            <w:tcBorders>
              <w:top w:val="nil"/>
              <w:left w:val="nil"/>
              <w:bottom w:val="single" w:sz="4" w:space="0" w:color="auto"/>
              <w:right w:val="nil"/>
            </w:tcBorders>
          </w:tcPr>
          <w:p w14:paraId="6BE5E770" w14:textId="77777777" w:rsidR="00670077" w:rsidRPr="002871BA" w:rsidRDefault="00670077" w:rsidP="00125EE0">
            <w:pPr>
              <w:spacing w:after="0" w:line="240" w:lineRule="auto"/>
              <w:jc w:val="center"/>
              <w:rPr>
                <w:rFonts w:eastAsia="Calibri" w:cstheme="minorHAnsi"/>
                <w:b/>
                <w:sz w:val="20"/>
                <w:szCs w:val="20"/>
              </w:rPr>
            </w:pPr>
            <w:r w:rsidRPr="002871BA">
              <w:rPr>
                <w:rFonts w:eastAsia="Calibri" w:cstheme="minorHAnsi"/>
                <w:b/>
                <w:sz w:val="20"/>
                <w:szCs w:val="20"/>
              </w:rPr>
              <w:t>n per exposure group</w:t>
            </w:r>
          </w:p>
        </w:tc>
      </w:tr>
      <w:tr w:rsidR="00670077" w:rsidRPr="002871BA" w14:paraId="73F0F6EA" w14:textId="77777777" w:rsidTr="00125EE0">
        <w:trPr>
          <w:jc w:val="center"/>
        </w:trPr>
        <w:tc>
          <w:tcPr>
            <w:tcW w:w="5245" w:type="dxa"/>
            <w:tcBorders>
              <w:top w:val="nil"/>
              <w:left w:val="nil"/>
              <w:bottom w:val="nil"/>
              <w:right w:val="nil"/>
            </w:tcBorders>
          </w:tcPr>
          <w:p w14:paraId="2B39F4F6" w14:textId="77777777" w:rsidR="00670077" w:rsidRPr="002871BA" w:rsidRDefault="00670077" w:rsidP="00125EE0">
            <w:pPr>
              <w:spacing w:after="0" w:line="240" w:lineRule="auto"/>
              <w:rPr>
                <w:rFonts w:eastAsia="Calibri" w:cstheme="minorHAnsi"/>
                <w:b/>
                <w:sz w:val="20"/>
                <w:szCs w:val="20"/>
              </w:rPr>
            </w:pPr>
            <w:r w:rsidRPr="002871BA">
              <w:rPr>
                <w:rFonts w:eastAsia="Calibri" w:cstheme="minorHAnsi"/>
                <w:b/>
                <w:sz w:val="20"/>
                <w:szCs w:val="20"/>
              </w:rPr>
              <w:t>TORCH trial</w:t>
            </w:r>
          </w:p>
        </w:tc>
        <w:tc>
          <w:tcPr>
            <w:tcW w:w="992" w:type="dxa"/>
            <w:tcBorders>
              <w:top w:val="nil"/>
              <w:left w:val="nil"/>
              <w:bottom w:val="nil"/>
              <w:right w:val="nil"/>
            </w:tcBorders>
          </w:tcPr>
          <w:p w14:paraId="697747B9"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1</w:t>
            </w:r>
          </w:p>
        </w:tc>
        <w:tc>
          <w:tcPr>
            <w:tcW w:w="1701" w:type="dxa"/>
            <w:tcBorders>
              <w:top w:val="nil"/>
              <w:left w:val="nil"/>
              <w:bottom w:val="nil"/>
              <w:right w:val="nil"/>
            </w:tcBorders>
          </w:tcPr>
          <w:p w14:paraId="2007738E"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0.88 (0.81-0.95)</w:t>
            </w:r>
          </w:p>
        </w:tc>
        <w:tc>
          <w:tcPr>
            <w:tcW w:w="1843" w:type="dxa"/>
            <w:tcBorders>
              <w:top w:val="nil"/>
              <w:left w:val="nil"/>
              <w:bottom w:val="nil"/>
              <w:right w:val="nil"/>
            </w:tcBorders>
          </w:tcPr>
          <w:p w14:paraId="58E8BEEA"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1524</w:t>
            </w:r>
          </w:p>
        </w:tc>
      </w:tr>
      <w:tr w:rsidR="00670077" w:rsidRPr="002871BA" w14:paraId="4AB62F6A" w14:textId="77777777" w:rsidTr="00125EE0">
        <w:trPr>
          <w:jc w:val="center"/>
        </w:trPr>
        <w:tc>
          <w:tcPr>
            <w:tcW w:w="5245" w:type="dxa"/>
            <w:tcBorders>
              <w:top w:val="nil"/>
              <w:left w:val="nil"/>
              <w:bottom w:val="nil"/>
              <w:right w:val="nil"/>
            </w:tcBorders>
          </w:tcPr>
          <w:p w14:paraId="7E3D5C06" w14:textId="77777777" w:rsidR="00670077" w:rsidRPr="002871BA" w:rsidRDefault="00670077" w:rsidP="00125EE0">
            <w:pPr>
              <w:spacing w:after="0" w:line="240" w:lineRule="auto"/>
              <w:rPr>
                <w:rFonts w:eastAsia="Calibri" w:cstheme="minorHAnsi"/>
                <w:b/>
                <w:sz w:val="20"/>
                <w:szCs w:val="20"/>
              </w:rPr>
            </w:pPr>
            <w:r w:rsidRPr="002871BA">
              <w:rPr>
                <w:rFonts w:eastAsia="Calibri" w:cstheme="minorHAnsi"/>
                <w:b/>
                <w:sz w:val="20"/>
                <w:szCs w:val="20"/>
              </w:rPr>
              <w:t>CPRD non-interventional selection method</w:t>
            </w:r>
            <w:r w:rsidRPr="002871BA">
              <w:rPr>
                <w:rFonts w:eastAsia="Calibri" w:cstheme="minorHAnsi"/>
                <w:b/>
                <w:sz w:val="20"/>
                <w:szCs w:val="20"/>
                <w:vertAlign w:val="superscript"/>
              </w:rPr>
              <w:t>1</w:t>
            </w:r>
          </w:p>
        </w:tc>
        <w:tc>
          <w:tcPr>
            <w:tcW w:w="992" w:type="dxa"/>
            <w:tcBorders>
              <w:top w:val="nil"/>
              <w:left w:val="nil"/>
              <w:bottom w:val="nil"/>
              <w:right w:val="nil"/>
            </w:tcBorders>
          </w:tcPr>
          <w:p w14:paraId="13005D79" w14:textId="77777777" w:rsidR="00670077" w:rsidRPr="002871BA" w:rsidRDefault="00670077" w:rsidP="00125EE0">
            <w:pPr>
              <w:spacing w:after="0" w:line="240" w:lineRule="auto"/>
              <w:jc w:val="center"/>
              <w:rPr>
                <w:rFonts w:eastAsia="Calibri" w:cstheme="minorHAnsi"/>
                <w:sz w:val="20"/>
                <w:szCs w:val="20"/>
              </w:rPr>
            </w:pPr>
          </w:p>
        </w:tc>
        <w:tc>
          <w:tcPr>
            <w:tcW w:w="1701" w:type="dxa"/>
            <w:tcBorders>
              <w:top w:val="nil"/>
              <w:left w:val="nil"/>
              <w:bottom w:val="nil"/>
              <w:right w:val="nil"/>
            </w:tcBorders>
          </w:tcPr>
          <w:p w14:paraId="100EB836" w14:textId="77777777" w:rsidR="00670077" w:rsidRPr="002871BA" w:rsidRDefault="00670077" w:rsidP="00125EE0">
            <w:pPr>
              <w:spacing w:after="0" w:line="240" w:lineRule="auto"/>
              <w:jc w:val="center"/>
              <w:rPr>
                <w:rFonts w:eastAsia="Calibri" w:cstheme="minorHAnsi"/>
                <w:sz w:val="20"/>
                <w:szCs w:val="20"/>
              </w:rPr>
            </w:pPr>
          </w:p>
        </w:tc>
        <w:tc>
          <w:tcPr>
            <w:tcW w:w="1843" w:type="dxa"/>
            <w:tcBorders>
              <w:top w:val="nil"/>
              <w:left w:val="nil"/>
              <w:bottom w:val="nil"/>
              <w:right w:val="nil"/>
            </w:tcBorders>
          </w:tcPr>
          <w:p w14:paraId="1FBDAD83" w14:textId="77777777" w:rsidR="00670077" w:rsidRPr="002871BA" w:rsidRDefault="00670077" w:rsidP="00125EE0">
            <w:pPr>
              <w:spacing w:after="0" w:line="240" w:lineRule="auto"/>
              <w:jc w:val="center"/>
              <w:rPr>
                <w:rFonts w:eastAsia="Calibri" w:cstheme="minorHAnsi"/>
                <w:sz w:val="20"/>
                <w:szCs w:val="20"/>
              </w:rPr>
            </w:pPr>
          </w:p>
        </w:tc>
      </w:tr>
      <w:tr w:rsidR="00670077" w:rsidRPr="002871BA" w14:paraId="099D8ACE" w14:textId="77777777" w:rsidTr="00125EE0">
        <w:trPr>
          <w:jc w:val="center"/>
        </w:trPr>
        <w:tc>
          <w:tcPr>
            <w:tcW w:w="5245" w:type="dxa"/>
            <w:tcBorders>
              <w:top w:val="nil"/>
              <w:left w:val="nil"/>
              <w:bottom w:val="nil"/>
              <w:right w:val="nil"/>
            </w:tcBorders>
          </w:tcPr>
          <w:p w14:paraId="4A45D185" w14:textId="77777777" w:rsidR="00670077" w:rsidRPr="002871BA" w:rsidRDefault="00670077" w:rsidP="00125EE0">
            <w:pPr>
              <w:spacing w:after="0" w:line="240" w:lineRule="auto"/>
              <w:rPr>
                <w:rFonts w:eastAsia="Calibri" w:cstheme="minorHAnsi"/>
                <w:sz w:val="20"/>
                <w:szCs w:val="20"/>
              </w:rPr>
            </w:pPr>
            <w:r w:rsidRPr="002871BA">
              <w:rPr>
                <w:rFonts w:eastAsia="Calibri" w:cstheme="minorHAnsi"/>
                <w:sz w:val="20"/>
                <w:szCs w:val="20"/>
              </w:rPr>
              <w:t xml:space="preserve">      TORCH </w:t>
            </w:r>
            <w:proofErr w:type="spellStart"/>
            <w:r w:rsidRPr="002871BA">
              <w:rPr>
                <w:rFonts w:eastAsia="Calibri" w:cstheme="minorHAnsi"/>
                <w:sz w:val="20"/>
                <w:szCs w:val="20"/>
              </w:rPr>
              <w:t>incl</w:t>
            </w:r>
            <w:proofErr w:type="spellEnd"/>
            <w:r w:rsidRPr="002871BA">
              <w:rPr>
                <w:rFonts w:eastAsia="Calibri" w:cstheme="minorHAnsi"/>
                <w:sz w:val="20"/>
                <w:szCs w:val="20"/>
              </w:rPr>
              <w:t xml:space="preserve"> and </w:t>
            </w:r>
            <w:proofErr w:type="spellStart"/>
            <w:r w:rsidRPr="002871BA">
              <w:rPr>
                <w:rFonts w:eastAsia="Calibri" w:cstheme="minorHAnsi"/>
                <w:sz w:val="20"/>
                <w:szCs w:val="20"/>
              </w:rPr>
              <w:t>excl</w:t>
            </w:r>
            <w:proofErr w:type="spellEnd"/>
            <w:r w:rsidRPr="002871BA">
              <w:rPr>
                <w:rFonts w:eastAsia="Calibri" w:cstheme="minorHAnsi"/>
                <w:sz w:val="20"/>
                <w:szCs w:val="20"/>
              </w:rPr>
              <w:t xml:space="preserve"> criteria &amp; matched to TORCH</w:t>
            </w:r>
            <w:r w:rsidRPr="002871BA">
              <w:rPr>
                <w:rFonts w:eastAsia="Calibri" w:cstheme="minorHAnsi"/>
                <w:sz w:val="20"/>
                <w:szCs w:val="20"/>
                <w:vertAlign w:val="superscript"/>
              </w:rPr>
              <w:t>2</w:t>
            </w:r>
          </w:p>
        </w:tc>
        <w:tc>
          <w:tcPr>
            <w:tcW w:w="992" w:type="dxa"/>
            <w:tcBorders>
              <w:top w:val="nil"/>
              <w:left w:val="nil"/>
              <w:bottom w:val="nil"/>
              <w:right w:val="nil"/>
            </w:tcBorders>
          </w:tcPr>
          <w:p w14:paraId="7383B740"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1</w:t>
            </w:r>
          </w:p>
        </w:tc>
        <w:tc>
          <w:tcPr>
            <w:tcW w:w="1701" w:type="dxa"/>
            <w:tcBorders>
              <w:top w:val="nil"/>
              <w:left w:val="nil"/>
              <w:bottom w:val="nil"/>
              <w:right w:val="nil"/>
            </w:tcBorders>
          </w:tcPr>
          <w:p w14:paraId="1F1A0D96"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0.85 (0.74-0.97)</w:t>
            </w:r>
          </w:p>
        </w:tc>
        <w:tc>
          <w:tcPr>
            <w:tcW w:w="1843" w:type="dxa"/>
            <w:tcBorders>
              <w:top w:val="nil"/>
              <w:left w:val="nil"/>
              <w:bottom w:val="nil"/>
              <w:right w:val="nil"/>
            </w:tcBorders>
          </w:tcPr>
          <w:p w14:paraId="4587E65E"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991</w:t>
            </w:r>
          </w:p>
        </w:tc>
      </w:tr>
      <w:tr w:rsidR="00670077" w:rsidRPr="002871BA" w14:paraId="27F41561" w14:textId="77777777" w:rsidTr="00125EE0">
        <w:trPr>
          <w:jc w:val="center"/>
        </w:trPr>
        <w:tc>
          <w:tcPr>
            <w:tcW w:w="5245" w:type="dxa"/>
            <w:tcBorders>
              <w:top w:val="nil"/>
              <w:left w:val="nil"/>
              <w:bottom w:val="nil"/>
              <w:right w:val="nil"/>
            </w:tcBorders>
          </w:tcPr>
          <w:p w14:paraId="7BE2AE77" w14:textId="77777777" w:rsidR="00670077" w:rsidRPr="002871BA" w:rsidRDefault="00670077" w:rsidP="00125EE0">
            <w:pPr>
              <w:spacing w:after="0" w:line="240" w:lineRule="auto"/>
              <w:rPr>
                <w:rFonts w:eastAsia="Calibri" w:cstheme="minorHAnsi"/>
                <w:sz w:val="20"/>
                <w:szCs w:val="20"/>
              </w:rPr>
            </w:pPr>
            <w:r w:rsidRPr="002871BA">
              <w:rPr>
                <w:rFonts w:eastAsia="Calibri" w:cstheme="minorHAnsi"/>
                <w:sz w:val="20"/>
                <w:szCs w:val="20"/>
              </w:rPr>
              <w:t xml:space="preserve">      TORCH </w:t>
            </w:r>
            <w:proofErr w:type="spellStart"/>
            <w:r w:rsidRPr="002871BA">
              <w:rPr>
                <w:rFonts w:eastAsia="Calibri" w:cstheme="minorHAnsi"/>
                <w:sz w:val="20"/>
                <w:szCs w:val="20"/>
              </w:rPr>
              <w:t>incl</w:t>
            </w:r>
            <w:proofErr w:type="spellEnd"/>
            <w:r w:rsidRPr="002871BA">
              <w:rPr>
                <w:rFonts w:eastAsia="Calibri" w:cstheme="minorHAnsi"/>
                <w:sz w:val="20"/>
                <w:szCs w:val="20"/>
              </w:rPr>
              <w:t xml:space="preserve"> and </w:t>
            </w:r>
            <w:proofErr w:type="spellStart"/>
            <w:r w:rsidRPr="002871BA">
              <w:rPr>
                <w:rFonts w:eastAsia="Calibri" w:cstheme="minorHAnsi"/>
                <w:sz w:val="20"/>
                <w:szCs w:val="20"/>
              </w:rPr>
              <w:t>excl</w:t>
            </w:r>
            <w:proofErr w:type="spellEnd"/>
            <w:r w:rsidRPr="002871BA">
              <w:rPr>
                <w:rFonts w:eastAsia="Calibri" w:cstheme="minorHAnsi"/>
                <w:sz w:val="20"/>
                <w:szCs w:val="20"/>
              </w:rPr>
              <w:t xml:space="preserve"> criteria only</w:t>
            </w:r>
          </w:p>
        </w:tc>
        <w:tc>
          <w:tcPr>
            <w:tcW w:w="992" w:type="dxa"/>
            <w:tcBorders>
              <w:top w:val="nil"/>
              <w:left w:val="nil"/>
              <w:bottom w:val="nil"/>
              <w:right w:val="nil"/>
            </w:tcBorders>
          </w:tcPr>
          <w:p w14:paraId="424BFCD2"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1</w:t>
            </w:r>
          </w:p>
        </w:tc>
        <w:tc>
          <w:tcPr>
            <w:tcW w:w="1701" w:type="dxa"/>
            <w:tcBorders>
              <w:top w:val="nil"/>
              <w:left w:val="nil"/>
              <w:bottom w:val="nil"/>
              <w:right w:val="nil"/>
            </w:tcBorders>
          </w:tcPr>
          <w:p w14:paraId="782EEC36"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0.87 (0.81-0.94)</w:t>
            </w:r>
          </w:p>
        </w:tc>
        <w:tc>
          <w:tcPr>
            <w:tcW w:w="1843" w:type="dxa"/>
            <w:tcBorders>
              <w:top w:val="nil"/>
              <w:left w:val="nil"/>
              <w:bottom w:val="nil"/>
              <w:right w:val="nil"/>
            </w:tcBorders>
          </w:tcPr>
          <w:p w14:paraId="3B28D159" w14:textId="77777777" w:rsidR="00670077" w:rsidRPr="002871BA" w:rsidRDefault="00670077" w:rsidP="00125EE0">
            <w:pPr>
              <w:spacing w:after="0" w:line="240" w:lineRule="auto"/>
              <w:jc w:val="center"/>
              <w:rPr>
                <w:rFonts w:eastAsia="Calibri" w:cstheme="minorHAnsi"/>
                <w:sz w:val="20"/>
                <w:szCs w:val="20"/>
              </w:rPr>
            </w:pPr>
            <w:r w:rsidRPr="002871BA">
              <w:rPr>
                <w:rFonts w:eastAsia="Calibri" w:cstheme="minorHAnsi"/>
                <w:sz w:val="20"/>
                <w:szCs w:val="20"/>
              </w:rPr>
              <w:t>3225</w:t>
            </w:r>
          </w:p>
        </w:tc>
      </w:tr>
      <w:tr w:rsidR="00670077" w:rsidRPr="002871BA" w14:paraId="36241878" w14:textId="77777777" w:rsidTr="00125EE0">
        <w:trPr>
          <w:jc w:val="center"/>
        </w:trPr>
        <w:tc>
          <w:tcPr>
            <w:tcW w:w="5245" w:type="dxa"/>
            <w:tcBorders>
              <w:top w:val="nil"/>
              <w:left w:val="nil"/>
              <w:bottom w:val="single" w:sz="4" w:space="0" w:color="auto"/>
              <w:right w:val="nil"/>
            </w:tcBorders>
          </w:tcPr>
          <w:p w14:paraId="59E5001B" w14:textId="77777777" w:rsidR="00670077" w:rsidRPr="002871BA" w:rsidRDefault="00670077" w:rsidP="00125EE0">
            <w:pPr>
              <w:spacing w:after="60" w:line="240" w:lineRule="auto"/>
              <w:rPr>
                <w:rFonts w:eastAsia="Calibri" w:cstheme="minorHAnsi"/>
                <w:sz w:val="20"/>
                <w:szCs w:val="20"/>
              </w:rPr>
            </w:pPr>
            <w:r w:rsidRPr="002871BA">
              <w:rPr>
                <w:rFonts w:eastAsia="Calibri" w:cstheme="minorHAnsi"/>
                <w:sz w:val="20"/>
                <w:szCs w:val="20"/>
              </w:rPr>
              <w:t xml:space="preserve">      No TORCH criteria or matching</w:t>
            </w:r>
          </w:p>
        </w:tc>
        <w:tc>
          <w:tcPr>
            <w:tcW w:w="992" w:type="dxa"/>
            <w:tcBorders>
              <w:top w:val="nil"/>
              <w:left w:val="nil"/>
              <w:bottom w:val="single" w:sz="4" w:space="0" w:color="auto"/>
              <w:right w:val="nil"/>
            </w:tcBorders>
          </w:tcPr>
          <w:p w14:paraId="4141EBCB" w14:textId="77777777" w:rsidR="00670077" w:rsidRPr="002871BA" w:rsidRDefault="00670077" w:rsidP="00125EE0">
            <w:pPr>
              <w:spacing w:after="60" w:line="240" w:lineRule="auto"/>
              <w:jc w:val="center"/>
              <w:rPr>
                <w:rFonts w:eastAsia="Calibri" w:cstheme="minorHAnsi"/>
                <w:sz w:val="20"/>
                <w:szCs w:val="20"/>
              </w:rPr>
            </w:pPr>
            <w:r w:rsidRPr="002871BA">
              <w:rPr>
                <w:rFonts w:eastAsia="Calibri" w:cstheme="minorHAnsi"/>
                <w:sz w:val="20"/>
                <w:szCs w:val="20"/>
              </w:rPr>
              <w:t>1</w:t>
            </w:r>
          </w:p>
        </w:tc>
        <w:tc>
          <w:tcPr>
            <w:tcW w:w="1701" w:type="dxa"/>
            <w:tcBorders>
              <w:top w:val="nil"/>
              <w:left w:val="nil"/>
              <w:bottom w:val="single" w:sz="4" w:space="0" w:color="auto"/>
              <w:right w:val="nil"/>
            </w:tcBorders>
          </w:tcPr>
          <w:p w14:paraId="18FF9860" w14:textId="77777777" w:rsidR="00670077" w:rsidRPr="002871BA" w:rsidRDefault="00670077" w:rsidP="00125EE0">
            <w:pPr>
              <w:spacing w:after="60" w:line="240" w:lineRule="auto"/>
              <w:jc w:val="center"/>
              <w:rPr>
                <w:rFonts w:eastAsia="Calibri" w:cstheme="minorHAnsi"/>
                <w:sz w:val="20"/>
                <w:szCs w:val="20"/>
              </w:rPr>
            </w:pPr>
            <w:r w:rsidRPr="002871BA">
              <w:rPr>
                <w:rFonts w:eastAsia="Calibri" w:cstheme="minorHAnsi"/>
                <w:sz w:val="20"/>
                <w:szCs w:val="20"/>
              </w:rPr>
              <w:t>1.64 (1.52-1.77)</w:t>
            </w:r>
          </w:p>
        </w:tc>
        <w:tc>
          <w:tcPr>
            <w:tcW w:w="1843" w:type="dxa"/>
            <w:tcBorders>
              <w:top w:val="nil"/>
              <w:left w:val="nil"/>
              <w:bottom w:val="single" w:sz="4" w:space="0" w:color="auto"/>
              <w:right w:val="nil"/>
            </w:tcBorders>
          </w:tcPr>
          <w:p w14:paraId="2085553F" w14:textId="77777777" w:rsidR="00670077" w:rsidRPr="002871BA" w:rsidRDefault="00670077" w:rsidP="00125EE0">
            <w:pPr>
              <w:spacing w:after="60" w:line="240" w:lineRule="auto"/>
              <w:jc w:val="center"/>
              <w:rPr>
                <w:rFonts w:eastAsia="Calibri" w:cstheme="minorHAnsi"/>
                <w:sz w:val="20"/>
                <w:szCs w:val="20"/>
              </w:rPr>
            </w:pPr>
            <w:r w:rsidRPr="002871BA">
              <w:rPr>
                <w:rFonts w:eastAsia="Calibri" w:cstheme="minorHAnsi"/>
                <w:sz w:val="20"/>
                <w:szCs w:val="20"/>
              </w:rPr>
              <w:t>5951</w:t>
            </w:r>
          </w:p>
        </w:tc>
      </w:tr>
      <w:tr w:rsidR="00670077" w:rsidRPr="002871BA" w14:paraId="1998E604" w14:textId="77777777" w:rsidTr="00125EE0">
        <w:trPr>
          <w:jc w:val="center"/>
        </w:trPr>
        <w:tc>
          <w:tcPr>
            <w:tcW w:w="9781" w:type="dxa"/>
            <w:gridSpan w:val="4"/>
            <w:tcBorders>
              <w:top w:val="single" w:sz="4" w:space="0" w:color="auto"/>
              <w:left w:val="nil"/>
              <w:bottom w:val="single" w:sz="4" w:space="0" w:color="auto"/>
              <w:right w:val="nil"/>
            </w:tcBorders>
          </w:tcPr>
          <w:p w14:paraId="21CB917B" w14:textId="77777777" w:rsidR="00670077" w:rsidRPr="002871BA" w:rsidRDefault="00670077" w:rsidP="00125EE0">
            <w:pPr>
              <w:spacing w:after="0" w:line="240" w:lineRule="auto"/>
              <w:rPr>
                <w:rFonts w:eastAsia="Calibri" w:cstheme="minorHAnsi"/>
                <w:b/>
                <w:sz w:val="20"/>
                <w:szCs w:val="20"/>
              </w:rPr>
            </w:pPr>
            <w:r w:rsidRPr="002871BA">
              <w:rPr>
                <w:rFonts w:eastAsia="Calibri" w:cstheme="minorHAnsi"/>
                <w:b/>
                <w:sz w:val="16"/>
                <w:szCs w:val="16"/>
              </w:rPr>
              <w:t xml:space="preserve">Note 1: </w:t>
            </w:r>
            <w:r w:rsidRPr="002871BA">
              <w:rPr>
                <w:rFonts w:eastAsia="Calibri" w:cstheme="minorHAnsi"/>
                <w:sz w:val="16"/>
                <w:szCs w:val="16"/>
              </w:rPr>
              <w:t xml:space="preserve">SAL and FP-SAL groups propensity score matched for all selection methods </w:t>
            </w:r>
            <w:r w:rsidRPr="002871BA">
              <w:rPr>
                <w:rFonts w:eastAsia="Calibri" w:cstheme="minorHAnsi"/>
                <w:b/>
                <w:sz w:val="16"/>
                <w:szCs w:val="16"/>
              </w:rPr>
              <w:t xml:space="preserve">Note 2: </w:t>
            </w:r>
            <w:r w:rsidRPr="002871BA">
              <w:rPr>
                <w:rFonts w:eastAsia="Calibri" w:cstheme="minorHAnsi"/>
                <w:sz w:val="16"/>
                <w:szCs w:val="16"/>
              </w:rPr>
              <w:t>As per the main analysis and presented in Table 4</w:t>
            </w:r>
          </w:p>
        </w:tc>
      </w:tr>
    </w:tbl>
    <w:p w14:paraId="02CC76EE" w14:textId="50B7DD3E" w:rsidR="00670077" w:rsidRDefault="00670077" w:rsidP="008B0A52">
      <w:pPr>
        <w:pStyle w:val="Heading3-nonumber"/>
        <w:keepNext/>
        <w:spacing w:line="480" w:lineRule="auto"/>
        <w:rPr>
          <w:b w:val="0"/>
        </w:rPr>
      </w:pPr>
    </w:p>
    <w:p w14:paraId="38AF85CA" w14:textId="77777777" w:rsidR="00670077" w:rsidRDefault="00670077">
      <w:pPr>
        <w:spacing w:after="200" w:line="276" w:lineRule="auto"/>
      </w:pPr>
      <w:r>
        <w:rPr>
          <w:b/>
        </w:rPr>
        <w:br w:type="page"/>
      </w:r>
    </w:p>
    <w:p w14:paraId="09FAF0A2" w14:textId="3BFE1C99" w:rsidR="00B467F9" w:rsidRDefault="00B467F9" w:rsidP="008B0A52">
      <w:pPr>
        <w:pStyle w:val="Heading1NoNumber0"/>
        <w:spacing w:line="480" w:lineRule="auto"/>
        <w:ind w:left="0" w:firstLine="0"/>
      </w:pPr>
      <w:r>
        <w:lastRenderedPageBreak/>
        <w:t>Discussion</w:t>
      </w:r>
    </w:p>
    <w:p w14:paraId="1CA2F1FC" w14:textId="5CA8FD43" w:rsidR="00585DA0" w:rsidRPr="005710F2" w:rsidRDefault="00CE5A70" w:rsidP="008B0A52">
      <w:pPr>
        <w:pStyle w:val="Heading3-nonumber"/>
        <w:spacing w:line="480" w:lineRule="auto"/>
        <w:rPr>
          <w:b w:val="0"/>
        </w:rPr>
      </w:pPr>
      <w:r>
        <w:rPr>
          <w:b w:val="0"/>
        </w:rPr>
        <w:t>W</w:t>
      </w:r>
      <w:r w:rsidR="00585DA0">
        <w:rPr>
          <w:b w:val="0"/>
        </w:rPr>
        <w:t xml:space="preserve">e have </w:t>
      </w:r>
      <w:r w:rsidR="00BB32EF">
        <w:rPr>
          <w:b w:val="0"/>
        </w:rPr>
        <w:t>demonstrated that</w:t>
      </w:r>
      <w:r w:rsidR="00E87535">
        <w:rPr>
          <w:b w:val="0"/>
        </w:rPr>
        <w:t xml:space="preserve"> methods </w:t>
      </w:r>
      <w:r w:rsidR="00666A71">
        <w:rPr>
          <w:b w:val="0"/>
        </w:rPr>
        <w:t>applied to non-interventional</w:t>
      </w:r>
      <w:r w:rsidR="00E87535">
        <w:rPr>
          <w:b w:val="0"/>
        </w:rPr>
        <w:t xml:space="preserve"> data can generate results </w:t>
      </w:r>
      <w:r w:rsidR="00897F06">
        <w:rPr>
          <w:b w:val="0"/>
        </w:rPr>
        <w:t xml:space="preserve">comparable to </w:t>
      </w:r>
      <w:r w:rsidR="00E87535">
        <w:rPr>
          <w:b w:val="0"/>
        </w:rPr>
        <w:t>active comparator trials</w:t>
      </w:r>
      <w:r w:rsidR="00181671">
        <w:rPr>
          <w:b w:val="0"/>
        </w:rPr>
        <w:t xml:space="preserve"> for</w:t>
      </w:r>
      <w:r w:rsidR="00BB32EF">
        <w:rPr>
          <w:b w:val="0"/>
        </w:rPr>
        <w:t xml:space="preserve"> </w:t>
      </w:r>
      <w:r w:rsidR="00181671">
        <w:rPr>
          <w:b w:val="0"/>
        </w:rPr>
        <w:t xml:space="preserve">COPD treatment </w:t>
      </w:r>
      <w:r w:rsidR="00A03C05">
        <w:rPr>
          <w:b w:val="0"/>
        </w:rPr>
        <w:t xml:space="preserve">effects. </w:t>
      </w:r>
      <w:r w:rsidR="00181671">
        <w:rPr>
          <w:b w:val="0"/>
        </w:rPr>
        <w:t xml:space="preserve">In contrast, we found that </w:t>
      </w:r>
      <w:r w:rsidR="00A03C05">
        <w:rPr>
          <w:b w:val="0"/>
        </w:rPr>
        <w:t>the same</w:t>
      </w:r>
      <w:r>
        <w:rPr>
          <w:b w:val="0"/>
        </w:rPr>
        <w:t xml:space="preserve"> methods were unable to</w:t>
      </w:r>
      <w:r w:rsidR="00181671">
        <w:rPr>
          <w:b w:val="0"/>
        </w:rPr>
        <w:t xml:space="preserve"> replicate placebo-controlled trial </w:t>
      </w:r>
      <w:r w:rsidR="0014183C">
        <w:rPr>
          <w:b w:val="0"/>
        </w:rPr>
        <w:t>results</w:t>
      </w:r>
      <w:r w:rsidR="0003783C">
        <w:rPr>
          <w:b w:val="0"/>
        </w:rPr>
        <w:t xml:space="preserve">. </w:t>
      </w:r>
    </w:p>
    <w:p w14:paraId="7B19CABD" w14:textId="74CBDB79" w:rsidR="008C585F" w:rsidRPr="008C585F" w:rsidRDefault="00B467F9" w:rsidP="008B0A52">
      <w:pPr>
        <w:pStyle w:val="heading2nonumber"/>
        <w:spacing w:line="480" w:lineRule="auto"/>
      </w:pPr>
      <w:r>
        <w:t>Comparison with previous studies</w:t>
      </w:r>
    </w:p>
    <w:p w14:paraId="61D51D81" w14:textId="58B61349" w:rsidR="003E168E" w:rsidRPr="003E168E" w:rsidRDefault="003E168E" w:rsidP="008B0A52">
      <w:pPr>
        <w:pStyle w:val="Heading3-nonumber"/>
        <w:spacing w:line="480" w:lineRule="auto"/>
        <w:rPr>
          <w:b w:val="0"/>
          <w:u w:val="single"/>
        </w:rPr>
      </w:pPr>
      <w:r>
        <w:rPr>
          <w:b w:val="0"/>
          <w:u w:val="single"/>
        </w:rPr>
        <w:t>Previous</w:t>
      </w:r>
      <w:r w:rsidRPr="003E168E">
        <w:rPr>
          <w:b w:val="0"/>
          <w:u w:val="single"/>
        </w:rPr>
        <w:t xml:space="preserve"> studies applying </w:t>
      </w:r>
      <w:r>
        <w:rPr>
          <w:b w:val="0"/>
          <w:u w:val="single"/>
        </w:rPr>
        <w:t>similar “trial-replication” approaches</w:t>
      </w:r>
    </w:p>
    <w:p w14:paraId="741636F1" w14:textId="3EA8D17B" w:rsidR="001B32AE" w:rsidRDefault="008A468F" w:rsidP="008B0A52">
      <w:pPr>
        <w:pStyle w:val="Heading3-nonumber"/>
        <w:spacing w:line="480" w:lineRule="auto"/>
        <w:rPr>
          <w:b w:val="0"/>
        </w:rPr>
      </w:pPr>
      <w:r>
        <w:rPr>
          <w:b w:val="0"/>
        </w:rPr>
        <w:t xml:space="preserve">Although a number of papers </w:t>
      </w:r>
      <w:r w:rsidR="00A03C05">
        <w:rPr>
          <w:b w:val="0"/>
        </w:rPr>
        <w:t xml:space="preserve">have </w:t>
      </w:r>
      <w:r>
        <w:rPr>
          <w:b w:val="0"/>
        </w:rPr>
        <w:t>compar</w:t>
      </w:r>
      <w:r w:rsidR="00A03C05">
        <w:rPr>
          <w:b w:val="0"/>
        </w:rPr>
        <w:t>ed</w:t>
      </w:r>
      <w:r>
        <w:rPr>
          <w:b w:val="0"/>
        </w:rPr>
        <w:t xml:space="preserve"> the designs of observational studies with randomised controlled trials,</w:t>
      </w:r>
      <w:r w:rsidR="006600AE">
        <w:rPr>
          <w:b w:val="0"/>
        </w:rPr>
        <w:fldChar w:fldCharType="begin" w:fldLock="1"/>
      </w:r>
      <w:r w:rsidR="00B10790">
        <w:rPr>
          <w:b w:val="0"/>
        </w:rPr>
        <w:instrText>ADDIN CSL_CITATION {"citationItems":[{"id":"ITEM-1","itemData":{"DOI":"10.1056/NEJM200006223422507","ISBN":"2122633255","ISSN":"0028-4793","PMID":"10861325","abstract":"BACKGROUND In the hierarchy of research designs, the results of randomized, controlled trials are considered to be evidence of the highest grade, whereas observational studies are viewed as having less validity because they reportedly overestimate treatment effects. We used published meta-analyses to identify randomized clinical trials and observational studies that examined the same clinical topics. We then compared the results of the original reports according to the type of research design. METHODS A search of the Medline data base for articles published in five major medical journals from 1991 to 1995 identified meta-analyses of randomized, controlled trials and meta-analyses of either cohort or case-control studies that assessed the same intervention. For each of five topics, summary estimates and 95 percent confidence intervals were calculated on the basis of data from the individual randomized, controlled trials and the individual observational studies. RESULTS For the five clinical topics and 99 reports evaluated, the average results of the observational studies were remarkably similar to those of the randomized, controlled trials. For example, analysis of 13 randomized, controlled trials of the effectiveness of bacille Calmette-Guérin vaccine in preventing active tuberculosis yielded a relative risk of 0.49 (95 percent confidence interval, 0.34 to 0.70) among vaccinated patients, as compared with an odds ratio of 0.50 (95 percent confidence interval, 0.39 to 0.65) from 10 case-control studies. In addition, the range of the point estimates for the effect of vaccination was wider for the randomized, controlled trials (0.20 to 1.56) than for the observational studies (0.17 to 0.84). CONCLUSIONS The results of well-designed observational studies (with either a cohort or a case-control design) do not systematically overestimate the magnitude of the effects of treatment as compared with those in randomized, controlled trials on the same topic.","author":[{"dropping-particle":"","family":"Concato","given":"John","non-dropping-particle":"","parse-names":false,"suffix":""},{"dropping-particle":"","family":"Shah","given":"Nirav","non-dropping-particle":"","parse-names":false,"suffix":""},{"dropping-particle":"","family":"Horwitz","given":"Ralph I.","non-dropping-particle":"","parse-names":false,"suffix":""}],"container-title":"The New England journal of medicine","id":"ITEM-1","issue":"25","issued":{"date-parts":[["2000","6","22"]]},"page":"1887-92","publisher":"Massachusetts Medical Society","title":"Randomized, controlled trials, observational studies, and the hierarchy of research designs.","type":"article-journal","volume":"342"},"uris":["http://www.mendeley.com/documents/?uuid=219809e6-b35f-3d40-a99a-d09cf5fdac56"]}],"mendeley":{"formattedCitation":"[4]","plainTextFormattedCitation":"[4]","previouslyFormattedCitation":"[4]"},"properties":{"noteIndex":0},"schema":"https://github.com/citation-style-language/schema/raw/master/csl-citation.json"}</w:instrText>
      </w:r>
      <w:r w:rsidR="006600AE">
        <w:rPr>
          <w:b w:val="0"/>
        </w:rPr>
        <w:fldChar w:fldCharType="separate"/>
      </w:r>
      <w:r w:rsidR="00B10790" w:rsidRPr="00B10790">
        <w:rPr>
          <w:b w:val="0"/>
          <w:noProof/>
        </w:rPr>
        <w:t>[4]</w:t>
      </w:r>
      <w:r w:rsidR="006600AE">
        <w:rPr>
          <w:b w:val="0"/>
        </w:rPr>
        <w:fldChar w:fldCharType="end"/>
      </w:r>
      <w:r w:rsidR="006600AE">
        <w:rPr>
          <w:b w:val="0"/>
          <w:vertAlign w:val="superscript"/>
        </w:rPr>
        <w:t>,</w:t>
      </w:r>
      <w:r w:rsidR="006600AE">
        <w:rPr>
          <w:b w:val="0"/>
          <w:vertAlign w:val="superscript"/>
        </w:rPr>
        <w:fldChar w:fldCharType="begin" w:fldLock="1"/>
      </w:r>
      <w:r w:rsidR="00B10790">
        <w:rPr>
          <w:b w:val="0"/>
          <w:vertAlign w:val="superscript"/>
        </w:rPr>
        <w:instrText>ADDIN CSL_CITATION {"citationItems":[{"id":"ITEM-1","itemData":{"DOI":"10.1371/journal.pmed.1001026","abstract":"Su Golder and colleagues carry out an overview of meta-analyses to assess whether estimates of the risk of harm outcomes differ between randomized trials and observational studies. They find that, on average, there is no difference in the estimates of risk between overviews of observational studies and overviews of randomized trials.","author":[{"dropping-particle":"","family":"Golder","given":"Su","non-dropping-particle":"","parse-names":false,"suffix":""},{"dropping-particle":"","family":"Loke","given":"Yoon K","non-dropping-particle":"","parse-names":false,"suffix":""},{"dropping-particle":"","family":"Bland","given":"Martin","non-dropping-particle":"","parse-names":false,"suffix":""}],"container-title":"PLoS Med","id":"ITEM-1","issue":"5","issued":{"date-parts":[["2011"]]},"page":"e1001026","publisher":"Public Library of Science","title":"Meta-analyses of Adverse Effects Data Derived from Randomised Controlled Trials as Compared to Observational Studies: Methodological Overview","type":"article-journal","volume":"8"},"uris":["http://www.mendeley.com/documents/?uuid=132d1699-8ef5-4570-99f5-8965d30452e9"]}],"mendeley":{"formattedCitation":"[5]","plainTextFormattedCitation":"[5]","previouslyFormattedCitation":"[5]"},"properties":{"noteIndex":0},"schema":"https://github.com/citation-style-language/schema/raw/master/csl-citation.json"}</w:instrText>
      </w:r>
      <w:r w:rsidR="006600AE">
        <w:rPr>
          <w:b w:val="0"/>
          <w:vertAlign w:val="superscript"/>
        </w:rPr>
        <w:fldChar w:fldCharType="separate"/>
      </w:r>
      <w:r w:rsidR="00B10790" w:rsidRPr="00B10790">
        <w:rPr>
          <w:b w:val="0"/>
          <w:noProof/>
        </w:rPr>
        <w:t>[5]</w:t>
      </w:r>
      <w:r w:rsidR="006600AE">
        <w:rPr>
          <w:b w:val="0"/>
          <w:vertAlign w:val="superscript"/>
        </w:rPr>
        <w:fldChar w:fldCharType="end"/>
      </w:r>
      <w:r w:rsidR="006600AE">
        <w:rPr>
          <w:b w:val="0"/>
          <w:vertAlign w:val="superscript"/>
        </w:rPr>
        <w:t>,</w:t>
      </w:r>
      <w:r w:rsidR="006600AE">
        <w:rPr>
          <w:b w:val="0"/>
          <w:vertAlign w:val="superscript"/>
        </w:rPr>
        <w:fldChar w:fldCharType="begin" w:fldLock="1"/>
      </w:r>
      <w:r w:rsidR="00B10790">
        <w:rPr>
          <w:b w:val="0"/>
          <w:vertAlign w:val="superscript"/>
        </w:rPr>
        <w:instrText>ADDIN CSL_CITATION {"citationItems":[{"id":"ITEM-1","itemData":{"DOI":"96-26-99 [pii]","ISBN":"1366-5278","ISSN":"13665278","PMID":"14499048","abstract":"OBJECTIVES To consider methods and related evidence for evaluating bias in non-randomised intervention studies. DATA SOURCES Systematic reviews and methodological papers were identified from a search of electronic databases; handsearches of key medical journals and contact with experts working in the field. New empirical studies were conducted using data from two large randomised clinical trials. METHODS Three systematic reviews and new empirical investigations were conducted. The reviews considered, in regard to non-randomised studies, (1) the existing evidence of bias, (2) the content of quality assessment tools, (3) the ways that study quality has been assessed and addressed. (4) The empirical investigations were conducted generating non-randomised studies from two large, multicentre randomised controlled trials (RCTs) and selectively resampling trial participants according to allocated treatment, centre and period. RESULTS In the systematic reviews, eight studies compared results of randomised and non-randomised studies across multiple interventions using meta-epidemiological techniques. A total of 194 tools were identified that could be or had been used to assess non-randomised studies. Sixty tools covered at least five of six pre-specified internal validity domains. Fourteen tools covered three of four core items of particular importance for non-randomised studies. Six tools were thought suitable for use in systematic reviews. Of 511 systematic reviews that included non-randomised studies, only 169 (33%) assessed study quality. Sixty-nine reviews investigated the impact of quality on study results in a quantitative manner. The new empirical studies estimated the bias associated with non-random allocation and found that the bias could lead to consistent over- or underestimations of treatment effects, also the bias increased variation in results for both historical and concurrent controls, owing to haphazard differences in case-mix between groups. The biases were large enough to lead studies falsely to conclude significant findings of benefit or harm. Four strategies for case-mix adjustment were evaluated: none adequately adjusted for bias in historically and concurrently controlled studies. Logistic regression on average increased bias. Propensity score methods performed better, but were not satisfactory in most situations. Detailed investigation revealed that adequate adjustment can only be achieved in the unrealistic situation when selection depe…","author":[{"dropping-particle":"","family":"Deeks","given":"J. J.","non-dropping-particle":"","parse-names":false,"suffix":""},{"dropping-particle":"","family":"Dinnes","given":"J","non-dropping-particle":"","parse-names":false,"suffix":""},{"dropping-particle":"","family":"D'Amico","given":"R.","non-dropping-particle":"","parse-names":false,"suffix":""},{"dropping-particle":"","family":"Sowden","given":"A. J.","non-dropping-particle":"","parse-names":false,"suffix":""},{"dropping-particle":"","family":"Sakarovitch","given":"C","non-dropping-particle":"","parse-names":false,"suffix":""},{"dropping-particle":"","family":"Song","given":"F","non-dropping-particle":"","parse-names":false,"suffix":""},{"dropping-particle":"","family":"Petticrew","given":"M","non-dropping-particle":"","parse-names":false,"suffix":""},{"dropping-particle":"","family":"Altman","given":"D. G.","non-dropping-particle":"","parse-names":false,"suffix":""},{"dropping-particle":"","family":"International Stroke Trial Collaborative Group","given":"","non-dropping-particle":"","parse-names":false,"suffix":""},{"dropping-particle":"","family":"European Carotid Surgery Trial Collaborative Group","given":"","non-dropping-particle":"","parse-names":false,"suffix":""}],"container-title":"Health technology assessment","id":"ITEM-1","issue":"27","issued":{"date-parts":[["2003"]]},"title":"Evaluating non-randomised intervention studies.","type":"article","volume":"7"},"uris":["http://www.mendeley.com/documents/?uuid=743c3271-ce8b-3083-aaef-710bcaa896b2"]}],"mendeley":{"formattedCitation":"[6]","plainTextFormattedCitation":"[6]","previouslyFormattedCitation":"[6]"},"properties":{"noteIndex":0},"schema":"https://github.com/citation-style-language/schema/raw/master/csl-citation.json"}</w:instrText>
      </w:r>
      <w:r w:rsidR="006600AE">
        <w:rPr>
          <w:b w:val="0"/>
          <w:vertAlign w:val="superscript"/>
        </w:rPr>
        <w:fldChar w:fldCharType="separate"/>
      </w:r>
      <w:r w:rsidR="00B10790" w:rsidRPr="00B10790">
        <w:rPr>
          <w:b w:val="0"/>
          <w:noProof/>
        </w:rPr>
        <w:t>[6]</w:t>
      </w:r>
      <w:r w:rsidR="006600AE">
        <w:rPr>
          <w:b w:val="0"/>
          <w:vertAlign w:val="superscript"/>
        </w:rPr>
        <w:fldChar w:fldCharType="end"/>
      </w:r>
      <w:r w:rsidR="006600AE">
        <w:rPr>
          <w:b w:val="0"/>
          <w:vertAlign w:val="superscript"/>
        </w:rPr>
        <w:t>,</w:t>
      </w:r>
      <w:r w:rsidR="006600AE">
        <w:rPr>
          <w:b w:val="0"/>
          <w:vertAlign w:val="superscript"/>
        </w:rPr>
        <w:fldChar w:fldCharType="begin" w:fldLock="1"/>
      </w:r>
      <w:r w:rsidR="00B10790">
        <w:rPr>
          <w:b w:val="0"/>
          <w:vertAlign w:val="superscript"/>
        </w:rPr>
        <w:instrText>ADDIN CSL_CITATION {"citationItems":[{"id":"ITEM-1","itemData":{"DOI":"10.1016/S0140-6736(04)16260-0","ISBN":"1474-547X (Electronic)","ISSN":"01406736","PMID":"15158637","abstract":"In observational studies, antioxidant vitamins have been inversely associated with cardiovascular disease, cancer, and all-cause mortality. 1-3 However, well conducted randomised controlled trials have shown that supplementation with antioxidants does not protect against these disorders.4 The figure, for example, summarises the effects of vitamin C seen in the largest randomised controlled trial to date,5 and in a large observational study.1 Both these papers were published in The Lancet , both are thought to be methodologically sound, and both are widely cited, yet their conclusions are contradictory. In this example, in the randomised trial vitamin C was part of a multivitamin supplement, whereas in the observational study plasma concentrations of vitamin C were assessed. However, it is difficult to see why a combination of vitamin C with other vitamins should reduce its protective effects, if they were real. Furthermore, in the case of other antioxidant vitamins, notably vitamin E, results of single-factor trials and observational studies show a similar discordance to those seen in our figure for vitamin C.2-4","author":[{"dropping-particle":"","family":"Lawlor","given":"Debbie A.","non-dropping-particle":"","parse-names":false,"suffix":""},{"dropping-particle":"","family":"Smith","given":"George Davey","non-dropping-particle":"","parse-names":false,"suffix":""},{"dropping-particle":"","family":"Kundu","given":"Devi","non-dropping-particle":"","parse-names":false,"suffix":""},{"dropping-particle":"","family":"Bruckdorfer","given":"K. Richard","non-dropping-particle":"","parse-names":false,"suffix":""},{"dropping-particle":"","family":"Ebrahim","given":"Shah","non-dropping-particle":"","parse-names":false,"suffix":""}],"container-title":"Lancet","id":"ITEM-1","issue":"9422","issued":{"date-parts":[["2004"]]},"page":"1724-1727","title":"Those confounded vitamins: What can we learn from the differences between observational versus randomised trial evidence?","type":"article","volume":"363"},"uris":["http://www.mendeley.com/documents/?uuid=a89c147c-0f5b-3496-b2ed-19967dc40af9"]}],"mendeley":{"formattedCitation":"[7]","plainTextFormattedCitation":"[7]","previouslyFormattedCitation":"[7]"},"properties":{"noteIndex":0},"schema":"https://github.com/citation-style-language/schema/raw/master/csl-citation.json"}</w:instrText>
      </w:r>
      <w:r w:rsidR="006600AE">
        <w:rPr>
          <w:b w:val="0"/>
          <w:vertAlign w:val="superscript"/>
        </w:rPr>
        <w:fldChar w:fldCharType="separate"/>
      </w:r>
      <w:r w:rsidR="00B10790" w:rsidRPr="00B10790">
        <w:rPr>
          <w:b w:val="0"/>
          <w:noProof/>
        </w:rPr>
        <w:t>[7]</w:t>
      </w:r>
      <w:r w:rsidR="006600AE">
        <w:rPr>
          <w:b w:val="0"/>
          <w:vertAlign w:val="superscript"/>
        </w:rPr>
        <w:fldChar w:fldCharType="end"/>
      </w:r>
      <w:r w:rsidR="006600AE">
        <w:rPr>
          <w:b w:val="0"/>
          <w:vertAlign w:val="superscript"/>
        </w:rPr>
        <w:t>,</w:t>
      </w:r>
      <w:r w:rsidR="006600AE">
        <w:rPr>
          <w:b w:val="0"/>
          <w:vertAlign w:val="superscript"/>
        </w:rPr>
        <w:fldChar w:fldCharType="begin" w:fldLock="1"/>
      </w:r>
      <w:r w:rsidR="00B10790">
        <w:rPr>
          <w:b w:val="0"/>
          <w:vertAlign w:val="superscript"/>
        </w:rPr>
        <w:instrText>ADDIN CSL_CITATION {"citationItems":[{"id":"ITEM-1","itemData":{"DOI":"10.1016/S0140-6736(09)60708-X","ISBN":"1474-547X (Electronic)\\r0140-6736 (Linking)","ISSN":"01406736","PMID":"19362661","author":[{"dropping-particle":"","family":"Vandenbroucke","given":"Jan P","non-dropping-particle":"","parse-names":false,"suffix":""}],"container-title":"The Lancet","id":"ITEM-1","issue":"9671","issued":{"date-parts":[["2009"]]},"page":"1233-1235","title":"The HRT controversy: observational studies and RCTs fall in line","type":"article-journal","volume":"373"},"uris":["http://www.mendeley.com/documents/?uuid=0f0d0f0c-285d-3901-a47e-51591b57d644"]}],"mendeley":{"formattedCitation":"[8]","plainTextFormattedCitation":"[8]","previouslyFormattedCitation":"[8]"},"properties":{"noteIndex":0},"schema":"https://github.com/citation-style-language/schema/raw/master/csl-citation.json"}</w:instrText>
      </w:r>
      <w:r w:rsidR="006600AE">
        <w:rPr>
          <w:b w:val="0"/>
          <w:vertAlign w:val="superscript"/>
        </w:rPr>
        <w:fldChar w:fldCharType="separate"/>
      </w:r>
      <w:r w:rsidR="00B10790" w:rsidRPr="00B10790">
        <w:rPr>
          <w:b w:val="0"/>
          <w:noProof/>
        </w:rPr>
        <w:t>[8]</w:t>
      </w:r>
      <w:r w:rsidR="006600AE">
        <w:rPr>
          <w:b w:val="0"/>
          <w:vertAlign w:val="superscript"/>
        </w:rPr>
        <w:fldChar w:fldCharType="end"/>
      </w:r>
      <w:r w:rsidR="006600AE">
        <w:rPr>
          <w:b w:val="0"/>
          <w:vertAlign w:val="superscript"/>
        </w:rPr>
        <w:t>,</w:t>
      </w:r>
      <w:r w:rsidR="006600AE">
        <w:rPr>
          <w:b w:val="0"/>
          <w:vertAlign w:val="superscript"/>
        </w:rPr>
        <w:fldChar w:fldCharType="begin" w:fldLock="1"/>
      </w:r>
      <w:r w:rsidR="00B10790">
        <w:rPr>
          <w:b w:val="0"/>
          <w:vertAlign w:val="superscript"/>
        </w:rPr>
        <w:instrText>ADDIN CSL_CITATION {"citationItems":[{"id":"ITEM-1","itemData":{"DOI":"10.1177/0962280211403603","ISSN":"1477-0334","PMID":"22016461","abstract":"This article reviews methods for comparative effectiveness research using observational data. The basic idea is using an observational study to emulate a hypothetical randomised trial by comparing initiators versus non-initiators of treatment. After adjustment for measured baseline confounders, one can then conduct the observational analogue of an intention-to-treat analysis. We also explain two approaches to conduct the analogues of per-protocol and as-treated analyses after further adjusting for measured time-varying confounding and selection bias using inverse-probability weighting. As an example, we implemented these methods to estimate the effect of statins for primary prevention of coronary heart disease (CHD) using data from electronic medical records in the UK. Despite strong confounding by indication, our approach detected a potential benefit of statin therapy. The analogue of the intention-to-treat hazard ratio (HR) of CHD was 0.89 (0.73, 1.09) for statin initiators versus non-initiators. The HR of CHD was 0.84 (0.54, 1.30) in the per-protocol analysis and 0.79 (0.41, 1.41) in the as-treated analysis for 2 years of use versus no use. In contrast, a conventional comparison of current users versus never users of statin therapy resulted in a HR of 1.31 (1.04, 1.66). We provide a flexible and annotated SAS program to implement the proposed analyses.","author":[{"dropping-particle":"","family":"Danaei","given":"Goodarz","non-dropping-particle":"","parse-names":false,"suffix":""},{"dropping-particle":"","family":"Rodríguez","given":"Luis A García","non-dropping-particle":"","parse-names":false,"suffix":""},{"dropping-particle":"","family":"Cantero","given":"Oscar Fernández","non-dropping-particle":"","parse-names":false,"suffix":""},{"dropping-particle":"","family":"Logan","given":"Roger","non-dropping-particle":"","parse-names":false,"suffix":""},{"dropping-particle":"","family":"Hernán","given":"Miguel A","non-dropping-particle":"","parse-names":false,"suffix":""}],"container-title":"Statistical methods in medical research","id":"ITEM-1","issue":"1","issued":{"date-parts":[["2013","2"]]},"page":"70-96","publisher":"NIH Public Access","title":"Observational data for comparative effectiveness research: an emulation of randomised trials of statins and primary prevention of coronary heart disease.","type":"article-journal","volume":"22"},"uris":["http://www.mendeley.com/documents/?uuid=0682632d-e28c-306f-8e64-fe3d1edacd1e"]}],"mendeley":{"formattedCitation":"[9]","plainTextFormattedCitation":"[9]","previouslyFormattedCitation":"[9]"},"properties":{"noteIndex":0},"schema":"https://github.com/citation-style-language/schema/raw/master/csl-citation.json"}</w:instrText>
      </w:r>
      <w:r w:rsidR="006600AE">
        <w:rPr>
          <w:b w:val="0"/>
          <w:vertAlign w:val="superscript"/>
        </w:rPr>
        <w:fldChar w:fldCharType="separate"/>
      </w:r>
      <w:r w:rsidR="00B10790" w:rsidRPr="00B10790">
        <w:rPr>
          <w:b w:val="0"/>
          <w:noProof/>
        </w:rPr>
        <w:t>[9]</w:t>
      </w:r>
      <w:r w:rsidR="006600AE">
        <w:rPr>
          <w:b w:val="0"/>
          <w:vertAlign w:val="superscript"/>
        </w:rPr>
        <w:fldChar w:fldCharType="end"/>
      </w:r>
      <w:r w:rsidR="00A03C05">
        <w:rPr>
          <w:b w:val="0"/>
        </w:rPr>
        <w:t xml:space="preserve">, and </w:t>
      </w:r>
      <w:r w:rsidR="00130D2E">
        <w:rPr>
          <w:b w:val="0"/>
        </w:rPr>
        <w:t>some studies have</w:t>
      </w:r>
      <w:r w:rsidR="0059486A">
        <w:rPr>
          <w:b w:val="0"/>
        </w:rPr>
        <w:t xml:space="preserve"> generated results </w:t>
      </w:r>
      <w:r w:rsidR="00130D2E">
        <w:rPr>
          <w:b w:val="0"/>
        </w:rPr>
        <w:t>similar to an earlier or subsequent</w:t>
      </w:r>
      <w:r w:rsidR="00857B3A">
        <w:rPr>
          <w:b w:val="0"/>
        </w:rPr>
        <w:t xml:space="preserve"> trial</w:t>
      </w:r>
      <w:r w:rsidR="002C1670">
        <w:rPr>
          <w:b w:val="0"/>
        </w:rPr>
        <w:t>,</w:t>
      </w:r>
      <w:r w:rsidR="00BC040F">
        <w:rPr>
          <w:b w:val="0"/>
        </w:rPr>
        <w:fldChar w:fldCharType="begin" w:fldLock="1"/>
      </w:r>
      <w:r w:rsidR="00B10790">
        <w:rPr>
          <w:b w:val="0"/>
        </w:rPr>
        <w:instrText>ADDIN CSL_CITATION {"citationItems":[{"id":"ITEM-1","itemData":{"DOI":"10.1371/journal.pmed.1000154","ISBN":"1549-1676 (Electronic)\\n1549-1277 (Linking)","ISSN":"15491277","PMID":"19787025","abstract":"BACKGROUND: The results of clinical trials have suggested that the thiazolidinedione antidiabetic agents rosiglitazone and pioglitazone are associated with an increased risk of fractures, but such studies had limited power. The increased risk in these trials appeared to be limited to women and mainly involved fractures of the arm, wrist, hand, or foot: risk patterns that could not be readily explained. Our objective was to further investigate the risk of fracture associated with thiazolidinedione use.\\n\\nMETHODS AND FINDINGS: The self-controlled case-series design was used to compare rates of fracture during thiazolidinedione exposed and unexposed periods and thus estimate within-person rate ratios. We used anonymised primary care data from the United Kingdom General Practice Research Database (GPRD). All patients aged 40 y or older with a recorded fracture and at least one prescription for a thiazolidinedione were included (n = 1,819). We found a within-person rate ratio of 1.43 (95% confidence interval [CI] 1.25-1.62) for fracture at any site comparing exposed with unexposed periods among patients prescribed any thiazolidinedione. This association was similar in men and women and in patients treated with either rosiglitazone or pioglitazone. The increased risk was also evident at a range of fracture sites, including hip, spine, arm, foot, wrist, or hand. The risk increased with increasing duration of thiazolidinedione exposure: rate ratio 2.00 (95% CI 1.48-2.70) for 4 y or more of exposure.\\n\\nCONCLUSION: Within individuals who experience a fracture, fracture risk is increased during periods of exposure to thiazolidinediones (both rosiglitazone and pioglitazone) compared with unexposed periods. The increased risk is observed in both men and women and at a range of fracture sites. The risk also increases with longer duration of use.","author":[{"dropping-particle":"","family":"Douglas","given":"Ian J.","non-dropping-particle":"","parse-names":false,"suffix":""},{"dropping-particle":"","family":"Evans","given":"Stephen J.","non-dropping-particle":"","parse-names":false,"suffix":""},{"dropping-particle":"","family":"Pocock","given":"Stuart","non-dropping-particle":"","parse-names":false,"suffix":""},{"dropping-particle":"","family":"Smeeth","given":"Liam","non-dropping-particle":"","parse-names":false,"suffix":""}],"container-title":"PLoS Medicine","id":"ITEM-1","issue":"9","issued":{"date-parts":[["2009","9","29"]]},"page":"e1000154","publisher":"Public Library of Science","title":"The risk of fractures associated with thiazolidinediones: A self-controlled case-series study","type":"article-journal","volume":"6"},"uris":["http://www.mendeley.com/documents/?uuid=e8ccd6d7-2fd3-3673-95df-374439540855"]}],"mendeley":{"formattedCitation":"[10]","plainTextFormattedCitation":"[10]","previouslyFormattedCitation":"[10]"},"properties":{"noteIndex":0},"schema":"https://github.com/citation-style-language/schema/raw/master/csl-citation.json"}</w:instrText>
      </w:r>
      <w:r w:rsidR="00BC040F">
        <w:rPr>
          <w:b w:val="0"/>
        </w:rPr>
        <w:fldChar w:fldCharType="separate"/>
      </w:r>
      <w:r w:rsidR="00B10790" w:rsidRPr="00B10790">
        <w:rPr>
          <w:b w:val="0"/>
          <w:noProof/>
        </w:rPr>
        <w:t>[10]</w:t>
      </w:r>
      <w:r w:rsidR="00BC040F">
        <w:rPr>
          <w:b w:val="0"/>
        </w:rPr>
        <w:fldChar w:fldCharType="end"/>
      </w:r>
      <w:r w:rsidR="00BC040F">
        <w:rPr>
          <w:b w:val="0"/>
          <w:vertAlign w:val="superscript"/>
        </w:rPr>
        <w:t>,</w:t>
      </w:r>
      <w:r w:rsidR="00BC040F">
        <w:rPr>
          <w:b w:val="0"/>
          <w:vertAlign w:val="superscript"/>
        </w:rPr>
        <w:fldChar w:fldCharType="begin" w:fldLock="1"/>
      </w:r>
      <w:r w:rsidR="00B10790">
        <w:rPr>
          <w:b w:val="0"/>
          <w:vertAlign w:val="superscript"/>
        </w:rPr>
        <w:instrText>ADDIN CSL_CITATION {"citationItems":[{"id":"ITEM-1","itemData":{"DOI":"10.1371/journal.pmed.1001420","ISBN":"1549-1676","ISSN":"15491277","PMID":"23585738","abstract":"BACKGROUND: Herpes zoster is common and has serious consequences, notably post-herpetic neuralgia (PHN). Vaccine efficacy against incident zoster and PHN has been demonstrated in clinical trials, but effectiveness has not been studied in unselected general populations unrestricted by region, full health insurance coverage, or immune status. Our objective was to assess zoster vaccine effectiveness (VE) against incident zoster and PHN in a general population-based setting. METHODS AND FINDINGS: A cohort study of 766,330 fully eligible individuals aged ≥ 65 years was undertaken in a 5% random sample of Medicare who received and did not receive zoster vaccination between 1st January 2007 and 31st December 2009. Incidence rates and hazard ratios for zoster and PHN were determined in vaccinated and unvaccinated individuals. Analyses were adjusted for age, gender, race, low income, immunosuppression, and important comorbidities associated with zoster, and then stratified by immunosuppression status. Adjusted hazard ratios were estimated using time-updated Cox proportional hazards models. Vaccine uptake was low (3.9%) particularly among black people (0.3%) and those with evidence of low income (0.6%). 13,112 US Medicare beneficiaries developed incident zoster; the overall zoster incidence rate was 10.0 (9.8-10.2) per 1,000 person-years in the unvaccinated group and 5.4 (95% CI 4.6-6.4) per 1,000 person-years in vaccinees, giving an adjusted VE against incident zoster of 0.48 (95% CI 0.39-0.56). In immunosuppressed individuals, VE against zoster was 0.37 (95% CI 0.06-0.58). VE against PHN was 0.59 (95% CI 0.21-0.79). CONCLUSIONS: Vaccine uptake was low with variation in specific patient groups. In a general population cohort of older individuals, zoster vaccination was associated with reduction in incident zoster, including among those with immunosuppression. Importantly, this study demonstrates that zoster vaccination is associated with a reduction in PHN. Please see later in the article for the Editors' Summary.","author":[{"dropping-particle":"","family":"Langan","given":"Sin??ad M.","non-dropping-particle":"","parse-names":false,"suffix":""},{"dropping-particle":"","family":"Smeeth","given":"Liam","non-dropping-particle":"","parse-names":false,"suffix":""},{"dropping-particle":"","family":"Margolis","given":"David J.","non-dropping-particle":"","parse-names":false,"suffix":""},{"dropping-particle":"","family":"Thomas","given":"Sara L.","non-dropping-particle":"","parse-names":false,"suffix":""}],"container-title":"PLoS Medicine","id":"ITEM-1","issue":"4","issued":{"date-parts":[["2013","4","9"]]},"page":"e1001420","publisher":"Public Library of Science","title":"Herpes Zoster Vaccine Effectiveness against Incident Herpes Zoster and Post-herpetic Neuralgia in an Older US Population: A Cohort Study","type":"article-journal","volume":"10"},"uris":["http://www.mendeley.com/documents/?uuid=71191f45-d405-3cc7-a5a0-6d79467559aa"]}],"mendeley":{"formattedCitation":"[11]","plainTextFormattedCitation":"[11]","previouslyFormattedCitation":"[11]"},"properties":{"noteIndex":0},"schema":"https://github.com/citation-style-language/schema/raw/master/csl-citation.json"}</w:instrText>
      </w:r>
      <w:r w:rsidR="00BC040F">
        <w:rPr>
          <w:b w:val="0"/>
          <w:vertAlign w:val="superscript"/>
        </w:rPr>
        <w:fldChar w:fldCharType="separate"/>
      </w:r>
      <w:r w:rsidR="00B10790" w:rsidRPr="00B10790">
        <w:rPr>
          <w:b w:val="0"/>
          <w:noProof/>
        </w:rPr>
        <w:t>[11]</w:t>
      </w:r>
      <w:r w:rsidR="00BC040F">
        <w:rPr>
          <w:b w:val="0"/>
          <w:vertAlign w:val="superscript"/>
        </w:rPr>
        <w:fldChar w:fldCharType="end"/>
      </w:r>
      <w:r w:rsidR="00BC040F">
        <w:rPr>
          <w:b w:val="0"/>
          <w:vertAlign w:val="superscript"/>
        </w:rPr>
        <w:t>,</w:t>
      </w:r>
      <w:r w:rsidR="00BC040F">
        <w:rPr>
          <w:b w:val="0"/>
          <w:vertAlign w:val="superscript"/>
        </w:rPr>
        <w:fldChar w:fldCharType="begin" w:fldLock="1"/>
      </w:r>
      <w:r w:rsidR="00B10790">
        <w:rPr>
          <w:b w:val="0"/>
          <w:vertAlign w:val="superscript"/>
        </w:rPr>
        <w:instrText>ADDIN CSL_CITATION {"citationItems":[{"id":"ITEM-1","itemData":{"DOI":"10.1056/NEJMoa0707571","ISSN":"0028-4793","abstract":"BACKGROUND: Aprotinin (Trasylol) is used to mitigate bleeding during coronary-artery bypass grafting (CABG). Accumulating evidence suggests that this practice increases mortality. METHODS: Using electronic administrative records of the Premier Perspective Comparative Database, we studied hospitalized patients with operating-room charges for the use of aprotinin (33,517 patients) or aminocaproic acid (44,682 patients) on the day CABG was performed. We tabulated the numbers of patients with a hospital-discharge status of death and performed three types of analyses: a multivariable logistic-regression analysis (primary analysis); propensity-score matching in the highly selected subcohort of patients who received full amounts of the study drug, who underwent CABG by surgeons who performed 50 or more CABG surgeries during the study period, and for whom information on 10 additional covariates was available because the surgery occurred on hospital day 3 or later; and an instrumental-variable analysis of data from patients whose surgeons showed a strong preference for one of the two study drugs. RESULTS: In all, 1512 of the 33,517 aprotinin recipients (4.5%) and 1101 of the 44,682 aminocaproic acid recipients (2.5%) died. After adjustment for 41 characteristics of patients and hospitals, the estimated risk of death was 64% higher in the aprotinin group than in the aminocaproic acid group (relative risk, 1.64; 95% confidence interval [CI], 1.50 to 1.78). In the first 7 days after surgery, the adjusted relative risk of in-hospital death in the aprotinin group was 1.78 (95% CI, 1.56 to 2.02). The relative risk in a propensity-score-matched analysis was 1.32 (95% CI, 1.08 to 1.63). In the instrumental-variable analysis, the use of aprotinin was found to be associated with an excess risk of death of 1.59 per 100 patients (95% CI, 0.14 to 3.04). Postoperative revascularization and dialysis were more frequent among recipients of aprotinin than among recipients of aminocaproic acid. CONCLUSIONS: Patients who received aprotinin alone on the day of CABG surgery had a higher mortality than patients who received aminocaproic acid alone. Characteristics of neither the patients nor the surgeons explain the difference, which persisted through several approaches to control confounding. Copyright © 2008 Massachusetts Medical Society.","author":[{"dropping-particle":"","family":"Schneeweiss","given":"Sebastian","non-dropping-particle":"","parse-names":false,"suffix":""},{"dropping-particle":"","family":"Seeger","given":"John D.","non-dropping-particle":"","parse-names":false,"suffix":""},{"dropping-particle":"","family":"Landon","given":"Joan","non-dropping-particle":"","parse-names":false,"suffix":""},{"dropping-particle":"","family":"Walker","given":"Alexander M.","non-dropping-particle":"","parse-names":false,"suffix":""}],"container-title":"New England Journal of Medicine","id":"ITEM-1","issue":"8","issued":{"date-parts":[["2008","2","21"]]},"page":"771-783","publisher":"Massachussetts Medical Society","title":"Aprotinin during Coronary-Artery Bypass Grafting and Risk of Death","type":"article-journal","volume":"358"},"uris":["http://www.mendeley.com/documents/?uuid=8c129b97-c688-3b53-b532-e43188fe40c7"]}],"mendeley":{"formattedCitation":"[12]","plainTextFormattedCitation":"[12]","previouslyFormattedCitation":"[12]"},"properties":{"noteIndex":0},"schema":"https://github.com/citation-style-language/schema/raw/master/csl-citation.json"}</w:instrText>
      </w:r>
      <w:r w:rsidR="00BC040F">
        <w:rPr>
          <w:b w:val="0"/>
          <w:vertAlign w:val="superscript"/>
        </w:rPr>
        <w:fldChar w:fldCharType="separate"/>
      </w:r>
      <w:r w:rsidR="00B10790" w:rsidRPr="00B10790">
        <w:rPr>
          <w:b w:val="0"/>
          <w:noProof/>
        </w:rPr>
        <w:t>[12]</w:t>
      </w:r>
      <w:r w:rsidR="00BC040F">
        <w:rPr>
          <w:b w:val="0"/>
          <w:vertAlign w:val="superscript"/>
        </w:rPr>
        <w:fldChar w:fldCharType="end"/>
      </w:r>
      <w:r w:rsidR="002C1670">
        <w:rPr>
          <w:b w:val="0"/>
        </w:rPr>
        <w:t xml:space="preserve"> there </w:t>
      </w:r>
      <w:r w:rsidR="00732001">
        <w:rPr>
          <w:b w:val="0"/>
        </w:rPr>
        <w:t xml:space="preserve">are </w:t>
      </w:r>
      <w:r w:rsidR="000E7097">
        <w:rPr>
          <w:b w:val="0"/>
        </w:rPr>
        <w:t>very few</w:t>
      </w:r>
      <w:r w:rsidR="002C1670">
        <w:rPr>
          <w:b w:val="0"/>
        </w:rPr>
        <w:t xml:space="preserve"> </w:t>
      </w:r>
      <w:r w:rsidR="00130D2E">
        <w:rPr>
          <w:b w:val="0"/>
        </w:rPr>
        <w:t xml:space="preserve">non-interventional </w:t>
      </w:r>
      <w:r w:rsidR="002C1670">
        <w:rPr>
          <w:b w:val="0"/>
        </w:rPr>
        <w:t xml:space="preserve">studies </w:t>
      </w:r>
      <w:r w:rsidR="00857B3A">
        <w:rPr>
          <w:b w:val="0"/>
        </w:rPr>
        <w:t xml:space="preserve">that have set out to </w:t>
      </w:r>
      <w:proofErr w:type="spellStart"/>
      <w:r w:rsidR="00857B3A">
        <w:rPr>
          <w:b w:val="0"/>
        </w:rPr>
        <w:t>explicity</w:t>
      </w:r>
      <w:proofErr w:type="spellEnd"/>
      <w:r w:rsidR="00857B3A">
        <w:rPr>
          <w:b w:val="0"/>
        </w:rPr>
        <w:t xml:space="preserve"> </w:t>
      </w:r>
      <w:r w:rsidR="002C1670">
        <w:rPr>
          <w:b w:val="0"/>
        </w:rPr>
        <w:t xml:space="preserve">replicate </w:t>
      </w:r>
      <w:r w:rsidR="005868B7">
        <w:rPr>
          <w:b w:val="0"/>
        </w:rPr>
        <w:t>a</w:t>
      </w:r>
      <w:r w:rsidR="00204B5F">
        <w:rPr>
          <w:b w:val="0"/>
        </w:rPr>
        <w:t xml:space="preserve"> specific</w:t>
      </w:r>
      <w:r w:rsidR="005868B7">
        <w:rPr>
          <w:b w:val="0"/>
        </w:rPr>
        <w:t xml:space="preserve"> </w:t>
      </w:r>
      <w:r w:rsidR="00857B3A">
        <w:rPr>
          <w:b w:val="0"/>
        </w:rPr>
        <w:t>trial cohort</w:t>
      </w:r>
      <w:r w:rsidR="002C1670">
        <w:rPr>
          <w:b w:val="0"/>
        </w:rPr>
        <w:t xml:space="preserve"> and </w:t>
      </w:r>
      <w:r w:rsidR="00A03C05">
        <w:rPr>
          <w:b w:val="0"/>
        </w:rPr>
        <w:t>its</w:t>
      </w:r>
      <w:r w:rsidR="00857B3A">
        <w:rPr>
          <w:b w:val="0"/>
        </w:rPr>
        <w:t xml:space="preserve"> </w:t>
      </w:r>
      <w:r w:rsidR="00204B5F">
        <w:rPr>
          <w:b w:val="0"/>
        </w:rPr>
        <w:t>results</w:t>
      </w:r>
      <w:r w:rsidR="00BC54DE">
        <w:rPr>
          <w:b w:val="0"/>
        </w:rPr>
        <w:t>.</w:t>
      </w:r>
    </w:p>
    <w:p w14:paraId="35E33CD3" w14:textId="2B422B4E" w:rsidR="00B153B4" w:rsidRPr="00AC5317" w:rsidRDefault="00980FB4" w:rsidP="008B0A52">
      <w:pPr>
        <w:pStyle w:val="Heading3-nonumber"/>
        <w:spacing w:line="480" w:lineRule="auto"/>
        <w:rPr>
          <w:b w:val="0"/>
        </w:rPr>
      </w:pPr>
      <w:r>
        <w:rPr>
          <w:b w:val="0"/>
        </w:rPr>
        <w:t>Hernan et al</w:t>
      </w:r>
      <w:r w:rsidR="00FA51E3">
        <w:rPr>
          <w:b w:val="0"/>
        </w:rPr>
        <w:t xml:space="preserve"> </w:t>
      </w:r>
      <w:r w:rsidR="00C24B04">
        <w:rPr>
          <w:b w:val="0"/>
        </w:rPr>
        <w:t>replica</w:t>
      </w:r>
      <w:r w:rsidR="00773617">
        <w:rPr>
          <w:b w:val="0"/>
        </w:rPr>
        <w:t>te</w:t>
      </w:r>
      <w:r w:rsidR="000E7097">
        <w:rPr>
          <w:b w:val="0"/>
        </w:rPr>
        <w:t>d</w:t>
      </w:r>
      <w:r w:rsidR="00C24B04">
        <w:rPr>
          <w:b w:val="0"/>
        </w:rPr>
        <w:t xml:space="preserve"> the design </w:t>
      </w:r>
      <w:r w:rsidR="000E7097">
        <w:rPr>
          <w:b w:val="0"/>
        </w:rPr>
        <w:t xml:space="preserve">and result </w:t>
      </w:r>
      <w:r w:rsidR="00C24B04">
        <w:rPr>
          <w:b w:val="0"/>
        </w:rPr>
        <w:t xml:space="preserve">of the Women’s Health Initiative randomised trial on </w:t>
      </w:r>
      <w:r w:rsidR="004967F9">
        <w:rPr>
          <w:b w:val="0"/>
        </w:rPr>
        <w:t xml:space="preserve">the effect of </w:t>
      </w:r>
      <w:proofErr w:type="spellStart"/>
      <w:r w:rsidR="00BA6F69">
        <w:rPr>
          <w:b w:val="0"/>
        </w:rPr>
        <w:t>estrogen</w:t>
      </w:r>
      <w:proofErr w:type="spellEnd"/>
      <w:r w:rsidR="00BA6F69">
        <w:rPr>
          <w:b w:val="0"/>
        </w:rPr>
        <w:t>/proges</w:t>
      </w:r>
      <w:r w:rsidR="00BF4C6F">
        <w:rPr>
          <w:b w:val="0"/>
        </w:rPr>
        <w:t xml:space="preserve">tin therapy </w:t>
      </w:r>
      <w:r w:rsidR="001906C5">
        <w:rPr>
          <w:b w:val="0"/>
        </w:rPr>
        <w:t>on coronary heart disease risk</w:t>
      </w:r>
      <w:r w:rsidR="00B87FC6">
        <w:rPr>
          <w:b w:val="0"/>
        </w:rPr>
        <w:t>.</w:t>
      </w:r>
      <w:r w:rsidR="00404E17">
        <w:rPr>
          <w:b w:val="0"/>
        </w:rPr>
        <w:fldChar w:fldCharType="begin" w:fldLock="1"/>
      </w:r>
      <w:r w:rsidR="00B10790">
        <w:rPr>
          <w:b w:val="0"/>
        </w:rPr>
        <w:instrText>ADDIN CSL_CITATION {"citationItems":[{"id":"ITEM-1","itemData":{"DOI":"10.1097/EDE.0b013e3181875e61.Observational","ISBN":"1531-5487 (Electronic)\\r1044-3983 (Linking)","ISSN":"1531-5487","PMID":"18854702","abstract":"Background—The Women’s Health Initiative randomized trial found greater coronary heart disease (CHD) risk in women assigned to estrogen/progestin therapy than in those assigned to placebo. Observational studies had previously suggested reduced CHD risk in hormone users. Methods—Using data from the observational Nurses’ Health Study, we emulated the design and intention-to-treat (ITT) analysis of the randomized trial. The observational study was conceptualized as a sequence of “trials” in which eligible women were classified as initiators or noninitiators of estrogen/progestin therapy. Results—The ITT hazard ratios (95% confidence intervals) of CHD for initiators versus noninitiators were 1.42 (0.92 – 2.20) for the first 2 years, and 0.96 (0.78 – 1.18) for the entire follow-up. The ITT hazard ratios were 0.84 (0.61 – 1.14) in women within 10 years of menopause, and 1.12 (0.84 – 1.48) in the others ( P value for interaction = 0.08). These ITT estimates are similar to those from the Women’s Health Initiative. Because the ITT approach causes severe treatment misclassification, we also estimated adherence-adjusted effects by inverse probability weighting. The hazard ratios were 1.61 (0.97 – 2.66) for the first 2 years, and 0.98 (0.66 – 1.49) for the entire follow-up. The hazard ratios were 0.54 (0.19 – 1.51) in women within 10 years after menopause, and 1.20 (0.78 – 1.84) in others ( P value for interaction = 0.01). Finally, we also present comparisons between these estimates and previously reported NHS estimates. Conclusions—Our findings suggest that the discrepancies between the Women’s Health Initiative and Nurses’ Health Study ITT estimates could be largely explained by differences in the distribution of time since menopause and length of follow-up.","author":[{"dropping-particle":"","family":"Hernán","given":"Miguel A","non-dropping-particle":"","parse-names":false,"suffix":""},{"dropping-particle":"","family":"Alonso","given":"Alvaro","non-dropping-particle":"","parse-names":false,"suffix":""},{"dropping-particle":"","family":"Logan","given":"Roger","non-dropping-particle":"","parse-names":false,"suffix":""},{"dropping-particle":"","family":"Grodstein","given":"Francine","non-dropping-particle":"","parse-names":false,"suffix":""},{"dropping-particle":"","family":"Michels","given":"Karin B","non-dropping-particle":"","parse-names":false,"suffix":""},{"dropping-particle":"","family":"Stampfer","given":"Meir J","non-dropping-particle":"","parse-names":false,"suffix":""},{"dropping-particle":"","family":"Willett","given":"Walter C","non-dropping-particle":"","parse-names":false,"suffix":""},{"dropping-particle":"","family":"Manson","given":"Joann E","non-dropping-particle":"","parse-names":false,"suffix":""},{"dropping-particle":"","family":"Robins","given":"James M.","non-dropping-particle":"","parse-names":false,"suffix":""}],"container-title":"Epidemiology","id":"ITEM-1","issue":"6","issued":{"date-parts":[["2013"]]},"page":"766-779","title":"Observationals studies analyzed like randomized experiments: an application to postmenopausal hormone therapy and coronary heart disease","type":"article-journal","volume":"19"},"uris":["http://www.mendeley.com/documents/?uuid=c90d07d0-5a51-43b0-91e6-a4e4932bf71f"]}],"mendeley":{"formattedCitation":"[13]","plainTextFormattedCitation":"[13]","previouslyFormattedCitation":"[13]"},"properties":{"noteIndex":0},"schema":"https://github.com/citation-style-language/schema/raw/master/csl-citation.json"}</w:instrText>
      </w:r>
      <w:r w:rsidR="00404E17">
        <w:rPr>
          <w:b w:val="0"/>
        </w:rPr>
        <w:fldChar w:fldCharType="separate"/>
      </w:r>
      <w:r w:rsidR="00B10790" w:rsidRPr="00B10790">
        <w:rPr>
          <w:b w:val="0"/>
          <w:noProof/>
        </w:rPr>
        <w:t>[13]</w:t>
      </w:r>
      <w:r w:rsidR="00404E17">
        <w:rPr>
          <w:b w:val="0"/>
        </w:rPr>
        <w:fldChar w:fldCharType="end"/>
      </w:r>
      <w:r w:rsidR="005D6326">
        <w:rPr>
          <w:b w:val="0"/>
        </w:rPr>
        <w:t xml:space="preserve"> </w:t>
      </w:r>
      <w:r w:rsidR="00773617">
        <w:rPr>
          <w:b w:val="0"/>
        </w:rPr>
        <w:t xml:space="preserve"> </w:t>
      </w:r>
      <w:r w:rsidR="00204B5F">
        <w:rPr>
          <w:b w:val="0"/>
        </w:rPr>
        <w:t>Smeeth et al analysed the effect of statins on a range of health outcomes</w:t>
      </w:r>
      <w:r w:rsidR="00645DA8">
        <w:rPr>
          <w:b w:val="0"/>
        </w:rPr>
        <w:t xml:space="preserve"> </w:t>
      </w:r>
      <w:r w:rsidR="00096862">
        <w:rPr>
          <w:b w:val="0"/>
        </w:rPr>
        <w:t>and replicated the</w:t>
      </w:r>
      <w:r w:rsidR="00FD22B5">
        <w:rPr>
          <w:b w:val="0"/>
        </w:rPr>
        <w:t xml:space="preserve"> Heart Protection </w:t>
      </w:r>
      <w:r w:rsidR="000B3D87">
        <w:rPr>
          <w:b w:val="0"/>
        </w:rPr>
        <w:t>Study randomised trial.</w:t>
      </w:r>
      <w:r w:rsidR="000B3D87">
        <w:rPr>
          <w:b w:val="0"/>
        </w:rPr>
        <w:fldChar w:fldCharType="begin" w:fldLock="1"/>
      </w:r>
      <w:r w:rsidR="00B10790">
        <w:rPr>
          <w:b w:val="0"/>
        </w:rPr>
        <w:instrText>ADDIN CSL_CITATION {"citationItems":[{"id":"ITEM-1","itemData":{"DOI":"10.1111/j.1365-2125.2008.03308.x","ISBN":"1365-2125 (Electronic)\\n0306-5251 (Linking)","ISSN":"03065251","PMID":"19006546","abstract":"AIMS: To assess the effect of statins on a range of health outcomes. METHODS: We undertook a population-based cohort study to assess the effect of statins on a range of health outcomes using a propensity score-based method to control for differences between people prescribed and not prescribed statins. We validated our design by comparing our results for vascular outcomes with the effects established in large randomized trials. The study was based on the United Kingdom Health Improvement Network database that includes the computerized medical records of over four and a half million patients. RESULTS: People who initiated treatment with a statin (n = 129,288) were compared with a matched sample of 600,241 people who did not initiate treatment, with a median follow-up period of 4.4 years. Statin use was not associated with an effect on a wide range of outcomes, including infections, fractures, venous thromboembolism, gastrointestinal haemorrhage, or on specific eye, neurological or autoimmune diseases. A protective effect against dementia was observed (hazard ratio 0.80, 99% confidence interval 0.68, 0.95). There was no effect on the risk of cancer even after &gt; or =8 years of follow-up. The effect sizes for statins on vascular end-points and mortality were comparable to those observed in large randomized trials, suggesting bias and confounding had been well controlled for. CONCLUSIONS: We found little evidence to support wide-ranging effects of statins on health outcomes beyond their established beneficial effect on vascular disease.","author":[{"dropping-particle":"","family":"Smeeth","given":"Liam","non-dropping-particle":"","parse-names":false,"suffix":""},{"dropping-particle":"","family":"Douglas","given":"Ian","non-dropping-particle":"","parse-names":false,"suffix":""},{"dropping-particle":"","family":"Hall","given":"Andrew J","non-dropping-particle":"","parse-names":false,"suffix":""},{"dropping-particle":"","family":"Hubbard","given":"Richard","non-dropping-particle":"","parse-names":false,"suffix":""},{"dropping-particle":"","family":"Evans","given":"Stephen","non-dropping-particle":"","parse-names":false,"suffix":""}],"container-title":"British Journal of Clinical Pharmacology","id":"ITEM-1","issue":"1","issued":{"date-parts":[["2009","1"]]},"page":"99-109","publisher":"Wiley-Blackwell","title":"Effect of statins on a wide range of health outcomes: A cohort study validated by comparison with randomized trials","type":"article-journal","volume":"67"},"uris":["http://www.mendeley.com/documents/?uuid=e5c20e62-076b-3eb3-9814-18023c0a7a81"]}],"mendeley":{"formattedCitation":"[14]","plainTextFormattedCitation":"[14]","previouslyFormattedCitation":"[14]"},"properties":{"noteIndex":0},"schema":"https://github.com/citation-style-language/schema/raw/master/csl-citation.json"}</w:instrText>
      </w:r>
      <w:r w:rsidR="000B3D87">
        <w:rPr>
          <w:b w:val="0"/>
        </w:rPr>
        <w:fldChar w:fldCharType="separate"/>
      </w:r>
      <w:r w:rsidR="00B10790" w:rsidRPr="00B10790">
        <w:rPr>
          <w:b w:val="0"/>
          <w:noProof/>
        </w:rPr>
        <w:t>[14]</w:t>
      </w:r>
      <w:r w:rsidR="000B3D87">
        <w:rPr>
          <w:b w:val="0"/>
        </w:rPr>
        <w:fldChar w:fldCharType="end"/>
      </w:r>
      <w:r w:rsidR="000B3D87">
        <w:rPr>
          <w:b w:val="0"/>
        </w:rPr>
        <w:t xml:space="preserve"> </w:t>
      </w:r>
      <w:r w:rsidR="00FD22B5" w:rsidRPr="00334B54">
        <w:rPr>
          <w:b w:val="0"/>
          <w:color w:val="FF0000"/>
        </w:rPr>
        <w:t xml:space="preserve"> </w:t>
      </w:r>
      <w:proofErr w:type="spellStart"/>
      <w:r w:rsidR="0090769F">
        <w:rPr>
          <w:b w:val="0"/>
        </w:rPr>
        <w:t>Fralick</w:t>
      </w:r>
      <w:proofErr w:type="spellEnd"/>
      <w:r w:rsidR="0090769F">
        <w:rPr>
          <w:b w:val="0"/>
        </w:rPr>
        <w:t xml:space="preserve"> et al </w:t>
      </w:r>
      <w:r w:rsidR="00BC54DE">
        <w:rPr>
          <w:b w:val="0"/>
        </w:rPr>
        <w:t xml:space="preserve">applied trial criteria and utilised propensity score matching to </w:t>
      </w:r>
      <w:r w:rsidR="005868B7">
        <w:rPr>
          <w:b w:val="0"/>
        </w:rPr>
        <w:t>replicate</w:t>
      </w:r>
      <w:r w:rsidR="00BC54DE">
        <w:rPr>
          <w:b w:val="0"/>
        </w:rPr>
        <w:t xml:space="preserve"> cardiovascular</w:t>
      </w:r>
      <w:r w:rsidR="0090769F">
        <w:rPr>
          <w:b w:val="0"/>
        </w:rPr>
        <w:t xml:space="preserve"> </w:t>
      </w:r>
      <w:r w:rsidR="00774F6C">
        <w:rPr>
          <w:b w:val="0"/>
        </w:rPr>
        <w:t xml:space="preserve">results from the </w:t>
      </w:r>
      <w:r w:rsidR="005868B7">
        <w:rPr>
          <w:b w:val="0"/>
        </w:rPr>
        <w:t>ONTARGET</w:t>
      </w:r>
      <w:r w:rsidR="000E2835">
        <w:rPr>
          <w:b w:val="0"/>
        </w:rPr>
        <w:t xml:space="preserve"> </w:t>
      </w:r>
      <w:r w:rsidR="00774F6C">
        <w:rPr>
          <w:b w:val="0"/>
        </w:rPr>
        <w:t xml:space="preserve">trial </w:t>
      </w:r>
      <w:r w:rsidR="00BC54DE">
        <w:rPr>
          <w:b w:val="0"/>
        </w:rPr>
        <w:t>(</w:t>
      </w:r>
      <w:r w:rsidR="005868B7">
        <w:rPr>
          <w:b w:val="0"/>
        </w:rPr>
        <w:t xml:space="preserve">comparing telmisartan to </w:t>
      </w:r>
      <w:proofErr w:type="spellStart"/>
      <w:r w:rsidR="005868B7">
        <w:rPr>
          <w:b w:val="0"/>
        </w:rPr>
        <w:t>rampiril</w:t>
      </w:r>
      <w:proofErr w:type="spellEnd"/>
      <w:r w:rsidR="005868B7">
        <w:rPr>
          <w:b w:val="0"/>
        </w:rPr>
        <w:t>)</w:t>
      </w:r>
      <w:r w:rsidR="000E2835">
        <w:rPr>
          <w:b w:val="0"/>
        </w:rPr>
        <w:t>.</w:t>
      </w:r>
      <w:r w:rsidR="005876FF">
        <w:rPr>
          <w:b w:val="0"/>
        </w:rPr>
        <w:fldChar w:fldCharType="begin" w:fldLock="1"/>
      </w:r>
      <w:r w:rsidR="00B10790">
        <w:rPr>
          <w:b w:val="0"/>
        </w:rPr>
        <w:instrText>ADDIN CSL_CITATION {"citationItems":[{"id":"ITEM-1","itemData":{"DOI":"10.1001/jamainternmed.2017.3919","ISSN":"21686106","abstract":"IMPORTANCE Manufacturers of US Food and Drug Administration–approved prescription drugs often apply for additional indications based on randomized clinical trials. Real-world database analyses on a medication’s use and outcomes in routine settings of care might help to inform decision making regarding such supplemental indications. OBJECTIVE To examine whether longitudinal data from a health care database can support the results of a randomized clinical trial that led to a supplemental indication for telmisartan. DESIGN, SETTING, AND PARTICIPANTS This cohort study of patients newly prescribed telmisartan or ramipril used insurance claims data from a nationwide health care database from January 1, 2003, through September 30, 2009, to compare patient outcomes. This study replicated the inclusion and exclusion criteria used in the Ongoing Telmisartan Alone and in Combination with Ramipril Global End-point Trial (ONTARGET) and used propensity score matching to balance 74 patient characteristics. Data analysis was performed from February 15, 2017, to May 24, 2017. EXPOSURES Telmisartan use vs ramipril use. MAIN OUTCOMES AND MEASURES The primary outcome was a composite of myocardial infarction, stroke, or hospitalization for congestive heart failure. RESULTS Of the 640 951 patients included in the study, 48 053 were newly prescribed ramipril (mean [SD] age, 68.29 [9.52] years; 31 940 male [66.5%]) and 4665 were newly prescribed telmisartan (mean [SD] age, 69.43 [9.60] years; 2413 male [51.7%]). After propensity score matching, a total of 4665 patients were newly prescribed telmisartan (mean [SD] age, 69.43 [9.60] years; 2413 [51.7%]), and 4665 patients were newly prescribed ramipril (mean [SD] age, 69.36 [9.67] years; 2343 male [50.2%]). As seen in ONTARGET, the composite risk of stroke, myocardial infarction, and hospitalization for congestive heart failure was similar for the 2 medications (hazard ratio, 1.0; 95% CI, 0.9-1.1). In addition, the study found that telmisartan was associated with a substantially decreased risk of angioedema (hazard ratio, 0.1; 95% CI, 0.03-0.56) compared with ramipril. CONCLUSIONS AND RELEVANCE Real-world data analyses of patients receiving routine care provided findings similar to those found in the randomized clinical trial that established telmisartan’s supplemental indication. In certain situations, database studies may support supplemental applications for effectiveness for already approved medications.","author":[{"dropping-particle":"","family":"Fralick","given":"Michael","non-dropping-particle":"","parse-names":false,"suffix":""},{"dropping-particle":"","family":"Kesselheim","given":"Aaron S.","non-dropping-particle":"","parse-names":false,"suffix":""},{"dropping-particle":"","family":"Avorn","given":"Jerry","non-dropping-particle":"","parse-names":false,"suffix":""},{"dropping-particle":"","family":"Schneeweiss","given":"Sebastian","non-dropping-particle":"","parse-names":false,"suffix":""}],"container-title":"JAMA Internal Medicine","id":"ITEM-1","issue":"1","issued":{"date-parts":[["2018"]]},"page":"55-63","title":"Use of health care databases to support supplemental indications of approved medications","type":"article-journal","volume":"178"},"uris":["http://www.mendeley.com/documents/?uuid=08d4df63-b293-46df-8bef-f5db1836ce7d"]}],"mendeley":{"formattedCitation":"[15]","plainTextFormattedCitation":"[15]","previouslyFormattedCitation":"[15]"},"properties":{"noteIndex":0},"schema":"https://github.com/citation-style-language/schema/raw/master/csl-citation.json"}</w:instrText>
      </w:r>
      <w:r w:rsidR="005876FF">
        <w:rPr>
          <w:b w:val="0"/>
        </w:rPr>
        <w:fldChar w:fldCharType="separate"/>
      </w:r>
      <w:r w:rsidR="00B10790" w:rsidRPr="00B10790">
        <w:rPr>
          <w:b w:val="0"/>
          <w:noProof/>
        </w:rPr>
        <w:t>[15]</w:t>
      </w:r>
      <w:r w:rsidR="005876FF">
        <w:rPr>
          <w:b w:val="0"/>
        </w:rPr>
        <w:fldChar w:fldCharType="end"/>
      </w:r>
      <w:r w:rsidR="000E2835">
        <w:rPr>
          <w:b w:val="0"/>
        </w:rPr>
        <w:t xml:space="preserve"> </w:t>
      </w:r>
    </w:p>
    <w:p w14:paraId="06C34BB0" w14:textId="689DEBFE" w:rsidR="003E168E" w:rsidRPr="003E168E" w:rsidRDefault="00EB7AF6" w:rsidP="008B0A52">
      <w:pPr>
        <w:pStyle w:val="Heading3-nonumber"/>
        <w:keepNext/>
        <w:spacing w:line="480" w:lineRule="auto"/>
        <w:rPr>
          <w:b w:val="0"/>
          <w:u w:val="single"/>
        </w:rPr>
      </w:pPr>
      <w:r>
        <w:rPr>
          <w:b w:val="0"/>
          <w:u w:val="single"/>
        </w:rPr>
        <w:t>Previous</w:t>
      </w:r>
      <w:r w:rsidR="003E168E" w:rsidRPr="003E168E">
        <w:rPr>
          <w:b w:val="0"/>
          <w:u w:val="single"/>
        </w:rPr>
        <w:t xml:space="preserve"> studies of</w:t>
      </w:r>
      <w:r>
        <w:rPr>
          <w:b w:val="0"/>
          <w:u w:val="single"/>
        </w:rPr>
        <w:t xml:space="preserve"> COPD drug treatment effects</w:t>
      </w:r>
    </w:p>
    <w:p w14:paraId="5E8E40EA" w14:textId="639F402D" w:rsidR="00AC063F" w:rsidRDefault="00AC063F" w:rsidP="008B0A52">
      <w:pPr>
        <w:pStyle w:val="Heading3-nonumber"/>
        <w:spacing w:line="480" w:lineRule="auto"/>
        <w:rPr>
          <w:b w:val="0"/>
        </w:rPr>
      </w:pPr>
      <w:r>
        <w:rPr>
          <w:b w:val="0"/>
        </w:rPr>
        <w:t>Result</w:t>
      </w:r>
      <w:r w:rsidR="00F41BC0">
        <w:rPr>
          <w:b w:val="0"/>
        </w:rPr>
        <w:t>s</w:t>
      </w:r>
      <w:r>
        <w:rPr>
          <w:b w:val="0"/>
        </w:rPr>
        <w:t xml:space="preserve"> of</w:t>
      </w:r>
      <w:r w:rsidR="00F41BC0">
        <w:rPr>
          <w:b w:val="0"/>
        </w:rPr>
        <w:t xml:space="preserve"> </w:t>
      </w:r>
      <w:r w:rsidR="005E17BA">
        <w:rPr>
          <w:b w:val="0"/>
        </w:rPr>
        <w:t>5</w:t>
      </w:r>
      <w:r w:rsidR="007D14DB">
        <w:rPr>
          <w:b w:val="0"/>
        </w:rPr>
        <w:t xml:space="preserve"> (LABA/ICS vs LABA)</w:t>
      </w:r>
      <w:r>
        <w:rPr>
          <w:b w:val="0"/>
        </w:rPr>
        <w:t xml:space="preserve"> interventional studies (including TORCH) were summarised in a Cochrane review </w:t>
      </w:r>
      <w:r w:rsidR="007D14DB">
        <w:rPr>
          <w:b w:val="0"/>
        </w:rPr>
        <w:t>(rate ratio</w:t>
      </w:r>
      <w:r w:rsidR="00F41BC0">
        <w:rPr>
          <w:b w:val="0"/>
        </w:rPr>
        <w:t xml:space="preserve"> 0.76, 95% CI 0.68-0.84</w:t>
      </w:r>
      <w:r w:rsidR="007D14DB">
        <w:rPr>
          <w:b w:val="0"/>
        </w:rPr>
        <w:t>)</w:t>
      </w:r>
      <w:r w:rsidR="0059486A">
        <w:rPr>
          <w:b w:val="0"/>
        </w:rPr>
        <w:t>.</w:t>
      </w:r>
      <w:r w:rsidR="00604E2E">
        <w:rPr>
          <w:b w:val="0"/>
        </w:rPr>
        <w:fldChar w:fldCharType="begin" w:fldLock="1"/>
      </w:r>
      <w:r w:rsidR="00B10790">
        <w:rPr>
          <w:b w:val="0"/>
        </w:rPr>
        <w:instrText>ADDIN CSL_CITATION {"citationItems":[{"id":"ITEM-1","itemData":{"DOI":"10.1002/14651858.CD006829.pub2","ISSN":"1469493X","PMID":"22972099","abstract":"Background: Both inhaled steroids (ICS) and long-acting beta2-agonists (LABA) are used in the management of chronic obstructive pulmonary disease (COPD). This updated review compared compound LABA plus ICS therapy (LABA/ICS) with the LABA component drug given alone. Objectives: To assess the efficacy of ICS and LABA in a single inhaler with mono-component LABA alone in adults with COPD. Search methods: We searched the Cochrane Airways Group Specialised Register of trials. The date of the most recent search was November 2011. Selection criteria: We included randomised, double-blind controlled trials. We included trials comparing compound ICS and LABA preparations with their component LABA preparations in people with COPD. Data collection and analysis: Two authors independently assessed study risk of bias and extracted data. The primary outcomes were exacerbations, mortality and pneumonia, while secondary outcomes were health-related quality of life (measured by validated scales), lung function, withdrawals due to lack of efficacy, withdrawals due to adverse events and side-effects. Dichotomous data were analysed as random-effects model odds ratios or rate ratios with 95% confidence intervals (CIs), and continuous data as mean differences and 95% CIs. We rated the quality of evidence for exacerbations, mortality and pneumonia according to recommendations made by the GRADE working group. Main results: Fourteen studies met the inclusion criteria, randomising 11,794 people with severe COPD. We looked at any LABA plus ICS inhaler (LABA/ICS) versus the same LABA component alone, and then we looked at the 10 studies which assessed fluticasone plus salmeterol (FPS) and the four studies assessing budesonide plus formoterol (BDF) separately. The studies were well-designed with low risk of bias for randomisation and blinding but they had high rates of attrition, which reduced our confidence in the results for outcomes other than mortality. Primary outcomes There was low quality evidence that exacerbation rates in people using LABA/ICS inhalers were lower in comparison to those with LABA alone, from nine studies which randomised 9921 participants (rate ratio 0.76; 95% CI 0.68 to 0.84). This corresponds to one exacerbation per person per year on LABA and 0.76 exacerbations per person per year on ICS/LABA. Our confidence in this effect was limited by statistical heterogeneity between the results of the studies (I2 = 68%) and a risk of bias from the high withdrawal rat…","author":[{"dropping-particle":"","family":"Nannini","given":"Luis Javier","non-dropping-particle":"","parse-names":false,"suffix":""},{"dropping-particle":"","family":"Lasserson","given":"Toby J.","non-dropping-particle":"","parse-names":false,"suffix":""},{"dropping-particle":"","family":"Poole","given":"Phillippa","non-dropping-particle":"","parse-names":false,"suffix":""}],"container-title":"Cochrane Database of Systematic Reviews","id":"ITEM-1","issue":"9","issued":{"date-parts":[["2012","9","12"]]},"publisher":"John Wiley and Sons Ltd","title":"Combined corticosteroid and long-acting beta2-agonist in one inhaler versus long-acting beta2-agonists for chronic obstructive pulmonary disease","type":"article","volume":"2012"},"uris":["http://www.mendeley.com/documents/?uuid=7492a02b-b230-333f-8e42-f73723231c3c"]}],"mendeley":{"formattedCitation":"[16]","plainTextFormattedCitation":"[16]","previouslyFormattedCitation":"[16]"},"properties":{"noteIndex":0},"schema":"https://github.com/citation-style-language/schema/raw/master/csl-citation.json"}</w:instrText>
      </w:r>
      <w:r w:rsidR="00604E2E">
        <w:rPr>
          <w:b w:val="0"/>
        </w:rPr>
        <w:fldChar w:fldCharType="separate"/>
      </w:r>
      <w:r w:rsidR="00B10790" w:rsidRPr="00B10790">
        <w:rPr>
          <w:b w:val="0"/>
          <w:noProof/>
        </w:rPr>
        <w:t>[16]</w:t>
      </w:r>
      <w:r w:rsidR="00604E2E">
        <w:rPr>
          <w:b w:val="0"/>
        </w:rPr>
        <w:fldChar w:fldCharType="end"/>
      </w:r>
      <w:r w:rsidR="00836824">
        <w:rPr>
          <w:b w:val="0"/>
        </w:rPr>
        <w:t xml:space="preserve"> </w:t>
      </w:r>
      <w:r w:rsidR="005E17BA">
        <w:rPr>
          <w:b w:val="0"/>
        </w:rPr>
        <w:t>Three out of these five studies estimated effect sizes considerably greater than TORCH</w:t>
      </w:r>
      <w:r w:rsidR="003F2983">
        <w:rPr>
          <w:b w:val="0"/>
        </w:rPr>
        <w:t xml:space="preserve"> - a</w:t>
      </w:r>
      <w:r w:rsidR="005E17BA">
        <w:rPr>
          <w:b w:val="0"/>
        </w:rPr>
        <w:t xml:space="preserve">s we mirrored TORCH, </w:t>
      </w:r>
      <w:r w:rsidR="004520D3">
        <w:rPr>
          <w:b w:val="0"/>
        </w:rPr>
        <w:t xml:space="preserve">our results aligned most closely to </w:t>
      </w:r>
      <w:r w:rsidR="00D63A83">
        <w:rPr>
          <w:b w:val="0"/>
        </w:rPr>
        <w:t>TORCH</w:t>
      </w:r>
      <w:r w:rsidR="004520D3">
        <w:rPr>
          <w:b w:val="0"/>
        </w:rPr>
        <w:t>.</w:t>
      </w:r>
    </w:p>
    <w:p w14:paraId="2340E7AC" w14:textId="281893C1" w:rsidR="00606E35" w:rsidRDefault="000E390E" w:rsidP="008B0A52">
      <w:pPr>
        <w:pStyle w:val="Heading3-nonumber"/>
        <w:spacing w:line="480" w:lineRule="auto"/>
        <w:rPr>
          <w:b w:val="0"/>
        </w:rPr>
      </w:pPr>
      <w:r>
        <w:rPr>
          <w:b w:val="0"/>
        </w:rPr>
        <w:t xml:space="preserve">A number of </w:t>
      </w:r>
      <w:r w:rsidR="000C73DC">
        <w:rPr>
          <w:b w:val="0"/>
        </w:rPr>
        <w:t>studies have</w:t>
      </w:r>
      <w:r w:rsidR="00917753">
        <w:rPr>
          <w:b w:val="0"/>
        </w:rPr>
        <w:t xml:space="preserve"> </w:t>
      </w:r>
      <w:r w:rsidR="00732001">
        <w:rPr>
          <w:b w:val="0"/>
        </w:rPr>
        <w:t>found strong survival benefits</w:t>
      </w:r>
      <w:r w:rsidR="00EB7AF6">
        <w:rPr>
          <w:b w:val="0"/>
        </w:rPr>
        <w:t xml:space="preserve"> of </w:t>
      </w:r>
      <w:r w:rsidR="00917753">
        <w:rPr>
          <w:b w:val="0"/>
        </w:rPr>
        <w:t xml:space="preserve">ICS therapy </w:t>
      </w:r>
      <w:r w:rsidR="00ED5D95">
        <w:rPr>
          <w:b w:val="0"/>
        </w:rPr>
        <w:t>after hospital</w:t>
      </w:r>
      <w:r w:rsidR="00604E2E">
        <w:rPr>
          <w:b w:val="0"/>
        </w:rPr>
        <w:t xml:space="preserve"> discharge</w:t>
      </w:r>
      <w:r w:rsidR="00EB7AF6">
        <w:rPr>
          <w:b w:val="0"/>
        </w:rPr>
        <w:t>.</w:t>
      </w:r>
      <w:r w:rsidR="00604E2E">
        <w:rPr>
          <w:b w:val="0"/>
        </w:rPr>
        <w:fldChar w:fldCharType="begin" w:fldLock="1"/>
      </w:r>
      <w:r w:rsidR="00B10790">
        <w:rPr>
          <w:b w:val="0"/>
        </w:rPr>
        <w:instrText>ADDIN CSL_CITATION {"citationItems":[{"id":"ITEM-1","itemData":{"DOI":"10.1001/jamainternmed.2017.3919","ISSN":"21686106","abstract":"IMPORTANCE Manufacturers of US Food and Drug Administration–approved prescription drugs often apply for additional indications based on randomized clinical trials. Real-world database analyses on a medication’s use and outcomes in routine settings of care might help to inform decision making regarding such supplemental indications. OBJECTIVE To examine whether longitudinal data from a health care database can support the results of a randomized clinical trial that led to a supplemental indication for telmisartan. DESIGN, SETTING, AND PARTICIPANTS This cohort study of patients newly prescribed telmisartan or ramipril used insurance claims data from a nationwide health care database from January 1, 2003, through September 30, 2009, to compare patient outcomes. This study replicated the inclusion and exclusion criteria used in the Ongoing Telmisartan Alone and in Combination with Ramipril Global End-point Trial (ONTARGET) and used propensity score matching to balance 74 patient characteristics. Data analysis was performed from February 15, 2017, to May 24, 2017. EXPOSURES Telmisartan use vs ramipril use. MAIN OUTCOMES AND MEASURES The primary outcome was a composite of myocardial infarction, stroke, or hospitalization for congestive heart failure. RESULTS Of the 640 951 patients included in the study, 48 053 were newly prescribed ramipril (mean [SD] age, 68.29 [9.52] years; 31 940 male [66.5%]) and 4665 were newly prescribed telmisartan (mean [SD] age, 69.43 [9.60] years; 2413 male [51.7%]). After propensity score matching, a total of 4665 patients were newly prescribed telmisartan (mean [SD] age, 69.43 [9.60] years; 2413 [51.7%]), and 4665 patients were newly prescribed ramipril (mean [SD] age, 69.36 [9.67] years; 2343 male [50.2%]). As seen in ONTARGET, the composite risk of stroke, myocardial infarction, and hospitalization for congestive heart failure was similar for the 2 medications (hazard ratio, 1.0; 95% CI, 0.9-1.1). In addition, the study found that telmisartan was associated with a substantially decreased risk of angioedema (hazard ratio, 0.1; 95% CI, 0.03-0.56) compared with ramipril. CONCLUSIONS AND RELEVANCE Real-world data analyses of patients receiving routine care provided findings similar to those found in the randomized clinical trial that established telmisartan’s supplemental indication. In certain situations, database studies may support supplemental applications for effectiveness for already approved medications.","author":[{"dropping-particle":"","family":"Fralick","given":"Michael","non-dropping-particle":"","parse-names":false,"suffix":""},{"dropping-particle":"","family":"Kesselheim","given":"Aaron S.","non-dropping-particle":"","parse-names":false,"suffix":""},{"dropping-particle":"","family":"Avorn","given":"Jerry","non-dropping-particle":"","parse-names":false,"suffix":""},{"dropping-particle":"","family":"Schneeweiss","given":"Sebastian","non-dropping-particle":"","parse-names":false,"suffix":""}],"container-title":"JAMA Internal Medicine","id":"ITEM-1","issue":"1","issued":{"date-parts":[["2018"]]},"page":"55-63","title":"Use of health care databases to support supplemental indications of approved medications","type":"article-journal","volume":"178"},"uris":["http://www.mendeley.com/documents/?uuid=08d4df63-b293-46df-8bef-f5db1836ce7d"]}],"mendeley":{"formattedCitation":"[15]","plainTextFormattedCitation":"[15]","previouslyFormattedCitation":"[15]"},"properties":{"noteIndex":0},"schema":"https://github.com/citation-style-language/schema/raw/master/csl-citation.json"}</w:instrText>
      </w:r>
      <w:r w:rsidR="00604E2E">
        <w:rPr>
          <w:b w:val="0"/>
        </w:rPr>
        <w:fldChar w:fldCharType="separate"/>
      </w:r>
      <w:r w:rsidR="00B10790" w:rsidRPr="00B10790">
        <w:rPr>
          <w:b w:val="0"/>
          <w:noProof/>
        </w:rPr>
        <w:t>[15]</w:t>
      </w:r>
      <w:r w:rsidR="00604E2E">
        <w:rPr>
          <w:b w:val="0"/>
        </w:rPr>
        <w:fldChar w:fldCharType="end"/>
      </w:r>
      <w:r w:rsidR="00604E2E">
        <w:rPr>
          <w:b w:val="0"/>
          <w:vertAlign w:val="superscript"/>
        </w:rPr>
        <w:t>,</w:t>
      </w:r>
      <w:r w:rsidR="00604E2E">
        <w:rPr>
          <w:b w:val="0"/>
          <w:vertAlign w:val="superscript"/>
        </w:rPr>
        <w:fldChar w:fldCharType="begin" w:fldLock="1"/>
      </w:r>
      <w:r w:rsidR="00B10790">
        <w:rPr>
          <w:b w:val="0"/>
          <w:vertAlign w:val="superscript"/>
        </w:rPr>
        <w:instrText>ADDIN CSL_CITATION {"citationItems":[{"id":"ITEM-1","itemData":{"DOI":"10.1183/09031936.02.00301302","ISSN":"09031936","abstract":"Despite substantial evidence regarding the benefits of combined use of inhaled corticosteroids and long-acting β2-agonists in asthma, such evidence remains limited for chronic obstructive pulmonary disease (COPD). Observational data may provide an insight into the expected survival in clinical trials of fluticasone propionate (FP) and salmeterol in COPD. Newly physician-diagnosed COPD patients identified in primary care during 1990-1999 aged ≥50 yrs, of both sexes and with regular prescriptions of respiratory drugs were identified in the UK General Practice Research Database. Three-year survival in 1,045 COPD patients treated with FP and salmeterol was compared with that in 3,620 COPD patients who regularly used other bronchodilators but not inhaled corticosteroids or long-acting β2-agonists. Standard methods of survival analysis were used, including adjustment for possible confounders. Survival at year 3 was significantly greater in FP and/or salmeterol users (78.6%) than in the reference group (63.6%). After adjusting for confounders, the survival advantage observed was highest in combined users of FP and salmeterol (hazard ratio (HR) 0.48 (95% confidence interval 0.31-0.73)), followed by users of FP alone (HR 0.62 (0.45-0.85)) and regular users of salmeterol alone (HR 0.79 (0.58-1.07)) versus the reference group. Mortality decreased with increasing number of prescriptions of FP and/or salmeterol. In conclusion, regular use of fluticasone propionate alone or in combination with salmeterol is associated with increased survival of chronic obstructive pulmonary disease patients managed in primary care.","author":[{"dropping-particle":"","family":"Soriano","given":"J. B.","non-dropping-particle":"","parse-names":false,"suffix":""},{"dropping-particle":"","family":"Vestbo","given":"J.","non-dropping-particle":"","parse-names":false,"suffix":""},{"dropping-particle":"","family":"Pride","given":"N. B.","non-dropping-particle":"","parse-names":false,"suffix":""},{"dropping-particle":"","family":"Kin","given":"V.","non-dropping-particle":"","parse-names":false,"suffix":""},{"dropping-particle":"","family":"Maden","given":"C.","non-dropping-particle":"","parse-names":false,"suffix":""},{"dropping-particle":"","family":"Maier","given":"W. C.","non-dropping-particle":"","parse-names":false,"suffix":""}],"container-title":"European Respiratory Journal","id":"ITEM-1","issue":"4","issued":{"date-parts":[["2002","10","1"]]},"page":"819-825","publisher":"European Respiratory Society","title":"Survival in COPD patients after regular use of fluticasone propionate and salmeterol in general practice","type":"article-journal","volume":"20"},"uris":["http://www.mendeley.com/documents/?uuid=18543e65-7b25-36a6-9f60-083807cae76e"]}],"mendeley":{"formattedCitation":"[17]","plainTextFormattedCitation":"[17]","previouslyFormattedCitation":"[17]"},"properties":{"noteIndex":0},"schema":"https://github.com/citation-style-language/schema/raw/master/csl-citation.json"}</w:instrText>
      </w:r>
      <w:r w:rsidR="00604E2E">
        <w:rPr>
          <w:b w:val="0"/>
          <w:vertAlign w:val="superscript"/>
        </w:rPr>
        <w:fldChar w:fldCharType="separate"/>
      </w:r>
      <w:r w:rsidR="00B10790" w:rsidRPr="00B10790">
        <w:rPr>
          <w:b w:val="0"/>
          <w:noProof/>
        </w:rPr>
        <w:t>[17]</w:t>
      </w:r>
      <w:r w:rsidR="00604E2E">
        <w:rPr>
          <w:b w:val="0"/>
          <w:vertAlign w:val="superscript"/>
        </w:rPr>
        <w:fldChar w:fldCharType="end"/>
      </w:r>
      <w:r w:rsidR="00604E2E">
        <w:rPr>
          <w:b w:val="0"/>
          <w:vertAlign w:val="superscript"/>
        </w:rPr>
        <w:t>,</w:t>
      </w:r>
      <w:r w:rsidR="00604E2E">
        <w:rPr>
          <w:b w:val="0"/>
          <w:vertAlign w:val="superscript"/>
        </w:rPr>
        <w:fldChar w:fldCharType="begin" w:fldLock="1"/>
      </w:r>
      <w:r w:rsidR="00B10790">
        <w:rPr>
          <w:b w:val="0"/>
          <w:vertAlign w:val="superscript"/>
        </w:rPr>
        <w:instrText>ADDIN CSL_CITATION {"citationItems":[{"id":"ITEM-1","itemData":{"DOI":"10.1016/j.rmed.2005.08.006","ISSN":"09546111","abstract":"We conducted a historical cohort study to examine the relationship between survival and use of inhaled corticosteroids (ICS) and/or long-acting beta agonists (LABA) in patients with chronic obstructive pulmonary disease (COPD). All COPD patients aged ≥40 years who were enrolled in one of two regional managed care organizations during 1995-2000, and who had ≥90 days use of an ICS and/or LABA (N = 1288) or of a short-acting bronchodilator (N = 397), were identified. Of patients treated with ICS and/or LABA, 14.4% died during the follow-up period, as compared to 28.2% of comparison patients (P &lt; 0.01). In a Cox proportional hazards model that controlled for age, sex, comorbidities, COPD severity, and asthma status, a reduced risk of death was found for ICS treatment (HR 0.59 [95% CI 0.46-0.78]), LABA (HR 0.55 [0.34-0.89]), and ICS plus LABA treatment (HR 0.34 [0.21-0.56]). A second model that excluded any patient who also had an ICD-9 code for asthma (N = 840) still found improved survival among those using the combination of ICS plus LABA (HR 0.35 [CI 0.17-0.71]). Additional analyses that varied the exposure criteria also found a consistent treatment benefit. Inclusion of ICS or bronchodilator treatment during the follow-up period as a time-dependent function appears to negate the survival benefit; however, the underlying assumptions for valid time-dependent modeling are clearly violated in this situation. In conclusion, we found that COPD patients who used ICS alone or in combination with LABA had substantially improved survival even after adjustment for asthma and other confounding factors. © 2005 Elsevier Ltd. All rights reserved.","author":[{"dropping-particle":"","family":"Mapel","given":"Douglas W.","non-dropping-particle":"","parse-names":false,"suffix":""},{"dropping-particle":"","family":"Hurley","given":"Judith S.","non-dropping-particle":"","parse-names":false,"suffix":""},{"dropping-particle":"","family":"Roblin","given":"Douglas","non-dropping-particle":"","parse-names":false,"suffix":""},{"dropping-particle":"","family":"Roberts","given":"Melissa","non-dropping-particle":"","parse-names":false,"suffix":""},{"dropping-particle":"","family":"Davis","given":"Kourtney J.","non-dropping-particle":"","parse-names":false,"suffix":""},{"dropping-particle":"","family":"Schreiner","given":"Robert","non-dropping-particle":"","parse-names":false,"suffix":""},{"dropping-particle":"","family":"Frost","given":"Floyd J.","non-dropping-particle":"","parse-names":false,"suffix":""}],"container-title":"Respiratory Medicine","id":"ITEM-1","issue":"4","issued":{"date-parts":[["2006","4","1"]]},"page":"595-609","publisher":"W.B. Saunders","title":"Survival of COPD patients using inhaled corticosteroids and long-acting beta agonists","type":"article-journal","volume":"100"},"uris":["http://www.mendeley.com/documents/?uuid=72759099-6c55-34b3-a19f-df37960967d1"]}],"mendeley":{"formattedCitation":"[18]","plainTextFormattedCitation":"[18]","previouslyFormattedCitation":"[18]"},"properties":{"noteIndex":0},"schema":"https://github.com/citation-style-language/schema/raw/master/csl-citation.json"}</w:instrText>
      </w:r>
      <w:r w:rsidR="00604E2E">
        <w:rPr>
          <w:b w:val="0"/>
          <w:vertAlign w:val="superscript"/>
        </w:rPr>
        <w:fldChar w:fldCharType="separate"/>
      </w:r>
      <w:r w:rsidR="00B10790" w:rsidRPr="00B10790">
        <w:rPr>
          <w:b w:val="0"/>
          <w:noProof/>
        </w:rPr>
        <w:t>[18]</w:t>
      </w:r>
      <w:r w:rsidR="00604E2E">
        <w:rPr>
          <w:b w:val="0"/>
          <w:vertAlign w:val="superscript"/>
        </w:rPr>
        <w:fldChar w:fldCharType="end"/>
      </w:r>
      <w:r w:rsidR="00604E2E">
        <w:rPr>
          <w:b w:val="0"/>
          <w:vertAlign w:val="superscript"/>
        </w:rPr>
        <w:t>,</w:t>
      </w:r>
      <w:r w:rsidR="00604E2E">
        <w:rPr>
          <w:b w:val="0"/>
          <w:vertAlign w:val="superscript"/>
        </w:rPr>
        <w:fldChar w:fldCharType="begin" w:fldLock="1"/>
      </w:r>
      <w:r w:rsidR="00B10790">
        <w:rPr>
          <w:b w:val="0"/>
          <w:vertAlign w:val="superscript"/>
        </w:rPr>
        <w:instrText>ADDIN CSL_CITATION {"citationItems":[{"id":"ITEM-1","itemData":{"DOI":"10.1016/j.rmed.2005.08.006","ISSN":"09546111","abstract":"We conducted a historical cohort study to examine the relationship between survival and use of inhaled corticosteroids (ICS) and/or long-acting beta agonists (LABA) in patients with chronic obstructive pulmonary disease (COPD). All COPD patients aged ≥40 years who were enrolled in one of two regional managed care organizations during 1995-2000, and who had ≥90 days use of an ICS and/or LABA (N = 1288) or of a short-acting bronchodilator (N = 397), were identified. Of patients treated with ICS and/or LABA, 14.4% died during the follow-up period, as compared to 28.2% of comparison patients (P &lt; 0.01). In a Cox proportional hazards model that controlled for age, sex, comorbidities, COPD severity, and asthma status, a reduced risk of death was found for ICS treatment (HR 0.59 [95% CI 0.46-0.78]), LABA (HR 0.55 [0.34-0.89]), and ICS plus LABA treatment (HR 0.34 [0.21-0.56]). A second model that excluded any patient who also had an ICD-9 code for asthma (N = 840) still found improved survival among those using the combination of ICS plus LABA (HR 0.35 [CI 0.17-0.71]). Additional analyses that varied the exposure criteria also found a consistent treatment benefit. Inclusion of ICS or bronchodilator treatment during the follow-up period as a time-dependent function appears to negate the survival benefit; however, the underlying assumptions for valid time-dependent modeling are clearly violated in this situation. In conclusion, we found that COPD patients who used ICS alone or in combination with LABA had substantially improved survival even after adjustment for asthma and other confounding factors. © 2005 Elsevier Ltd. All rights reserved.","author":[{"dropping-particle":"","family":"Mapel","given":"Douglas W.","non-dropping-particle":"","parse-names":false,"suffix":""},{"dropping-particle":"","family":"Hurley","given":"Judith S.","non-dropping-particle":"","parse-names":false,"suffix":""},{"dropping-particle":"","family":"Roblin","given":"Douglas","non-dropping-particle":"","parse-names":false,"suffix":""},{"dropping-particle":"","family":"Roberts","given":"Melissa","non-dropping-particle":"","parse-names":false,"suffix":""},{"dropping-particle":"","family":"Davis","given":"Kourtney J.","non-dropping-particle":"","parse-names":false,"suffix":""},{"dropping-particle":"","family":"Schreiner","given":"Robert","non-dropping-particle":"","parse-names":false,"suffix":""},{"dropping-particle":"","family":"Frost","given":"Floyd J.","non-dropping-particle":"","parse-names":false,"suffix":""}],"container-title":"Respiratory Medicine","id":"ITEM-1","issue":"4","issued":{"date-parts":[["2006","4","1"]]},"page":"595-609","publisher":"W.B. Saunders","title":"Survival of COPD patients using inhaled corticosteroids and long-acting beta agonists","type":"article-journal","volume":"100"},"uris":["http://www.mendeley.com/documents/?uuid=72759099-6c55-34b3-a19f-df37960967d1"]}],"mendeley":{"formattedCitation":"[18]","plainTextFormattedCitation":"[18]","previouslyFormattedCitation":"[18]"},"properties":{"noteIndex":0},"schema":"https://github.com/citation-style-language/schema/raw/master/csl-citation.json"}</w:instrText>
      </w:r>
      <w:r w:rsidR="00604E2E">
        <w:rPr>
          <w:b w:val="0"/>
          <w:vertAlign w:val="superscript"/>
        </w:rPr>
        <w:fldChar w:fldCharType="separate"/>
      </w:r>
      <w:r w:rsidR="00B10790" w:rsidRPr="00B10790">
        <w:rPr>
          <w:b w:val="0"/>
          <w:noProof/>
        </w:rPr>
        <w:t>[18]</w:t>
      </w:r>
      <w:r w:rsidR="00604E2E">
        <w:rPr>
          <w:b w:val="0"/>
          <w:vertAlign w:val="superscript"/>
        </w:rPr>
        <w:fldChar w:fldCharType="end"/>
      </w:r>
      <w:r w:rsidR="00EB7AF6">
        <w:rPr>
          <w:b w:val="0"/>
        </w:rPr>
        <w:t xml:space="preserve"> </w:t>
      </w:r>
      <w:r w:rsidR="000C73DC">
        <w:rPr>
          <w:b w:val="0"/>
        </w:rPr>
        <w:t xml:space="preserve"> </w:t>
      </w:r>
      <w:r w:rsidR="001C1571">
        <w:rPr>
          <w:b w:val="0"/>
        </w:rPr>
        <w:t>A</w:t>
      </w:r>
      <w:r w:rsidR="00046D8F">
        <w:rPr>
          <w:b w:val="0"/>
        </w:rPr>
        <w:t>fter</w:t>
      </w:r>
      <w:r w:rsidR="001115BF">
        <w:rPr>
          <w:b w:val="0"/>
        </w:rPr>
        <w:t xml:space="preserve"> account</w:t>
      </w:r>
      <w:r w:rsidR="00046D8F">
        <w:rPr>
          <w:b w:val="0"/>
        </w:rPr>
        <w:t>ing for</w:t>
      </w:r>
      <w:r w:rsidR="001C1571">
        <w:rPr>
          <w:b w:val="0"/>
        </w:rPr>
        <w:t xml:space="preserve"> likely time-related biases impacting these studies,</w:t>
      </w:r>
      <w:r w:rsidR="001115BF">
        <w:rPr>
          <w:b w:val="0"/>
        </w:rPr>
        <w:t xml:space="preserve"> a null effect</w:t>
      </w:r>
      <w:r w:rsidR="00ED5D95">
        <w:rPr>
          <w:b w:val="0"/>
        </w:rPr>
        <w:t xml:space="preserve"> </w:t>
      </w:r>
      <w:r w:rsidR="005651FB">
        <w:rPr>
          <w:b w:val="0"/>
        </w:rPr>
        <w:t>was</w:t>
      </w:r>
      <w:r w:rsidR="00ED5D95">
        <w:rPr>
          <w:b w:val="0"/>
        </w:rPr>
        <w:t xml:space="preserve"> obtained</w:t>
      </w:r>
      <w:r w:rsidR="001115BF">
        <w:rPr>
          <w:b w:val="0"/>
        </w:rPr>
        <w:t xml:space="preserve"> (rate ratio </w:t>
      </w:r>
      <w:r w:rsidR="000F5BAB">
        <w:rPr>
          <w:b w:val="0"/>
        </w:rPr>
        <w:t>0.94</w:t>
      </w:r>
      <w:r w:rsidR="001115BF">
        <w:rPr>
          <w:b w:val="0"/>
        </w:rPr>
        <w:t xml:space="preserve">, 95% CI </w:t>
      </w:r>
      <w:r w:rsidR="000F5BAB">
        <w:rPr>
          <w:b w:val="0"/>
        </w:rPr>
        <w:t>0.81</w:t>
      </w:r>
      <w:r w:rsidR="001115BF">
        <w:rPr>
          <w:b w:val="0"/>
        </w:rPr>
        <w:t xml:space="preserve"> – </w:t>
      </w:r>
      <w:r w:rsidR="000F5BAB">
        <w:rPr>
          <w:b w:val="0"/>
        </w:rPr>
        <w:t>1.09)</w:t>
      </w:r>
      <w:r w:rsidR="001115BF">
        <w:rPr>
          <w:b w:val="0"/>
        </w:rPr>
        <w:t>.</w:t>
      </w:r>
      <w:r w:rsidR="000F5BAB">
        <w:rPr>
          <w:b w:val="0"/>
        </w:rPr>
        <w:fldChar w:fldCharType="begin" w:fldLock="1"/>
      </w:r>
      <w:r w:rsidR="00B10790">
        <w:rPr>
          <w:b w:val="0"/>
        </w:rPr>
        <w:instrText>ADDIN CSL_CITATION {"citationItems":[{"id":"ITEM-1","itemData":{"DOI":"10.1183/09031936.04.00062504","ISSN":"09031936","abstract":"A recent observational study, which suggested that inhaled corticosteroids (ICS) with or without long-acting bronchodilators are effective at reducing all-cause mortality in chronic obstructive pulmonary disease (COPD) patients, may be subject to immortal time bias. This bias was assessed using a population-based cohort of 3,524 newly treated COPD patients from Saskatchewan, Canada, observed from 1990-1999. Regular users of bronchodilators or ICS were followed for 3 yrs, during which time 860 deaths occurred. Cox's proportional hazards model was used to compare the hierarchical intention-to-treat approach employed in the recent study, a technique subject to bias from two sources of immortal time, with the conventional intention-to-treat approach and the according-to-treatment approach. The adjusted rate ratio of death using the hierarchical intention-to-treat approach was 0.66 (95% confidence interval (CI) 0.57-0.76) for ICS use relative to bronchodilator use, compared with 0.75 (95% CI 0.62-0.90) with the conventional intention-to-treat approach. Conversely, the rate ratio was 0.94 (95% CI 0.81-1.09) with the according-to-treatment approach, which accounts for both sources of immortal time. In this study, regular inhaled corticosteroid use in chronic obstructive pulmonary disease was not found to reduce all-cause mortality. Suggestion of this benefit from a previous observational study is the result of bias from unaccounted immortal time in its cohort design and analysis. Copyright © ERS Journals Ltd 2004.","author":[{"dropping-particle":"","family":"Suissa","given":"Samy","non-dropping-particle":"","parse-names":false,"suffix":""}],"container-title":"European Respiratory Journal","id":"ITEM-1","issue":"3","issued":{"date-parts":[["2004","3"]]},"page":"391-395","publisher":"Eur Respir J","title":"Inhaled steroids and mortality in COPD: Bias from unaccounted immortal time","type":"article-journal","volume":"23"},"uris":["http://www.mendeley.com/documents/?uuid=e3edcec6-8d69-3373-9ae2-290b85a06b43"]}],"mendeley":{"formattedCitation":"[19]","plainTextFormattedCitation":"[19]","previouslyFormattedCitation":"[19]"},"properties":{"noteIndex":0},"schema":"https://github.com/citation-style-language/schema/raw/master/csl-citation.json"}</w:instrText>
      </w:r>
      <w:r w:rsidR="000F5BAB">
        <w:rPr>
          <w:b w:val="0"/>
        </w:rPr>
        <w:fldChar w:fldCharType="separate"/>
      </w:r>
      <w:r w:rsidR="00B10790" w:rsidRPr="00B10790">
        <w:rPr>
          <w:b w:val="0"/>
          <w:noProof/>
        </w:rPr>
        <w:t>[19]</w:t>
      </w:r>
      <w:r w:rsidR="000F5BAB">
        <w:rPr>
          <w:b w:val="0"/>
        </w:rPr>
        <w:fldChar w:fldCharType="end"/>
      </w:r>
      <w:r w:rsidR="00B059A9">
        <w:rPr>
          <w:b w:val="0"/>
        </w:rPr>
        <w:t xml:space="preserve"> </w:t>
      </w:r>
      <w:r w:rsidR="00D9547D">
        <w:rPr>
          <w:b w:val="0"/>
        </w:rPr>
        <w:t>The methodology we applied obtained a</w:t>
      </w:r>
      <w:r w:rsidR="00046D8F">
        <w:rPr>
          <w:b w:val="0"/>
        </w:rPr>
        <w:t xml:space="preserve"> </w:t>
      </w:r>
      <w:r w:rsidR="00B059A9">
        <w:rPr>
          <w:b w:val="0"/>
        </w:rPr>
        <w:t>mortality</w:t>
      </w:r>
      <w:r w:rsidR="00046D8F">
        <w:rPr>
          <w:b w:val="0"/>
        </w:rPr>
        <w:t xml:space="preserve"> effect</w:t>
      </w:r>
      <w:r w:rsidR="00B059A9">
        <w:rPr>
          <w:b w:val="0"/>
        </w:rPr>
        <w:t xml:space="preserve"> estimate</w:t>
      </w:r>
      <w:r w:rsidR="00615811">
        <w:rPr>
          <w:b w:val="0"/>
        </w:rPr>
        <w:t xml:space="preserve"> comparable to the analysis designed to account for time-related biases</w:t>
      </w:r>
      <w:r w:rsidR="004E28CB">
        <w:rPr>
          <w:b w:val="0"/>
        </w:rPr>
        <w:t xml:space="preserve"> (</w:t>
      </w:r>
      <w:r w:rsidR="00FD70ED">
        <w:rPr>
          <w:b w:val="0"/>
        </w:rPr>
        <w:t>0.93</w:t>
      </w:r>
      <w:r w:rsidR="004E28CB">
        <w:rPr>
          <w:b w:val="0"/>
        </w:rPr>
        <w:t xml:space="preserve">, 95% CI </w:t>
      </w:r>
      <w:r w:rsidR="00FD70ED">
        <w:rPr>
          <w:b w:val="0"/>
        </w:rPr>
        <w:t>0.65-1.32</w:t>
      </w:r>
      <w:r w:rsidR="004E28CB">
        <w:rPr>
          <w:b w:val="0"/>
        </w:rPr>
        <w:t>)</w:t>
      </w:r>
      <w:r w:rsidR="00B059A9">
        <w:rPr>
          <w:b w:val="0"/>
        </w:rPr>
        <w:t xml:space="preserve">. </w:t>
      </w:r>
    </w:p>
    <w:p w14:paraId="04A95B53" w14:textId="07F84F70" w:rsidR="002D5491" w:rsidRDefault="00F71CD9" w:rsidP="008B0A52">
      <w:pPr>
        <w:pStyle w:val="Heading3-nonumber"/>
        <w:spacing w:line="480" w:lineRule="auto"/>
        <w:rPr>
          <w:b w:val="0"/>
          <w:iCs/>
        </w:rPr>
      </w:pPr>
      <w:r>
        <w:rPr>
          <w:b w:val="0"/>
          <w:iCs/>
        </w:rPr>
        <w:lastRenderedPageBreak/>
        <w:t>In-line with TORCH, previous studies have found an increased risk of pneumonia associat</w:t>
      </w:r>
      <w:r w:rsidR="001F5C7C">
        <w:rPr>
          <w:b w:val="0"/>
          <w:iCs/>
        </w:rPr>
        <w:t>ed</w:t>
      </w:r>
      <w:r>
        <w:rPr>
          <w:b w:val="0"/>
          <w:iCs/>
        </w:rPr>
        <w:t xml:space="preserve"> with ICS-containing treatments for COP</w:t>
      </w:r>
      <w:r w:rsidR="00756E65">
        <w:rPr>
          <w:b w:val="0"/>
          <w:iCs/>
        </w:rPr>
        <w:t>D</w:t>
      </w:r>
      <w:r>
        <w:rPr>
          <w:b w:val="0"/>
          <w:iCs/>
        </w:rPr>
        <w:t>.</w:t>
      </w:r>
      <w:r w:rsidR="000F5BAB">
        <w:rPr>
          <w:b w:val="0"/>
          <w:iCs/>
        </w:rPr>
        <w:fldChar w:fldCharType="begin" w:fldLock="1"/>
      </w:r>
      <w:r w:rsidR="00B10790">
        <w:rPr>
          <w:b w:val="0"/>
          <w:iCs/>
        </w:rPr>
        <w:instrText>ADDIN CSL_CITATION {"citationItems":[{"id":"ITEM-1","itemData":{"DOI":"10.1136/thoraxjnl-2012-202872","ISSN":"00406376","abstract":"Background Inhaled corticosteroids (ICS) are known to increase the risk of pneumonia in patients with chronic obstructive pulmonary disease (COPD). It is unclear whether the risk of pneumonia varies for different inhaled agents, particularly fluticasone and budesonide, and increases with the dose and long-term duration of use. Methods We formed a new-user cohort of patients with COPD treated during 1990-2005. Subjects were identified using the Quebec health insurance databases and followed through 2007 or until a serious pneumonia event, defined as a first hospitalisation for or death from pneumonia. A nested case-control analysis was used to estimate the rate ratio (RR) of serious pneumonia associated with current ICS use, adjusted for age, sex, respiratory disease severity and comorbidity. Results The cohort included 163 514 patients, of which 20 344 had a serious pneumonia event during the 5.4 years of follow-up (incidence rate 2.4/100/year). Current use of ICS was associated with a 69% increase in the rate of serious pneumonia (RR 1.69; 95% CI 1.63 to 1.75). The risk was sustained with long-term use and declined gradually after stopping ICS use, disappearing after 6 months (RR 1.08; 95% CI 0.99 to 1.17). The rate of serious pneumonia was higher with fluticasone (RR 2.01; 95% CI 1.93 to 2.10), increasing with the daily dose, but was much lower with budesonide (RR 1.17; 95% CI 1.09 to 1.26). Conclusions ICS use by patients with COPD increases the risk of serious pneumonia. The risk is particularly elevated and dose related with fluticasone. While residual confounding cannot be ruled out, the results are consistent with those from recent randomised trials.","author":[{"dropping-particle":"","family":"Suissa","given":"Samy","non-dropping-particle":"","parse-names":false,"suffix":""},{"dropping-particle":"","family":"Patenaude","given":"Valérie","non-dropping-particle":"","parse-names":false,"suffix":""},{"dropping-particle":"","family":"Lapi","given":"Francesco","non-dropping-particle":"","parse-names":false,"suffix":""},{"dropping-particle":"","family":"Ernst","given":"Pierre","non-dropping-particle":"","parse-names":false,"suffix":""}],"container-title":"Thorax","id":"ITEM-1","issue":"11","issued":{"date-parts":[["2013","11","1"]]},"page":"1029-1036","publisher":"BMJ Publishing Group Ltd","title":"Inhaled corticosteroids in COPD and the risk of serious pneumonia","type":"article-journal","volume":"68"},"uris":["http://www.mendeley.com/documents/?uuid=293fb9fd-8755-3cd3-a282-d4847435aa52"]}],"mendeley":{"formattedCitation":"[20]","plainTextFormattedCitation":"[20]","previouslyFormattedCitation":"[20]"},"properties":{"noteIndex":0},"schema":"https://github.com/citation-style-language/schema/raw/master/csl-citation.json"}</w:instrText>
      </w:r>
      <w:r w:rsidR="000F5BAB">
        <w:rPr>
          <w:b w:val="0"/>
          <w:iCs/>
        </w:rPr>
        <w:fldChar w:fldCharType="separate"/>
      </w:r>
      <w:r w:rsidR="00B10790" w:rsidRPr="00B10790">
        <w:rPr>
          <w:b w:val="0"/>
          <w:iCs/>
          <w:noProof/>
        </w:rPr>
        <w:t>[20]</w:t>
      </w:r>
      <w:r w:rsidR="000F5BAB">
        <w:rPr>
          <w:b w:val="0"/>
          <w:iCs/>
        </w:rPr>
        <w:fldChar w:fldCharType="end"/>
      </w:r>
      <w:r w:rsidR="000F5BAB">
        <w:rPr>
          <w:b w:val="0"/>
          <w:iCs/>
          <w:vertAlign w:val="superscript"/>
        </w:rPr>
        <w:t>,</w:t>
      </w:r>
      <w:r w:rsidR="000F5BAB">
        <w:rPr>
          <w:b w:val="0"/>
          <w:iCs/>
          <w:vertAlign w:val="superscript"/>
        </w:rPr>
        <w:fldChar w:fldCharType="begin" w:fldLock="1"/>
      </w:r>
      <w:r w:rsidR="00B10790">
        <w:rPr>
          <w:b w:val="0"/>
          <w:iCs/>
          <w:vertAlign w:val="superscript"/>
        </w:rPr>
        <w:instrText>ADDIN CSL_CITATION {"citationItems":[{"id":"ITEM-1","itemData":{"DOI":"10.1164/rccm.200611-1630OC","ISSN":"1073-449X","abstract":"Rationale: Inhaled corticosteroids are commonly prescribed to patients with chronic obstructive pulmonary disease (COPD). Objectives: To examine whether these medications might be associated with an excess risk of pneumonia. Methods: We conducted a nested case-control study within a cohort of patients with COPD from Quebec, Canada, over the period 1988-2003, identified on the basis of administrative databases linking hospitalization and drug-dispensing information. Each subject hospitalized for pneumonia during follow-up (case subjects) was age and time matched to four control subjects. The effect of the use of inhaled corticosteroids was assessed by conditional logistic regression, after adjusting for comorbidity and COPD severity. Measurements and Main Results: The cohort included 175,906 patients with COPD ofwhom 23,942 were hospitalized for pneumonia during follow-up, for a rate of 1.9 per 100 per year, and matched to 95,768 control subjects. The adjusted rate ratio of hospitalization for pneumonia associated with current use of inhaled corticosteroids was 1.70 (95% confidence interval [CI], 1.63-1.77) and 1.53 (95% CI, 1.30-1.80) for pneumonia hospitalization followed by death within 30 days. The rate ratio of hospitalization for pneumonia was greatest with the highest doses of inhaled corticosteroids, equivalent to fluticasone at 1,000 μg/day or more (rate ratio, 2.25; 95% CI, 2.07-2.44). All-cause mortality was similar for patients hospitalized for pneumonia, whether or not they had received inhaled corticosteroids in the recent past (7.4 and 8.2%, respectively). Conclusions: The use of inhaled corticosteroids is associated with an excess risk of pneumonia hospitalization and of pneumonia hospitalization followed by death within 30 days, among elderly patients with COPD.","author":[{"dropping-particle":"","family":"Ernst","given":"Pierre","non-dropping-particle":"","parse-names":false,"suffix":""},{"dropping-particle":"V.","family":"Gonzalez","given":"Anne","non-dropping-particle":"","parse-names":false,"suffix":""},{"dropping-particle":"","family":"Brassard","given":"Paul","non-dropping-particle":"","parse-names":false,"suffix":""},{"dropping-particle":"","family":"Suissa","given":"Samy","non-dropping-particle":"","parse-names":false,"suffix":""}],"container-title":"American Journal of Respiratory and Critical Care Medicine","id":"ITEM-1","issue":"2","issued":{"date-parts":[["2007","7","15"]]},"page":"162-166","publisher":"American Thoracic Society","title":"Inhaled Corticosteroid Use in Chronic Obstructive Pulmonary Disease and the Risk of Hospitalization for Pneumonia","type":"article-journal","volume":"176"},"uris":["http://www.mendeley.com/documents/?uuid=63d16e01-57d0-36da-8b8d-ac4a6dc66d63"]}],"mendeley":{"formattedCitation":"[21]","plainTextFormattedCitation":"[21]","previouslyFormattedCitation":"[21]"},"properties":{"noteIndex":0},"schema":"https://github.com/citation-style-language/schema/raw/master/csl-citation.json"}</w:instrText>
      </w:r>
      <w:r w:rsidR="000F5BAB">
        <w:rPr>
          <w:b w:val="0"/>
          <w:iCs/>
          <w:vertAlign w:val="superscript"/>
        </w:rPr>
        <w:fldChar w:fldCharType="separate"/>
      </w:r>
      <w:r w:rsidR="00B10790" w:rsidRPr="00B10790">
        <w:rPr>
          <w:b w:val="0"/>
          <w:iCs/>
          <w:noProof/>
        </w:rPr>
        <w:t>[21]</w:t>
      </w:r>
      <w:r w:rsidR="000F5BAB">
        <w:rPr>
          <w:b w:val="0"/>
          <w:iCs/>
          <w:vertAlign w:val="superscript"/>
        </w:rPr>
        <w:fldChar w:fldCharType="end"/>
      </w:r>
      <w:r w:rsidR="000F5BAB">
        <w:rPr>
          <w:b w:val="0"/>
          <w:iCs/>
          <w:vertAlign w:val="superscript"/>
        </w:rPr>
        <w:t>,</w:t>
      </w:r>
      <w:r w:rsidR="000F5BAB">
        <w:rPr>
          <w:b w:val="0"/>
          <w:iCs/>
          <w:vertAlign w:val="superscript"/>
        </w:rPr>
        <w:fldChar w:fldCharType="begin" w:fldLock="1"/>
      </w:r>
      <w:r w:rsidR="00B10790">
        <w:rPr>
          <w:b w:val="0"/>
          <w:iCs/>
          <w:vertAlign w:val="superscript"/>
        </w:rPr>
        <w:instrText>ADDIN CSL_CITATION {"citationItems":[{"id":"ITEM-1","itemData":{"DOI":"10.1002/14651858.CD006829.pub2","ISSN":"1469493X","PMID":"22972099","abstract":"Background: Both inhaled steroids (ICS) and long-acting beta2-agonists (LABA) are used in the management of chronic obstructive pulmonary disease (COPD). This updated review compared compound LABA plus ICS therapy (LABA/ICS) with the LABA component drug given alone. Objectives: To assess the efficacy of ICS and LABA in a single inhaler with mono-component LABA alone in adults with COPD. Search methods: We searched the Cochrane Airways Group Specialised Register of trials. The date of the most recent search was November 2011. Selection criteria: We included randomised, double-blind controlled trials. We included trials comparing compound ICS and LABA preparations with their component LABA preparations in people with COPD. Data collection and analysis: Two authors independently assessed study risk of bias and extracted data. The primary outcomes were exacerbations, mortality and pneumonia, while secondary outcomes were health-related quality of life (measured by validated scales), lung function, withdrawals due to lack of efficacy, withdrawals due to adverse events and side-effects. Dichotomous data were analysed as random-effects model odds ratios or rate ratios with 95% confidence intervals (CIs), and continuous data as mean differences and 95% CIs. We rated the quality of evidence for exacerbations, mortality and pneumonia according to recommendations made by the GRADE working group. Main results: Fourteen studies met the inclusion criteria, randomising 11,794 people with severe COPD. We looked at any LABA plus ICS inhaler (LABA/ICS) versus the same LABA component alone, and then we looked at the 10 studies which assessed fluticasone plus salmeterol (FPS) and the four studies assessing budesonide plus formoterol (BDF) separately. The studies were well-designed with low risk of bias for randomisation and blinding but they had high rates of attrition, which reduced our confidence in the results for outcomes other than mortality. Primary outcomes There was low quality evidence that exacerbation rates in people using LABA/ICS inhalers were lower in comparison to those with LABA alone, from nine studies which randomised 9921 participants (rate ratio 0.76; 95% CI 0.68 to 0.84). This corresponds to one exacerbation per person per year on LABA and 0.76 exacerbations per person per year on ICS/LABA. Our confidence in this effect was limited by statistical heterogeneity between the results of the studies (I2 = 68%) and a risk of bias from the high withdrawal rat…","author":[{"dropping-particle":"","family":"Nannini","given":"Luis Javier","non-dropping-particle":"","parse-names":false,"suffix":""},{"dropping-particle":"","family":"Lasserson","given":"Toby J.","non-dropping-particle":"","parse-names":false,"suffix":""},{"dropping-particle":"","family":"Poole","given":"Phillippa","non-dropping-particle":"","parse-names":false,"suffix":""}],"container-title":"Cochrane Database of Systematic Reviews","id":"ITEM-1","issue":"9","issued":{"date-parts":[["2012","9","12"]]},"publisher":"John Wiley and Sons Ltd","title":"Combined corticosteroid and long-acting beta2-agonist in one inhaler versus long-acting beta2-agonists for chronic obstructive pulmonary disease","type":"article","volume":"2012"},"uris":["http://www.mendeley.com/documents/?uuid=7492a02b-b230-333f-8e42-f73723231c3c"]}],"mendeley":{"formattedCitation":"[16]","plainTextFormattedCitation":"[16]","previouslyFormattedCitation":"[16]"},"properties":{"noteIndex":0},"schema":"https://github.com/citation-style-language/schema/raw/master/csl-citation.json"}</w:instrText>
      </w:r>
      <w:r w:rsidR="000F5BAB">
        <w:rPr>
          <w:b w:val="0"/>
          <w:iCs/>
          <w:vertAlign w:val="superscript"/>
        </w:rPr>
        <w:fldChar w:fldCharType="separate"/>
      </w:r>
      <w:r w:rsidR="00B10790" w:rsidRPr="00B10790">
        <w:rPr>
          <w:b w:val="0"/>
          <w:iCs/>
          <w:noProof/>
        </w:rPr>
        <w:t>[16]</w:t>
      </w:r>
      <w:r w:rsidR="000F5BAB">
        <w:rPr>
          <w:b w:val="0"/>
          <w:iCs/>
          <w:vertAlign w:val="superscript"/>
        </w:rPr>
        <w:fldChar w:fldCharType="end"/>
      </w:r>
      <w:r>
        <w:rPr>
          <w:b w:val="0"/>
          <w:iCs/>
        </w:rPr>
        <w:t xml:space="preserve"> </w:t>
      </w:r>
      <w:r w:rsidR="004E28CB">
        <w:rPr>
          <w:b w:val="0"/>
          <w:iCs/>
        </w:rPr>
        <w:t>Our</w:t>
      </w:r>
      <w:r w:rsidR="0052194E">
        <w:rPr>
          <w:b w:val="0"/>
          <w:iCs/>
        </w:rPr>
        <w:t xml:space="preserve"> </w:t>
      </w:r>
      <w:r w:rsidR="00756E65">
        <w:rPr>
          <w:b w:val="0"/>
          <w:iCs/>
        </w:rPr>
        <w:t>result</w:t>
      </w:r>
      <w:r w:rsidR="004E28CB">
        <w:rPr>
          <w:b w:val="0"/>
          <w:iCs/>
        </w:rPr>
        <w:t xml:space="preserve"> (risk ratio 1.3</w:t>
      </w:r>
      <w:r w:rsidR="00FD70ED">
        <w:rPr>
          <w:b w:val="0"/>
          <w:iCs/>
        </w:rPr>
        <w:t>9</w:t>
      </w:r>
      <w:r w:rsidR="004E28CB">
        <w:rPr>
          <w:b w:val="0"/>
          <w:iCs/>
        </w:rPr>
        <w:t xml:space="preserve">, </w:t>
      </w:r>
      <w:r w:rsidR="00FD70ED">
        <w:rPr>
          <w:b w:val="0"/>
          <w:iCs/>
        </w:rPr>
        <w:t>1.04</w:t>
      </w:r>
      <w:r w:rsidR="004E28CB">
        <w:rPr>
          <w:b w:val="0"/>
          <w:iCs/>
        </w:rPr>
        <w:t>-1.</w:t>
      </w:r>
      <w:r w:rsidR="00FD70ED">
        <w:rPr>
          <w:b w:val="0"/>
          <w:iCs/>
        </w:rPr>
        <w:t>87</w:t>
      </w:r>
      <w:r w:rsidR="004E28CB">
        <w:rPr>
          <w:b w:val="0"/>
          <w:iCs/>
        </w:rPr>
        <w:t>)</w:t>
      </w:r>
      <w:r w:rsidR="00756E65">
        <w:rPr>
          <w:b w:val="0"/>
          <w:iCs/>
        </w:rPr>
        <w:t xml:space="preserve"> was consistent with </w:t>
      </w:r>
      <w:r w:rsidR="00803E2C">
        <w:rPr>
          <w:b w:val="0"/>
          <w:iCs/>
        </w:rPr>
        <w:t xml:space="preserve">results of </w:t>
      </w:r>
      <w:r w:rsidR="0052194E">
        <w:rPr>
          <w:b w:val="0"/>
          <w:iCs/>
        </w:rPr>
        <w:t>a meta-analysis of trials</w:t>
      </w:r>
      <w:r w:rsidR="00C13BA5">
        <w:rPr>
          <w:b w:val="0"/>
          <w:iCs/>
        </w:rPr>
        <w:t xml:space="preserve"> comparing LABA/ICS to LABA formulations</w:t>
      </w:r>
      <w:r w:rsidR="0052194E">
        <w:rPr>
          <w:b w:val="0"/>
          <w:iCs/>
        </w:rPr>
        <w:t xml:space="preserve"> (1.55, 1.20-2.01)</w:t>
      </w:r>
      <w:r w:rsidR="00926CF3">
        <w:rPr>
          <w:b w:val="0"/>
          <w:iCs/>
        </w:rPr>
        <w:fldChar w:fldCharType="begin" w:fldLock="1"/>
      </w:r>
      <w:r w:rsidR="00B10790">
        <w:rPr>
          <w:b w:val="0"/>
          <w:iCs/>
        </w:rPr>
        <w:instrText>ADDIN CSL_CITATION {"citationItems":[{"id":"ITEM-1","itemData":{"DOI":"10.1002/14651858.CD006829.pub2","ISSN":"1469493X","PMID":"22972099","abstract":"Background: Both inhaled steroids (ICS) and long-acting beta2-agonists (LABA) are used in the management of chronic obstructive pulmonary disease (COPD). This updated review compared compound LABA plus ICS therapy (LABA/ICS) with the LABA component drug given alone. Objectives: To assess the efficacy of ICS and LABA in a single inhaler with mono-component LABA alone in adults with COPD. Search methods: We searched the Cochrane Airways Group Specialised Register of trials. The date of the most recent search was November 2011. Selection criteria: We included randomised, double-blind controlled trials. We included trials comparing compound ICS and LABA preparations with their component LABA preparations in people with COPD. Data collection and analysis: Two authors independently assessed study risk of bias and extracted data. The primary outcomes were exacerbations, mortality and pneumonia, while secondary outcomes were health-related quality of life (measured by validated scales), lung function, withdrawals due to lack of efficacy, withdrawals due to adverse events and side-effects. Dichotomous data were analysed as random-effects model odds ratios or rate ratios with 95% confidence intervals (CIs), and continuous data as mean differences and 95% CIs. We rated the quality of evidence for exacerbations, mortality and pneumonia according to recommendations made by the GRADE working group. Main results: Fourteen studies met the inclusion criteria, randomising 11,794 people with severe COPD. We looked at any LABA plus ICS inhaler (LABA/ICS) versus the same LABA component alone, and then we looked at the 10 studies which assessed fluticasone plus salmeterol (FPS) and the four studies assessing budesonide plus formoterol (BDF) separately. The studies were well-designed with low risk of bias for randomisation and blinding but they had high rates of attrition, which reduced our confidence in the results for outcomes other than mortality. Primary outcomes There was low quality evidence that exacerbation rates in people using LABA/ICS inhalers were lower in comparison to those with LABA alone, from nine studies which randomised 9921 participants (rate ratio 0.76; 95% CI 0.68 to 0.84). This corresponds to one exacerbation per person per year on LABA and 0.76 exacerbations per person per year on ICS/LABA. Our confidence in this effect was limited by statistical heterogeneity between the results of the studies (I2 = 68%) and a risk of bias from the high withdrawal rat…","author":[{"dropping-particle":"","family":"Nannini","given":"Luis Javier","non-dropping-particle":"","parse-names":false,"suffix":""},{"dropping-particle":"","family":"Lasserson","given":"Toby J.","non-dropping-particle":"","parse-names":false,"suffix":""},{"dropping-particle":"","family":"Poole","given":"Phillippa","non-dropping-particle":"","parse-names":false,"suffix":""}],"container-title":"Cochrane Database of Systematic Reviews","id":"ITEM-1","issue":"9","issued":{"date-parts":[["2012","9","12"]]},"publisher":"John Wiley and Sons Ltd","title":"Combined corticosteroid and long-acting beta2-agonist in one inhaler versus long-acting beta2-agonists for chronic obstructive pulmonary disease","type":"article","volume":"2012"},"uris":["http://www.mendeley.com/documents/?uuid=7492a02b-b230-333f-8e42-f73723231c3c"]}],"mendeley":{"formattedCitation":"[16]","plainTextFormattedCitation":"[16]","previouslyFormattedCitation":"[16]"},"properties":{"noteIndex":0},"schema":"https://github.com/citation-style-language/schema/raw/master/csl-citation.json"}</w:instrText>
      </w:r>
      <w:r w:rsidR="00926CF3">
        <w:rPr>
          <w:b w:val="0"/>
          <w:iCs/>
        </w:rPr>
        <w:fldChar w:fldCharType="separate"/>
      </w:r>
      <w:r w:rsidR="00B10790" w:rsidRPr="00B10790">
        <w:rPr>
          <w:b w:val="0"/>
          <w:iCs/>
          <w:noProof/>
        </w:rPr>
        <w:t>[16]</w:t>
      </w:r>
      <w:r w:rsidR="00926CF3">
        <w:rPr>
          <w:b w:val="0"/>
          <w:iCs/>
        </w:rPr>
        <w:fldChar w:fldCharType="end"/>
      </w:r>
      <w:r w:rsidR="00C13BA5">
        <w:rPr>
          <w:b w:val="0"/>
          <w:iCs/>
        </w:rPr>
        <w:t xml:space="preserve"> and </w:t>
      </w:r>
      <w:r w:rsidR="00926CF3">
        <w:rPr>
          <w:b w:val="0"/>
          <w:iCs/>
        </w:rPr>
        <w:t>very similar to</w:t>
      </w:r>
      <w:r w:rsidR="00C13BA5">
        <w:rPr>
          <w:b w:val="0"/>
          <w:iCs/>
        </w:rPr>
        <w:t xml:space="preserve"> a</w:t>
      </w:r>
      <w:r w:rsidR="0052194E">
        <w:rPr>
          <w:b w:val="0"/>
          <w:iCs/>
        </w:rPr>
        <w:t xml:space="preserve"> recent non-interventional study</w:t>
      </w:r>
      <w:r w:rsidR="00E833A8">
        <w:rPr>
          <w:b w:val="0"/>
          <w:iCs/>
        </w:rPr>
        <w:t xml:space="preserve"> comparing</w:t>
      </w:r>
      <w:r w:rsidR="00C13BA5">
        <w:rPr>
          <w:b w:val="0"/>
          <w:iCs/>
        </w:rPr>
        <w:t xml:space="preserve"> LABA/ICS to LAMA</w:t>
      </w:r>
      <w:r w:rsidR="00EC19D5">
        <w:rPr>
          <w:b w:val="0"/>
          <w:iCs/>
        </w:rPr>
        <w:t xml:space="preserve"> formulations</w:t>
      </w:r>
      <w:r w:rsidR="00C13BA5">
        <w:rPr>
          <w:b w:val="0"/>
          <w:iCs/>
        </w:rPr>
        <w:t xml:space="preserve"> (HR 1.37, 1.17-1.60).</w:t>
      </w:r>
      <w:r w:rsidR="00926CF3">
        <w:rPr>
          <w:b w:val="0"/>
          <w:iCs/>
        </w:rPr>
        <w:fldChar w:fldCharType="begin" w:fldLock="1"/>
      </w:r>
      <w:r w:rsidR="00B10790">
        <w:rPr>
          <w:b w:val="0"/>
          <w:iCs/>
        </w:rPr>
        <w:instrText>ADDIN CSL_CITATION {"citationItems":[{"id":"ITEM-1","itemData":{"DOI":"10.1016/S2213-2600(18)30368-0","ISSN":"22132619","abstract":"Background: Long-acting β2 agonists (LABAs) and long-acting muscarinic antagonists (LAMAs) are the recommended initial maintenance treatment for chronic obstructive pulmonary disease (COPD), with almost all LABAs dispensed in fixed combination with inhaled corticosteroids (LABA-ICS). We compared the effectiveness and safety of LABA-ICS versus LAMA treatment initiation as a function of blood eosinophilia, a potential biomarker of ICS effectiveness, in a real-world setting. Methods: In this population-based cohort study, we identified a cohort of patients with COPD initiating treatment with a LAMA or LABA-ICS during 2002–15, age 55 years or older, from the UK's Clinical Practice Research Datalink. We excluded patients who initiated treatment with both bronchodilators on the same date. All patients required at least 1 year of medical history and a measure of blood eosinophil concentration before cohort entry, defined by the date of the first cohort-defining bronchodilator prescription. Patients initiating a LAMA were matched on high-dimensional propensity scores with patients initiating a LABA-ICS. They were followed up for 1 year for the occurrence of a moderate or severe COPD exacerbation and for severe pneumonia. Sensitivity analyses included, among others, repeating the analysis among patients with two blood eosinophil concentration measures and stratification by concurrent asthma and previous exacerbations. Findings: The base cohort included 539 643 patients with a prescription for LABAs or LAMAs from Jan 1, 2002, to Dec 31, 2015, of whom 18 500 were initiated on LABA-ICS and 13 870 on LAMAs. Propensity score analysis resulted in 12 366 initiators of LAMAs (mainly tiotropium) matched to 12 366 initiators of LABA-ICS. The hazard ratio (HR) of COPD exacerbation associated with LABA-ICS initiation, relative to LAMA initiation, was 0·95 (95% CI 0·90–1·01). In patients with blood eosinophil concentrations of less than 2% of white blood cell count, the HR was 1·03 (95% CI 0·93–1·13) and for those with eosinophil concentrations of 2–4%, the HR was 1·00 (0·91–1·10). For patients with eosinophil concentrations of more than 4%, the HR was 0·79 (0·70–0·88). The incidence of pneumonia increased with LABA-ICS initiation (HR 1·37 [95% CI 1·17–1·60]) and was similar across all eosinophil concentrations. Sensitivity analyses were consistent with these findings, but the incidence of exacerbation with LABA-ICS among the 2766 (11%) of all 24 732 patients with two or mor…","author":[{"dropping-particle":"","family":"Suissa","given":"Samy","non-dropping-particle":"","parse-names":false,"suffix":""},{"dropping-particle":"","family":"Dell'Aniello","given":"Sophie","non-dropping-particle":"","parse-names":false,"suffix":""},{"dropping-particle":"","family":"Ernst","given":"Pierre","non-dropping-particle":"","parse-names":false,"suffix":""}],"container-title":"The Lancet Respiratory Medicine","id":"ITEM-1","issue":"11","issued":{"date-parts":[["2018","11","1"]]},"page":"855-862","publisher":"Lancet Publishing Group","title":"Comparative effectiveness of LABA-ICS versus LAMA as initial treatment in COPD targeted by blood eosinophils: a population-based cohort study","type":"article-journal","volume":"6"},"uris":["http://www.mendeley.com/documents/?uuid=6e9f137f-bce8-3b3d-a175-dacf05b5cd04"]}],"mendeley":{"formattedCitation":"[22]","plainTextFormattedCitation":"[22]","previouslyFormattedCitation":"[22]"},"properties":{"noteIndex":0},"schema":"https://github.com/citation-style-language/schema/raw/master/csl-citation.json"}</w:instrText>
      </w:r>
      <w:r w:rsidR="00926CF3">
        <w:rPr>
          <w:b w:val="0"/>
          <w:iCs/>
        </w:rPr>
        <w:fldChar w:fldCharType="separate"/>
      </w:r>
      <w:r w:rsidR="00B10790" w:rsidRPr="00B10790">
        <w:rPr>
          <w:b w:val="0"/>
          <w:iCs/>
          <w:noProof/>
        </w:rPr>
        <w:t>[22]</w:t>
      </w:r>
      <w:r w:rsidR="00926CF3">
        <w:rPr>
          <w:b w:val="0"/>
          <w:iCs/>
        </w:rPr>
        <w:fldChar w:fldCharType="end"/>
      </w:r>
    </w:p>
    <w:p w14:paraId="17F247DE" w14:textId="69CB5F1F" w:rsidR="001B32AE" w:rsidRPr="00440A77" w:rsidRDefault="00427797" w:rsidP="008B0A52">
      <w:pPr>
        <w:pStyle w:val="Heading3-nonumber"/>
        <w:spacing w:line="480" w:lineRule="auto"/>
        <w:rPr>
          <w:b w:val="0"/>
          <w:i/>
        </w:rPr>
      </w:pPr>
      <w:r>
        <w:rPr>
          <w:b w:val="0"/>
          <w:iCs/>
        </w:rPr>
        <w:t>Our</w:t>
      </w:r>
      <w:r w:rsidR="00EB3866">
        <w:rPr>
          <w:b w:val="0"/>
          <w:iCs/>
        </w:rPr>
        <w:t xml:space="preserve"> 3 year probability of treatment discontinuation for </w:t>
      </w:r>
      <w:r w:rsidR="008C75EF">
        <w:rPr>
          <w:b w:val="0"/>
          <w:iCs/>
        </w:rPr>
        <w:t>FP-SAL</w:t>
      </w:r>
      <w:r w:rsidR="00EB3866">
        <w:rPr>
          <w:b w:val="0"/>
          <w:iCs/>
        </w:rPr>
        <w:t xml:space="preserve"> </w:t>
      </w:r>
      <w:r w:rsidR="006609F0">
        <w:rPr>
          <w:b w:val="0"/>
          <w:iCs/>
        </w:rPr>
        <w:t>(</w:t>
      </w:r>
      <w:r w:rsidR="00FD70ED">
        <w:rPr>
          <w:b w:val="0"/>
          <w:iCs/>
        </w:rPr>
        <w:t>28</w:t>
      </w:r>
      <w:r w:rsidR="00EB3866">
        <w:rPr>
          <w:b w:val="0"/>
          <w:iCs/>
        </w:rPr>
        <w:t>%</w:t>
      </w:r>
      <w:r w:rsidR="006609F0">
        <w:rPr>
          <w:b w:val="0"/>
          <w:iCs/>
        </w:rPr>
        <w:t>) is</w:t>
      </w:r>
      <w:r w:rsidR="00EB3866">
        <w:rPr>
          <w:b w:val="0"/>
          <w:iCs/>
        </w:rPr>
        <w:t xml:space="preserve"> </w:t>
      </w:r>
      <w:r w:rsidR="00096389">
        <w:rPr>
          <w:b w:val="0"/>
          <w:iCs/>
        </w:rPr>
        <w:t>comparable</w:t>
      </w:r>
      <w:r w:rsidR="00EB3866">
        <w:rPr>
          <w:b w:val="0"/>
          <w:iCs/>
        </w:rPr>
        <w:t xml:space="preserve"> to </w:t>
      </w:r>
      <w:r w:rsidR="00096389">
        <w:rPr>
          <w:b w:val="0"/>
          <w:iCs/>
        </w:rPr>
        <w:t>non-adherence figures from previous non-interventional</w:t>
      </w:r>
      <w:r w:rsidR="00EB3866">
        <w:rPr>
          <w:b w:val="0"/>
          <w:iCs/>
        </w:rPr>
        <w:t xml:space="preserve"> real-world data</w:t>
      </w:r>
      <w:r w:rsidR="00096389">
        <w:rPr>
          <w:b w:val="0"/>
          <w:iCs/>
        </w:rPr>
        <w:t xml:space="preserve"> studies</w:t>
      </w:r>
      <w:r w:rsidR="00EB3866">
        <w:rPr>
          <w:b w:val="0"/>
          <w:iCs/>
        </w:rPr>
        <w:t xml:space="preserve"> (49%</w:t>
      </w:r>
      <w:r w:rsidR="00096389">
        <w:rPr>
          <w:b w:val="0"/>
          <w:iCs/>
        </w:rPr>
        <w:t>,</w:t>
      </w:r>
      <w:r w:rsidR="005D4955">
        <w:rPr>
          <w:b w:val="0"/>
          <w:iCs/>
        </w:rPr>
        <w:t xml:space="preserve"> </w:t>
      </w:r>
      <w:r w:rsidR="00096389">
        <w:rPr>
          <w:b w:val="0"/>
          <w:iCs/>
        </w:rPr>
        <w:t>43%).</w:t>
      </w:r>
      <w:r w:rsidR="002C6334">
        <w:rPr>
          <w:b w:val="0"/>
          <w:iCs/>
        </w:rPr>
        <w:fldChar w:fldCharType="begin" w:fldLock="1"/>
      </w:r>
      <w:r w:rsidR="00B10790">
        <w:rPr>
          <w:b w:val="0"/>
          <w:iCs/>
        </w:rPr>
        <w:instrText>ADDIN CSL_CITATION {"citationItems":[{"id":"ITEM-1","itemData":{"DOI":"10.2147/COPD.S184653","ISSN":"11782005","abstract":"Introduction: This longitudinal, retrospective cohort study of patients with COPD describes baseline characteristics, adherence, and persistence following initiation of inhaled corticosteroids (ICS)/long-acting β2-agonists (LABA)/long-acting muscarinic antagonists (LAMA) from multiple inhaler triple therapy (MITT). Methods: Patients aged $40 years receiving MITT between January 2012 and September 2015 were identified from the IQVIA™ Real-world Data Adjudicated Claims-USA database. MITT was defined as subjects with $1 overlapping days’ supply of three COPD medications (ICS, LABA, and LAMA). Adherence (proportion of days covered, PDC) and discontinuation (defined as a gap of 1, 30, 60, or 90 days of supply in any of the three components of the triple therapy) were calculated for each patient over 12 months of follow-up. In addition, analyses were stratified by number of inhalers. Results: In total, 14,635 MITT users were identified (mean age, 62 years). Mean PDC for MITT at 12 months was 0.37%. Mean PDC for the ICS/LABA and LAMA component at 12 months was 49% (0.49±0.31; median, 0.47) and 54% (0.54±0.33; 0.56), respectively. The proportion of adherent patients (PDC $0.8) at 12 months was 14% for MITT. Allowing for a 30-day gap from last day of therapy, 86% of MITT users discontinued therapy during follow-up. Conclusion: Patients with COPD had low adherence to and persistence with MITT in a realworld setting. Mean PDC for each single inhaler component was higher than the mean PDC observed with MITT. Reducing the number of inhalers may improve overall adherence to intended triple therapy.","author":[{"dropping-particle":"","family":"Bogart","given":"Michael","non-dropping-particle":"","parse-names":false,"suffix":""},{"dropping-particle":"","family":"Stanford","given":"Richard H.","non-dropping-particle":"","parse-names":false,"suffix":""},{"dropping-particle":"","family":"Laliberté","given":"François","non-dropping-particle":"","parse-names":false,"suffix":""},{"dropping-particle":"","family":"Germain","given":"Guillaume","non-dropping-particle":"","parse-names":false,"suffix":""},{"dropping-particle":"","family":"Wu","given":"Jennifer W.","non-dropping-particle":"","parse-names":false,"suffix":""},{"dropping-particle":"","family":"Duh","given":"Mei Sheng","non-dropping-particle":"","parse-names":false,"suffix":""}],"container-title":"International Journal of COPD","id":"ITEM-1","issued":{"date-parts":[["2019"]]},"page":"343-352","publisher":"Dove Medical Press Ltd.","title":"Medication adherence and persistence in chronic obstructive pulmonary disease patients receiving triple therapy in a USA commercially insured population","type":"article-journal","volume":"14"},"uris":["http://www.mendeley.com/documents/?uuid=64bee5d8-eb0e-3782-bbc1-695ef5ba1186"]},{"id":"ITEM-2","itemData":{"DOI":"10.1016/j.rmed.2016.11.008","ISSN":"15323064","abstract":"Objectives The main objectives of this study, based on a large cohort of German COPD patients, were to assess the level of non-persistence (NP) and non-adherence (NA) with long-acting COPD inhaler treatment and to describe factors that may be associated with NP and NA. Methods This was a retrospective cohort analysis based on claims data provided by a German statutory health insurance fund (years 2010–2012). NP was analyzed for treatment-naïve patients only; it was defined as a gap of &gt;90 days in medication availability. With regard to NA, first the overall yearly medication possession ratio (MPR) was analyzed, NA was defined as MPR&lt;80%. Secondly, adherence was explored only for the period in which a patient continued therapy with a long-acting COPD agent (no gap&gt;90 days). Results 45,937 COPD patients who received at least one prescription of any long-acting COPD agent were identified (mean age 71.4 years; 45.2% female). Among these, 22,276 (42.4%) were classified as newly treated. The percentage of NP patients after 12 months was 65.3% on an overall patient level. Agent-specific NP rates were: 58.5% for LABA, 47.9% for LAMA, 78.0% for ICS, and 69.4% for single-device LABA/ICS combination treatment. The overall 12-month MPR across all agent classes on a patient level was 57.9% (70.0% of patients classified as non-adherent). During periods of general treatment continuation, the mean MPR/NA rates were 85.0%/30.1% (patient level across all agents), 89.3%/28.2% (LABA), 92.1%/16.2% (LAMA), 84.2%/43.8% (ICS) and 84.1%/42.8% (LABA/ICS combination). In the Cox regression analyses, several factors like female gender, higher CCI or lower number of specialist' visits were associated with earlier discontinuation of therapy. In comparison to LABA therapy, LAMA therapy was less likely to be associated with early NP, whereas patients who initiated ICS therapy or a single-device LABA/ICS combination therapy faced a higher NP risk. Conclusions In German COPD patients, persistence and adherence with respect to long-acting bronchodilator therapy is poor. Approximately two thirds of patients fail to continue treatment after 12 months. In addition, about one third implement their treatment poorly during periods of general therapy continuation.","author":[{"dropping-particle":"","family":"Mueller","given":"Sabrina","non-dropping-particle":"","parse-names":false,"suffix":""},{"dropping-particle":"","family":"Wilke","given":"Thomas","non-dropping-particle":"","parse-names":false,"suffix":""},{"dropping-particle":"","family":"Bechtel","given":"Benno","non-dropping-particle":"","parse-names":false,"suffix":""},{"dropping-particle":"","family":"Punekar","given":"Yogesh Suresh","non-dropping-particle":"","parse-names":false,"suffix":""},{"dropping-particle":"","family":"Mitzner","given":"Karen","non-dropping-particle":"","parse-names":false,"suffix":""},{"dropping-particle":"","family":"Virchow","given":"J. Christian","non-dropping-particle":"","parse-names":false,"suffix":""}],"container-title":"Respiratory Medicine","id":"ITEM-2","issued":{"date-parts":[["2017","1","1"]]},"page":"1-11","publisher":"W.B. Saunders Ltd","title":"Non-persistence and non-adherence to long-acting COPD medication therapy: A retrospective cohort study based on a large German claims dataset","type":"article-journal","volume":"122"},"uris":["http://www.mendeley.com/documents/?uuid=3e4a97ea-2d1b-3e08-b8cc-aa2fd427420d"]}],"mendeley":{"formattedCitation":"[23, 24]","plainTextFormattedCitation":"[23, 24]","previouslyFormattedCitation":"[23, 24]"},"properties":{"noteIndex":0},"schema":"https://github.com/citation-style-language/schema/raw/master/csl-citation.json"}</w:instrText>
      </w:r>
      <w:r w:rsidR="002C6334">
        <w:rPr>
          <w:b w:val="0"/>
          <w:iCs/>
        </w:rPr>
        <w:fldChar w:fldCharType="separate"/>
      </w:r>
      <w:r w:rsidR="00B10790" w:rsidRPr="00B10790">
        <w:rPr>
          <w:b w:val="0"/>
          <w:iCs/>
          <w:noProof/>
        </w:rPr>
        <w:t>[23, 24]</w:t>
      </w:r>
      <w:r w:rsidR="002C6334">
        <w:rPr>
          <w:b w:val="0"/>
          <w:iCs/>
        </w:rPr>
        <w:fldChar w:fldCharType="end"/>
      </w:r>
      <w:r w:rsidR="005D4955">
        <w:rPr>
          <w:b w:val="0"/>
          <w:iCs/>
        </w:rPr>
        <w:t xml:space="preserve"> The probability of discontinuation of salmeterol that we observed (</w:t>
      </w:r>
      <w:r w:rsidR="00FD70ED">
        <w:rPr>
          <w:b w:val="0"/>
          <w:iCs/>
        </w:rPr>
        <w:t>77</w:t>
      </w:r>
      <w:r w:rsidR="005D4955">
        <w:rPr>
          <w:b w:val="0"/>
          <w:iCs/>
        </w:rPr>
        <w:t xml:space="preserve">%) was higher than these two previous non-interventional studies, </w:t>
      </w:r>
      <w:r w:rsidR="006609F0">
        <w:rPr>
          <w:b w:val="0"/>
          <w:iCs/>
        </w:rPr>
        <w:t>leading to the discrepancy with TORCH</w:t>
      </w:r>
      <w:r w:rsidR="005D4955">
        <w:rPr>
          <w:b w:val="0"/>
          <w:iCs/>
        </w:rPr>
        <w:t xml:space="preserve">. We </w:t>
      </w:r>
      <w:r w:rsidR="00615811">
        <w:rPr>
          <w:b w:val="0"/>
          <w:iCs/>
        </w:rPr>
        <w:t>hypothesised</w:t>
      </w:r>
      <w:r w:rsidR="005D4955">
        <w:rPr>
          <w:b w:val="0"/>
          <w:iCs/>
        </w:rPr>
        <w:t xml:space="preserve"> </w:t>
      </w:r>
      <w:r w:rsidR="006609F0">
        <w:rPr>
          <w:b w:val="0"/>
          <w:iCs/>
        </w:rPr>
        <w:t>that</w:t>
      </w:r>
      <w:r w:rsidR="002E744E">
        <w:rPr>
          <w:b w:val="0"/>
          <w:iCs/>
        </w:rPr>
        <w:t xml:space="preserve"> during our study period</w:t>
      </w:r>
      <w:r w:rsidR="006609F0">
        <w:rPr>
          <w:b w:val="0"/>
          <w:iCs/>
        </w:rPr>
        <w:t xml:space="preserve"> a large proportion of</w:t>
      </w:r>
      <w:r w:rsidR="00E910D2">
        <w:rPr>
          <w:b w:val="0"/>
          <w:iCs/>
        </w:rPr>
        <w:t xml:space="preserve"> the</w:t>
      </w:r>
      <w:r w:rsidR="006609F0">
        <w:rPr>
          <w:b w:val="0"/>
          <w:iCs/>
        </w:rPr>
        <w:t xml:space="preserve"> patients</w:t>
      </w:r>
      <w:r w:rsidR="00E910D2">
        <w:rPr>
          <w:b w:val="0"/>
          <w:iCs/>
        </w:rPr>
        <w:t xml:space="preserve"> who would have been initially prescribed salmeterol would have been likely to switch to FP</w:t>
      </w:r>
      <w:r w:rsidR="00CA1F1A">
        <w:rPr>
          <w:b w:val="0"/>
          <w:iCs/>
        </w:rPr>
        <w:t>-</w:t>
      </w:r>
      <w:r w:rsidR="00E910D2">
        <w:rPr>
          <w:b w:val="0"/>
          <w:iCs/>
        </w:rPr>
        <w:t>SAL due to prescribing decisions in primary care</w:t>
      </w:r>
      <w:r w:rsidR="00224FA7">
        <w:rPr>
          <w:b w:val="0"/>
          <w:iCs/>
        </w:rPr>
        <w:t xml:space="preserve"> </w:t>
      </w:r>
      <w:r w:rsidR="00E910D2">
        <w:rPr>
          <w:b w:val="0"/>
          <w:iCs/>
        </w:rPr>
        <w:t>–</w:t>
      </w:r>
      <w:r w:rsidR="00FE23AE">
        <w:rPr>
          <w:b w:val="0"/>
          <w:iCs/>
        </w:rPr>
        <w:t xml:space="preserve"> </w:t>
      </w:r>
      <w:r w:rsidR="00E910D2">
        <w:rPr>
          <w:b w:val="0"/>
          <w:iCs/>
        </w:rPr>
        <w:t>a</w:t>
      </w:r>
      <w:r w:rsidR="005D4955">
        <w:rPr>
          <w:b w:val="0"/>
          <w:iCs/>
        </w:rPr>
        <w:t xml:space="preserve"> post-hoc</w:t>
      </w:r>
      <w:r w:rsidR="00E910D2">
        <w:rPr>
          <w:b w:val="0"/>
          <w:iCs/>
        </w:rPr>
        <w:t xml:space="preserve"> </w:t>
      </w:r>
      <w:r w:rsidR="005D4955">
        <w:rPr>
          <w:b w:val="0"/>
          <w:iCs/>
        </w:rPr>
        <w:t>analysis</w:t>
      </w:r>
      <w:r w:rsidR="006609F0">
        <w:rPr>
          <w:b w:val="0"/>
          <w:iCs/>
        </w:rPr>
        <w:t xml:space="preserve"> </w:t>
      </w:r>
      <w:r w:rsidR="00E910D2">
        <w:rPr>
          <w:b w:val="0"/>
          <w:iCs/>
        </w:rPr>
        <w:t>found that 43% of people prescribed salmeterol switched to FP</w:t>
      </w:r>
      <w:r w:rsidR="00CA1F1A">
        <w:rPr>
          <w:b w:val="0"/>
          <w:iCs/>
        </w:rPr>
        <w:t>-</w:t>
      </w:r>
      <w:r w:rsidR="00E910D2">
        <w:rPr>
          <w:b w:val="0"/>
          <w:iCs/>
        </w:rPr>
        <w:t xml:space="preserve">SAL during follow-up (compared to only 2% switching </w:t>
      </w:r>
      <w:r w:rsidR="00976C13">
        <w:rPr>
          <w:b w:val="0"/>
          <w:iCs/>
        </w:rPr>
        <w:t>from FP-SAL to salmeterol</w:t>
      </w:r>
      <w:r w:rsidR="00E910D2">
        <w:rPr>
          <w:b w:val="0"/>
          <w:iCs/>
        </w:rPr>
        <w:t xml:space="preserve">). </w:t>
      </w:r>
      <w:r w:rsidR="00C3031B">
        <w:rPr>
          <w:b w:val="0"/>
          <w:iCs/>
        </w:rPr>
        <w:t xml:space="preserve"> </w:t>
      </w:r>
    </w:p>
    <w:p w14:paraId="628A3782" w14:textId="7AECBDEB" w:rsidR="00B467F9" w:rsidRDefault="00B467F9" w:rsidP="008B0A52">
      <w:pPr>
        <w:pStyle w:val="heading2nonumber"/>
        <w:keepNext/>
        <w:spacing w:line="480" w:lineRule="auto"/>
        <w:ind w:left="578" w:hanging="578"/>
      </w:pPr>
      <w:r>
        <w:t>Implications and further work</w:t>
      </w:r>
    </w:p>
    <w:p w14:paraId="3EBA93CF" w14:textId="5E9697F8" w:rsidR="003B0A15" w:rsidRDefault="006609F0" w:rsidP="008B0A52">
      <w:pPr>
        <w:pStyle w:val="Heading3-nonumber"/>
        <w:spacing w:line="480" w:lineRule="auto"/>
        <w:rPr>
          <w:rFonts w:eastAsia="Calibri" w:cstheme="minorHAnsi"/>
          <w:b w:val="0"/>
          <w:color w:val="000000"/>
        </w:rPr>
      </w:pPr>
      <w:r>
        <w:rPr>
          <w:rFonts w:eastAsia="Calibri" w:cstheme="minorHAnsi"/>
          <w:b w:val="0"/>
          <w:color w:val="000000"/>
        </w:rPr>
        <w:t>W</w:t>
      </w:r>
      <w:r w:rsidR="00CD0568">
        <w:rPr>
          <w:rFonts w:eastAsia="Calibri" w:cstheme="minorHAnsi"/>
          <w:b w:val="0"/>
          <w:color w:val="000000"/>
        </w:rPr>
        <w:t xml:space="preserve">hen studying COPD treatment effects, if </w:t>
      </w:r>
      <w:r w:rsidR="009D04BF">
        <w:rPr>
          <w:rFonts w:eastAsia="Calibri" w:cstheme="minorHAnsi"/>
          <w:b w:val="0"/>
          <w:color w:val="000000"/>
        </w:rPr>
        <w:t>(</w:t>
      </w:r>
      <w:r w:rsidR="00F74757">
        <w:rPr>
          <w:rFonts w:eastAsia="Calibri" w:cstheme="minorHAnsi"/>
          <w:b w:val="0"/>
          <w:color w:val="000000"/>
        </w:rPr>
        <w:t>1</w:t>
      </w:r>
      <w:r w:rsidR="009D04BF">
        <w:rPr>
          <w:rFonts w:eastAsia="Calibri" w:cstheme="minorHAnsi"/>
          <w:b w:val="0"/>
          <w:color w:val="000000"/>
        </w:rPr>
        <w:t>)</w:t>
      </w:r>
      <w:r w:rsidR="00AB48A6">
        <w:rPr>
          <w:rFonts w:eastAsia="Calibri" w:cstheme="minorHAnsi"/>
          <w:b w:val="0"/>
          <w:color w:val="000000"/>
        </w:rPr>
        <w:t xml:space="preserve"> </w:t>
      </w:r>
      <w:r w:rsidR="00730BA5">
        <w:rPr>
          <w:rFonts w:eastAsia="Calibri" w:cstheme="minorHAnsi"/>
          <w:b w:val="0"/>
          <w:color w:val="000000"/>
        </w:rPr>
        <w:t>the analysis is of active comparators</w:t>
      </w:r>
      <w:r w:rsidR="005D4FAC">
        <w:rPr>
          <w:rFonts w:eastAsia="Calibri" w:cstheme="minorHAnsi"/>
          <w:b w:val="0"/>
          <w:color w:val="000000"/>
        </w:rPr>
        <w:t xml:space="preserve"> </w:t>
      </w:r>
      <w:r w:rsidR="009D04BF">
        <w:rPr>
          <w:rFonts w:eastAsia="Calibri" w:cstheme="minorHAnsi"/>
          <w:b w:val="0"/>
          <w:color w:val="000000"/>
        </w:rPr>
        <w:t>(</w:t>
      </w:r>
      <w:r w:rsidR="005D4FAC">
        <w:rPr>
          <w:rFonts w:eastAsia="Calibri" w:cstheme="minorHAnsi"/>
          <w:b w:val="0"/>
          <w:color w:val="000000"/>
        </w:rPr>
        <w:t>2</w:t>
      </w:r>
      <w:r w:rsidR="009D04BF">
        <w:rPr>
          <w:rFonts w:eastAsia="Calibri" w:cstheme="minorHAnsi"/>
          <w:b w:val="0"/>
          <w:color w:val="000000"/>
        </w:rPr>
        <w:t xml:space="preserve">) </w:t>
      </w:r>
      <w:r w:rsidR="00CD0568">
        <w:rPr>
          <w:rFonts w:eastAsia="Calibri" w:cstheme="minorHAnsi"/>
          <w:b w:val="0"/>
          <w:color w:val="000000"/>
        </w:rPr>
        <w:t xml:space="preserve">trial exclusion and inclusion criteria are applied </w:t>
      </w:r>
      <w:r w:rsidR="009D04BF">
        <w:rPr>
          <w:rFonts w:eastAsia="Calibri" w:cstheme="minorHAnsi"/>
          <w:b w:val="0"/>
          <w:color w:val="000000"/>
        </w:rPr>
        <w:t>and (</w:t>
      </w:r>
      <w:r w:rsidR="00730BA5">
        <w:rPr>
          <w:rFonts w:eastAsia="Calibri" w:cstheme="minorHAnsi"/>
          <w:b w:val="0"/>
          <w:color w:val="000000"/>
        </w:rPr>
        <w:t>3</w:t>
      </w:r>
      <w:r w:rsidR="009D04BF">
        <w:rPr>
          <w:rFonts w:eastAsia="Calibri" w:cstheme="minorHAnsi"/>
          <w:b w:val="0"/>
          <w:color w:val="000000"/>
        </w:rPr>
        <w:t>)</w:t>
      </w:r>
      <w:r w:rsidR="00C9795A">
        <w:rPr>
          <w:rFonts w:eastAsia="Calibri" w:cstheme="minorHAnsi"/>
          <w:b w:val="0"/>
          <w:color w:val="000000"/>
        </w:rPr>
        <w:t xml:space="preserve"> the</w:t>
      </w:r>
      <w:r w:rsidR="00CD0568">
        <w:rPr>
          <w:rFonts w:eastAsia="Calibri" w:cstheme="minorHAnsi"/>
          <w:b w:val="0"/>
          <w:color w:val="000000"/>
        </w:rPr>
        <w:t xml:space="preserve"> propensity score models that we developed for each outcome are applied</w:t>
      </w:r>
      <w:r w:rsidR="004E61F5">
        <w:rPr>
          <w:rFonts w:eastAsia="Calibri" w:cstheme="minorHAnsi"/>
          <w:b w:val="0"/>
          <w:color w:val="000000"/>
        </w:rPr>
        <w:t xml:space="preserve"> to balance exposure groups</w:t>
      </w:r>
      <w:r w:rsidR="00CD0568">
        <w:rPr>
          <w:rFonts w:eastAsia="Calibri" w:cstheme="minorHAnsi"/>
          <w:b w:val="0"/>
          <w:color w:val="000000"/>
        </w:rPr>
        <w:t>, then the results</w:t>
      </w:r>
      <w:r w:rsidR="009D04BF">
        <w:rPr>
          <w:rFonts w:eastAsia="Calibri" w:cstheme="minorHAnsi"/>
          <w:b w:val="0"/>
          <w:color w:val="000000"/>
        </w:rPr>
        <w:t xml:space="preserve"> of studies carried out in routinely collected non-interventional data</w:t>
      </w:r>
      <w:r w:rsidR="00CD0568">
        <w:rPr>
          <w:rFonts w:eastAsia="Calibri" w:cstheme="minorHAnsi"/>
          <w:b w:val="0"/>
          <w:color w:val="000000"/>
        </w:rPr>
        <w:t xml:space="preserve"> can be considered </w:t>
      </w:r>
      <w:r w:rsidR="00DF2B04">
        <w:rPr>
          <w:rFonts w:eastAsia="Calibri" w:cstheme="minorHAnsi"/>
          <w:b w:val="0"/>
          <w:color w:val="000000"/>
        </w:rPr>
        <w:t>robust</w:t>
      </w:r>
      <w:r w:rsidR="00CD0568">
        <w:rPr>
          <w:rFonts w:eastAsia="Calibri" w:cstheme="minorHAnsi"/>
          <w:b w:val="0"/>
          <w:color w:val="000000"/>
        </w:rPr>
        <w:t xml:space="preserve"> in the sense that they will be highly comparable to trial results. This now provides a methodological framework for being able to analyse COPD drug treatment effects in </w:t>
      </w:r>
      <w:r w:rsidR="005651FB">
        <w:rPr>
          <w:rFonts w:eastAsia="Calibri" w:cstheme="minorHAnsi"/>
          <w:b w:val="0"/>
          <w:color w:val="000000"/>
        </w:rPr>
        <w:t>real-world data</w:t>
      </w:r>
      <w:r w:rsidR="00CD0568">
        <w:rPr>
          <w:rFonts w:eastAsia="Calibri" w:cstheme="minorHAnsi"/>
          <w:b w:val="0"/>
          <w:color w:val="000000"/>
        </w:rPr>
        <w:t>, focusing on groups that were either not included or underrepresented in trials.</w:t>
      </w:r>
      <w:r w:rsidR="002C6334">
        <w:rPr>
          <w:rFonts w:eastAsia="Calibri" w:cstheme="minorHAnsi"/>
          <w:b w:val="0"/>
          <w:color w:val="000000"/>
        </w:rPr>
        <w:fldChar w:fldCharType="begin" w:fldLock="1"/>
      </w:r>
      <w:r w:rsidR="00B10790">
        <w:rPr>
          <w:rFonts w:eastAsia="Calibri" w:cstheme="minorHAnsi"/>
          <w:b w:val="0"/>
          <w:color w:val="000000"/>
        </w:rPr>
        <w:instrText>ADDIN CSL_CITATION {"citationItems":[{"id":"ITEM-1","itemData":{"DOI":"10.1136/BMJOPEN-2017-019475","ISSN":"2044-6055","PMID":"29581202","abstract":"Introduction Chronic obstructive pulmonary disease (COPD) is a progressive disease affecting 3 million people in the UK, in which patients exhibit airflow obstruction that is not fully reversible. COPD treatment guidelines are largely informed by randomised controlled trial results, but it is unclear if these findings apply to large patient populations not studied in trials. Non-interventional studies could be used to study patient groups excluded from trials, but the use of these studies to estimate treatment effectiveness is in its infancy. In this study, we will use individual trial data to validate non-interventional methods for assessing COPD treatment effectiveness, before applying these methods to the analysis of treatment effectiveness within people excluded from, or under-represented in COPD trials.\n\nMethods and analysis Using individual patient data from the landmark COPD Towards a Revolution in COPD Health (TORCH) trial and validated methods for detecting COPD and exacerbations in routinely collected primary care data, we will assemble a cohort in the UK Clinical Practice Research Datalink (selecting people between 1 January 2004 and 1 January 2017) with similar characteristics to TORCH participants and test whether non-interventional data can generate comparable results to trials, using cohort methodology with propensity score techniques to adjust for potential confounding. We will then use the methodological template we have developed to determine risks and benefits of COPD treatments in people excluded from TORCH. Outcomes are pneumonia, COPD exacerbation, mortality and time to treatment change. Groups to be studied include the elderly (&gt;80 years), people with substantial comorbidity, people with and without underlying cardiovascular disease and people with mild COPD.\n\nEthics and dissemination Ethical approval has been granted by the London School of Hygiene &amp; Tropical Medicine Ethics Committee (Ref: 11997). The study has been approved by the Independent Scientific Advisory Committee of the UK Medicines and Healthcare Products Regulatory Agency (protocol no. 17_114R). An application to use the TORCH trial data made to clinicalstudydatarequest.com has been approved. In addition to scientific publications, dissemination methods will be developed based on discussions with patient groups with COPD.","author":[{"dropping-particle":"","family":"Wing","given":"Kevin","non-dropping-particle":"","parse-names":false,"suffix":""},{"dropping-particle":"","family":"Williamson","given":"Elizabeth","non-dropping-particle":"","parse-names":false,"suffix":""},{"dropping-particle":"","family":"Carpenter","given":"James R","non-dropping-particle":"","parse-names":false,"suffix":""},{"dropping-particle":"","family":"Wise","given":"Lesley","non-dropping-particle":"","parse-names":false,"suffix":""},{"dropping-particle":"","family":"Schneeweiss","given":"Sebastian","non-dropping-particle":"","parse-names":false,"suffix":""},{"dropping-particle":"","family":"Smeeth","given":"Liam","non-dropping-particle":"","parse-names":false,"suffix":""},{"dropping-particle":"","family":"Quint","given":"Jennifer K","non-dropping-particle":"","parse-names":false,"suffix":""},{"dropping-particle":"","family":"Douglas","given":"Ian","non-dropping-particle":"","parse-names":false,"suffix":""}],"container-title":"BMJ Open","id":"ITEM-1","issue":"3","issued":{"date-parts":[["2018","3","1"]]},"page":"e019475","publisher":"British Medical Journal Publishing Group","title":"Real-world effects of medications for chronic obstructive pulmonary disease: protocol for a UK population-based non-interventional cohort study with validation against randomised trial results","type":"article-journal","volume":"8"},"uris":["http://www.mendeley.com/documents/?uuid=74420e0e-4212-3209-b1a4-3895c8eccb21"]}],"mendeley":{"formattedCitation":"[2]","plainTextFormattedCitation":"[2]","previouslyFormattedCitation":"[2]"},"properties":{"noteIndex":0},"schema":"https://github.com/citation-style-language/schema/raw/master/csl-citation.json"}</w:instrText>
      </w:r>
      <w:r w:rsidR="002C6334">
        <w:rPr>
          <w:rFonts w:eastAsia="Calibri" w:cstheme="minorHAnsi"/>
          <w:b w:val="0"/>
          <w:color w:val="000000"/>
        </w:rPr>
        <w:fldChar w:fldCharType="separate"/>
      </w:r>
      <w:r w:rsidR="00B10790" w:rsidRPr="00B10790">
        <w:rPr>
          <w:rFonts w:eastAsia="Calibri" w:cstheme="minorHAnsi"/>
          <w:b w:val="0"/>
          <w:noProof/>
          <w:color w:val="000000"/>
        </w:rPr>
        <w:t>[2]</w:t>
      </w:r>
      <w:r w:rsidR="002C6334">
        <w:rPr>
          <w:rFonts w:eastAsia="Calibri" w:cstheme="minorHAnsi"/>
          <w:b w:val="0"/>
          <w:color w:val="000000"/>
        </w:rPr>
        <w:fldChar w:fldCharType="end"/>
      </w:r>
    </w:p>
    <w:p w14:paraId="66666091" w14:textId="374EC9C4" w:rsidR="0068117B" w:rsidRDefault="00FA5C87" w:rsidP="008B0A52">
      <w:pPr>
        <w:pStyle w:val="Heading3-nonumber"/>
        <w:spacing w:line="480" w:lineRule="auto"/>
        <w:rPr>
          <w:rFonts w:eastAsia="Calibri" w:cstheme="minorHAnsi"/>
          <w:b w:val="0"/>
          <w:color w:val="000000"/>
        </w:rPr>
      </w:pPr>
      <w:r>
        <w:rPr>
          <w:rFonts w:cstheme="minorHAnsi"/>
          <w:b w:val="0"/>
          <w:iCs/>
        </w:rPr>
        <w:t>Our inability to replicate placebo-controlled analyses suggests uncontrolled confounding by indication</w:t>
      </w:r>
      <w:r w:rsidR="00D63A83">
        <w:rPr>
          <w:rFonts w:cstheme="minorHAnsi"/>
          <w:b w:val="0"/>
          <w:iCs/>
        </w:rPr>
        <w:t>.</w:t>
      </w:r>
      <w:r w:rsidR="002C6334">
        <w:rPr>
          <w:rFonts w:eastAsia="Calibri" w:cstheme="minorHAnsi"/>
          <w:b w:val="0"/>
          <w:color w:val="000000"/>
        </w:rPr>
        <w:fldChar w:fldCharType="begin" w:fldLock="1"/>
      </w:r>
      <w:r w:rsidR="00B10790">
        <w:rPr>
          <w:rFonts w:eastAsia="Calibri" w:cstheme="minorHAnsi"/>
          <w:b w:val="0"/>
          <w:color w:val="000000"/>
        </w:rPr>
        <w:instrText>ADDIN CSL_CITATION {"citationItems":[{"id":"ITEM-1","itemData":{"DOI":"10.1001/JAMA.2016.16435","ISSN":"0098-7484","PMID":"27802529","author":[{"dropping-particle":"","family":"Kyriacou","given":"Demetrios N.","non-dropping-particle":"","parse-names":false,"suffix":""},{"dropping-particle":"","family":"Lewis","given":"Roger J.","non-dropping-particle":"","parse-names":false,"suffix":""},{"dropping-particle":"","family":"Rothman","given":"KJ","non-dropping-particle":"","parse-names":false,"suffix":""},{"dropping-particle":"","family":"Andersen","given":"LW","non-dropping-particle":"","parse-names":false,"suffix":""},{"dropping-particle":"","family":"Greenland","given":"S","non-dropping-particle":"","parse-names":false,"suffix":""},{"dropping-particle":"","family":"Tolles","given":"J","non-dropping-particle":"","parse-names":false,"suffix":""},{"dropping-particle":"","family":"Haukoos","given":"JS","non-dropping-particle":"","parse-names":false,"suffix":""},{"dropping-particle":"","family":"Szklo","given":"M","non-dropping-particle":"","parse-names":false,"suffix":""},{"dropping-particle":"","family":"Z","given":"Fewell","non-dropping-particle":"","parse-names":false,"suffix":""}],"container-title":"JAMA","id":"ITEM-1","issue":"17","issued":{"date-parts":[["2016","11","1"]]},"page":"189-212","publisher":"American Medical Association","title":"Confounding by Indication in Clinical Research","type":"article-journal","volume":"316"},"uris":["http://www.mendeley.com/documents/?uuid=e1e285e4-0d17-3dcf-8344-92d7fdf37c8f"]}],"mendeley":{"formattedCitation":"[25]","plainTextFormattedCitation":"[25]","previouslyFormattedCitation":"[25]"},"properties":{"noteIndex":0},"schema":"https://github.com/citation-style-language/schema/raw/master/csl-citation.json"}</w:instrText>
      </w:r>
      <w:r w:rsidR="002C6334">
        <w:rPr>
          <w:rFonts w:eastAsia="Calibri" w:cstheme="minorHAnsi"/>
          <w:b w:val="0"/>
          <w:color w:val="000000"/>
        </w:rPr>
        <w:fldChar w:fldCharType="separate"/>
      </w:r>
      <w:r w:rsidR="00B10790" w:rsidRPr="00B10790">
        <w:rPr>
          <w:rFonts w:eastAsia="Calibri" w:cstheme="minorHAnsi"/>
          <w:b w:val="0"/>
          <w:noProof/>
          <w:color w:val="000000"/>
        </w:rPr>
        <w:t>[25]</w:t>
      </w:r>
      <w:r w:rsidR="002C6334">
        <w:rPr>
          <w:rFonts w:eastAsia="Calibri" w:cstheme="minorHAnsi"/>
          <w:b w:val="0"/>
          <w:color w:val="000000"/>
        </w:rPr>
        <w:fldChar w:fldCharType="end"/>
      </w:r>
      <w:r w:rsidR="0066795F">
        <w:rPr>
          <w:rFonts w:eastAsia="Calibri" w:cstheme="minorHAnsi"/>
          <w:b w:val="0"/>
          <w:color w:val="000000"/>
        </w:rPr>
        <w:t xml:space="preserve"> </w:t>
      </w:r>
      <w:r w:rsidR="00DC30B7">
        <w:rPr>
          <w:rFonts w:eastAsia="Calibri" w:cstheme="minorHAnsi"/>
          <w:b w:val="0"/>
          <w:color w:val="000000"/>
        </w:rPr>
        <w:t>One possibility</w:t>
      </w:r>
      <w:r w:rsidR="005E1DC2">
        <w:rPr>
          <w:rFonts w:eastAsia="Calibri" w:cstheme="minorHAnsi"/>
          <w:b w:val="0"/>
          <w:color w:val="000000"/>
        </w:rPr>
        <w:t xml:space="preserve"> for how this confounding by indication may be manifesting</w:t>
      </w:r>
      <w:r w:rsidR="00DC30B7">
        <w:rPr>
          <w:rFonts w:eastAsia="Calibri" w:cstheme="minorHAnsi"/>
          <w:b w:val="0"/>
          <w:color w:val="000000"/>
        </w:rPr>
        <w:t xml:space="preserve"> </w:t>
      </w:r>
      <w:r w:rsidR="005E1DC2">
        <w:rPr>
          <w:rFonts w:eastAsia="Calibri" w:cstheme="minorHAnsi"/>
          <w:b w:val="0"/>
          <w:color w:val="000000"/>
        </w:rPr>
        <w:t xml:space="preserve">relates to the aspect of our study design that </w:t>
      </w:r>
      <w:r w:rsidR="00DC30B7">
        <w:rPr>
          <w:rFonts w:eastAsia="Calibri" w:cstheme="minorHAnsi"/>
          <w:b w:val="0"/>
          <w:color w:val="000000"/>
        </w:rPr>
        <w:t>allowed people to be included in both the exposed and unexposed cohorts</w:t>
      </w:r>
      <w:r w:rsidR="005E1DC2">
        <w:rPr>
          <w:rFonts w:eastAsia="Calibri" w:cstheme="minorHAnsi"/>
          <w:b w:val="0"/>
          <w:color w:val="000000"/>
        </w:rPr>
        <w:t xml:space="preserve">; </w:t>
      </w:r>
      <w:r w:rsidR="00DC30B7">
        <w:rPr>
          <w:rFonts w:eastAsia="Calibri" w:cstheme="minorHAnsi"/>
          <w:b w:val="0"/>
          <w:color w:val="000000"/>
        </w:rPr>
        <w:t>the result we obtai</w:t>
      </w:r>
      <w:r w:rsidR="005E1DC2">
        <w:rPr>
          <w:rFonts w:eastAsia="Calibri" w:cstheme="minorHAnsi"/>
          <w:b w:val="0"/>
          <w:color w:val="000000"/>
        </w:rPr>
        <w:t>ned</w:t>
      </w:r>
      <w:r w:rsidR="00DC30B7">
        <w:rPr>
          <w:rFonts w:eastAsia="Calibri" w:cstheme="minorHAnsi"/>
          <w:b w:val="0"/>
          <w:color w:val="000000"/>
        </w:rPr>
        <w:t xml:space="preserve"> </w:t>
      </w:r>
      <w:r w:rsidR="005E1DC2">
        <w:rPr>
          <w:rFonts w:eastAsia="Calibri" w:cstheme="minorHAnsi"/>
          <w:b w:val="0"/>
          <w:color w:val="000000"/>
        </w:rPr>
        <w:t>could be</w:t>
      </w:r>
      <w:r w:rsidR="00DC30B7">
        <w:rPr>
          <w:rFonts w:eastAsia="Calibri" w:cstheme="minorHAnsi"/>
          <w:b w:val="0"/>
          <w:color w:val="000000"/>
        </w:rPr>
        <w:t xml:space="preserve"> strongly influenced by people initially in the unexposed group who are relatively heal</w:t>
      </w:r>
      <w:r w:rsidR="005E1DC2">
        <w:rPr>
          <w:rFonts w:eastAsia="Calibri" w:cstheme="minorHAnsi"/>
          <w:b w:val="0"/>
          <w:color w:val="000000"/>
        </w:rPr>
        <w:t>t</w:t>
      </w:r>
      <w:r w:rsidR="00DC30B7">
        <w:rPr>
          <w:rFonts w:eastAsia="Calibri" w:cstheme="minorHAnsi"/>
          <w:b w:val="0"/>
          <w:color w:val="000000"/>
        </w:rPr>
        <w:t>hy but then get sicker</w:t>
      </w:r>
      <w:r w:rsidR="005E1DC2">
        <w:rPr>
          <w:rFonts w:eastAsia="Calibri" w:cstheme="minorHAnsi"/>
          <w:b w:val="0"/>
          <w:color w:val="000000"/>
        </w:rPr>
        <w:t xml:space="preserve"> over time</w:t>
      </w:r>
      <w:r w:rsidR="00DC30B7">
        <w:rPr>
          <w:rFonts w:eastAsia="Calibri" w:cstheme="minorHAnsi"/>
          <w:b w:val="0"/>
          <w:color w:val="000000"/>
        </w:rPr>
        <w:t xml:space="preserve"> and require FP-SAL </w:t>
      </w:r>
      <w:r w:rsidR="00DC30B7">
        <w:rPr>
          <w:rFonts w:eastAsia="Calibri" w:cstheme="minorHAnsi"/>
          <w:b w:val="0"/>
          <w:color w:val="000000"/>
        </w:rPr>
        <w:lastRenderedPageBreak/>
        <w:t xml:space="preserve">treatment and end up in the </w:t>
      </w:r>
      <w:r w:rsidR="005E1DC2">
        <w:rPr>
          <w:rFonts w:eastAsia="Calibri" w:cstheme="minorHAnsi"/>
          <w:b w:val="0"/>
          <w:color w:val="000000"/>
        </w:rPr>
        <w:t xml:space="preserve">exposed group. </w:t>
      </w:r>
      <w:proofErr w:type="gramStart"/>
      <w:r w:rsidR="005E1DC2">
        <w:rPr>
          <w:rFonts w:eastAsia="Calibri" w:cstheme="minorHAnsi"/>
          <w:b w:val="0"/>
          <w:color w:val="000000"/>
        </w:rPr>
        <w:t>However</w:t>
      </w:r>
      <w:proofErr w:type="gramEnd"/>
      <w:r w:rsidR="005E1DC2">
        <w:rPr>
          <w:rFonts w:eastAsia="Calibri" w:cstheme="minorHAnsi"/>
          <w:b w:val="0"/>
          <w:color w:val="000000"/>
        </w:rPr>
        <w:t xml:space="preserve"> in a post-hoc analysis where we dropped the 730 (out of a total of 2652 per group) people who appeared in both cohorts, our effect estimate was nearly identical (RR </w:t>
      </w:r>
      <w:r w:rsidR="005E1DC2" w:rsidRPr="005E1DC2">
        <w:rPr>
          <w:rFonts w:eastAsia="Calibri" w:cstheme="minorHAnsi"/>
          <w:b w:val="0"/>
          <w:color w:val="000000"/>
        </w:rPr>
        <w:t>1.33</w:t>
      </w:r>
      <w:r w:rsidR="005E1DC2">
        <w:rPr>
          <w:rFonts w:eastAsia="Calibri" w:cstheme="minorHAnsi"/>
          <w:b w:val="0"/>
          <w:color w:val="000000"/>
        </w:rPr>
        <w:t xml:space="preserve">, 95% CI </w:t>
      </w:r>
      <w:r w:rsidR="005E1DC2" w:rsidRPr="005E1DC2">
        <w:rPr>
          <w:rFonts w:eastAsia="Calibri" w:cstheme="minorHAnsi"/>
          <w:b w:val="0"/>
          <w:color w:val="000000"/>
        </w:rPr>
        <w:t>1.20 - 1.47)</w:t>
      </w:r>
      <w:r w:rsidR="005E1DC2">
        <w:rPr>
          <w:rFonts w:eastAsia="Calibri" w:cstheme="minorHAnsi"/>
          <w:b w:val="0"/>
          <w:color w:val="000000"/>
        </w:rPr>
        <w:t>.</w:t>
      </w:r>
      <w:r w:rsidR="00455579">
        <w:rPr>
          <w:rFonts w:eastAsia="Calibri" w:cstheme="minorHAnsi"/>
          <w:b w:val="0"/>
          <w:color w:val="000000"/>
        </w:rPr>
        <w:t xml:space="preserve"> </w:t>
      </w:r>
      <w:r w:rsidR="00450AD8">
        <w:rPr>
          <w:rFonts w:eastAsia="Calibri" w:cstheme="minorHAnsi"/>
          <w:b w:val="0"/>
          <w:color w:val="000000"/>
        </w:rPr>
        <w:t xml:space="preserve">We do consider however, that because COPD treatment is based on a step-up approach, it is highly likely that patients not exposed to FP-SAL in routine primary care are generally likely to be those with milder COPD. </w:t>
      </w:r>
    </w:p>
    <w:p w14:paraId="6D46A28C" w14:textId="6AC545B7" w:rsidR="004E446E" w:rsidRDefault="004E446E" w:rsidP="008B0A52">
      <w:pPr>
        <w:pStyle w:val="Heading3-nonumber"/>
        <w:spacing w:line="480" w:lineRule="auto"/>
        <w:rPr>
          <w:rFonts w:eastAsia="Calibri" w:cstheme="minorHAnsi"/>
          <w:b w:val="0"/>
          <w:color w:val="000000"/>
        </w:rPr>
      </w:pPr>
      <w:r>
        <w:rPr>
          <w:rFonts w:eastAsia="Calibri" w:cstheme="minorHAnsi"/>
          <w:b w:val="0"/>
          <w:color w:val="000000"/>
        </w:rPr>
        <w:t xml:space="preserve">One point of note relates to the large difference in incidence rate between the TORCH placebo group (1.13 exacerbations per person per year) and our FP-SAL unexposed group (0.53 exacerbations per person per year). In order to investigate </w:t>
      </w:r>
      <w:r w:rsidR="0068117B">
        <w:rPr>
          <w:rFonts w:eastAsia="Calibri" w:cstheme="minorHAnsi"/>
          <w:b w:val="0"/>
          <w:color w:val="000000"/>
        </w:rPr>
        <w:t>underlying reasons for this</w:t>
      </w:r>
      <w:r>
        <w:rPr>
          <w:rFonts w:eastAsia="Calibri" w:cstheme="minorHAnsi"/>
          <w:b w:val="0"/>
          <w:color w:val="000000"/>
        </w:rPr>
        <w:t xml:space="preserve"> discrepancy, we </w:t>
      </w:r>
      <w:r w:rsidR="0068117B">
        <w:rPr>
          <w:rFonts w:eastAsia="Calibri" w:cstheme="minorHAnsi"/>
          <w:b w:val="0"/>
          <w:color w:val="000000"/>
        </w:rPr>
        <w:t>performed a post-hoc analysis where we compared the characterist</w:t>
      </w:r>
      <w:r w:rsidR="00455579">
        <w:rPr>
          <w:rFonts w:eastAsia="Calibri" w:cstheme="minorHAnsi"/>
          <w:b w:val="0"/>
          <w:color w:val="000000"/>
        </w:rPr>
        <w:t>i</w:t>
      </w:r>
      <w:r w:rsidR="0068117B">
        <w:rPr>
          <w:rFonts w:eastAsia="Calibri" w:cstheme="minorHAnsi"/>
          <w:b w:val="0"/>
          <w:color w:val="000000"/>
        </w:rPr>
        <w:t>cs of the</w:t>
      </w:r>
      <w:r>
        <w:rPr>
          <w:rFonts w:eastAsia="Calibri" w:cstheme="minorHAnsi"/>
          <w:b w:val="0"/>
          <w:color w:val="000000"/>
        </w:rPr>
        <w:t xml:space="preserve"> 1753 people from TORCH who were not able to be matched to our unexposed to FP-SAL population in Step 3</w:t>
      </w:r>
      <w:r w:rsidR="0068117B">
        <w:rPr>
          <w:rFonts w:eastAsia="Calibri" w:cstheme="minorHAnsi"/>
          <w:b w:val="0"/>
          <w:color w:val="000000"/>
        </w:rPr>
        <w:t xml:space="preserve"> with those who were successfully matched. We </w:t>
      </w:r>
      <w:r>
        <w:rPr>
          <w:rFonts w:eastAsia="Calibri" w:cstheme="minorHAnsi"/>
          <w:b w:val="0"/>
          <w:color w:val="000000"/>
        </w:rPr>
        <w:t xml:space="preserve">found that </w:t>
      </w:r>
      <w:r w:rsidR="00455579">
        <w:rPr>
          <w:rFonts w:eastAsia="Calibri" w:cstheme="minorHAnsi"/>
          <w:b w:val="0"/>
          <w:color w:val="000000"/>
        </w:rPr>
        <w:t xml:space="preserve">those not matched </w:t>
      </w:r>
      <w:r w:rsidR="0068117B">
        <w:rPr>
          <w:rFonts w:eastAsia="Calibri" w:cstheme="minorHAnsi"/>
          <w:b w:val="0"/>
          <w:color w:val="000000"/>
        </w:rPr>
        <w:t>were younger</w:t>
      </w:r>
      <w:r w:rsidR="00455579">
        <w:rPr>
          <w:rFonts w:eastAsia="Calibri" w:cstheme="minorHAnsi"/>
          <w:b w:val="0"/>
          <w:color w:val="000000"/>
        </w:rPr>
        <w:t xml:space="preserve"> (mean age 60.7 vs 65.8)</w:t>
      </w:r>
      <w:r w:rsidR="0068117B">
        <w:rPr>
          <w:rFonts w:eastAsia="Calibri" w:cstheme="minorHAnsi"/>
          <w:b w:val="0"/>
          <w:color w:val="000000"/>
        </w:rPr>
        <w:t xml:space="preserve">, </w:t>
      </w:r>
      <w:r w:rsidR="00455579">
        <w:rPr>
          <w:rFonts w:eastAsia="Calibri" w:cstheme="minorHAnsi"/>
          <w:b w:val="0"/>
          <w:color w:val="000000"/>
        </w:rPr>
        <w:t>sicker</w:t>
      </w:r>
      <w:r w:rsidR="0068117B">
        <w:rPr>
          <w:rFonts w:eastAsia="Calibri" w:cstheme="minorHAnsi"/>
          <w:b w:val="0"/>
          <w:color w:val="000000"/>
        </w:rPr>
        <w:t xml:space="preserve"> </w:t>
      </w:r>
      <w:r w:rsidR="00455579">
        <w:rPr>
          <w:rFonts w:eastAsia="Calibri" w:cstheme="minorHAnsi"/>
          <w:b w:val="0"/>
          <w:color w:val="000000"/>
        </w:rPr>
        <w:t>(e.g. history of cardiovascular disease 93% vs 46%), had</w:t>
      </w:r>
      <w:r w:rsidR="0068117B">
        <w:rPr>
          <w:rFonts w:eastAsia="Calibri" w:cstheme="minorHAnsi"/>
          <w:b w:val="0"/>
          <w:color w:val="000000"/>
        </w:rPr>
        <w:t xml:space="preserve"> worse lung function</w:t>
      </w:r>
      <w:r w:rsidR="00455579">
        <w:rPr>
          <w:rFonts w:eastAsia="Calibri" w:cstheme="minorHAnsi"/>
          <w:b w:val="0"/>
          <w:color w:val="000000"/>
        </w:rPr>
        <w:t xml:space="preserve"> (e.g. FEV1 34.9 vs 45.9)</w:t>
      </w:r>
      <w:r w:rsidR="0068117B">
        <w:rPr>
          <w:rFonts w:eastAsia="Calibri" w:cstheme="minorHAnsi"/>
          <w:b w:val="0"/>
          <w:color w:val="000000"/>
        </w:rPr>
        <w:t xml:space="preserve">, and </w:t>
      </w:r>
      <w:r w:rsidR="00455579">
        <w:rPr>
          <w:rFonts w:eastAsia="Calibri" w:cstheme="minorHAnsi"/>
          <w:b w:val="0"/>
          <w:color w:val="000000"/>
        </w:rPr>
        <w:t>included a</w:t>
      </w:r>
      <w:r w:rsidR="0068117B">
        <w:rPr>
          <w:rFonts w:eastAsia="Calibri" w:cstheme="minorHAnsi"/>
          <w:b w:val="0"/>
          <w:color w:val="000000"/>
        </w:rPr>
        <w:t xml:space="preserve"> higher proportion recruited from Eastern European trial sites</w:t>
      </w:r>
      <w:r w:rsidR="00455579">
        <w:rPr>
          <w:rFonts w:eastAsia="Calibri" w:cstheme="minorHAnsi"/>
          <w:b w:val="0"/>
          <w:color w:val="000000"/>
        </w:rPr>
        <w:t xml:space="preserve"> (27% vs 17%)</w:t>
      </w:r>
      <w:r w:rsidR="0068117B">
        <w:rPr>
          <w:rFonts w:eastAsia="Calibri" w:cstheme="minorHAnsi"/>
          <w:b w:val="0"/>
          <w:color w:val="000000"/>
        </w:rPr>
        <w:t xml:space="preserve">. </w:t>
      </w:r>
      <w:r w:rsidR="00455579">
        <w:rPr>
          <w:rFonts w:eastAsia="Calibri" w:cstheme="minorHAnsi"/>
          <w:b w:val="0"/>
          <w:color w:val="000000"/>
        </w:rPr>
        <w:t>People with these characteristics may have been highly suitable for recruitment to clinical trials, but are very difficult to find in UK primary care, and illustrate why it is likely to be challenging to obtain comparable absolute rates in emulated cohorts based on historical international trials.</w:t>
      </w:r>
    </w:p>
    <w:p w14:paraId="440FF680" w14:textId="46705141" w:rsidR="00020AC8" w:rsidRPr="009D7471" w:rsidRDefault="00D3584D" w:rsidP="008B0A52">
      <w:pPr>
        <w:pStyle w:val="Heading3-nonumber"/>
        <w:spacing w:line="480" w:lineRule="auto"/>
        <w:rPr>
          <w:rFonts w:eastAsia="Calibri" w:cstheme="minorHAnsi"/>
          <w:b w:val="0"/>
          <w:color w:val="000000" w:themeColor="text1"/>
        </w:rPr>
      </w:pPr>
      <w:r>
        <w:rPr>
          <w:rFonts w:eastAsia="Calibri" w:cstheme="minorHAnsi"/>
          <w:b w:val="0"/>
          <w:color w:val="000000"/>
        </w:rPr>
        <w:t>Previous authors have recommended that when trying to emulate trial results, it is important to choose an active comparator trial.</w:t>
      </w:r>
      <w:r w:rsidR="00125EE0">
        <w:rPr>
          <w:rFonts w:eastAsia="Calibri" w:cstheme="minorHAnsi"/>
          <w:b w:val="0"/>
          <w:color w:val="000000"/>
        </w:rPr>
        <w:fldChar w:fldCharType="begin" w:fldLock="1"/>
      </w:r>
      <w:r w:rsidR="00125EE0">
        <w:rPr>
          <w:rFonts w:eastAsia="Calibri" w:cstheme="minorHAnsi"/>
          <w:b w:val="0"/>
          <w:color w:val="000000"/>
        </w:rPr>
        <w:instrText>ADDIN CSL_CITATION {"citationItems":[{"id":"ITEM-1","itemData":{"DOI":"10.1001/jamainternmed.2017.3919","ISSN":"21686106","abstract":"IMPORTANCE Manufacturers of US Food and Drug Administration–approved prescription drugs often apply for additional indications based on randomized clinical trials. Real-world database analyses on a medication’s use and outcomes in routine settings of care might help to inform decision making regarding such supplemental indications. OBJECTIVE To examine whether longitudinal data from a health care database can support the results of a randomized clinical trial that led to a supplemental indication for telmisartan. DESIGN, SETTING, AND PARTICIPANTS This cohort study of patients newly prescribed telmisartan or ramipril used insurance claims data from a nationwide health care database from January 1, 2003, through September 30, 2009, to compare patient outcomes. This study replicated the inclusion and exclusion criteria used in the Ongoing Telmisartan Alone and in Combination with Ramipril Global End-point Trial (ONTARGET) and used propensity score matching to balance 74 patient characteristics. Data analysis was performed from February 15, 2017, to May 24, 2017. EXPOSURES Telmisartan use vs ramipril use. MAIN OUTCOMES AND MEASURES The primary outcome was a composite of myocardial infarction, stroke, or hospitalization for congestive heart failure. RESULTS Of the 640 951 patients included in the study, 48 053 were newly prescribed ramipril (mean [SD] age, 68.29 [9.52] years; 31 940 male [66.5%]) and 4665 were newly prescribed telmisartan (mean [SD] age, 69.43 [9.60] years; 2413 male [51.7%]). After propensity score matching, a total of 4665 patients were newly prescribed telmisartan (mean [SD] age, 69.43 [9.60] years; 2413 [51.7%]), and 4665 patients were newly prescribed ramipril (mean [SD] age, 69.36 [9.67] years; 2343 male [50.2%]). As seen in ONTARGET, the composite risk of stroke, myocardial infarction, and hospitalization for congestive heart failure was similar for the 2 medications (hazard ratio, 1.0; 95% CI, 0.9-1.1). In addition, the study found that telmisartan was associated with a substantially decreased risk of angioedema (hazard ratio, 0.1; 95% CI, 0.03-0.56) compared with ramipril. CONCLUSIONS AND RELEVANCE Real-world data analyses of patients receiving routine care provided findings similar to those found in the randomized clinical trial that established telmisartan’s supplemental indication. In certain situations, database studies may support supplemental applications for effectiveness for already approved medications.","author":[{"dropping-particle":"","family":"Fralick","given":"Michael","non-dropping-particle":"","parse-names":false,"suffix":""},{"dropping-particle":"","family":"Kesselheim","given":"Aaron S.","non-dropping-particle":"","parse-names":false,"suffix":""},{"dropping-particle":"","family":"Avorn","given":"Jerry","non-dropping-particle":"","parse-names":false,"suffix":""},{"dropping-particle":"","family":"Schneeweiss","given":"Sebastian","non-dropping-particle":"","parse-names":false,"suffix":""}],"container-title":"JAMA Internal Medicine","id":"ITEM-1","issue":"1","issued":{"date-parts":[["2018"]]},"page":"55-63","title":"Use of health care databases to support supplemental indications of approved medications","type":"article-journal","volume":"178"},"uris":["http://www.mendeley.com/documents/?uuid=08d4df63-b293-46df-8bef-f5db1836ce7d"]}],"mendeley":{"formattedCitation":"[15]","plainTextFormattedCitation":"[15]"},"properties":{"noteIndex":0},"schema":"https://github.com/citation-style-language/schema/raw/master/csl-citation.json"}</w:instrText>
      </w:r>
      <w:r w:rsidR="00125EE0">
        <w:rPr>
          <w:rFonts w:eastAsia="Calibri" w:cstheme="minorHAnsi"/>
          <w:b w:val="0"/>
          <w:color w:val="000000"/>
        </w:rPr>
        <w:fldChar w:fldCharType="separate"/>
      </w:r>
      <w:r w:rsidR="00125EE0" w:rsidRPr="00125EE0">
        <w:rPr>
          <w:rFonts w:eastAsia="Calibri" w:cstheme="minorHAnsi"/>
          <w:b w:val="0"/>
          <w:noProof/>
          <w:color w:val="000000"/>
        </w:rPr>
        <w:t>[15]</w:t>
      </w:r>
      <w:r w:rsidR="00125EE0">
        <w:rPr>
          <w:rFonts w:eastAsia="Calibri" w:cstheme="minorHAnsi"/>
          <w:b w:val="0"/>
          <w:color w:val="000000"/>
        </w:rPr>
        <w:fldChar w:fldCharType="end"/>
      </w:r>
      <w:r w:rsidR="002C6334">
        <w:rPr>
          <w:rFonts w:eastAsia="Calibri" w:cstheme="minorHAnsi"/>
          <w:b w:val="0"/>
          <w:color w:val="000000"/>
        </w:rPr>
        <w:t xml:space="preserve"> </w:t>
      </w:r>
      <w:r w:rsidR="0077352D">
        <w:rPr>
          <w:rFonts w:eastAsia="Calibri" w:cstheme="minorHAnsi"/>
          <w:b w:val="0"/>
          <w:color w:val="000000"/>
        </w:rPr>
        <w:t>There are examples where placebo-controlled analyses have been successfully replicated, however.</w:t>
      </w:r>
      <w:r w:rsidR="000F0ABD">
        <w:rPr>
          <w:rFonts w:eastAsia="Calibri" w:cstheme="minorHAnsi"/>
          <w:b w:val="0"/>
          <w:color w:val="000000"/>
        </w:rPr>
        <w:fldChar w:fldCharType="begin" w:fldLock="1"/>
      </w:r>
      <w:r w:rsidR="00B10790">
        <w:rPr>
          <w:rFonts w:eastAsia="Calibri" w:cstheme="minorHAnsi"/>
          <w:b w:val="0"/>
          <w:color w:val="000000"/>
        </w:rPr>
        <w:instrText>ADDIN CSL_CITATION {"citationItems":[{"id":"ITEM-1","itemData":{"DOI":"10.1111/j.1365-2125.2008.03308.x","ISBN":"1365-2125 (Electronic)\\n0306-5251 (Linking)","ISSN":"03065251","PMID":"19006546","abstract":"AIMS: To assess the effect of statins on a range of health outcomes. METHODS: We undertook a population-based cohort study to assess the effect of statins on a range of health outcomes using a propensity score-based method to control for differences between people prescribed and not prescribed statins. We validated our design by comparing our results for vascular outcomes with the effects established in large randomized trials. The study was based on the United Kingdom Health Improvement Network database that includes the computerized medical records of over four and a half million patients. RESULTS: People who initiated treatment with a statin (n = 129,288) were compared with a matched sample of 600,241 people who did not initiate treatment, with a median follow-up period of 4.4 years. Statin use was not associated with an effect on a wide range of outcomes, including infections, fractures, venous thromboembolism, gastrointestinal haemorrhage, or on specific eye, neurological or autoimmune diseases. A protective effect against dementia was observed (hazard ratio 0.80, 99% confidence interval 0.68, 0.95). There was no effect on the risk of cancer even after &gt; or =8 years of follow-up. The effect sizes for statins on vascular end-points and mortality were comparable to those observed in large randomized trials, suggesting bias and confounding had been well controlled for. CONCLUSIONS: We found little evidence to support wide-ranging effects of statins on health outcomes beyond their established beneficial effect on vascular disease.","author":[{"dropping-particle":"","family":"Smeeth","given":"Liam","non-dropping-particle":"","parse-names":false,"suffix":""},{"dropping-particle":"","family":"Douglas","given":"Ian","non-dropping-particle":"","parse-names":false,"suffix":""},{"dropping-particle":"","family":"Hall","given":"Andrew J","non-dropping-particle":"","parse-names":false,"suffix":""},{"dropping-particle":"","family":"Hubbard","given":"Richard","non-dropping-particle":"","parse-names":false,"suffix":""},{"dropping-particle":"","family":"Evans","given":"Stephen","non-dropping-particle":"","parse-names":false,"suffix":""}],"container-title":"British Journal of Clinical Pharmacology","id":"ITEM-1","issue":"1","issued":{"date-parts":[["2009","1"]]},"page":"99-109","publisher":"Wiley-Blackwell","title":"Effect of statins on a wide range of health outcomes: A cohort study validated by comparison with randomized trials","type":"article-journal","volume":"67"},"uris":["http://www.mendeley.com/documents/?uuid=e5c20e62-076b-3eb3-9814-18023c0a7a81"]},{"id":"ITEM-2","itemData":{"DOI":"10.1097/EDE.0b013e3181875e61.Observational","ISBN":"1531-5487 (Electronic)\\r1044-3983 (Linking)","ISSN":"1531-5487","PMID":"18854702","abstract":"Background—The Women’s Health Initiative randomized trial found greater coronary heart disease (CHD) risk in women assigned to estrogen/progestin therapy than in those assigned to placebo. Observational studies had previously suggested reduced CHD risk in hormone users. Methods—Using data from the observational Nurses’ Health Study, we emulated the design and intention-to-treat (ITT) analysis of the randomized trial. The observational study was conceptualized as a sequence of “trials” in which eligible women were classified as initiators or noninitiators of estrogen/progestin therapy. Results—The ITT hazard ratios (95% confidence intervals) of CHD for initiators versus noninitiators were 1.42 (0.92 – 2.20) for the first 2 years, and 0.96 (0.78 – 1.18) for the entire follow-up. The ITT hazard ratios were 0.84 (0.61 – 1.14) in women within 10 years of menopause, and 1.12 (0.84 – 1.48) in the others ( P value for interaction = 0.08). These ITT estimates are similar to those from the Women’s Health Initiative. Because the ITT approach causes severe treatment misclassification, we also estimated adherence-adjusted effects by inverse probability weighting. The hazard ratios were 1.61 (0.97 – 2.66) for the first 2 years, and 0.98 (0.66 – 1.49) for the entire follow-up. The hazard ratios were 0.54 (0.19 – 1.51) in women within 10 years after menopause, and 1.20 (0.78 – 1.84) in others ( P value for interaction = 0.01). Finally, we also present comparisons between these estimates and previously reported NHS estimates. Conclusions—Our findings suggest that the discrepancies between the Women’s Health Initiative and Nurses’ Health Study ITT estimates could be largely explained by differences in the distribution of time since menopause and length of follow-up.","author":[{"dropping-particle":"","family":"Hernán","given":"Miguel A","non-dropping-particle":"","parse-names":false,"suffix":""},{"dropping-particle":"","family":"Alonso","given":"Alvaro","non-dropping-particle":"","parse-names":false,"suffix":""},{"dropping-particle":"","family":"Logan","given":"Roger","non-dropping-particle":"","parse-names":false,"suffix":""},{"dropping-particle":"","family":"Grodstein","given":"Francine","non-dropping-particle":"","parse-names":false,"suffix":""},{"dropping-particle":"","family":"Michels","given":"Karin B","non-dropping-particle":"","parse-names":false,"suffix":""},{"dropping-particle":"","family":"Stampfer","given":"Meir J","non-dropping-particle":"","parse-names":false,"suffix":""},{"dropping-particle":"","family":"Willett","given":"Walter C","non-dropping-particle":"","parse-names":false,"suffix":""},{"dropping-particle":"","family":"Manson","given":"Joann E","non-dropping-particle":"","parse-names":false,"suffix":""},{"dropping-particle":"","family":"Robins","given":"James M.","non-dropping-particle":"","parse-names":false,"suffix":""}],"container-title":"Epidemiology","id":"ITEM-2","issue":"6","issued":{"date-parts":[["2013"]]},"page":"766-779","title":"Observationals studies analyzed like randomized experiments: an application to postmenopausal hormone therapy and coronary heart disease","type":"article-journal","volume":"19"},"uris":["http://www.mendeley.com/documents/?uuid=c90d07d0-5a51-43b0-91e6-a4e4932bf71f"]}],"mendeley":{"formattedCitation":"[13, 14]","plainTextFormattedCitation":"[13, 14]","previouslyFormattedCitation":"[13, 14]"},"properties":{"noteIndex":0},"schema":"https://github.com/citation-style-language/schema/raw/master/csl-citation.json"}</w:instrText>
      </w:r>
      <w:r w:rsidR="000F0ABD">
        <w:rPr>
          <w:rFonts w:eastAsia="Calibri" w:cstheme="minorHAnsi"/>
          <w:b w:val="0"/>
          <w:color w:val="000000"/>
        </w:rPr>
        <w:fldChar w:fldCharType="separate"/>
      </w:r>
      <w:r w:rsidR="00B10790" w:rsidRPr="00B10790">
        <w:rPr>
          <w:rFonts w:eastAsia="Calibri" w:cstheme="minorHAnsi"/>
          <w:b w:val="0"/>
          <w:noProof/>
          <w:color w:val="000000"/>
        </w:rPr>
        <w:t>[13, 14]</w:t>
      </w:r>
      <w:r w:rsidR="000F0ABD">
        <w:rPr>
          <w:rFonts w:eastAsia="Calibri" w:cstheme="minorHAnsi"/>
          <w:b w:val="0"/>
          <w:color w:val="000000"/>
        </w:rPr>
        <w:fldChar w:fldCharType="end"/>
      </w:r>
      <w:r w:rsidR="00125EE0">
        <w:rPr>
          <w:rFonts w:eastAsia="Calibri" w:cstheme="minorHAnsi"/>
          <w:b w:val="0"/>
          <w:color w:val="000000"/>
        </w:rPr>
        <w:t xml:space="preserve"> One possibility is that replication of placebo-controlled results works better when the drug studied is (1) preventative and (2) used in a generally healthy cohort (for example, the cited studies were of statins and of postmenopausal hormone therapy both p</w:t>
      </w:r>
      <w:r w:rsidR="008A1267">
        <w:rPr>
          <w:rFonts w:eastAsia="Calibri" w:cstheme="minorHAnsi"/>
          <w:b w:val="0"/>
          <w:color w:val="000000"/>
        </w:rPr>
        <w:t>r</w:t>
      </w:r>
      <w:r w:rsidR="00125EE0">
        <w:rPr>
          <w:rFonts w:eastAsia="Calibri" w:cstheme="minorHAnsi"/>
          <w:b w:val="0"/>
          <w:color w:val="000000"/>
        </w:rPr>
        <w:t xml:space="preserve">escribed to people without a specific underlying chronic disease, in contrast to the patients with COPD who received therapy in our study). </w:t>
      </w:r>
      <w:r w:rsidR="0077352D">
        <w:rPr>
          <w:rFonts w:eastAsia="Calibri" w:cstheme="minorHAnsi"/>
          <w:b w:val="0"/>
          <w:color w:val="000000"/>
        </w:rPr>
        <w:t xml:space="preserve"> </w:t>
      </w:r>
      <w:r w:rsidR="00583D7F">
        <w:rPr>
          <w:rFonts w:eastAsia="Calibri" w:cstheme="minorHAnsi"/>
          <w:b w:val="0"/>
          <w:color w:val="000000"/>
        </w:rPr>
        <w:t>We consider that further avenues of research could be followed to understand if there remains a possibility of replicating placebo-controlled studies within a non-interventional setting</w:t>
      </w:r>
      <w:r w:rsidR="00B7204C">
        <w:rPr>
          <w:rFonts w:eastAsia="Calibri" w:cstheme="minorHAnsi"/>
          <w:b w:val="0"/>
          <w:color w:val="000000"/>
        </w:rPr>
        <w:t xml:space="preserve"> for COPD therapies</w:t>
      </w:r>
      <w:r w:rsidR="00583D7F">
        <w:rPr>
          <w:rFonts w:eastAsia="Calibri" w:cstheme="minorHAnsi"/>
          <w:b w:val="0"/>
          <w:color w:val="000000"/>
        </w:rPr>
        <w:t>. These could include application of high dimensional propensity scores</w:t>
      </w:r>
      <w:r w:rsidR="00A66C24">
        <w:rPr>
          <w:rFonts w:eastAsia="Calibri" w:cstheme="minorHAnsi"/>
          <w:b w:val="0"/>
          <w:color w:val="000000"/>
        </w:rPr>
        <w:t xml:space="preserve"> </w:t>
      </w:r>
      <w:r w:rsidR="00583D7F" w:rsidRPr="00583D7F">
        <w:rPr>
          <w:rFonts w:eastAsia="Calibri" w:cstheme="minorHAnsi"/>
          <w:b w:val="0"/>
          <w:color w:val="000000" w:themeColor="text1"/>
        </w:rPr>
        <w:t xml:space="preserve">or the use of instrumental variables.  Our work also suggests that treatment discontinuation in the setting of non-interventional data may be driven </w:t>
      </w:r>
      <w:r w:rsidR="00583D7F" w:rsidRPr="00583D7F">
        <w:rPr>
          <w:rFonts w:eastAsia="Calibri" w:cstheme="minorHAnsi"/>
          <w:b w:val="0"/>
          <w:color w:val="000000" w:themeColor="text1"/>
        </w:rPr>
        <w:lastRenderedPageBreak/>
        <w:t>by very different factors to those seen in trials and, at least in the setting of COPD, may not be a useful outcome to study.</w:t>
      </w:r>
      <w:r w:rsidR="00020AC8">
        <w:rPr>
          <w:rFonts w:eastAsia="Calibri" w:cstheme="minorHAnsi"/>
          <w:b w:val="0"/>
          <w:color w:val="000000" w:themeColor="text1"/>
        </w:rPr>
        <w:t xml:space="preserve"> For example, it is difficult to establish from routinely collected data whether a patient has truly stopped taking their medicine, or is just taking the medicine differently than prescribed (e.g. is taking less than has been prescribed over a longer period).</w:t>
      </w:r>
    </w:p>
    <w:p w14:paraId="732E20E4" w14:textId="4E492549" w:rsidR="00765ABE" w:rsidRDefault="006D7047" w:rsidP="008B0A52">
      <w:pPr>
        <w:pStyle w:val="Heading3-nonumber"/>
        <w:spacing w:line="480" w:lineRule="auto"/>
        <w:rPr>
          <w:rFonts w:eastAsia="Calibri" w:cstheme="minorHAnsi"/>
          <w:b w:val="0"/>
          <w:color w:val="000000"/>
        </w:rPr>
      </w:pPr>
      <w:r>
        <w:rPr>
          <w:b w:val="0"/>
        </w:rPr>
        <w:t xml:space="preserve">Finally, </w:t>
      </w:r>
      <w:r w:rsidR="002C6334">
        <w:rPr>
          <w:rFonts w:eastAsia="Calibri" w:cstheme="minorHAnsi"/>
          <w:b w:val="0"/>
          <w:color w:val="000000"/>
        </w:rPr>
        <w:t>i</w:t>
      </w:r>
      <w:r w:rsidR="00D3584D">
        <w:rPr>
          <w:rFonts w:eastAsia="Calibri" w:cstheme="minorHAnsi"/>
          <w:b w:val="0"/>
          <w:color w:val="000000"/>
        </w:rPr>
        <w:t xml:space="preserve">n </w:t>
      </w:r>
      <w:r w:rsidR="002C6334">
        <w:rPr>
          <w:rFonts w:eastAsia="Calibri" w:cstheme="minorHAnsi"/>
          <w:b w:val="0"/>
          <w:color w:val="000000"/>
        </w:rPr>
        <w:t>our</w:t>
      </w:r>
      <w:r w:rsidR="00D3584D">
        <w:rPr>
          <w:rFonts w:eastAsia="Calibri" w:cstheme="minorHAnsi"/>
          <w:b w:val="0"/>
          <w:color w:val="000000"/>
        </w:rPr>
        <w:t xml:space="preserve"> post-hoc analysis</w:t>
      </w:r>
      <w:r w:rsidR="002C6334">
        <w:rPr>
          <w:rFonts w:eastAsia="Calibri" w:cstheme="minorHAnsi"/>
          <w:b w:val="0"/>
          <w:color w:val="000000"/>
        </w:rPr>
        <w:t xml:space="preserve"> </w:t>
      </w:r>
      <w:r w:rsidR="00D3584D">
        <w:rPr>
          <w:rFonts w:eastAsia="Calibri" w:cstheme="minorHAnsi"/>
          <w:b w:val="0"/>
          <w:color w:val="000000"/>
        </w:rPr>
        <w:t xml:space="preserve">we found that the application of the trial matching step did not confer any advantage over application of trial criteria alone in this setting. </w:t>
      </w:r>
      <w:r w:rsidR="00765ABE">
        <w:rPr>
          <w:rFonts w:eastAsia="Calibri" w:cstheme="minorHAnsi"/>
          <w:b w:val="0"/>
          <w:color w:val="000000"/>
        </w:rPr>
        <w:t xml:space="preserve">This suggests that treatment-covariate interactions </w:t>
      </w:r>
      <w:r w:rsidR="00A009B2">
        <w:rPr>
          <w:rFonts w:eastAsia="Calibri" w:cstheme="minorHAnsi"/>
          <w:b w:val="0"/>
          <w:color w:val="000000"/>
        </w:rPr>
        <w:t>are not as critical as we initially thought in this therapeutic area.</w:t>
      </w:r>
    </w:p>
    <w:p w14:paraId="51158B4E" w14:textId="6C90E5E3" w:rsidR="00B467F9" w:rsidRDefault="00B467F9" w:rsidP="008B0A52">
      <w:pPr>
        <w:pStyle w:val="heading2nonumber"/>
        <w:keepNext/>
        <w:spacing w:line="480" w:lineRule="auto"/>
        <w:ind w:left="578" w:hanging="578"/>
      </w:pPr>
      <w:r>
        <w:t>Limitations</w:t>
      </w:r>
    </w:p>
    <w:p w14:paraId="518EF7DD" w14:textId="4D5EE40F" w:rsidR="00583D7F" w:rsidRDefault="0043057E" w:rsidP="008B0A52">
      <w:pPr>
        <w:pStyle w:val="heading2nonumber"/>
        <w:spacing w:line="480" w:lineRule="auto"/>
        <w:ind w:left="0" w:firstLine="0"/>
        <w:rPr>
          <w:b w:val="0"/>
          <w:sz w:val="22"/>
          <w:szCs w:val="22"/>
        </w:rPr>
      </w:pPr>
      <w:r w:rsidRPr="0043057E">
        <w:rPr>
          <w:b w:val="0"/>
          <w:sz w:val="22"/>
          <w:szCs w:val="22"/>
        </w:rPr>
        <w:t xml:space="preserve">Some of the TORCH inclusion criteria </w:t>
      </w:r>
      <w:r w:rsidR="00FC2007">
        <w:rPr>
          <w:b w:val="0"/>
          <w:sz w:val="22"/>
          <w:szCs w:val="22"/>
        </w:rPr>
        <w:t>were</w:t>
      </w:r>
      <w:r w:rsidRPr="0043057E">
        <w:rPr>
          <w:b w:val="0"/>
          <w:sz w:val="22"/>
          <w:szCs w:val="22"/>
        </w:rPr>
        <w:t xml:space="preserve"> not fully assessable using CPRD data</w:t>
      </w:r>
      <w:r w:rsidR="00D63A83">
        <w:rPr>
          <w:b w:val="0"/>
          <w:sz w:val="22"/>
          <w:szCs w:val="22"/>
        </w:rPr>
        <w:t xml:space="preserve">, meaning </w:t>
      </w:r>
      <w:r w:rsidRPr="0043057E">
        <w:rPr>
          <w:b w:val="0"/>
          <w:sz w:val="22"/>
          <w:szCs w:val="22"/>
        </w:rPr>
        <w:t>the inclusion/exclusion criteria are analogous with TORCH criteria but we acknowledge they are not identical.</w:t>
      </w:r>
      <w:r w:rsidR="00FC2007">
        <w:rPr>
          <w:b w:val="0"/>
          <w:sz w:val="22"/>
          <w:szCs w:val="22"/>
        </w:rPr>
        <w:t xml:space="preserve"> </w:t>
      </w:r>
      <w:r w:rsidR="00583D7F">
        <w:rPr>
          <w:b w:val="0"/>
          <w:sz w:val="22"/>
          <w:szCs w:val="22"/>
        </w:rPr>
        <w:t xml:space="preserve">We originally planned to apply </w:t>
      </w:r>
      <w:r w:rsidR="00D74433">
        <w:rPr>
          <w:b w:val="0"/>
          <w:sz w:val="22"/>
          <w:szCs w:val="22"/>
        </w:rPr>
        <w:t>frequency</w:t>
      </w:r>
      <w:r w:rsidR="001C7B81">
        <w:rPr>
          <w:b w:val="0"/>
          <w:sz w:val="22"/>
          <w:szCs w:val="22"/>
        </w:rPr>
        <w:t xml:space="preserve"> of COPD therapy</w:t>
      </w:r>
      <w:r w:rsidR="00D74433">
        <w:rPr>
          <w:b w:val="0"/>
          <w:sz w:val="22"/>
          <w:szCs w:val="22"/>
        </w:rPr>
        <w:t xml:space="preserve"> prescriptions</w:t>
      </w:r>
      <w:r w:rsidR="001C7B81">
        <w:rPr>
          <w:b w:val="0"/>
          <w:sz w:val="22"/>
          <w:szCs w:val="22"/>
        </w:rPr>
        <w:t xml:space="preserve"> in the previous year</w:t>
      </w:r>
      <w:r w:rsidR="00583D7F">
        <w:rPr>
          <w:b w:val="0"/>
          <w:sz w:val="22"/>
          <w:szCs w:val="22"/>
        </w:rPr>
        <w:t xml:space="preserve"> as a matching character/criteria.</w:t>
      </w:r>
      <w:r w:rsidR="00D63A83">
        <w:rPr>
          <w:b w:val="0"/>
          <w:sz w:val="22"/>
          <w:szCs w:val="22"/>
        </w:rPr>
        <w:t xml:space="preserve"> </w:t>
      </w:r>
      <w:r w:rsidR="00583D7F">
        <w:rPr>
          <w:b w:val="0"/>
          <w:sz w:val="22"/>
          <w:szCs w:val="22"/>
        </w:rPr>
        <w:t>In practice this was not feasible</w:t>
      </w:r>
      <w:r w:rsidR="00BE61DB">
        <w:rPr>
          <w:b w:val="0"/>
          <w:sz w:val="22"/>
          <w:szCs w:val="22"/>
        </w:rPr>
        <w:t xml:space="preserve">. </w:t>
      </w:r>
      <w:r w:rsidR="00583D7F">
        <w:rPr>
          <w:b w:val="0"/>
          <w:sz w:val="22"/>
          <w:szCs w:val="22"/>
        </w:rPr>
        <w:t xml:space="preserve">However, it appears that matching at this level of detail was not required to be able to replicate trial results for active comparator analysis. </w:t>
      </w:r>
      <w:r w:rsidR="001A3885">
        <w:rPr>
          <w:b w:val="0"/>
          <w:sz w:val="22"/>
          <w:szCs w:val="22"/>
        </w:rPr>
        <w:t>Finally, within TORCH, the dose of the fixed combination product FP-SAL was specified as 500</w:t>
      </w:r>
      <w:r w:rsidR="001A3885">
        <w:rPr>
          <w:rFonts w:ascii="Calibri" w:hAnsi="Calibri" w:cs="Calibri"/>
          <w:b w:val="0"/>
          <w:sz w:val="22"/>
          <w:szCs w:val="22"/>
        </w:rPr>
        <w:t>µ</w:t>
      </w:r>
      <w:r w:rsidR="001A3885">
        <w:rPr>
          <w:b w:val="0"/>
          <w:sz w:val="22"/>
          <w:szCs w:val="22"/>
        </w:rPr>
        <w:t>g of FP and 50</w:t>
      </w:r>
      <w:r w:rsidR="001A3885">
        <w:rPr>
          <w:rFonts w:ascii="Calibri" w:hAnsi="Calibri" w:cs="Calibri"/>
          <w:b w:val="0"/>
          <w:sz w:val="22"/>
          <w:szCs w:val="22"/>
        </w:rPr>
        <w:t>µ</w:t>
      </w:r>
      <w:r w:rsidR="001A3885">
        <w:rPr>
          <w:b w:val="0"/>
          <w:sz w:val="22"/>
          <w:szCs w:val="22"/>
        </w:rPr>
        <w:t>g of SAL</w:t>
      </w:r>
      <w:r w:rsidR="00DE273E">
        <w:rPr>
          <w:b w:val="0"/>
          <w:sz w:val="22"/>
          <w:szCs w:val="22"/>
        </w:rPr>
        <w:t xml:space="preserve"> (500/50), and the dose of SAL alone as 50</w:t>
      </w:r>
      <w:r w:rsidR="00DE273E" w:rsidRPr="00DE273E">
        <w:rPr>
          <w:rFonts w:ascii="Calibri" w:hAnsi="Calibri" w:cs="Calibri"/>
          <w:b w:val="0"/>
          <w:sz w:val="22"/>
          <w:szCs w:val="22"/>
        </w:rPr>
        <w:t xml:space="preserve"> </w:t>
      </w:r>
      <w:r w:rsidR="00DE273E">
        <w:rPr>
          <w:rFonts w:ascii="Calibri" w:hAnsi="Calibri" w:cs="Calibri"/>
          <w:b w:val="0"/>
          <w:sz w:val="22"/>
          <w:szCs w:val="22"/>
        </w:rPr>
        <w:t>µ</w:t>
      </w:r>
      <w:r w:rsidR="00DE273E">
        <w:rPr>
          <w:b w:val="0"/>
          <w:sz w:val="22"/>
          <w:szCs w:val="22"/>
        </w:rPr>
        <w:t xml:space="preserve">g, whereas in our study we did not limit to a specific dose. </w:t>
      </w:r>
      <w:r w:rsidR="004E2D06">
        <w:rPr>
          <w:b w:val="0"/>
          <w:sz w:val="22"/>
          <w:szCs w:val="22"/>
        </w:rPr>
        <w:t>The reason for this is that d</w:t>
      </w:r>
      <w:r w:rsidR="00DE273E">
        <w:rPr>
          <w:b w:val="0"/>
          <w:sz w:val="22"/>
          <w:szCs w:val="22"/>
        </w:rPr>
        <w:t>os</w:t>
      </w:r>
      <w:r w:rsidR="004E2D06">
        <w:rPr>
          <w:b w:val="0"/>
          <w:sz w:val="22"/>
          <w:szCs w:val="22"/>
        </w:rPr>
        <w:t>age information</w:t>
      </w:r>
      <w:r w:rsidR="00DE273E">
        <w:rPr>
          <w:b w:val="0"/>
          <w:sz w:val="22"/>
          <w:szCs w:val="22"/>
        </w:rPr>
        <w:t xml:space="preserve"> is incompletely captured in CPRD, but as these are the only approved doses of FP-SAL and of SAL for COPD in the UK, we consider the doses that people were prescribed in our study would have been generally similar to that administered in the TORCH trial.</w:t>
      </w:r>
    </w:p>
    <w:p w14:paraId="71ED3921" w14:textId="5B6ED4FD" w:rsidR="003B0A15" w:rsidRDefault="00B467F9" w:rsidP="008B0A52">
      <w:pPr>
        <w:pStyle w:val="heading2nonumber"/>
        <w:spacing w:line="480" w:lineRule="auto"/>
      </w:pPr>
      <w:r>
        <w:t>Conclusions</w:t>
      </w:r>
    </w:p>
    <w:p w14:paraId="7503FEEF" w14:textId="7A24E9D5" w:rsidR="00AD543D" w:rsidRPr="00DF59EC" w:rsidRDefault="004D1588" w:rsidP="00DF59EC">
      <w:pPr>
        <w:spacing w:line="480" w:lineRule="auto"/>
        <w:jc w:val="both"/>
        <w:rPr>
          <w:rFonts w:ascii="Calibri" w:hAnsi="Calibri" w:cs="Calibri"/>
        </w:rPr>
      </w:pPr>
      <w:r>
        <w:rPr>
          <w:rFonts w:ascii="Calibri" w:hAnsi="Calibri" w:cs="Calibri"/>
        </w:rPr>
        <w:t>By replicating the COPD TORCH trial selection procedures</w:t>
      </w:r>
      <w:r w:rsidR="0074241B">
        <w:rPr>
          <w:rFonts w:ascii="Calibri" w:hAnsi="Calibri" w:cs="Calibri"/>
        </w:rPr>
        <w:t xml:space="preserve"> and </w:t>
      </w:r>
      <w:r>
        <w:rPr>
          <w:rFonts w:ascii="Calibri" w:hAnsi="Calibri" w:cs="Calibri"/>
        </w:rPr>
        <w:t xml:space="preserve">inclusion/exclusion criteria in </w:t>
      </w:r>
      <w:r w:rsidR="00A56C32">
        <w:rPr>
          <w:rFonts w:ascii="Calibri" w:hAnsi="Calibri" w:cs="Calibri"/>
        </w:rPr>
        <w:t>real-world data</w:t>
      </w:r>
      <w:r w:rsidR="0074241B">
        <w:rPr>
          <w:rFonts w:ascii="Calibri" w:hAnsi="Calibri" w:cs="Calibri"/>
        </w:rPr>
        <w:t xml:space="preserve"> and </w:t>
      </w:r>
      <w:r w:rsidR="00465E83">
        <w:rPr>
          <w:rFonts w:ascii="Calibri" w:hAnsi="Calibri" w:cs="Calibri"/>
        </w:rPr>
        <w:t>developing</w:t>
      </w:r>
      <w:r w:rsidR="00BC109D">
        <w:rPr>
          <w:rFonts w:ascii="Calibri" w:hAnsi="Calibri" w:cs="Calibri"/>
        </w:rPr>
        <w:t xml:space="preserve"> propensity score </w:t>
      </w:r>
      <w:r w:rsidR="00465E83">
        <w:rPr>
          <w:rFonts w:ascii="Calibri" w:hAnsi="Calibri" w:cs="Calibri"/>
        </w:rPr>
        <w:t>models to</w:t>
      </w:r>
      <w:r w:rsidR="00BC109D">
        <w:rPr>
          <w:rFonts w:ascii="Calibri" w:hAnsi="Calibri" w:cs="Calibri"/>
        </w:rPr>
        <w:t xml:space="preserve"> </w:t>
      </w:r>
      <w:r w:rsidR="004F0B2C">
        <w:rPr>
          <w:rFonts w:ascii="Calibri" w:hAnsi="Calibri" w:cs="Calibri"/>
        </w:rPr>
        <w:t xml:space="preserve">account for any </w:t>
      </w:r>
      <w:r w:rsidR="003045D6">
        <w:rPr>
          <w:rFonts w:ascii="Calibri" w:hAnsi="Calibri" w:cs="Calibri"/>
        </w:rPr>
        <w:t>remaining differences between groups</w:t>
      </w:r>
      <w:r>
        <w:rPr>
          <w:rFonts w:ascii="Calibri" w:hAnsi="Calibri" w:cs="Calibri"/>
        </w:rPr>
        <w:t>, we were able to obtain highly comparable relative effect estimates to the TORCH randomised controlled trial active comparator analys</w:t>
      </w:r>
      <w:r w:rsidR="00573241">
        <w:rPr>
          <w:rFonts w:ascii="Calibri" w:hAnsi="Calibri" w:cs="Calibri"/>
        </w:rPr>
        <w:t xml:space="preserve">is </w:t>
      </w:r>
      <w:r>
        <w:rPr>
          <w:rFonts w:ascii="Calibri" w:hAnsi="Calibri" w:cs="Calibri"/>
        </w:rPr>
        <w:t xml:space="preserve">for exacerbations, mortality and pneumonia. </w:t>
      </w:r>
      <w:r w:rsidR="00F02E99">
        <w:rPr>
          <w:rFonts w:ascii="Calibri" w:hAnsi="Calibri" w:cs="Calibri"/>
        </w:rPr>
        <w:t xml:space="preserve">Replication of placebo-controlled analyses was not possible, and further work to investigate whether likely residual confounding by indication can ever be accounted for in this therapeutic area is warranted. </w:t>
      </w:r>
      <w:r w:rsidR="00E41921">
        <w:rPr>
          <w:rFonts w:ascii="Calibri" w:hAnsi="Calibri" w:cs="Calibri"/>
        </w:rPr>
        <w:t xml:space="preserve">Application </w:t>
      </w:r>
      <w:r w:rsidR="00E41921">
        <w:rPr>
          <w:rFonts w:ascii="Calibri" w:hAnsi="Calibri" w:cs="Calibri"/>
        </w:rPr>
        <w:lastRenderedPageBreak/>
        <w:t>of the same selection procedures and propensity score models developed here to active comparator analyses of COPD drug treatment effects in groups underrepresented or excluded from trials</w:t>
      </w:r>
      <w:r w:rsidR="002E602B">
        <w:rPr>
          <w:rFonts w:ascii="Calibri" w:hAnsi="Calibri" w:cs="Calibri"/>
        </w:rPr>
        <w:t xml:space="preserve"> provides a practical way for</w:t>
      </w:r>
      <w:r w:rsidR="00E41921">
        <w:rPr>
          <w:rFonts w:ascii="Calibri" w:hAnsi="Calibri" w:cs="Calibri"/>
        </w:rPr>
        <w:t xml:space="preserve"> key evidence gaps to be filled.</w:t>
      </w:r>
    </w:p>
    <w:p w14:paraId="552F6E9C" w14:textId="77777777" w:rsidR="00AD543D" w:rsidRPr="005219E5" w:rsidRDefault="00AD543D" w:rsidP="008B0A52">
      <w:pPr>
        <w:spacing w:line="480" w:lineRule="auto"/>
        <w:rPr>
          <w:rFonts w:ascii="Calibri" w:hAnsi="Calibri" w:cs="Calibri"/>
        </w:rPr>
      </w:pPr>
    </w:p>
    <w:bookmarkEnd w:id="18"/>
    <w:bookmarkEnd w:id="19"/>
    <w:p w14:paraId="379CE28E" w14:textId="77777777" w:rsidR="001B0950" w:rsidRPr="0087244D" w:rsidRDefault="001B0950" w:rsidP="001B0950">
      <w:pPr>
        <w:spacing w:after="0"/>
        <w:rPr>
          <w:rFonts w:cstheme="minorHAnsi"/>
          <w:b/>
          <w:sz w:val="24"/>
          <w:szCs w:val="24"/>
        </w:rPr>
      </w:pPr>
      <w:r>
        <w:rPr>
          <w:rFonts w:cstheme="minorHAnsi"/>
          <w:b/>
          <w:sz w:val="24"/>
          <w:szCs w:val="24"/>
        </w:rPr>
        <w:t>Funding statement</w:t>
      </w:r>
    </w:p>
    <w:p w14:paraId="0F01155A" w14:textId="023E33C0" w:rsidR="001B0950" w:rsidRDefault="001B0950" w:rsidP="001B0950">
      <w:pPr>
        <w:spacing w:after="0"/>
        <w:rPr>
          <w:szCs w:val="24"/>
        </w:rPr>
      </w:pPr>
      <w:r w:rsidRPr="00DB47BC">
        <w:rPr>
          <w:szCs w:val="24"/>
        </w:rPr>
        <w:t>This work was supported by NIHR grant number 15/80/28</w:t>
      </w:r>
    </w:p>
    <w:p w14:paraId="2753F00B" w14:textId="77777777" w:rsidR="001B0950" w:rsidRDefault="001B0950">
      <w:pPr>
        <w:spacing w:after="200" w:line="276" w:lineRule="auto"/>
        <w:rPr>
          <w:szCs w:val="24"/>
        </w:rPr>
      </w:pPr>
      <w:r>
        <w:rPr>
          <w:szCs w:val="24"/>
        </w:rPr>
        <w:br w:type="page"/>
      </w:r>
    </w:p>
    <w:p w14:paraId="0185248A" w14:textId="77122ACE" w:rsidR="00021E39" w:rsidRDefault="005F4DBA" w:rsidP="008B0A52">
      <w:pPr>
        <w:pStyle w:val="Heading1NoNumber0"/>
        <w:spacing w:line="480" w:lineRule="auto"/>
        <w:ind w:left="0" w:firstLine="0"/>
        <w:rPr>
          <w:sz w:val="36"/>
        </w:rPr>
      </w:pPr>
      <w:r w:rsidRPr="0046441B">
        <w:rPr>
          <w:sz w:val="36"/>
        </w:rPr>
        <w:lastRenderedPageBreak/>
        <w:t>References</w:t>
      </w:r>
    </w:p>
    <w:p w14:paraId="0BA1C443" w14:textId="421BDF56" w:rsidR="00125EE0" w:rsidRPr="00125EE0" w:rsidRDefault="00021E39" w:rsidP="00125EE0">
      <w:pPr>
        <w:widowControl w:val="0"/>
        <w:autoSpaceDE w:val="0"/>
        <w:autoSpaceDN w:val="0"/>
        <w:adjustRightInd w:val="0"/>
        <w:spacing w:line="480" w:lineRule="auto"/>
        <w:ind w:left="640" w:hanging="640"/>
        <w:rPr>
          <w:rFonts w:ascii="Calibri" w:hAnsi="Calibri" w:cs="Calibri"/>
          <w:noProof/>
        </w:rPr>
      </w:pPr>
      <w:r w:rsidRPr="00021E39">
        <w:fldChar w:fldCharType="begin" w:fldLock="1"/>
      </w:r>
      <w:r w:rsidRPr="00021E39">
        <w:instrText xml:space="preserve">ADDIN Mendeley Bibliography CSL_BIBLIOGRAPHY </w:instrText>
      </w:r>
      <w:r w:rsidRPr="00021E39">
        <w:fldChar w:fldCharType="separate"/>
      </w:r>
      <w:r w:rsidR="00125EE0" w:rsidRPr="00125EE0">
        <w:rPr>
          <w:rFonts w:ascii="Calibri" w:hAnsi="Calibri" w:cs="Calibri"/>
          <w:noProof/>
        </w:rPr>
        <w:t xml:space="preserve">1. </w:t>
      </w:r>
      <w:r w:rsidR="00125EE0" w:rsidRPr="00125EE0">
        <w:rPr>
          <w:rFonts w:ascii="Calibri" w:hAnsi="Calibri" w:cs="Calibri"/>
          <w:noProof/>
        </w:rPr>
        <w:tab/>
        <w:t xml:space="preserve">Calverley PMA, Anderson JA, Celli B, Ferguson GT, Jenkins C, Jones PW, Yates JC, Vestbo J. Salmeterol and Fluticasone Propionate and Survival in Chronic Obstructive Pulmonary Disease. </w:t>
      </w:r>
      <w:r w:rsidR="00125EE0" w:rsidRPr="00125EE0">
        <w:rPr>
          <w:rFonts w:ascii="Calibri" w:hAnsi="Calibri" w:cs="Calibri"/>
          <w:i/>
          <w:iCs/>
          <w:noProof/>
        </w:rPr>
        <w:t>N. Engl. J. Med.</w:t>
      </w:r>
      <w:r w:rsidR="00125EE0" w:rsidRPr="00125EE0">
        <w:rPr>
          <w:rFonts w:ascii="Calibri" w:hAnsi="Calibri" w:cs="Calibri"/>
          <w:noProof/>
        </w:rPr>
        <w:t xml:space="preserve"> [Internet] Massachusetts Medical Society; 2007 [cited 2016 Aug 4]; 356: 775–789Available from: http://www.nejm.org/doi/abs/10.1056/NEJMoa063070.</w:t>
      </w:r>
    </w:p>
    <w:p w14:paraId="57F2F51C"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 </w:t>
      </w:r>
      <w:r w:rsidRPr="00125EE0">
        <w:rPr>
          <w:rFonts w:ascii="Calibri" w:hAnsi="Calibri" w:cs="Calibri"/>
          <w:noProof/>
        </w:rPr>
        <w:tab/>
        <w:t xml:space="preserve">Wing K, Williamson E, Carpenter JR, Wise L, Schneeweiss S, Smeeth L, Quint JK, Douglas I. Real-world effects of medications for chronic obstructive pulmonary disease: protocol for a UK population-based non-interventional cohort study with validation against randomised trial results. </w:t>
      </w:r>
      <w:r w:rsidRPr="00125EE0">
        <w:rPr>
          <w:rFonts w:ascii="Calibri" w:hAnsi="Calibri" w:cs="Calibri"/>
          <w:i/>
          <w:iCs/>
          <w:noProof/>
        </w:rPr>
        <w:t>BMJ Open</w:t>
      </w:r>
      <w:r w:rsidRPr="00125EE0">
        <w:rPr>
          <w:rFonts w:ascii="Calibri" w:hAnsi="Calibri" w:cs="Calibri"/>
          <w:noProof/>
        </w:rPr>
        <w:t xml:space="preserve"> [Internet] British Medical Journal Publishing Group; 2018 [cited 2018 Apr 19]; 8: e019475Available from: http://www.ncbi.nlm.nih.gov/pubmed/29581202.</w:t>
      </w:r>
    </w:p>
    <w:p w14:paraId="1EB22AE9"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3. </w:t>
      </w:r>
      <w:r w:rsidRPr="00125EE0">
        <w:rPr>
          <w:rFonts w:ascii="Calibri" w:hAnsi="Calibri" w:cs="Calibri"/>
          <w:noProof/>
        </w:rPr>
        <w:tab/>
        <w:t xml:space="preserve">Williamson EJ, Forbes A. Introduction to propensity scores. </w:t>
      </w:r>
      <w:r w:rsidRPr="00125EE0">
        <w:rPr>
          <w:rFonts w:ascii="Calibri" w:hAnsi="Calibri" w:cs="Calibri"/>
          <w:i/>
          <w:iCs/>
          <w:noProof/>
        </w:rPr>
        <w:t>Respirology</w:t>
      </w:r>
      <w:r w:rsidRPr="00125EE0">
        <w:rPr>
          <w:rFonts w:ascii="Calibri" w:hAnsi="Calibri" w:cs="Calibri"/>
          <w:noProof/>
        </w:rPr>
        <w:t xml:space="preserve"> 2014; 19: 625–635.</w:t>
      </w:r>
    </w:p>
    <w:p w14:paraId="3424EA29"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4. </w:t>
      </w:r>
      <w:r w:rsidRPr="00125EE0">
        <w:rPr>
          <w:rFonts w:ascii="Calibri" w:hAnsi="Calibri" w:cs="Calibri"/>
          <w:noProof/>
        </w:rPr>
        <w:tab/>
        <w:t xml:space="preserve">Concato J, Shah N, Horwitz RI. Randomized, controlled trials, observational studies, and the hierarchy of research designs. </w:t>
      </w:r>
      <w:r w:rsidRPr="00125EE0">
        <w:rPr>
          <w:rFonts w:ascii="Calibri" w:hAnsi="Calibri" w:cs="Calibri"/>
          <w:i/>
          <w:iCs/>
          <w:noProof/>
        </w:rPr>
        <w:t>N. Engl. J. Med.</w:t>
      </w:r>
      <w:r w:rsidRPr="00125EE0">
        <w:rPr>
          <w:rFonts w:ascii="Calibri" w:hAnsi="Calibri" w:cs="Calibri"/>
          <w:noProof/>
        </w:rPr>
        <w:t xml:space="preserve"> [Internet] Massachusetts Medical Society; 2000 [cited 2016 Oct 10]; 342: 1887–1892Available from: http://www.nejm.org/doi/abs/10.1056/NEJM200006223422507.</w:t>
      </w:r>
    </w:p>
    <w:p w14:paraId="0738059C"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5. </w:t>
      </w:r>
      <w:r w:rsidRPr="00125EE0">
        <w:rPr>
          <w:rFonts w:ascii="Calibri" w:hAnsi="Calibri" w:cs="Calibri"/>
          <w:noProof/>
        </w:rPr>
        <w:tab/>
        <w:t xml:space="preserve">Golder S, Loke YK, Bland M. Meta-analyses of Adverse Effects Data Derived from Randomised Controlled Trials as Compared to Observational Studies: Methodological Overview. </w:t>
      </w:r>
      <w:r w:rsidRPr="00125EE0">
        <w:rPr>
          <w:rFonts w:ascii="Calibri" w:hAnsi="Calibri" w:cs="Calibri"/>
          <w:i/>
          <w:iCs/>
          <w:noProof/>
        </w:rPr>
        <w:t>PLoS Med</w:t>
      </w:r>
      <w:r w:rsidRPr="00125EE0">
        <w:rPr>
          <w:rFonts w:ascii="Calibri" w:hAnsi="Calibri" w:cs="Calibri"/>
          <w:noProof/>
        </w:rPr>
        <w:t xml:space="preserve"> [Internet] Public Library of Science; 2011; 8: e1001026Available from: http://dx.doi.org/10.1371%2Fjournal.pmed.1001026.</w:t>
      </w:r>
    </w:p>
    <w:p w14:paraId="0B3BD591"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6. </w:t>
      </w:r>
      <w:r w:rsidRPr="00125EE0">
        <w:rPr>
          <w:rFonts w:ascii="Calibri" w:hAnsi="Calibri" w:cs="Calibri"/>
          <w:noProof/>
        </w:rPr>
        <w:tab/>
        <w:t>Deeks JJ, Dinnes J, D’Amico R, Sowden AJ, Sakarovitch C, Song F, Petticrew M, Altman DG, International Stroke Trial Collaborative Group, European Carotid Surgery Trial Collaborative Group. Evaluating non-randomised intervention studies. Health Technol. Assess. (Rockv). 2003.</w:t>
      </w:r>
    </w:p>
    <w:p w14:paraId="117CCF61"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7. </w:t>
      </w:r>
      <w:r w:rsidRPr="00125EE0">
        <w:rPr>
          <w:rFonts w:ascii="Calibri" w:hAnsi="Calibri" w:cs="Calibri"/>
          <w:noProof/>
        </w:rPr>
        <w:tab/>
        <w:t xml:space="preserve">Lawlor DA, Smith GD, Kundu D, Bruckdorfer KR, Ebrahim S. Those confounded vitamins: What can we learn from the differences between observational versus randomised trial evidence? </w:t>
      </w:r>
      <w:r w:rsidRPr="00125EE0">
        <w:rPr>
          <w:rFonts w:ascii="Calibri" w:hAnsi="Calibri" w:cs="Calibri"/>
          <w:noProof/>
        </w:rPr>
        <w:lastRenderedPageBreak/>
        <w:t>[Internet]. Lancet 2004 [cited 2016 Aug 2]. p. 1724–1727Available from: www.thelancet.com.</w:t>
      </w:r>
    </w:p>
    <w:p w14:paraId="7C2C7C73"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8. </w:t>
      </w:r>
      <w:r w:rsidRPr="00125EE0">
        <w:rPr>
          <w:rFonts w:ascii="Calibri" w:hAnsi="Calibri" w:cs="Calibri"/>
          <w:noProof/>
        </w:rPr>
        <w:tab/>
        <w:t xml:space="preserve">Vandenbroucke JP. The HRT controversy: observational studies and RCTs fall in line. </w:t>
      </w:r>
      <w:r w:rsidRPr="00125EE0">
        <w:rPr>
          <w:rFonts w:ascii="Calibri" w:hAnsi="Calibri" w:cs="Calibri"/>
          <w:i/>
          <w:iCs/>
          <w:noProof/>
        </w:rPr>
        <w:t>Lancet</w:t>
      </w:r>
      <w:r w:rsidRPr="00125EE0">
        <w:rPr>
          <w:rFonts w:ascii="Calibri" w:hAnsi="Calibri" w:cs="Calibri"/>
          <w:noProof/>
        </w:rPr>
        <w:t xml:space="preserve"> 2009; 373: 1233–1235.</w:t>
      </w:r>
    </w:p>
    <w:p w14:paraId="51AF3B2B"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9. </w:t>
      </w:r>
      <w:r w:rsidRPr="00125EE0">
        <w:rPr>
          <w:rFonts w:ascii="Calibri" w:hAnsi="Calibri" w:cs="Calibri"/>
          <w:noProof/>
        </w:rPr>
        <w:tab/>
        <w:t xml:space="preserve">Danaei G, Rodríguez LAG, Cantero OF, Logan R, Hernán MA. Observational data for comparative effectiveness research: an emulation of randomised trials of statins and primary prevention of coronary heart disease. </w:t>
      </w:r>
      <w:r w:rsidRPr="00125EE0">
        <w:rPr>
          <w:rFonts w:ascii="Calibri" w:hAnsi="Calibri" w:cs="Calibri"/>
          <w:i/>
          <w:iCs/>
          <w:noProof/>
        </w:rPr>
        <w:t>Stat. Methods Med. Res.</w:t>
      </w:r>
      <w:r w:rsidRPr="00125EE0">
        <w:rPr>
          <w:rFonts w:ascii="Calibri" w:hAnsi="Calibri" w:cs="Calibri"/>
          <w:noProof/>
        </w:rPr>
        <w:t xml:space="preserve"> [Internet] NIH Public Access; 2013 [cited 2016 Nov 14]; 22: 70–96Available from: http://www.ncbi.nlm.nih.gov/pubmed/22016461.</w:t>
      </w:r>
    </w:p>
    <w:p w14:paraId="4A7DAFF8"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10. </w:t>
      </w:r>
      <w:r w:rsidRPr="00125EE0">
        <w:rPr>
          <w:rFonts w:ascii="Calibri" w:hAnsi="Calibri" w:cs="Calibri"/>
          <w:noProof/>
        </w:rPr>
        <w:tab/>
        <w:t xml:space="preserve">Douglas IJ, Evans SJ, Pocock S, Smeeth L. The risk of fractures associated with thiazolidinediones: A self-controlled case-series study. </w:t>
      </w:r>
      <w:r w:rsidRPr="00125EE0">
        <w:rPr>
          <w:rFonts w:ascii="Calibri" w:hAnsi="Calibri" w:cs="Calibri"/>
          <w:i/>
          <w:iCs/>
          <w:noProof/>
        </w:rPr>
        <w:t>PLoS Med.</w:t>
      </w:r>
      <w:r w:rsidRPr="00125EE0">
        <w:rPr>
          <w:rFonts w:ascii="Calibri" w:hAnsi="Calibri" w:cs="Calibri"/>
          <w:noProof/>
        </w:rPr>
        <w:t xml:space="preserve"> [Internet] Public Library of Science; 2009 [cited 2016 Sep 30]; 6: e1000154Available from: http://dx.plos.org/10.1371/journal.pmed.1000154.</w:t>
      </w:r>
    </w:p>
    <w:p w14:paraId="52D4A4A5"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11. </w:t>
      </w:r>
      <w:r w:rsidRPr="00125EE0">
        <w:rPr>
          <w:rFonts w:ascii="Calibri" w:hAnsi="Calibri" w:cs="Calibri"/>
          <w:noProof/>
        </w:rPr>
        <w:tab/>
        <w:t xml:space="preserve">Langan SM, Smeeth L, Margolis DJ, Thomas SL. Herpes Zoster Vaccine Effectiveness against Incident Herpes Zoster and Post-herpetic Neuralgia in an Older US Population: A Cohort Study. </w:t>
      </w:r>
      <w:r w:rsidRPr="00125EE0">
        <w:rPr>
          <w:rFonts w:ascii="Calibri" w:hAnsi="Calibri" w:cs="Calibri"/>
          <w:i/>
          <w:iCs/>
          <w:noProof/>
        </w:rPr>
        <w:t>PLoS Med.</w:t>
      </w:r>
      <w:r w:rsidRPr="00125EE0">
        <w:rPr>
          <w:rFonts w:ascii="Calibri" w:hAnsi="Calibri" w:cs="Calibri"/>
          <w:noProof/>
        </w:rPr>
        <w:t xml:space="preserve"> [Internet] Public Library of Science; 2013 [cited 2016 Sep 30]; 10: e1001420Available from: http://dx.plos.org/10.1371/journal.pmed.1001420.</w:t>
      </w:r>
    </w:p>
    <w:p w14:paraId="42BD28D4"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12. </w:t>
      </w:r>
      <w:r w:rsidRPr="00125EE0">
        <w:rPr>
          <w:rFonts w:ascii="Calibri" w:hAnsi="Calibri" w:cs="Calibri"/>
          <w:noProof/>
        </w:rPr>
        <w:tab/>
        <w:t xml:space="preserve">Schneeweiss S, Seeger JD, Landon J, Walker AM. Aprotinin during Coronary-Artery Bypass Grafting and Risk of Death. </w:t>
      </w:r>
      <w:r w:rsidRPr="00125EE0">
        <w:rPr>
          <w:rFonts w:ascii="Calibri" w:hAnsi="Calibri" w:cs="Calibri"/>
          <w:i/>
          <w:iCs/>
          <w:noProof/>
        </w:rPr>
        <w:t>N. Engl. J. Med.</w:t>
      </w:r>
      <w:r w:rsidRPr="00125EE0">
        <w:rPr>
          <w:rFonts w:ascii="Calibri" w:hAnsi="Calibri" w:cs="Calibri"/>
          <w:noProof/>
        </w:rPr>
        <w:t xml:space="preserve"> [Internet] Massachussetts Medical Society; 2008 [cited 2020 Mar 13]; 358: 771–783Available from: http://www.nejm.org/doi/abs/10.1056/NEJMoa0707571.</w:t>
      </w:r>
    </w:p>
    <w:p w14:paraId="6DD43384"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13. </w:t>
      </w:r>
      <w:r w:rsidRPr="00125EE0">
        <w:rPr>
          <w:rFonts w:ascii="Calibri" w:hAnsi="Calibri" w:cs="Calibri"/>
          <w:noProof/>
        </w:rPr>
        <w:tab/>
        <w:t xml:space="preserve">Hernán MA, Alonso A, Logan R, Grodstein F, Michels KB, Stampfer MJ, Willett WC, Manson JE, Robins JM. Observationals studies analyzed like randomized experiments: an application to postmenopausal hormone therapy and coronary heart disease. </w:t>
      </w:r>
      <w:r w:rsidRPr="00125EE0">
        <w:rPr>
          <w:rFonts w:ascii="Calibri" w:hAnsi="Calibri" w:cs="Calibri"/>
          <w:i/>
          <w:iCs/>
          <w:noProof/>
        </w:rPr>
        <w:t>Epidemiology</w:t>
      </w:r>
      <w:r w:rsidRPr="00125EE0">
        <w:rPr>
          <w:rFonts w:ascii="Calibri" w:hAnsi="Calibri" w:cs="Calibri"/>
          <w:noProof/>
        </w:rPr>
        <w:t xml:space="preserve"> 2013; 19: 766–779.</w:t>
      </w:r>
    </w:p>
    <w:p w14:paraId="00C93B61"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14. </w:t>
      </w:r>
      <w:r w:rsidRPr="00125EE0">
        <w:rPr>
          <w:rFonts w:ascii="Calibri" w:hAnsi="Calibri" w:cs="Calibri"/>
          <w:noProof/>
        </w:rPr>
        <w:tab/>
        <w:t xml:space="preserve">Smeeth L, Douglas I, Hall AJ, Hubbard R, Evans S. Effect of statins on a wide range of health outcomes: A cohort study validated by comparison with randomized trials. </w:t>
      </w:r>
      <w:r w:rsidRPr="00125EE0">
        <w:rPr>
          <w:rFonts w:ascii="Calibri" w:hAnsi="Calibri" w:cs="Calibri"/>
          <w:i/>
          <w:iCs/>
          <w:noProof/>
        </w:rPr>
        <w:t xml:space="preserve">Br. J. Clin. </w:t>
      </w:r>
      <w:r w:rsidRPr="00125EE0">
        <w:rPr>
          <w:rFonts w:ascii="Calibri" w:hAnsi="Calibri" w:cs="Calibri"/>
          <w:i/>
          <w:iCs/>
          <w:noProof/>
        </w:rPr>
        <w:lastRenderedPageBreak/>
        <w:t>Pharmacol.</w:t>
      </w:r>
      <w:r w:rsidRPr="00125EE0">
        <w:rPr>
          <w:rFonts w:ascii="Calibri" w:hAnsi="Calibri" w:cs="Calibri"/>
          <w:noProof/>
        </w:rPr>
        <w:t xml:space="preserve"> [Internet] Wiley-Blackwell; 2009 [cited 2016 Sep 30]; 67: 99–109Available from: http://www.ncbi.nlm.nih.gov/pubmed/19006546.</w:t>
      </w:r>
    </w:p>
    <w:p w14:paraId="42F7A56C"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15. </w:t>
      </w:r>
      <w:r w:rsidRPr="00125EE0">
        <w:rPr>
          <w:rFonts w:ascii="Calibri" w:hAnsi="Calibri" w:cs="Calibri"/>
          <w:noProof/>
        </w:rPr>
        <w:tab/>
        <w:t xml:space="preserve">Fralick M, Kesselheim AS, Avorn J, Schneeweiss S. Use of health care databases to support supplemental indications of approved medications. </w:t>
      </w:r>
      <w:r w:rsidRPr="00125EE0">
        <w:rPr>
          <w:rFonts w:ascii="Calibri" w:hAnsi="Calibri" w:cs="Calibri"/>
          <w:i/>
          <w:iCs/>
          <w:noProof/>
        </w:rPr>
        <w:t>JAMA Intern. Med.</w:t>
      </w:r>
      <w:r w:rsidRPr="00125EE0">
        <w:rPr>
          <w:rFonts w:ascii="Calibri" w:hAnsi="Calibri" w:cs="Calibri"/>
          <w:noProof/>
        </w:rPr>
        <w:t xml:space="preserve"> 2018; 178: 55–63.</w:t>
      </w:r>
    </w:p>
    <w:p w14:paraId="3191E805"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16. </w:t>
      </w:r>
      <w:r w:rsidRPr="00125EE0">
        <w:rPr>
          <w:rFonts w:ascii="Calibri" w:hAnsi="Calibri" w:cs="Calibri"/>
          <w:noProof/>
        </w:rPr>
        <w:tab/>
        <w:t>Nannini LJ, Lasserson TJ, Poole P. Combined corticosteroid and long-acting beta2-agonist in one inhaler versus long-acting beta2-agonists for chronic obstructive pulmonary disease. Cochrane Database Syst. Rev. John Wiley and Sons Ltd; 2012.</w:t>
      </w:r>
    </w:p>
    <w:p w14:paraId="457EC735"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17. </w:t>
      </w:r>
      <w:r w:rsidRPr="00125EE0">
        <w:rPr>
          <w:rFonts w:ascii="Calibri" w:hAnsi="Calibri" w:cs="Calibri"/>
          <w:noProof/>
        </w:rPr>
        <w:tab/>
        <w:t xml:space="preserve">Soriano JB, Vestbo J, Pride NB, Kin V, Maden C, Maier WC. Survival in COPD patients after regular use of fluticasone propionate and salmeterol in general practice. </w:t>
      </w:r>
      <w:r w:rsidRPr="00125EE0">
        <w:rPr>
          <w:rFonts w:ascii="Calibri" w:hAnsi="Calibri" w:cs="Calibri"/>
          <w:i/>
          <w:iCs/>
          <w:noProof/>
        </w:rPr>
        <w:t>Eur. Respir. J.</w:t>
      </w:r>
      <w:r w:rsidRPr="00125EE0">
        <w:rPr>
          <w:rFonts w:ascii="Calibri" w:hAnsi="Calibri" w:cs="Calibri"/>
          <w:noProof/>
        </w:rPr>
        <w:t xml:space="preserve"> European Respiratory Society; 2002; 20: 819–825.</w:t>
      </w:r>
    </w:p>
    <w:p w14:paraId="2BAD095B"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18. </w:t>
      </w:r>
      <w:r w:rsidRPr="00125EE0">
        <w:rPr>
          <w:rFonts w:ascii="Calibri" w:hAnsi="Calibri" w:cs="Calibri"/>
          <w:noProof/>
        </w:rPr>
        <w:tab/>
        <w:t xml:space="preserve">Mapel DW, Hurley JS, Roblin D, Roberts M, Davis KJ, Schreiner R, Frost FJ. Survival of COPD patients using inhaled corticosteroids and long-acting beta agonists. </w:t>
      </w:r>
      <w:r w:rsidRPr="00125EE0">
        <w:rPr>
          <w:rFonts w:ascii="Calibri" w:hAnsi="Calibri" w:cs="Calibri"/>
          <w:i/>
          <w:iCs/>
          <w:noProof/>
        </w:rPr>
        <w:t>Respir. Med.</w:t>
      </w:r>
      <w:r w:rsidRPr="00125EE0">
        <w:rPr>
          <w:rFonts w:ascii="Calibri" w:hAnsi="Calibri" w:cs="Calibri"/>
          <w:noProof/>
        </w:rPr>
        <w:t xml:space="preserve"> W.B. Saunders; 2006; 100: 595–609.</w:t>
      </w:r>
    </w:p>
    <w:p w14:paraId="284CBE61"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19. </w:t>
      </w:r>
      <w:r w:rsidRPr="00125EE0">
        <w:rPr>
          <w:rFonts w:ascii="Calibri" w:hAnsi="Calibri" w:cs="Calibri"/>
          <w:noProof/>
        </w:rPr>
        <w:tab/>
        <w:t xml:space="preserve">Suissa S. Inhaled steroids and mortality in COPD: Bias from unaccounted immortal time. </w:t>
      </w:r>
      <w:r w:rsidRPr="00125EE0">
        <w:rPr>
          <w:rFonts w:ascii="Calibri" w:hAnsi="Calibri" w:cs="Calibri"/>
          <w:i/>
          <w:iCs/>
          <w:noProof/>
        </w:rPr>
        <w:t>Eur. Respir. J.</w:t>
      </w:r>
      <w:r w:rsidRPr="00125EE0">
        <w:rPr>
          <w:rFonts w:ascii="Calibri" w:hAnsi="Calibri" w:cs="Calibri"/>
          <w:noProof/>
        </w:rPr>
        <w:t xml:space="preserve"> Eur Respir J; 2004; 23: 391–395.</w:t>
      </w:r>
    </w:p>
    <w:p w14:paraId="23304C4F"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20. </w:t>
      </w:r>
      <w:r w:rsidRPr="00125EE0">
        <w:rPr>
          <w:rFonts w:ascii="Calibri" w:hAnsi="Calibri" w:cs="Calibri"/>
          <w:noProof/>
        </w:rPr>
        <w:tab/>
        <w:t xml:space="preserve">Suissa S, Patenaude V, Lapi F, Ernst P. Inhaled corticosteroids in COPD and the risk of serious pneumonia. </w:t>
      </w:r>
      <w:r w:rsidRPr="00125EE0">
        <w:rPr>
          <w:rFonts w:ascii="Calibri" w:hAnsi="Calibri" w:cs="Calibri"/>
          <w:i/>
          <w:iCs/>
          <w:noProof/>
        </w:rPr>
        <w:t>Thorax</w:t>
      </w:r>
      <w:r w:rsidRPr="00125EE0">
        <w:rPr>
          <w:rFonts w:ascii="Calibri" w:hAnsi="Calibri" w:cs="Calibri"/>
          <w:noProof/>
        </w:rPr>
        <w:t xml:space="preserve"> BMJ Publishing Group Ltd; 2013; 68: 1029–1036.</w:t>
      </w:r>
    </w:p>
    <w:p w14:paraId="0EEC279A"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21. </w:t>
      </w:r>
      <w:r w:rsidRPr="00125EE0">
        <w:rPr>
          <w:rFonts w:ascii="Calibri" w:hAnsi="Calibri" w:cs="Calibri"/>
          <w:noProof/>
        </w:rPr>
        <w:tab/>
        <w:t xml:space="preserve">Ernst P, Gonzalez A V., Brassard P, Suissa S. Inhaled Corticosteroid Use in Chronic Obstructive Pulmonary Disease and the Risk of Hospitalization for Pneumonia. </w:t>
      </w:r>
      <w:r w:rsidRPr="00125EE0">
        <w:rPr>
          <w:rFonts w:ascii="Calibri" w:hAnsi="Calibri" w:cs="Calibri"/>
          <w:i/>
          <w:iCs/>
          <w:noProof/>
        </w:rPr>
        <w:t>Am. J. Respir. Crit. Care Med.</w:t>
      </w:r>
      <w:r w:rsidRPr="00125EE0">
        <w:rPr>
          <w:rFonts w:ascii="Calibri" w:hAnsi="Calibri" w:cs="Calibri"/>
          <w:noProof/>
        </w:rPr>
        <w:t xml:space="preserve"> [Internet] American Thoracic Society; 2007 [cited 2020 Feb 19]; 176: 162–166Available from: http://www.atsjournals.org/doi/abs/10.1164/rccm.200611-1630OC.</w:t>
      </w:r>
    </w:p>
    <w:p w14:paraId="14B7FB91"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22. </w:t>
      </w:r>
      <w:r w:rsidRPr="00125EE0">
        <w:rPr>
          <w:rFonts w:ascii="Calibri" w:hAnsi="Calibri" w:cs="Calibri"/>
          <w:noProof/>
        </w:rPr>
        <w:tab/>
        <w:t xml:space="preserve">Suissa S, Dell’Aniello S, Ernst P. Comparative effectiveness of LABA-ICS versus LAMA as initial treatment in COPD targeted by blood eosinophils: a population-based cohort study. </w:t>
      </w:r>
      <w:r w:rsidRPr="00125EE0">
        <w:rPr>
          <w:rFonts w:ascii="Calibri" w:hAnsi="Calibri" w:cs="Calibri"/>
          <w:i/>
          <w:iCs/>
          <w:noProof/>
        </w:rPr>
        <w:t>Lancet Respir. Med.</w:t>
      </w:r>
      <w:r w:rsidRPr="00125EE0">
        <w:rPr>
          <w:rFonts w:ascii="Calibri" w:hAnsi="Calibri" w:cs="Calibri"/>
          <w:noProof/>
        </w:rPr>
        <w:t xml:space="preserve"> Lancet Publishing Group; 2018; 6: 855–862.</w:t>
      </w:r>
    </w:p>
    <w:p w14:paraId="713A9B20"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23. </w:t>
      </w:r>
      <w:r w:rsidRPr="00125EE0">
        <w:rPr>
          <w:rFonts w:ascii="Calibri" w:hAnsi="Calibri" w:cs="Calibri"/>
          <w:noProof/>
        </w:rPr>
        <w:tab/>
        <w:t xml:space="preserve">Bogart M, Stanford RH, Laliberté F, Germain G, Wu JW, Duh MS. Medication adherence and </w:t>
      </w:r>
      <w:r w:rsidRPr="00125EE0">
        <w:rPr>
          <w:rFonts w:ascii="Calibri" w:hAnsi="Calibri" w:cs="Calibri"/>
          <w:noProof/>
        </w:rPr>
        <w:lastRenderedPageBreak/>
        <w:t xml:space="preserve">persistence in chronic obstructive pulmonary disease patients receiving triple therapy in a USA commercially insured population. </w:t>
      </w:r>
      <w:r w:rsidRPr="00125EE0">
        <w:rPr>
          <w:rFonts w:ascii="Calibri" w:hAnsi="Calibri" w:cs="Calibri"/>
          <w:i/>
          <w:iCs/>
          <w:noProof/>
        </w:rPr>
        <w:t>Int. J. COPD</w:t>
      </w:r>
      <w:r w:rsidRPr="00125EE0">
        <w:rPr>
          <w:rFonts w:ascii="Calibri" w:hAnsi="Calibri" w:cs="Calibri"/>
          <w:noProof/>
        </w:rPr>
        <w:t xml:space="preserve"> Dove Medical Press Ltd.; 2019; 14: 343–352.</w:t>
      </w:r>
    </w:p>
    <w:p w14:paraId="705E1654"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24. </w:t>
      </w:r>
      <w:r w:rsidRPr="00125EE0">
        <w:rPr>
          <w:rFonts w:ascii="Calibri" w:hAnsi="Calibri" w:cs="Calibri"/>
          <w:noProof/>
        </w:rPr>
        <w:tab/>
        <w:t xml:space="preserve">Mueller S, Wilke T, Bechtel B, Punekar YS, Mitzner K, Virchow JC. Non-persistence and non-adherence to long-acting COPD medication therapy: A retrospective cohort study based on a large German claims dataset. </w:t>
      </w:r>
      <w:r w:rsidRPr="00125EE0">
        <w:rPr>
          <w:rFonts w:ascii="Calibri" w:hAnsi="Calibri" w:cs="Calibri"/>
          <w:i/>
          <w:iCs/>
          <w:noProof/>
        </w:rPr>
        <w:t>Respir. Med.</w:t>
      </w:r>
      <w:r w:rsidRPr="00125EE0">
        <w:rPr>
          <w:rFonts w:ascii="Calibri" w:hAnsi="Calibri" w:cs="Calibri"/>
          <w:noProof/>
        </w:rPr>
        <w:t xml:space="preserve"> W.B. Saunders Ltd; 2017; 122: 1–11.</w:t>
      </w:r>
    </w:p>
    <w:p w14:paraId="648B9085" w14:textId="77777777" w:rsidR="00125EE0" w:rsidRPr="00125EE0" w:rsidRDefault="00125EE0" w:rsidP="00125EE0">
      <w:pPr>
        <w:widowControl w:val="0"/>
        <w:autoSpaceDE w:val="0"/>
        <w:autoSpaceDN w:val="0"/>
        <w:adjustRightInd w:val="0"/>
        <w:spacing w:line="480" w:lineRule="auto"/>
        <w:ind w:left="640" w:hanging="640"/>
        <w:rPr>
          <w:rFonts w:ascii="Calibri" w:hAnsi="Calibri" w:cs="Calibri"/>
          <w:noProof/>
        </w:rPr>
      </w:pPr>
      <w:r w:rsidRPr="00125EE0">
        <w:rPr>
          <w:rFonts w:ascii="Calibri" w:hAnsi="Calibri" w:cs="Calibri"/>
          <w:noProof/>
        </w:rPr>
        <w:t xml:space="preserve">25. </w:t>
      </w:r>
      <w:r w:rsidRPr="00125EE0">
        <w:rPr>
          <w:rFonts w:ascii="Calibri" w:hAnsi="Calibri" w:cs="Calibri"/>
          <w:noProof/>
        </w:rPr>
        <w:tab/>
        <w:t xml:space="preserve">Kyriacou DN, Lewis RJ, Rothman K, Andersen L, Greenland S, Tolles J, Haukoos J, Szklo M, Z F. Confounding by Indication in Clinical Research. </w:t>
      </w:r>
      <w:r w:rsidRPr="00125EE0">
        <w:rPr>
          <w:rFonts w:ascii="Calibri" w:hAnsi="Calibri" w:cs="Calibri"/>
          <w:i/>
          <w:iCs/>
          <w:noProof/>
        </w:rPr>
        <w:t>JAMA</w:t>
      </w:r>
      <w:r w:rsidRPr="00125EE0">
        <w:rPr>
          <w:rFonts w:ascii="Calibri" w:hAnsi="Calibri" w:cs="Calibri"/>
          <w:noProof/>
        </w:rPr>
        <w:t xml:space="preserve"> [Internet] American Medical Association; 2016 [cited 2016 Nov 7]; 316: 189–212Available from: http://jama.jamanetwork.com/article.aspx?doi=10.1001/jama.2016.16435.</w:t>
      </w:r>
    </w:p>
    <w:p w14:paraId="6847C80E" w14:textId="59342FD5" w:rsidR="008B3ABF" w:rsidRDefault="00021E39" w:rsidP="00125EE0">
      <w:pPr>
        <w:widowControl w:val="0"/>
        <w:autoSpaceDE w:val="0"/>
        <w:autoSpaceDN w:val="0"/>
        <w:adjustRightInd w:val="0"/>
        <w:spacing w:line="480" w:lineRule="auto"/>
        <w:ind w:left="640" w:hanging="640"/>
        <w:rPr>
          <w:rFonts w:ascii="Calibri" w:eastAsia="Calibri" w:hAnsi="Calibri" w:cs="Times New Roman"/>
          <w:b/>
        </w:rPr>
      </w:pPr>
      <w:r w:rsidRPr="00021E39">
        <w:fldChar w:fldCharType="end"/>
      </w:r>
    </w:p>
    <w:sectPr w:rsidR="008B3ABF" w:rsidSect="002E7776">
      <w:pgSz w:w="11906" w:h="16838"/>
      <w:pgMar w:top="851" w:right="1440" w:bottom="28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EFD1A" w14:textId="77777777" w:rsidR="007B12A1" w:rsidRDefault="007B12A1" w:rsidP="0064298D">
      <w:r>
        <w:separator/>
      </w:r>
    </w:p>
  </w:endnote>
  <w:endnote w:type="continuationSeparator" w:id="0">
    <w:p w14:paraId="725B6DE2" w14:textId="77777777" w:rsidR="007B12A1" w:rsidRDefault="007B12A1" w:rsidP="0064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98197949"/>
      <w:docPartObj>
        <w:docPartGallery w:val="Page Numbers (Bottom of Page)"/>
        <w:docPartUnique/>
      </w:docPartObj>
    </w:sdtPr>
    <w:sdtEndPr>
      <w:rPr>
        <w:rStyle w:val="PageNumber"/>
      </w:rPr>
    </w:sdtEndPr>
    <w:sdtContent>
      <w:p w14:paraId="6B06E3E7" w14:textId="06B484BE" w:rsidR="003E7D6B" w:rsidRDefault="003E7D6B" w:rsidP="00125E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90B89B" w14:textId="77777777" w:rsidR="003E7D6B" w:rsidRDefault="003E7D6B" w:rsidP="009039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527DB" w14:textId="6D8439BB" w:rsidR="003E7D6B" w:rsidRDefault="003E7D6B" w:rsidP="00903934">
    <w:pPr>
      <w:pStyle w:val="Footer"/>
      <w:ind w:right="360"/>
      <w:jc w:val="right"/>
    </w:pPr>
  </w:p>
  <w:sdt>
    <w:sdtPr>
      <w:rPr>
        <w:rStyle w:val="PageNumber"/>
      </w:rPr>
      <w:id w:val="-511457538"/>
      <w:docPartObj>
        <w:docPartGallery w:val="Page Numbers (Bottom of Page)"/>
        <w:docPartUnique/>
      </w:docPartObj>
    </w:sdtPr>
    <w:sdtEndPr>
      <w:rPr>
        <w:rStyle w:val="PageNumber"/>
      </w:rPr>
    </w:sdtEndPr>
    <w:sdtContent>
      <w:p w14:paraId="3236A796" w14:textId="77777777" w:rsidR="003E7D6B" w:rsidRDefault="003E7D6B" w:rsidP="009B7446">
        <w:pPr>
          <w:pStyle w:val="Footer"/>
          <w:framePr w:wrap="none" w:vAnchor="text" w:hAnchor="page" w:x="11185" w:y="30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1C6F916" w14:textId="77777777" w:rsidR="003E7D6B" w:rsidRDefault="003E7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9A3FF" w14:textId="77777777" w:rsidR="003E7D6B" w:rsidRDefault="003E7D6B" w:rsidP="00903934">
    <w:pPr>
      <w:pStyle w:val="Footer"/>
      <w:ind w:right="360"/>
      <w:jc w:val="right"/>
    </w:pPr>
  </w:p>
  <w:sdt>
    <w:sdtPr>
      <w:rPr>
        <w:rStyle w:val="PageNumber"/>
      </w:rPr>
      <w:id w:val="1128825579"/>
      <w:docPartObj>
        <w:docPartGallery w:val="Page Numbers (Bottom of Page)"/>
        <w:docPartUnique/>
      </w:docPartObj>
    </w:sdtPr>
    <w:sdtEndPr>
      <w:rPr>
        <w:rStyle w:val="PageNumber"/>
      </w:rPr>
    </w:sdtEndPr>
    <w:sdtContent>
      <w:p w14:paraId="5DF5564F" w14:textId="77777777" w:rsidR="003E7D6B" w:rsidRDefault="003E7D6B" w:rsidP="009B7446">
        <w:pPr>
          <w:pStyle w:val="Footer"/>
          <w:framePr w:wrap="none" w:vAnchor="text" w:hAnchor="page" w:x="16241" w:y="48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7FD0B63" w14:textId="77777777" w:rsidR="003E7D6B" w:rsidRDefault="003E7D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D0E1C8" w14:textId="77777777" w:rsidR="007B12A1" w:rsidRDefault="007B12A1" w:rsidP="0064298D">
      <w:r>
        <w:separator/>
      </w:r>
    </w:p>
  </w:footnote>
  <w:footnote w:type="continuationSeparator" w:id="0">
    <w:p w14:paraId="154AA688" w14:textId="77777777" w:rsidR="007B12A1" w:rsidRDefault="007B12A1" w:rsidP="00642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52093"/>
    <w:multiLevelType w:val="hybridMultilevel"/>
    <w:tmpl w:val="A51C9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736DB"/>
    <w:multiLevelType w:val="hybridMultilevel"/>
    <w:tmpl w:val="48DA3BFA"/>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1EFD780B"/>
    <w:multiLevelType w:val="hybridMultilevel"/>
    <w:tmpl w:val="5B2C2C3A"/>
    <w:lvl w:ilvl="0" w:tplc="A77481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B55B9"/>
    <w:multiLevelType w:val="multilevel"/>
    <w:tmpl w:val="08B2F408"/>
    <w:lvl w:ilvl="0">
      <w:start w:val="3"/>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623B302B"/>
    <w:multiLevelType w:val="hybridMultilevel"/>
    <w:tmpl w:val="774887FA"/>
    <w:lvl w:ilvl="0" w:tplc="FE8E21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DF0509"/>
    <w:multiLevelType w:val="hybridMultilevel"/>
    <w:tmpl w:val="EAD47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D56CFE"/>
    <w:multiLevelType w:val="hybridMultilevel"/>
    <w:tmpl w:val="D444D3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C14666B"/>
    <w:multiLevelType w:val="hybridMultilevel"/>
    <w:tmpl w:val="9EFE2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FA44B7"/>
    <w:multiLevelType w:val="hybridMultilevel"/>
    <w:tmpl w:val="EE6C2C3E"/>
    <w:lvl w:ilvl="0" w:tplc="78E8F0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0"/>
  </w:num>
  <w:num w:numId="5">
    <w:abstractNumId w:val="5"/>
  </w:num>
  <w:num w:numId="6">
    <w:abstractNumId w:val="4"/>
  </w:num>
  <w:num w:numId="7">
    <w:abstractNumId w:val="8"/>
  </w:num>
  <w:num w:numId="8">
    <w:abstractNumId w:val="7"/>
  </w:num>
  <w:num w:numId="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hideSpellingErrors/>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Antimicrobial Chemo&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50arw9adt0sd5ee9pex99r4xfve2aad50dz&quot;&gt;Thesis&lt;record-ids&gt;&lt;item&gt;2&lt;/item&gt;&lt;item&gt;5&lt;/item&gt;&lt;item&gt;6&lt;/item&gt;&lt;item&gt;7&lt;/item&gt;&lt;item&gt;8&lt;/item&gt;&lt;item&gt;9&lt;/item&gt;&lt;item&gt;10&lt;/item&gt;&lt;item&gt;11&lt;/item&gt;&lt;item&gt;13&lt;/item&gt;&lt;item&gt;14&lt;/item&gt;&lt;item&gt;17&lt;/item&gt;&lt;item&gt;42&lt;/item&gt;&lt;item&gt;43&lt;/item&gt;&lt;item&gt;44&lt;/item&gt;&lt;item&gt;185&lt;/item&gt;&lt;item&gt;187&lt;/item&gt;&lt;item&gt;188&lt;/item&gt;&lt;item&gt;189&lt;/item&gt;&lt;item&gt;190&lt;/item&gt;&lt;item&gt;221&lt;/item&gt;&lt;item&gt;223&lt;/item&gt;&lt;item&gt;284&lt;/item&gt;&lt;item&gt;289&lt;/item&gt;&lt;item&gt;290&lt;/item&gt;&lt;item&gt;291&lt;/item&gt;&lt;item&gt;293&lt;/item&gt;&lt;item&gt;294&lt;/item&gt;&lt;item&gt;295&lt;/item&gt;&lt;item&gt;296&lt;/item&gt;&lt;item&gt;297&lt;/item&gt;&lt;item&gt;298&lt;/item&gt;&lt;/record-ids&gt;&lt;/item&gt;&lt;/Libraries&gt;"/>
  </w:docVars>
  <w:rsids>
    <w:rsidRoot w:val="000B0FF7"/>
    <w:rsid w:val="000000E0"/>
    <w:rsid w:val="00000ABB"/>
    <w:rsid w:val="00000BA0"/>
    <w:rsid w:val="00000CBB"/>
    <w:rsid w:val="000013A5"/>
    <w:rsid w:val="0000178B"/>
    <w:rsid w:val="00001B6B"/>
    <w:rsid w:val="000021D4"/>
    <w:rsid w:val="000038B2"/>
    <w:rsid w:val="0000398C"/>
    <w:rsid w:val="00003CC4"/>
    <w:rsid w:val="00003E02"/>
    <w:rsid w:val="00003EE7"/>
    <w:rsid w:val="000045F8"/>
    <w:rsid w:val="00004B36"/>
    <w:rsid w:val="00004EDF"/>
    <w:rsid w:val="00004F1B"/>
    <w:rsid w:val="000050D7"/>
    <w:rsid w:val="000061E1"/>
    <w:rsid w:val="000067F8"/>
    <w:rsid w:val="000072DF"/>
    <w:rsid w:val="00007A6C"/>
    <w:rsid w:val="00007E4D"/>
    <w:rsid w:val="00007FA5"/>
    <w:rsid w:val="00010072"/>
    <w:rsid w:val="00010683"/>
    <w:rsid w:val="00010B76"/>
    <w:rsid w:val="000110F4"/>
    <w:rsid w:val="000114CC"/>
    <w:rsid w:val="00011D3D"/>
    <w:rsid w:val="00012345"/>
    <w:rsid w:val="0001257A"/>
    <w:rsid w:val="00013902"/>
    <w:rsid w:val="00014F51"/>
    <w:rsid w:val="000156F2"/>
    <w:rsid w:val="000157F3"/>
    <w:rsid w:val="00015F59"/>
    <w:rsid w:val="00016CC2"/>
    <w:rsid w:val="00020AC8"/>
    <w:rsid w:val="00020C58"/>
    <w:rsid w:val="00020D18"/>
    <w:rsid w:val="00020EAC"/>
    <w:rsid w:val="0002105E"/>
    <w:rsid w:val="000212D5"/>
    <w:rsid w:val="00021458"/>
    <w:rsid w:val="000215DF"/>
    <w:rsid w:val="00021990"/>
    <w:rsid w:val="00021B2E"/>
    <w:rsid w:val="00021C89"/>
    <w:rsid w:val="00021E39"/>
    <w:rsid w:val="00022A07"/>
    <w:rsid w:val="00022D10"/>
    <w:rsid w:val="000237B2"/>
    <w:rsid w:val="00023831"/>
    <w:rsid w:val="00023ACD"/>
    <w:rsid w:val="00024167"/>
    <w:rsid w:val="000251EA"/>
    <w:rsid w:val="00025812"/>
    <w:rsid w:val="00025E37"/>
    <w:rsid w:val="00025FC6"/>
    <w:rsid w:val="0002604C"/>
    <w:rsid w:val="0002634B"/>
    <w:rsid w:val="000263C4"/>
    <w:rsid w:val="000269B4"/>
    <w:rsid w:val="000270E6"/>
    <w:rsid w:val="000278E8"/>
    <w:rsid w:val="00027AE8"/>
    <w:rsid w:val="000300FF"/>
    <w:rsid w:val="00031044"/>
    <w:rsid w:val="000311E0"/>
    <w:rsid w:val="00031A38"/>
    <w:rsid w:val="00031E18"/>
    <w:rsid w:val="00032269"/>
    <w:rsid w:val="00032384"/>
    <w:rsid w:val="000326B4"/>
    <w:rsid w:val="00032ECC"/>
    <w:rsid w:val="00033ECC"/>
    <w:rsid w:val="00034304"/>
    <w:rsid w:val="000344FA"/>
    <w:rsid w:val="000349F2"/>
    <w:rsid w:val="00034D0D"/>
    <w:rsid w:val="00034FAC"/>
    <w:rsid w:val="00035C37"/>
    <w:rsid w:val="00035CDF"/>
    <w:rsid w:val="00036586"/>
    <w:rsid w:val="000366C2"/>
    <w:rsid w:val="00036CDB"/>
    <w:rsid w:val="00036E8F"/>
    <w:rsid w:val="00036EE0"/>
    <w:rsid w:val="000377A6"/>
    <w:rsid w:val="000377AA"/>
    <w:rsid w:val="0003783C"/>
    <w:rsid w:val="00037914"/>
    <w:rsid w:val="00037F13"/>
    <w:rsid w:val="00040905"/>
    <w:rsid w:val="000409B1"/>
    <w:rsid w:val="00040C7A"/>
    <w:rsid w:val="000410B1"/>
    <w:rsid w:val="000413A1"/>
    <w:rsid w:val="0004143C"/>
    <w:rsid w:val="00041462"/>
    <w:rsid w:val="00041A2A"/>
    <w:rsid w:val="00041B80"/>
    <w:rsid w:val="00042099"/>
    <w:rsid w:val="000426A3"/>
    <w:rsid w:val="00042AA4"/>
    <w:rsid w:val="00042EF0"/>
    <w:rsid w:val="00042FFA"/>
    <w:rsid w:val="00043719"/>
    <w:rsid w:val="000439DA"/>
    <w:rsid w:val="000441AA"/>
    <w:rsid w:val="00044253"/>
    <w:rsid w:val="000449A0"/>
    <w:rsid w:val="00044B2F"/>
    <w:rsid w:val="00044CD4"/>
    <w:rsid w:val="00045348"/>
    <w:rsid w:val="00045DD7"/>
    <w:rsid w:val="000461A0"/>
    <w:rsid w:val="000462DB"/>
    <w:rsid w:val="0004680B"/>
    <w:rsid w:val="000469B9"/>
    <w:rsid w:val="00046D8F"/>
    <w:rsid w:val="00046EF4"/>
    <w:rsid w:val="000475C7"/>
    <w:rsid w:val="000476C9"/>
    <w:rsid w:val="00047801"/>
    <w:rsid w:val="000479FE"/>
    <w:rsid w:val="000511A6"/>
    <w:rsid w:val="000514AD"/>
    <w:rsid w:val="00052435"/>
    <w:rsid w:val="000530AC"/>
    <w:rsid w:val="0005375F"/>
    <w:rsid w:val="00053D41"/>
    <w:rsid w:val="0005402A"/>
    <w:rsid w:val="000541EF"/>
    <w:rsid w:val="00054BD0"/>
    <w:rsid w:val="000552A8"/>
    <w:rsid w:val="00055502"/>
    <w:rsid w:val="000556B1"/>
    <w:rsid w:val="0005613E"/>
    <w:rsid w:val="00056A1D"/>
    <w:rsid w:val="00056F5B"/>
    <w:rsid w:val="000575BB"/>
    <w:rsid w:val="00057652"/>
    <w:rsid w:val="00057877"/>
    <w:rsid w:val="00057C80"/>
    <w:rsid w:val="00060596"/>
    <w:rsid w:val="00060CCE"/>
    <w:rsid w:val="00061439"/>
    <w:rsid w:val="000615D3"/>
    <w:rsid w:val="00061623"/>
    <w:rsid w:val="000616BC"/>
    <w:rsid w:val="00061917"/>
    <w:rsid w:val="00061A26"/>
    <w:rsid w:val="00061ACB"/>
    <w:rsid w:val="00062128"/>
    <w:rsid w:val="00062176"/>
    <w:rsid w:val="00062250"/>
    <w:rsid w:val="000625F6"/>
    <w:rsid w:val="000628DA"/>
    <w:rsid w:val="000629D3"/>
    <w:rsid w:val="00062A4C"/>
    <w:rsid w:val="000635DC"/>
    <w:rsid w:val="00063618"/>
    <w:rsid w:val="00064049"/>
    <w:rsid w:val="000642CA"/>
    <w:rsid w:val="00064303"/>
    <w:rsid w:val="00064F22"/>
    <w:rsid w:val="00064FBB"/>
    <w:rsid w:val="000657DE"/>
    <w:rsid w:val="00065DFA"/>
    <w:rsid w:val="00065EF6"/>
    <w:rsid w:val="000664D8"/>
    <w:rsid w:val="00067180"/>
    <w:rsid w:val="0006722D"/>
    <w:rsid w:val="00067509"/>
    <w:rsid w:val="000678AC"/>
    <w:rsid w:val="00067B4E"/>
    <w:rsid w:val="00067BDA"/>
    <w:rsid w:val="00067EBD"/>
    <w:rsid w:val="00070684"/>
    <w:rsid w:val="00070884"/>
    <w:rsid w:val="00070CA8"/>
    <w:rsid w:val="00071CDC"/>
    <w:rsid w:val="0007222A"/>
    <w:rsid w:val="0007229E"/>
    <w:rsid w:val="000724B2"/>
    <w:rsid w:val="00072D33"/>
    <w:rsid w:val="00073736"/>
    <w:rsid w:val="00073852"/>
    <w:rsid w:val="00073987"/>
    <w:rsid w:val="000739A2"/>
    <w:rsid w:val="00073E8F"/>
    <w:rsid w:val="00074599"/>
    <w:rsid w:val="00074849"/>
    <w:rsid w:val="00074886"/>
    <w:rsid w:val="00074ACB"/>
    <w:rsid w:val="00074B05"/>
    <w:rsid w:val="00074EBA"/>
    <w:rsid w:val="00074F48"/>
    <w:rsid w:val="00074F88"/>
    <w:rsid w:val="00075787"/>
    <w:rsid w:val="0007580B"/>
    <w:rsid w:val="00075B3A"/>
    <w:rsid w:val="00075DBD"/>
    <w:rsid w:val="00075E8D"/>
    <w:rsid w:val="00075EA7"/>
    <w:rsid w:val="0007620A"/>
    <w:rsid w:val="00076883"/>
    <w:rsid w:val="00077370"/>
    <w:rsid w:val="0007786D"/>
    <w:rsid w:val="0008034E"/>
    <w:rsid w:val="00080563"/>
    <w:rsid w:val="00080777"/>
    <w:rsid w:val="00081565"/>
    <w:rsid w:val="000816D9"/>
    <w:rsid w:val="0008193A"/>
    <w:rsid w:val="00083412"/>
    <w:rsid w:val="000836E5"/>
    <w:rsid w:val="00083723"/>
    <w:rsid w:val="00083BED"/>
    <w:rsid w:val="00084272"/>
    <w:rsid w:val="00084499"/>
    <w:rsid w:val="00084B08"/>
    <w:rsid w:val="000852D3"/>
    <w:rsid w:val="00085375"/>
    <w:rsid w:val="0008594E"/>
    <w:rsid w:val="00085D82"/>
    <w:rsid w:val="00086075"/>
    <w:rsid w:val="0008648D"/>
    <w:rsid w:val="00086497"/>
    <w:rsid w:val="00086DFF"/>
    <w:rsid w:val="00086EFD"/>
    <w:rsid w:val="00087459"/>
    <w:rsid w:val="000876FD"/>
    <w:rsid w:val="000879C5"/>
    <w:rsid w:val="00090065"/>
    <w:rsid w:val="000906D1"/>
    <w:rsid w:val="0009093B"/>
    <w:rsid w:val="00091710"/>
    <w:rsid w:val="00091BC6"/>
    <w:rsid w:val="00091E5A"/>
    <w:rsid w:val="00092BC8"/>
    <w:rsid w:val="000934C6"/>
    <w:rsid w:val="00093A59"/>
    <w:rsid w:val="00093BE6"/>
    <w:rsid w:val="00093F32"/>
    <w:rsid w:val="000940FB"/>
    <w:rsid w:val="0009417C"/>
    <w:rsid w:val="00095323"/>
    <w:rsid w:val="00095B19"/>
    <w:rsid w:val="00095C4E"/>
    <w:rsid w:val="00096389"/>
    <w:rsid w:val="00096653"/>
    <w:rsid w:val="00096862"/>
    <w:rsid w:val="00096876"/>
    <w:rsid w:val="00096F7D"/>
    <w:rsid w:val="00097BA7"/>
    <w:rsid w:val="00097EFA"/>
    <w:rsid w:val="000A02AF"/>
    <w:rsid w:val="000A03A1"/>
    <w:rsid w:val="000A0498"/>
    <w:rsid w:val="000A08F2"/>
    <w:rsid w:val="000A0FD9"/>
    <w:rsid w:val="000A1396"/>
    <w:rsid w:val="000A175A"/>
    <w:rsid w:val="000A181D"/>
    <w:rsid w:val="000A2580"/>
    <w:rsid w:val="000A3720"/>
    <w:rsid w:val="000A3920"/>
    <w:rsid w:val="000A3E1E"/>
    <w:rsid w:val="000A3F3B"/>
    <w:rsid w:val="000A40FD"/>
    <w:rsid w:val="000A4108"/>
    <w:rsid w:val="000A4386"/>
    <w:rsid w:val="000A4A58"/>
    <w:rsid w:val="000A4E9E"/>
    <w:rsid w:val="000A56FA"/>
    <w:rsid w:val="000A657A"/>
    <w:rsid w:val="000A6718"/>
    <w:rsid w:val="000A6C41"/>
    <w:rsid w:val="000A6DA2"/>
    <w:rsid w:val="000A6DCB"/>
    <w:rsid w:val="000A7076"/>
    <w:rsid w:val="000A7F05"/>
    <w:rsid w:val="000B04D2"/>
    <w:rsid w:val="000B05FF"/>
    <w:rsid w:val="000B0D59"/>
    <w:rsid w:val="000B0FF7"/>
    <w:rsid w:val="000B1605"/>
    <w:rsid w:val="000B1758"/>
    <w:rsid w:val="000B1D14"/>
    <w:rsid w:val="000B3209"/>
    <w:rsid w:val="000B3319"/>
    <w:rsid w:val="000B33C0"/>
    <w:rsid w:val="000B3583"/>
    <w:rsid w:val="000B35EF"/>
    <w:rsid w:val="000B3D0F"/>
    <w:rsid w:val="000B3D87"/>
    <w:rsid w:val="000B42F9"/>
    <w:rsid w:val="000B49EE"/>
    <w:rsid w:val="000B4AEF"/>
    <w:rsid w:val="000B4B1A"/>
    <w:rsid w:val="000B55D3"/>
    <w:rsid w:val="000B58B0"/>
    <w:rsid w:val="000B5BCB"/>
    <w:rsid w:val="000B6C21"/>
    <w:rsid w:val="000B6C3E"/>
    <w:rsid w:val="000B7640"/>
    <w:rsid w:val="000B7A9D"/>
    <w:rsid w:val="000B7B37"/>
    <w:rsid w:val="000B7FEE"/>
    <w:rsid w:val="000C07F0"/>
    <w:rsid w:val="000C0CEA"/>
    <w:rsid w:val="000C0D5E"/>
    <w:rsid w:val="000C18DE"/>
    <w:rsid w:val="000C19C7"/>
    <w:rsid w:val="000C2047"/>
    <w:rsid w:val="000C2338"/>
    <w:rsid w:val="000C30BD"/>
    <w:rsid w:val="000C3908"/>
    <w:rsid w:val="000C40EA"/>
    <w:rsid w:val="000C4B1A"/>
    <w:rsid w:val="000C4CC1"/>
    <w:rsid w:val="000C586E"/>
    <w:rsid w:val="000C6224"/>
    <w:rsid w:val="000C657D"/>
    <w:rsid w:val="000C65E9"/>
    <w:rsid w:val="000C6FD5"/>
    <w:rsid w:val="000C73DC"/>
    <w:rsid w:val="000C7937"/>
    <w:rsid w:val="000C79CA"/>
    <w:rsid w:val="000C7CED"/>
    <w:rsid w:val="000D02A4"/>
    <w:rsid w:val="000D03A9"/>
    <w:rsid w:val="000D05A8"/>
    <w:rsid w:val="000D071F"/>
    <w:rsid w:val="000D09D8"/>
    <w:rsid w:val="000D0ACB"/>
    <w:rsid w:val="000D1504"/>
    <w:rsid w:val="000D1EBD"/>
    <w:rsid w:val="000D212F"/>
    <w:rsid w:val="000D254E"/>
    <w:rsid w:val="000D255A"/>
    <w:rsid w:val="000D2691"/>
    <w:rsid w:val="000D277A"/>
    <w:rsid w:val="000D2807"/>
    <w:rsid w:val="000D3295"/>
    <w:rsid w:val="000D34C6"/>
    <w:rsid w:val="000D3D14"/>
    <w:rsid w:val="000D3EE1"/>
    <w:rsid w:val="000D40B0"/>
    <w:rsid w:val="000D45FB"/>
    <w:rsid w:val="000D46DD"/>
    <w:rsid w:val="000D4842"/>
    <w:rsid w:val="000D4ADA"/>
    <w:rsid w:val="000D54CE"/>
    <w:rsid w:val="000D57FF"/>
    <w:rsid w:val="000D5DAA"/>
    <w:rsid w:val="000D647F"/>
    <w:rsid w:val="000D6722"/>
    <w:rsid w:val="000D6804"/>
    <w:rsid w:val="000D6AE2"/>
    <w:rsid w:val="000D70D9"/>
    <w:rsid w:val="000D7121"/>
    <w:rsid w:val="000D7FEC"/>
    <w:rsid w:val="000E0468"/>
    <w:rsid w:val="000E060D"/>
    <w:rsid w:val="000E0770"/>
    <w:rsid w:val="000E0D80"/>
    <w:rsid w:val="000E1B1A"/>
    <w:rsid w:val="000E1BD4"/>
    <w:rsid w:val="000E270D"/>
    <w:rsid w:val="000E2779"/>
    <w:rsid w:val="000E2835"/>
    <w:rsid w:val="000E287D"/>
    <w:rsid w:val="000E2C1D"/>
    <w:rsid w:val="000E2EC5"/>
    <w:rsid w:val="000E390E"/>
    <w:rsid w:val="000E49B4"/>
    <w:rsid w:val="000E4F19"/>
    <w:rsid w:val="000E56C8"/>
    <w:rsid w:val="000E586F"/>
    <w:rsid w:val="000E600F"/>
    <w:rsid w:val="000E6E45"/>
    <w:rsid w:val="000E6FC5"/>
    <w:rsid w:val="000E7097"/>
    <w:rsid w:val="000E7876"/>
    <w:rsid w:val="000F0162"/>
    <w:rsid w:val="000F0ABD"/>
    <w:rsid w:val="000F0B37"/>
    <w:rsid w:val="000F1030"/>
    <w:rsid w:val="000F104D"/>
    <w:rsid w:val="000F18FC"/>
    <w:rsid w:val="000F22BA"/>
    <w:rsid w:val="000F2570"/>
    <w:rsid w:val="000F2B9C"/>
    <w:rsid w:val="000F2E18"/>
    <w:rsid w:val="000F2EAA"/>
    <w:rsid w:val="000F31DB"/>
    <w:rsid w:val="000F3F77"/>
    <w:rsid w:val="000F40E0"/>
    <w:rsid w:val="000F4E5F"/>
    <w:rsid w:val="000F5347"/>
    <w:rsid w:val="000F55BF"/>
    <w:rsid w:val="000F5B87"/>
    <w:rsid w:val="000F5BAB"/>
    <w:rsid w:val="000F60F5"/>
    <w:rsid w:val="000F6548"/>
    <w:rsid w:val="000F6C1F"/>
    <w:rsid w:val="000F6DAC"/>
    <w:rsid w:val="000F6F22"/>
    <w:rsid w:val="000F6FB9"/>
    <w:rsid w:val="000F7301"/>
    <w:rsid w:val="000F78AF"/>
    <w:rsid w:val="000F7BC1"/>
    <w:rsid w:val="000F7F58"/>
    <w:rsid w:val="00100207"/>
    <w:rsid w:val="00100875"/>
    <w:rsid w:val="00100F9D"/>
    <w:rsid w:val="001014E5"/>
    <w:rsid w:val="00101566"/>
    <w:rsid w:val="001016E8"/>
    <w:rsid w:val="00102215"/>
    <w:rsid w:val="00102A6A"/>
    <w:rsid w:val="00102CAB"/>
    <w:rsid w:val="001031B2"/>
    <w:rsid w:val="00103D4C"/>
    <w:rsid w:val="00103E76"/>
    <w:rsid w:val="001043AE"/>
    <w:rsid w:val="00104715"/>
    <w:rsid w:val="00104B1D"/>
    <w:rsid w:val="00104BC7"/>
    <w:rsid w:val="00104FA5"/>
    <w:rsid w:val="00104FEB"/>
    <w:rsid w:val="00105E9F"/>
    <w:rsid w:val="001060A1"/>
    <w:rsid w:val="00106C60"/>
    <w:rsid w:val="00106E4A"/>
    <w:rsid w:val="00107D9B"/>
    <w:rsid w:val="00110085"/>
    <w:rsid w:val="001101CF"/>
    <w:rsid w:val="00110260"/>
    <w:rsid w:val="001107B5"/>
    <w:rsid w:val="00110A94"/>
    <w:rsid w:val="00111286"/>
    <w:rsid w:val="001114D3"/>
    <w:rsid w:val="001115BF"/>
    <w:rsid w:val="00111C96"/>
    <w:rsid w:val="00111EBF"/>
    <w:rsid w:val="0011246A"/>
    <w:rsid w:val="001124F3"/>
    <w:rsid w:val="00112581"/>
    <w:rsid w:val="00112A3E"/>
    <w:rsid w:val="00112C86"/>
    <w:rsid w:val="00112F9E"/>
    <w:rsid w:val="00113156"/>
    <w:rsid w:val="001140B3"/>
    <w:rsid w:val="00114216"/>
    <w:rsid w:val="001144A8"/>
    <w:rsid w:val="00114E29"/>
    <w:rsid w:val="001159C5"/>
    <w:rsid w:val="00115A0C"/>
    <w:rsid w:val="00115D05"/>
    <w:rsid w:val="00116059"/>
    <w:rsid w:val="00116473"/>
    <w:rsid w:val="00116B7C"/>
    <w:rsid w:val="00116E11"/>
    <w:rsid w:val="00116F50"/>
    <w:rsid w:val="001172EE"/>
    <w:rsid w:val="0011739D"/>
    <w:rsid w:val="001178B4"/>
    <w:rsid w:val="00120086"/>
    <w:rsid w:val="001205C1"/>
    <w:rsid w:val="0012060F"/>
    <w:rsid w:val="00122449"/>
    <w:rsid w:val="001228A3"/>
    <w:rsid w:val="001228B3"/>
    <w:rsid w:val="00122DC0"/>
    <w:rsid w:val="00122EB4"/>
    <w:rsid w:val="001237B6"/>
    <w:rsid w:val="0012423A"/>
    <w:rsid w:val="00124907"/>
    <w:rsid w:val="00124D46"/>
    <w:rsid w:val="00124F33"/>
    <w:rsid w:val="001253B0"/>
    <w:rsid w:val="001256F3"/>
    <w:rsid w:val="0012572E"/>
    <w:rsid w:val="0012574F"/>
    <w:rsid w:val="001259A1"/>
    <w:rsid w:val="00125D6D"/>
    <w:rsid w:val="00125EE0"/>
    <w:rsid w:val="0012659B"/>
    <w:rsid w:val="00126788"/>
    <w:rsid w:val="001272C0"/>
    <w:rsid w:val="001274EC"/>
    <w:rsid w:val="0012756B"/>
    <w:rsid w:val="00127635"/>
    <w:rsid w:val="00127B0C"/>
    <w:rsid w:val="00127BA9"/>
    <w:rsid w:val="00127E78"/>
    <w:rsid w:val="001300A4"/>
    <w:rsid w:val="00130216"/>
    <w:rsid w:val="001304EA"/>
    <w:rsid w:val="00130D2E"/>
    <w:rsid w:val="0013194D"/>
    <w:rsid w:val="0013306E"/>
    <w:rsid w:val="00133326"/>
    <w:rsid w:val="0013335F"/>
    <w:rsid w:val="001334C5"/>
    <w:rsid w:val="001337C0"/>
    <w:rsid w:val="00133A92"/>
    <w:rsid w:val="00134153"/>
    <w:rsid w:val="001347FD"/>
    <w:rsid w:val="00135134"/>
    <w:rsid w:val="00135185"/>
    <w:rsid w:val="001353FC"/>
    <w:rsid w:val="001354D0"/>
    <w:rsid w:val="00135718"/>
    <w:rsid w:val="001359C0"/>
    <w:rsid w:val="00135A75"/>
    <w:rsid w:val="00136419"/>
    <w:rsid w:val="001364EB"/>
    <w:rsid w:val="001369FF"/>
    <w:rsid w:val="00136D50"/>
    <w:rsid w:val="001372FD"/>
    <w:rsid w:val="00137540"/>
    <w:rsid w:val="00137C8A"/>
    <w:rsid w:val="00140B83"/>
    <w:rsid w:val="00140BC8"/>
    <w:rsid w:val="001412CA"/>
    <w:rsid w:val="0014183C"/>
    <w:rsid w:val="00143712"/>
    <w:rsid w:val="00143DF5"/>
    <w:rsid w:val="00144CFC"/>
    <w:rsid w:val="00145430"/>
    <w:rsid w:val="001455CE"/>
    <w:rsid w:val="001455CF"/>
    <w:rsid w:val="00145D5B"/>
    <w:rsid w:val="0014700F"/>
    <w:rsid w:val="00147569"/>
    <w:rsid w:val="00147FFA"/>
    <w:rsid w:val="001503CA"/>
    <w:rsid w:val="001505AD"/>
    <w:rsid w:val="00150857"/>
    <w:rsid w:val="00150F66"/>
    <w:rsid w:val="00151223"/>
    <w:rsid w:val="00151340"/>
    <w:rsid w:val="00151587"/>
    <w:rsid w:val="001518FD"/>
    <w:rsid w:val="00151D3B"/>
    <w:rsid w:val="00152181"/>
    <w:rsid w:val="0015253F"/>
    <w:rsid w:val="001528E4"/>
    <w:rsid w:val="00152EDC"/>
    <w:rsid w:val="00152F9F"/>
    <w:rsid w:val="0015317D"/>
    <w:rsid w:val="0015325A"/>
    <w:rsid w:val="00153265"/>
    <w:rsid w:val="00153587"/>
    <w:rsid w:val="00153A90"/>
    <w:rsid w:val="00153DB0"/>
    <w:rsid w:val="001545F3"/>
    <w:rsid w:val="00154939"/>
    <w:rsid w:val="00154F4F"/>
    <w:rsid w:val="00154FC8"/>
    <w:rsid w:val="001557F5"/>
    <w:rsid w:val="00155B63"/>
    <w:rsid w:val="001560C4"/>
    <w:rsid w:val="0015708D"/>
    <w:rsid w:val="00157EE6"/>
    <w:rsid w:val="0016008C"/>
    <w:rsid w:val="00160256"/>
    <w:rsid w:val="00160480"/>
    <w:rsid w:val="00160E9F"/>
    <w:rsid w:val="00160EED"/>
    <w:rsid w:val="001611E3"/>
    <w:rsid w:val="001611E5"/>
    <w:rsid w:val="001612E9"/>
    <w:rsid w:val="00161699"/>
    <w:rsid w:val="001622E7"/>
    <w:rsid w:val="001622F6"/>
    <w:rsid w:val="001624F1"/>
    <w:rsid w:val="00162649"/>
    <w:rsid w:val="0016273F"/>
    <w:rsid w:val="00162B0E"/>
    <w:rsid w:val="001631D2"/>
    <w:rsid w:val="00163402"/>
    <w:rsid w:val="00163952"/>
    <w:rsid w:val="001645FD"/>
    <w:rsid w:val="001647A6"/>
    <w:rsid w:val="00164BF5"/>
    <w:rsid w:val="00164DC1"/>
    <w:rsid w:val="00164E8E"/>
    <w:rsid w:val="00164E90"/>
    <w:rsid w:val="00164EBA"/>
    <w:rsid w:val="00164FC1"/>
    <w:rsid w:val="00165180"/>
    <w:rsid w:val="0016566E"/>
    <w:rsid w:val="0016593C"/>
    <w:rsid w:val="00165A43"/>
    <w:rsid w:val="00165CB4"/>
    <w:rsid w:val="00165D69"/>
    <w:rsid w:val="00165D71"/>
    <w:rsid w:val="00165D74"/>
    <w:rsid w:val="0016622A"/>
    <w:rsid w:val="00166319"/>
    <w:rsid w:val="001664C7"/>
    <w:rsid w:val="00166F91"/>
    <w:rsid w:val="0016750C"/>
    <w:rsid w:val="001701A9"/>
    <w:rsid w:val="001701C1"/>
    <w:rsid w:val="00170BA0"/>
    <w:rsid w:val="00170F19"/>
    <w:rsid w:val="0017126B"/>
    <w:rsid w:val="001713D0"/>
    <w:rsid w:val="001713F9"/>
    <w:rsid w:val="0017142B"/>
    <w:rsid w:val="001717A5"/>
    <w:rsid w:val="0017191F"/>
    <w:rsid w:val="00171DB8"/>
    <w:rsid w:val="001728B9"/>
    <w:rsid w:val="00172A7E"/>
    <w:rsid w:val="00172E83"/>
    <w:rsid w:val="00172FBD"/>
    <w:rsid w:val="00173344"/>
    <w:rsid w:val="00173C12"/>
    <w:rsid w:val="001749E6"/>
    <w:rsid w:val="00174BFD"/>
    <w:rsid w:val="001750BE"/>
    <w:rsid w:val="001755F6"/>
    <w:rsid w:val="001757B3"/>
    <w:rsid w:val="00175FB5"/>
    <w:rsid w:val="00176372"/>
    <w:rsid w:val="001779E8"/>
    <w:rsid w:val="00177ACA"/>
    <w:rsid w:val="001801AE"/>
    <w:rsid w:val="00180314"/>
    <w:rsid w:val="00180366"/>
    <w:rsid w:val="001807BB"/>
    <w:rsid w:val="0018139F"/>
    <w:rsid w:val="00181671"/>
    <w:rsid w:val="00181D7E"/>
    <w:rsid w:val="00182100"/>
    <w:rsid w:val="001824BC"/>
    <w:rsid w:val="001825D5"/>
    <w:rsid w:val="0018290F"/>
    <w:rsid w:val="00182E61"/>
    <w:rsid w:val="00183545"/>
    <w:rsid w:val="00183658"/>
    <w:rsid w:val="00183BEA"/>
    <w:rsid w:val="0018406A"/>
    <w:rsid w:val="001842BC"/>
    <w:rsid w:val="00184550"/>
    <w:rsid w:val="001845A0"/>
    <w:rsid w:val="001849DF"/>
    <w:rsid w:val="00185770"/>
    <w:rsid w:val="00185C17"/>
    <w:rsid w:val="00185DFF"/>
    <w:rsid w:val="0018650C"/>
    <w:rsid w:val="001866CF"/>
    <w:rsid w:val="00187707"/>
    <w:rsid w:val="00187B43"/>
    <w:rsid w:val="001901E7"/>
    <w:rsid w:val="001906C5"/>
    <w:rsid w:val="00190A6C"/>
    <w:rsid w:val="00190D4B"/>
    <w:rsid w:val="00190DA4"/>
    <w:rsid w:val="00190DB2"/>
    <w:rsid w:val="00190FA0"/>
    <w:rsid w:val="0019195E"/>
    <w:rsid w:val="001919F2"/>
    <w:rsid w:val="0019233C"/>
    <w:rsid w:val="00192D25"/>
    <w:rsid w:val="00192EC3"/>
    <w:rsid w:val="00192F84"/>
    <w:rsid w:val="001937FD"/>
    <w:rsid w:val="00193C13"/>
    <w:rsid w:val="0019431C"/>
    <w:rsid w:val="0019444C"/>
    <w:rsid w:val="001947AA"/>
    <w:rsid w:val="00194F74"/>
    <w:rsid w:val="00195341"/>
    <w:rsid w:val="00195401"/>
    <w:rsid w:val="00195A0A"/>
    <w:rsid w:val="00195BC9"/>
    <w:rsid w:val="00195C08"/>
    <w:rsid w:val="001961F4"/>
    <w:rsid w:val="00196854"/>
    <w:rsid w:val="00196B2A"/>
    <w:rsid w:val="00196F5B"/>
    <w:rsid w:val="00197159"/>
    <w:rsid w:val="001971ED"/>
    <w:rsid w:val="00197745"/>
    <w:rsid w:val="00197B65"/>
    <w:rsid w:val="00197BC7"/>
    <w:rsid w:val="00197F11"/>
    <w:rsid w:val="001A01DA"/>
    <w:rsid w:val="001A0202"/>
    <w:rsid w:val="001A0352"/>
    <w:rsid w:val="001A0361"/>
    <w:rsid w:val="001A079C"/>
    <w:rsid w:val="001A0B1A"/>
    <w:rsid w:val="001A12F2"/>
    <w:rsid w:val="001A13DA"/>
    <w:rsid w:val="001A25FA"/>
    <w:rsid w:val="001A2A95"/>
    <w:rsid w:val="001A2C02"/>
    <w:rsid w:val="001A2EE1"/>
    <w:rsid w:val="001A3212"/>
    <w:rsid w:val="001A3885"/>
    <w:rsid w:val="001A3A57"/>
    <w:rsid w:val="001A4D3E"/>
    <w:rsid w:val="001A5C47"/>
    <w:rsid w:val="001A5DA2"/>
    <w:rsid w:val="001A6488"/>
    <w:rsid w:val="001A76BA"/>
    <w:rsid w:val="001A7718"/>
    <w:rsid w:val="001A7E11"/>
    <w:rsid w:val="001A7F4C"/>
    <w:rsid w:val="001B0332"/>
    <w:rsid w:val="001B0510"/>
    <w:rsid w:val="001B0950"/>
    <w:rsid w:val="001B0DC6"/>
    <w:rsid w:val="001B1025"/>
    <w:rsid w:val="001B1477"/>
    <w:rsid w:val="001B1B9A"/>
    <w:rsid w:val="001B1E7E"/>
    <w:rsid w:val="001B21F3"/>
    <w:rsid w:val="001B25B6"/>
    <w:rsid w:val="001B2C7B"/>
    <w:rsid w:val="001B2CBB"/>
    <w:rsid w:val="001B30EA"/>
    <w:rsid w:val="001B32AE"/>
    <w:rsid w:val="001B33D0"/>
    <w:rsid w:val="001B357C"/>
    <w:rsid w:val="001B3686"/>
    <w:rsid w:val="001B3836"/>
    <w:rsid w:val="001B397C"/>
    <w:rsid w:val="001B4293"/>
    <w:rsid w:val="001B450D"/>
    <w:rsid w:val="001B4649"/>
    <w:rsid w:val="001B4CD9"/>
    <w:rsid w:val="001B5189"/>
    <w:rsid w:val="001B52C0"/>
    <w:rsid w:val="001B539C"/>
    <w:rsid w:val="001B55DB"/>
    <w:rsid w:val="001B5FAB"/>
    <w:rsid w:val="001B611B"/>
    <w:rsid w:val="001B6AB1"/>
    <w:rsid w:val="001B6EBB"/>
    <w:rsid w:val="001B706B"/>
    <w:rsid w:val="001B755A"/>
    <w:rsid w:val="001B763E"/>
    <w:rsid w:val="001B77BD"/>
    <w:rsid w:val="001B77D6"/>
    <w:rsid w:val="001B7D8A"/>
    <w:rsid w:val="001B7FD1"/>
    <w:rsid w:val="001C01F2"/>
    <w:rsid w:val="001C0AB2"/>
    <w:rsid w:val="001C0F22"/>
    <w:rsid w:val="001C1571"/>
    <w:rsid w:val="001C1758"/>
    <w:rsid w:val="001C1882"/>
    <w:rsid w:val="001C1DC4"/>
    <w:rsid w:val="001C2ABA"/>
    <w:rsid w:val="001C30CF"/>
    <w:rsid w:val="001C350C"/>
    <w:rsid w:val="001C36F6"/>
    <w:rsid w:val="001C374E"/>
    <w:rsid w:val="001C3C5D"/>
    <w:rsid w:val="001C40A6"/>
    <w:rsid w:val="001C46A9"/>
    <w:rsid w:val="001C4B45"/>
    <w:rsid w:val="001C52B7"/>
    <w:rsid w:val="001C5369"/>
    <w:rsid w:val="001C5556"/>
    <w:rsid w:val="001C6340"/>
    <w:rsid w:val="001C6500"/>
    <w:rsid w:val="001C6861"/>
    <w:rsid w:val="001C6908"/>
    <w:rsid w:val="001C6DB0"/>
    <w:rsid w:val="001C7B81"/>
    <w:rsid w:val="001D0FF7"/>
    <w:rsid w:val="001D10D5"/>
    <w:rsid w:val="001D1F21"/>
    <w:rsid w:val="001D2B7C"/>
    <w:rsid w:val="001D2CCC"/>
    <w:rsid w:val="001D2F30"/>
    <w:rsid w:val="001D30F5"/>
    <w:rsid w:val="001D3123"/>
    <w:rsid w:val="001D33C6"/>
    <w:rsid w:val="001D3450"/>
    <w:rsid w:val="001D399A"/>
    <w:rsid w:val="001D3C27"/>
    <w:rsid w:val="001D3E2C"/>
    <w:rsid w:val="001D405F"/>
    <w:rsid w:val="001D42DA"/>
    <w:rsid w:val="001D463B"/>
    <w:rsid w:val="001D4B82"/>
    <w:rsid w:val="001D4FD9"/>
    <w:rsid w:val="001D524A"/>
    <w:rsid w:val="001D53A4"/>
    <w:rsid w:val="001D5902"/>
    <w:rsid w:val="001D60A1"/>
    <w:rsid w:val="001D61D6"/>
    <w:rsid w:val="001D6438"/>
    <w:rsid w:val="001D6E32"/>
    <w:rsid w:val="001D7320"/>
    <w:rsid w:val="001D7CC0"/>
    <w:rsid w:val="001E0932"/>
    <w:rsid w:val="001E094D"/>
    <w:rsid w:val="001E0F02"/>
    <w:rsid w:val="001E13AF"/>
    <w:rsid w:val="001E1774"/>
    <w:rsid w:val="001E1E68"/>
    <w:rsid w:val="001E1E7B"/>
    <w:rsid w:val="001E21BC"/>
    <w:rsid w:val="001E2301"/>
    <w:rsid w:val="001E235E"/>
    <w:rsid w:val="001E23EE"/>
    <w:rsid w:val="001E2FD1"/>
    <w:rsid w:val="001E338E"/>
    <w:rsid w:val="001E382E"/>
    <w:rsid w:val="001E3E61"/>
    <w:rsid w:val="001E3E83"/>
    <w:rsid w:val="001E41EF"/>
    <w:rsid w:val="001E4628"/>
    <w:rsid w:val="001E51CF"/>
    <w:rsid w:val="001E51F4"/>
    <w:rsid w:val="001E55CB"/>
    <w:rsid w:val="001E5A59"/>
    <w:rsid w:val="001E5FA1"/>
    <w:rsid w:val="001E6001"/>
    <w:rsid w:val="001E6631"/>
    <w:rsid w:val="001E7000"/>
    <w:rsid w:val="001E7260"/>
    <w:rsid w:val="001E75E9"/>
    <w:rsid w:val="001E7766"/>
    <w:rsid w:val="001E7CC5"/>
    <w:rsid w:val="001F0675"/>
    <w:rsid w:val="001F0959"/>
    <w:rsid w:val="001F0CE1"/>
    <w:rsid w:val="001F1792"/>
    <w:rsid w:val="001F1BBD"/>
    <w:rsid w:val="001F1E68"/>
    <w:rsid w:val="001F2890"/>
    <w:rsid w:val="001F2D80"/>
    <w:rsid w:val="001F3105"/>
    <w:rsid w:val="001F3869"/>
    <w:rsid w:val="001F3AD9"/>
    <w:rsid w:val="001F446A"/>
    <w:rsid w:val="001F45D7"/>
    <w:rsid w:val="001F4B34"/>
    <w:rsid w:val="001F5BC0"/>
    <w:rsid w:val="001F5C7C"/>
    <w:rsid w:val="001F6268"/>
    <w:rsid w:val="001F6316"/>
    <w:rsid w:val="001F6A1D"/>
    <w:rsid w:val="001F6AC5"/>
    <w:rsid w:val="001F7005"/>
    <w:rsid w:val="001F7A5D"/>
    <w:rsid w:val="00200391"/>
    <w:rsid w:val="00201440"/>
    <w:rsid w:val="002017A1"/>
    <w:rsid w:val="00201A79"/>
    <w:rsid w:val="00201CCA"/>
    <w:rsid w:val="002023E2"/>
    <w:rsid w:val="00203125"/>
    <w:rsid w:val="00204218"/>
    <w:rsid w:val="00204B5F"/>
    <w:rsid w:val="002056E9"/>
    <w:rsid w:val="00206114"/>
    <w:rsid w:val="00206435"/>
    <w:rsid w:val="00206DCF"/>
    <w:rsid w:val="0020769A"/>
    <w:rsid w:val="00207AC8"/>
    <w:rsid w:val="002105DC"/>
    <w:rsid w:val="00210609"/>
    <w:rsid w:val="00210FE4"/>
    <w:rsid w:val="002110FF"/>
    <w:rsid w:val="002118F1"/>
    <w:rsid w:val="00211B61"/>
    <w:rsid w:val="002121C9"/>
    <w:rsid w:val="00212305"/>
    <w:rsid w:val="0021251E"/>
    <w:rsid w:val="0021260F"/>
    <w:rsid w:val="002127BE"/>
    <w:rsid w:val="0021302C"/>
    <w:rsid w:val="002131F4"/>
    <w:rsid w:val="002132C2"/>
    <w:rsid w:val="00213DC1"/>
    <w:rsid w:val="002140C6"/>
    <w:rsid w:val="0021424F"/>
    <w:rsid w:val="00214373"/>
    <w:rsid w:val="00214B9A"/>
    <w:rsid w:val="0021585F"/>
    <w:rsid w:val="0021623C"/>
    <w:rsid w:val="00216254"/>
    <w:rsid w:val="002166C7"/>
    <w:rsid w:val="00216832"/>
    <w:rsid w:val="00216BB6"/>
    <w:rsid w:val="00216CB6"/>
    <w:rsid w:val="00217749"/>
    <w:rsid w:val="00217A64"/>
    <w:rsid w:val="00217CC8"/>
    <w:rsid w:val="002202A4"/>
    <w:rsid w:val="0022082D"/>
    <w:rsid w:val="002209F4"/>
    <w:rsid w:val="00220B65"/>
    <w:rsid w:val="00220D71"/>
    <w:rsid w:val="002214D0"/>
    <w:rsid w:val="00221855"/>
    <w:rsid w:val="00221EA2"/>
    <w:rsid w:val="00221EB0"/>
    <w:rsid w:val="00221EE8"/>
    <w:rsid w:val="002225B8"/>
    <w:rsid w:val="00222D62"/>
    <w:rsid w:val="002234DE"/>
    <w:rsid w:val="002238E4"/>
    <w:rsid w:val="00223B28"/>
    <w:rsid w:val="002248FF"/>
    <w:rsid w:val="00224FA7"/>
    <w:rsid w:val="0022525A"/>
    <w:rsid w:val="002252B9"/>
    <w:rsid w:val="00225735"/>
    <w:rsid w:val="00225CDB"/>
    <w:rsid w:val="00225F57"/>
    <w:rsid w:val="00226023"/>
    <w:rsid w:val="00226179"/>
    <w:rsid w:val="00226387"/>
    <w:rsid w:val="002279B0"/>
    <w:rsid w:val="00227D26"/>
    <w:rsid w:val="002302A7"/>
    <w:rsid w:val="0023066A"/>
    <w:rsid w:val="00230C1A"/>
    <w:rsid w:val="00230C7C"/>
    <w:rsid w:val="00230D2C"/>
    <w:rsid w:val="00230D9B"/>
    <w:rsid w:val="00231A89"/>
    <w:rsid w:val="00231AD1"/>
    <w:rsid w:val="00231CD5"/>
    <w:rsid w:val="00231DD7"/>
    <w:rsid w:val="0023213B"/>
    <w:rsid w:val="00232492"/>
    <w:rsid w:val="002324C8"/>
    <w:rsid w:val="00232ACD"/>
    <w:rsid w:val="00233117"/>
    <w:rsid w:val="002334B1"/>
    <w:rsid w:val="00233835"/>
    <w:rsid w:val="00233B4D"/>
    <w:rsid w:val="00233D3E"/>
    <w:rsid w:val="00233DCD"/>
    <w:rsid w:val="00234A05"/>
    <w:rsid w:val="00234D62"/>
    <w:rsid w:val="0023517F"/>
    <w:rsid w:val="00236AE1"/>
    <w:rsid w:val="00236F8A"/>
    <w:rsid w:val="0023705D"/>
    <w:rsid w:val="002374DC"/>
    <w:rsid w:val="00237AF3"/>
    <w:rsid w:val="00237E99"/>
    <w:rsid w:val="002401F0"/>
    <w:rsid w:val="00240242"/>
    <w:rsid w:val="002406D8"/>
    <w:rsid w:val="00240D89"/>
    <w:rsid w:val="00240F72"/>
    <w:rsid w:val="002412C8"/>
    <w:rsid w:val="0024199C"/>
    <w:rsid w:val="00241AC3"/>
    <w:rsid w:val="002420DC"/>
    <w:rsid w:val="0024214E"/>
    <w:rsid w:val="002427C9"/>
    <w:rsid w:val="0024282A"/>
    <w:rsid w:val="00242C03"/>
    <w:rsid w:val="00242D88"/>
    <w:rsid w:val="002431F6"/>
    <w:rsid w:val="0024374A"/>
    <w:rsid w:val="00243AB5"/>
    <w:rsid w:val="00243DA0"/>
    <w:rsid w:val="00243E60"/>
    <w:rsid w:val="00243EA0"/>
    <w:rsid w:val="00243F55"/>
    <w:rsid w:val="00244094"/>
    <w:rsid w:val="002444B6"/>
    <w:rsid w:val="00244722"/>
    <w:rsid w:val="002456EE"/>
    <w:rsid w:val="00245BC5"/>
    <w:rsid w:val="002460AB"/>
    <w:rsid w:val="00246333"/>
    <w:rsid w:val="002464CC"/>
    <w:rsid w:val="00246C09"/>
    <w:rsid w:val="00246DAE"/>
    <w:rsid w:val="00246EE0"/>
    <w:rsid w:val="002477B6"/>
    <w:rsid w:val="00247A94"/>
    <w:rsid w:val="00247E92"/>
    <w:rsid w:val="00247F9C"/>
    <w:rsid w:val="002508C6"/>
    <w:rsid w:val="0025103E"/>
    <w:rsid w:val="00251234"/>
    <w:rsid w:val="00251DED"/>
    <w:rsid w:val="002521D2"/>
    <w:rsid w:val="002521E2"/>
    <w:rsid w:val="0025287A"/>
    <w:rsid w:val="0025375D"/>
    <w:rsid w:val="0025441C"/>
    <w:rsid w:val="002546A6"/>
    <w:rsid w:val="00254C59"/>
    <w:rsid w:val="00254C9D"/>
    <w:rsid w:val="0025655B"/>
    <w:rsid w:val="0025693C"/>
    <w:rsid w:val="00257282"/>
    <w:rsid w:val="00257FB1"/>
    <w:rsid w:val="00260940"/>
    <w:rsid w:val="00260AF4"/>
    <w:rsid w:val="00260CF6"/>
    <w:rsid w:val="00261113"/>
    <w:rsid w:val="002612F2"/>
    <w:rsid w:val="00261341"/>
    <w:rsid w:val="00261674"/>
    <w:rsid w:val="002617F2"/>
    <w:rsid w:val="002623EE"/>
    <w:rsid w:val="00262882"/>
    <w:rsid w:val="00262B92"/>
    <w:rsid w:val="00263017"/>
    <w:rsid w:val="002630E3"/>
    <w:rsid w:val="00263843"/>
    <w:rsid w:val="00264325"/>
    <w:rsid w:val="00264788"/>
    <w:rsid w:val="002649CB"/>
    <w:rsid w:val="0026561B"/>
    <w:rsid w:val="002658CA"/>
    <w:rsid w:val="00265C40"/>
    <w:rsid w:val="002663B4"/>
    <w:rsid w:val="00266410"/>
    <w:rsid w:val="00266458"/>
    <w:rsid w:val="00266D19"/>
    <w:rsid w:val="00266F5B"/>
    <w:rsid w:val="00267178"/>
    <w:rsid w:val="002672BC"/>
    <w:rsid w:val="002673E2"/>
    <w:rsid w:val="0026748A"/>
    <w:rsid w:val="002676DB"/>
    <w:rsid w:val="00267F1D"/>
    <w:rsid w:val="002702CC"/>
    <w:rsid w:val="0027038B"/>
    <w:rsid w:val="00270DAE"/>
    <w:rsid w:val="00270DEA"/>
    <w:rsid w:val="00270FC5"/>
    <w:rsid w:val="0027180E"/>
    <w:rsid w:val="0027192B"/>
    <w:rsid w:val="00271BA7"/>
    <w:rsid w:val="00271BCA"/>
    <w:rsid w:val="00271F22"/>
    <w:rsid w:val="00272213"/>
    <w:rsid w:val="002722BC"/>
    <w:rsid w:val="00272E90"/>
    <w:rsid w:val="002731E0"/>
    <w:rsid w:val="00273512"/>
    <w:rsid w:val="00274661"/>
    <w:rsid w:val="0027472C"/>
    <w:rsid w:val="0027493D"/>
    <w:rsid w:val="00274BA8"/>
    <w:rsid w:val="00274DF8"/>
    <w:rsid w:val="00275414"/>
    <w:rsid w:val="00275D61"/>
    <w:rsid w:val="00276103"/>
    <w:rsid w:val="0027647B"/>
    <w:rsid w:val="00276F64"/>
    <w:rsid w:val="00277147"/>
    <w:rsid w:val="0027782B"/>
    <w:rsid w:val="0027797A"/>
    <w:rsid w:val="002802FD"/>
    <w:rsid w:val="00280358"/>
    <w:rsid w:val="00280438"/>
    <w:rsid w:val="002805A3"/>
    <w:rsid w:val="00280C7F"/>
    <w:rsid w:val="0028140A"/>
    <w:rsid w:val="002815E8"/>
    <w:rsid w:val="00282D1D"/>
    <w:rsid w:val="00283039"/>
    <w:rsid w:val="00283BFC"/>
    <w:rsid w:val="00283CE5"/>
    <w:rsid w:val="0028493E"/>
    <w:rsid w:val="00284F9D"/>
    <w:rsid w:val="00285C90"/>
    <w:rsid w:val="00286492"/>
    <w:rsid w:val="00286A3B"/>
    <w:rsid w:val="00286C4A"/>
    <w:rsid w:val="00286FE5"/>
    <w:rsid w:val="002871BA"/>
    <w:rsid w:val="002874C8"/>
    <w:rsid w:val="00287B0D"/>
    <w:rsid w:val="00287EA8"/>
    <w:rsid w:val="00287F10"/>
    <w:rsid w:val="00290541"/>
    <w:rsid w:val="0029086A"/>
    <w:rsid w:val="00290DAD"/>
    <w:rsid w:val="00291017"/>
    <w:rsid w:val="00291DAB"/>
    <w:rsid w:val="00292FB6"/>
    <w:rsid w:val="002930B9"/>
    <w:rsid w:val="002942F7"/>
    <w:rsid w:val="0029466F"/>
    <w:rsid w:val="0029477D"/>
    <w:rsid w:val="00294C65"/>
    <w:rsid w:val="00294D84"/>
    <w:rsid w:val="002955B7"/>
    <w:rsid w:val="002956F8"/>
    <w:rsid w:val="00295CEA"/>
    <w:rsid w:val="00295D32"/>
    <w:rsid w:val="00296279"/>
    <w:rsid w:val="00296390"/>
    <w:rsid w:val="002967E1"/>
    <w:rsid w:val="00297438"/>
    <w:rsid w:val="002974DE"/>
    <w:rsid w:val="00297DAD"/>
    <w:rsid w:val="00297DF6"/>
    <w:rsid w:val="00297FC5"/>
    <w:rsid w:val="002A0049"/>
    <w:rsid w:val="002A07D3"/>
    <w:rsid w:val="002A0C69"/>
    <w:rsid w:val="002A1374"/>
    <w:rsid w:val="002A144D"/>
    <w:rsid w:val="002A1BF7"/>
    <w:rsid w:val="002A1DD8"/>
    <w:rsid w:val="002A1F06"/>
    <w:rsid w:val="002A2306"/>
    <w:rsid w:val="002A2390"/>
    <w:rsid w:val="002A23C6"/>
    <w:rsid w:val="002A257E"/>
    <w:rsid w:val="002A295B"/>
    <w:rsid w:val="002A2CEE"/>
    <w:rsid w:val="002A3B1D"/>
    <w:rsid w:val="002A3B9C"/>
    <w:rsid w:val="002A3D82"/>
    <w:rsid w:val="002A3E4E"/>
    <w:rsid w:val="002A4758"/>
    <w:rsid w:val="002A4B48"/>
    <w:rsid w:val="002A4C3D"/>
    <w:rsid w:val="002A4E30"/>
    <w:rsid w:val="002A52DC"/>
    <w:rsid w:val="002A536F"/>
    <w:rsid w:val="002A5AC6"/>
    <w:rsid w:val="002A5EEC"/>
    <w:rsid w:val="002A648C"/>
    <w:rsid w:val="002A6841"/>
    <w:rsid w:val="002A68D5"/>
    <w:rsid w:val="002A6A8D"/>
    <w:rsid w:val="002A7096"/>
    <w:rsid w:val="002A70C6"/>
    <w:rsid w:val="002A7A5C"/>
    <w:rsid w:val="002A7DF1"/>
    <w:rsid w:val="002A7E6D"/>
    <w:rsid w:val="002A7FF0"/>
    <w:rsid w:val="002B03E6"/>
    <w:rsid w:val="002B041E"/>
    <w:rsid w:val="002B0641"/>
    <w:rsid w:val="002B0AC0"/>
    <w:rsid w:val="002B0E70"/>
    <w:rsid w:val="002B1BFC"/>
    <w:rsid w:val="002B2962"/>
    <w:rsid w:val="002B33B9"/>
    <w:rsid w:val="002B37E9"/>
    <w:rsid w:val="002B4C6F"/>
    <w:rsid w:val="002B4D16"/>
    <w:rsid w:val="002B5E31"/>
    <w:rsid w:val="002B638B"/>
    <w:rsid w:val="002B6411"/>
    <w:rsid w:val="002B659C"/>
    <w:rsid w:val="002B68F6"/>
    <w:rsid w:val="002B71B5"/>
    <w:rsid w:val="002B7658"/>
    <w:rsid w:val="002B7675"/>
    <w:rsid w:val="002B7863"/>
    <w:rsid w:val="002B78C8"/>
    <w:rsid w:val="002B795B"/>
    <w:rsid w:val="002B7B3C"/>
    <w:rsid w:val="002C0189"/>
    <w:rsid w:val="002C02F1"/>
    <w:rsid w:val="002C03C8"/>
    <w:rsid w:val="002C1469"/>
    <w:rsid w:val="002C1470"/>
    <w:rsid w:val="002C1670"/>
    <w:rsid w:val="002C1B17"/>
    <w:rsid w:val="002C1DA4"/>
    <w:rsid w:val="002C1E2A"/>
    <w:rsid w:val="002C245E"/>
    <w:rsid w:val="002C28F9"/>
    <w:rsid w:val="002C2B7F"/>
    <w:rsid w:val="002C44BF"/>
    <w:rsid w:val="002C4518"/>
    <w:rsid w:val="002C451A"/>
    <w:rsid w:val="002C45DF"/>
    <w:rsid w:val="002C46A1"/>
    <w:rsid w:val="002C4D10"/>
    <w:rsid w:val="002C5402"/>
    <w:rsid w:val="002C557D"/>
    <w:rsid w:val="002C5DFD"/>
    <w:rsid w:val="002C6334"/>
    <w:rsid w:val="002C70AF"/>
    <w:rsid w:val="002C72A3"/>
    <w:rsid w:val="002C7B9D"/>
    <w:rsid w:val="002C7E10"/>
    <w:rsid w:val="002D0133"/>
    <w:rsid w:val="002D047A"/>
    <w:rsid w:val="002D0DFC"/>
    <w:rsid w:val="002D0EB3"/>
    <w:rsid w:val="002D0EEA"/>
    <w:rsid w:val="002D14E9"/>
    <w:rsid w:val="002D1649"/>
    <w:rsid w:val="002D19FF"/>
    <w:rsid w:val="002D1B81"/>
    <w:rsid w:val="002D1BA0"/>
    <w:rsid w:val="002D1F00"/>
    <w:rsid w:val="002D2AB7"/>
    <w:rsid w:val="002D2BCA"/>
    <w:rsid w:val="002D30A9"/>
    <w:rsid w:val="002D3E6C"/>
    <w:rsid w:val="002D4111"/>
    <w:rsid w:val="002D41CE"/>
    <w:rsid w:val="002D4403"/>
    <w:rsid w:val="002D4FCC"/>
    <w:rsid w:val="002D510A"/>
    <w:rsid w:val="002D5491"/>
    <w:rsid w:val="002D58BA"/>
    <w:rsid w:val="002D63D3"/>
    <w:rsid w:val="002D7565"/>
    <w:rsid w:val="002D7618"/>
    <w:rsid w:val="002D78B5"/>
    <w:rsid w:val="002D7AB7"/>
    <w:rsid w:val="002D7B10"/>
    <w:rsid w:val="002E0235"/>
    <w:rsid w:val="002E0527"/>
    <w:rsid w:val="002E0E8F"/>
    <w:rsid w:val="002E10B6"/>
    <w:rsid w:val="002E1168"/>
    <w:rsid w:val="002E11F5"/>
    <w:rsid w:val="002E13A5"/>
    <w:rsid w:val="002E1AF7"/>
    <w:rsid w:val="002E1BF9"/>
    <w:rsid w:val="002E2255"/>
    <w:rsid w:val="002E273A"/>
    <w:rsid w:val="002E33B1"/>
    <w:rsid w:val="002E33FA"/>
    <w:rsid w:val="002E38CA"/>
    <w:rsid w:val="002E3A8C"/>
    <w:rsid w:val="002E3A95"/>
    <w:rsid w:val="002E3BF5"/>
    <w:rsid w:val="002E3C92"/>
    <w:rsid w:val="002E3CD4"/>
    <w:rsid w:val="002E5216"/>
    <w:rsid w:val="002E541E"/>
    <w:rsid w:val="002E5420"/>
    <w:rsid w:val="002E602B"/>
    <w:rsid w:val="002E6073"/>
    <w:rsid w:val="002E62D6"/>
    <w:rsid w:val="002E6356"/>
    <w:rsid w:val="002E6AFC"/>
    <w:rsid w:val="002E6CBC"/>
    <w:rsid w:val="002E730E"/>
    <w:rsid w:val="002E744E"/>
    <w:rsid w:val="002E7776"/>
    <w:rsid w:val="002E7836"/>
    <w:rsid w:val="002E7E14"/>
    <w:rsid w:val="002F019E"/>
    <w:rsid w:val="002F07A0"/>
    <w:rsid w:val="002F11B4"/>
    <w:rsid w:val="002F160A"/>
    <w:rsid w:val="002F17C3"/>
    <w:rsid w:val="002F1BA0"/>
    <w:rsid w:val="002F2335"/>
    <w:rsid w:val="002F2668"/>
    <w:rsid w:val="002F2F3A"/>
    <w:rsid w:val="002F3397"/>
    <w:rsid w:val="002F3CA9"/>
    <w:rsid w:val="002F3CAA"/>
    <w:rsid w:val="002F4289"/>
    <w:rsid w:val="002F4510"/>
    <w:rsid w:val="002F4D07"/>
    <w:rsid w:val="002F4E4F"/>
    <w:rsid w:val="002F4ED4"/>
    <w:rsid w:val="002F5141"/>
    <w:rsid w:val="002F5392"/>
    <w:rsid w:val="002F5E2B"/>
    <w:rsid w:val="002F5F28"/>
    <w:rsid w:val="002F63F0"/>
    <w:rsid w:val="002F6643"/>
    <w:rsid w:val="002F6B7D"/>
    <w:rsid w:val="002F72F6"/>
    <w:rsid w:val="002F7526"/>
    <w:rsid w:val="002F7B95"/>
    <w:rsid w:val="002F7BEF"/>
    <w:rsid w:val="002F7D0C"/>
    <w:rsid w:val="002F7D0D"/>
    <w:rsid w:val="002F7E84"/>
    <w:rsid w:val="00300163"/>
    <w:rsid w:val="003001FF"/>
    <w:rsid w:val="0030024C"/>
    <w:rsid w:val="00300812"/>
    <w:rsid w:val="0030096F"/>
    <w:rsid w:val="00300A14"/>
    <w:rsid w:val="00300E2F"/>
    <w:rsid w:val="00301425"/>
    <w:rsid w:val="003014C9"/>
    <w:rsid w:val="0030186D"/>
    <w:rsid w:val="00301BF0"/>
    <w:rsid w:val="00301ECC"/>
    <w:rsid w:val="003022B8"/>
    <w:rsid w:val="0030248A"/>
    <w:rsid w:val="003025DA"/>
    <w:rsid w:val="00302FF9"/>
    <w:rsid w:val="0030328B"/>
    <w:rsid w:val="00303296"/>
    <w:rsid w:val="003033C7"/>
    <w:rsid w:val="00303D6C"/>
    <w:rsid w:val="00304085"/>
    <w:rsid w:val="00304257"/>
    <w:rsid w:val="003045D6"/>
    <w:rsid w:val="00304C24"/>
    <w:rsid w:val="00304E4B"/>
    <w:rsid w:val="00305069"/>
    <w:rsid w:val="00305131"/>
    <w:rsid w:val="003059FB"/>
    <w:rsid w:val="00305C3C"/>
    <w:rsid w:val="0030718F"/>
    <w:rsid w:val="003071E8"/>
    <w:rsid w:val="00307FBE"/>
    <w:rsid w:val="00310220"/>
    <w:rsid w:val="003105B3"/>
    <w:rsid w:val="0031070B"/>
    <w:rsid w:val="0031075B"/>
    <w:rsid w:val="00311229"/>
    <w:rsid w:val="003113DB"/>
    <w:rsid w:val="003131A5"/>
    <w:rsid w:val="00313A70"/>
    <w:rsid w:val="00313D2B"/>
    <w:rsid w:val="00314162"/>
    <w:rsid w:val="003148AD"/>
    <w:rsid w:val="00314986"/>
    <w:rsid w:val="00314EF1"/>
    <w:rsid w:val="00315942"/>
    <w:rsid w:val="00315A69"/>
    <w:rsid w:val="00315D63"/>
    <w:rsid w:val="00315D6F"/>
    <w:rsid w:val="00315F2E"/>
    <w:rsid w:val="00315FC6"/>
    <w:rsid w:val="00316655"/>
    <w:rsid w:val="003166AC"/>
    <w:rsid w:val="003169A0"/>
    <w:rsid w:val="003176B6"/>
    <w:rsid w:val="00320190"/>
    <w:rsid w:val="003205E5"/>
    <w:rsid w:val="0032093F"/>
    <w:rsid w:val="0032098E"/>
    <w:rsid w:val="00320C1F"/>
    <w:rsid w:val="00320CC3"/>
    <w:rsid w:val="0032139A"/>
    <w:rsid w:val="003213D5"/>
    <w:rsid w:val="003215CA"/>
    <w:rsid w:val="00321A0C"/>
    <w:rsid w:val="00322C16"/>
    <w:rsid w:val="0032301B"/>
    <w:rsid w:val="003234C2"/>
    <w:rsid w:val="003235AE"/>
    <w:rsid w:val="00323C98"/>
    <w:rsid w:val="0032419F"/>
    <w:rsid w:val="00324CE7"/>
    <w:rsid w:val="003250E6"/>
    <w:rsid w:val="00325334"/>
    <w:rsid w:val="00325B17"/>
    <w:rsid w:val="003275BA"/>
    <w:rsid w:val="00327804"/>
    <w:rsid w:val="003306BA"/>
    <w:rsid w:val="00330884"/>
    <w:rsid w:val="00330DB9"/>
    <w:rsid w:val="00330FBC"/>
    <w:rsid w:val="0033122C"/>
    <w:rsid w:val="0033192E"/>
    <w:rsid w:val="0033204C"/>
    <w:rsid w:val="003327A4"/>
    <w:rsid w:val="00332AE6"/>
    <w:rsid w:val="00332BDB"/>
    <w:rsid w:val="00332ECB"/>
    <w:rsid w:val="00333243"/>
    <w:rsid w:val="003334C0"/>
    <w:rsid w:val="00333590"/>
    <w:rsid w:val="00333624"/>
    <w:rsid w:val="0033370A"/>
    <w:rsid w:val="00334096"/>
    <w:rsid w:val="003341F8"/>
    <w:rsid w:val="00334273"/>
    <w:rsid w:val="0033428C"/>
    <w:rsid w:val="00334B54"/>
    <w:rsid w:val="00334C5D"/>
    <w:rsid w:val="00334EE4"/>
    <w:rsid w:val="00334FEA"/>
    <w:rsid w:val="00335F15"/>
    <w:rsid w:val="00336187"/>
    <w:rsid w:val="00336338"/>
    <w:rsid w:val="00336416"/>
    <w:rsid w:val="0033668E"/>
    <w:rsid w:val="0033674D"/>
    <w:rsid w:val="003373C7"/>
    <w:rsid w:val="003374B5"/>
    <w:rsid w:val="003375E1"/>
    <w:rsid w:val="00337648"/>
    <w:rsid w:val="00337B59"/>
    <w:rsid w:val="00337DB1"/>
    <w:rsid w:val="00337E60"/>
    <w:rsid w:val="00337FEC"/>
    <w:rsid w:val="003404F8"/>
    <w:rsid w:val="00340F29"/>
    <w:rsid w:val="003410B7"/>
    <w:rsid w:val="003415CA"/>
    <w:rsid w:val="00341C80"/>
    <w:rsid w:val="00341F40"/>
    <w:rsid w:val="00342307"/>
    <w:rsid w:val="003427FA"/>
    <w:rsid w:val="00342FED"/>
    <w:rsid w:val="0034314F"/>
    <w:rsid w:val="003438F7"/>
    <w:rsid w:val="00343E72"/>
    <w:rsid w:val="00344544"/>
    <w:rsid w:val="003446B2"/>
    <w:rsid w:val="003453B6"/>
    <w:rsid w:val="00345606"/>
    <w:rsid w:val="003456FD"/>
    <w:rsid w:val="0034574F"/>
    <w:rsid w:val="003457CE"/>
    <w:rsid w:val="00345A50"/>
    <w:rsid w:val="00345FAA"/>
    <w:rsid w:val="0034611F"/>
    <w:rsid w:val="00346123"/>
    <w:rsid w:val="00346207"/>
    <w:rsid w:val="00346298"/>
    <w:rsid w:val="003464C1"/>
    <w:rsid w:val="00346B5D"/>
    <w:rsid w:val="00346D34"/>
    <w:rsid w:val="00346E38"/>
    <w:rsid w:val="00346F2B"/>
    <w:rsid w:val="00347B4B"/>
    <w:rsid w:val="00347CE8"/>
    <w:rsid w:val="00347EA5"/>
    <w:rsid w:val="0035064F"/>
    <w:rsid w:val="003506AD"/>
    <w:rsid w:val="003506B3"/>
    <w:rsid w:val="00350B21"/>
    <w:rsid w:val="003511A8"/>
    <w:rsid w:val="003514D5"/>
    <w:rsid w:val="0035181B"/>
    <w:rsid w:val="003519E0"/>
    <w:rsid w:val="00351A70"/>
    <w:rsid w:val="00351D68"/>
    <w:rsid w:val="0035310A"/>
    <w:rsid w:val="00353324"/>
    <w:rsid w:val="003535DA"/>
    <w:rsid w:val="00353C60"/>
    <w:rsid w:val="00354B3D"/>
    <w:rsid w:val="003556B3"/>
    <w:rsid w:val="00355819"/>
    <w:rsid w:val="00355FA0"/>
    <w:rsid w:val="00356210"/>
    <w:rsid w:val="0035646D"/>
    <w:rsid w:val="00356530"/>
    <w:rsid w:val="00356B88"/>
    <w:rsid w:val="00356C23"/>
    <w:rsid w:val="003578A2"/>
    <w:rsid w:val="00360126"/>
    <w:rsid w:val="003608B7"/>
    <w:rsid w:val="0036139B"/>
    <w:rsid w:val="00361C05"/>
    <w:rsid w:val="00361D28"/>
    <w:rsid w:val="00362446"/>
    <w:rsid w:val="00362627"/>
    <w:rsid w:val="00362954"/>
    <w:rsid w:val="00363106"/>
    <w:rsid w:val="00363384"/>
    <w:rsid w:val="003638A7"/>
    <w:rsid w:val="003639AF"/>
    <w:rsid w:val="00363D48"/>
    <w:rsid w:val="003640A4"/>
    <w:rsid w:val="0036455C"/>
    <w:rsid w:val="00364672"/>
    <w:rsid w:val="00364CF3"/>
    <w:rsid w:val="00364EE6"/>
    <w:rsid w:val="00365788"/>
    <w:rsid w:val="00365B47"/>
    <w:rsid w:val="003662A4"/>
    <w:rsid w:val="0036642F"/>
    <w:rsid w:val="00366C16"/>
    <w:rsid w:val="00367A2E"/>
    <w:rsid w:val="003703A5"/>
    <w:rsid w:val="0037086D"/>
    <w:rsid w:val="0037099E"/>
    <w:rsid w:val="00370BEA"/>
    <w:rsid w:val="003710A3"/>
    <w:rsid w:val="00371A98"/>
    <w:rsid w:val="00371E6D"/>
    <w:rsid w:val="0037210E"/>
    <w:rsid w:val="003721ED"/>
    <w:rsid w:val="00372724"/>
    <w:rsid w:val="00372C3B"/>
    <w:rsid w:val="00372CD4"/>
    <w:rsid w:val="00372DEE"/>
    <w:rsid w:val="0037338B"/>
    <w:rsid w:val="00373583"/>
    <w:rsid w:val="003738F4"/>
    <w:rsid w:val="00373C85"/>
    <w:rsid w:val="00373CEA"/>
    <w:rsid w:val="00373DE0"/>
    <w:rsid w:val="00373DF3"/>
    <w:rsid w:val="003743C5"/>
    <w:rsid w:val="00374D04"/>
    <w:rsid w:val="00374F85"/>
    <w:rsid w:val="003750FC"/>
    <w:rsid w:val="003752C9"/>
    <w:rsid w:val="0037568D"/>
    <w:rsid w:val="003756AB"/>
    <w:rsid w:val="0037658E"/>
    <w:rsid w:val="0037671C"/>
    <w:rsid w:val="00376DFF"/>
    <w:rsid w:val="00376E43"/>
    <w:rsid w:val="003771AE"/>
    <w:rsid w:val="003775DE"/>
    <w:rsid w:val="00377660"/>
    <w:rsid w:val="00377A7F"/>
    <w:rsid w:val="003803EF"/>
    <w:rsid w:val="00380543"/>
    <w:rsid w:val="00380F32"/>
    <w:rsid w:val="00381787"/>
    <w:rsid w:val="00381E6F"/>
    <w:rsid w:val="003821B0"/>
    <w:rsid w:val="003822ED"/>
    <w:rsid w:val="003823D9"/>
    <w:rsid w:val="00382D2A"/>
    <w:rsid w:val="00383B56"/>
    <w:rsid w:val="00383FE6"/>
    <w:rsid w:val="003840DF"/>
    <w:rsid w:val="00384A75"/>
    <w:rsid w:val="00385431"/>
    <w:rsid w:val="00385C78"/>
    <w:rsid w:val="00385CAD"/>
    <w:rsid w:val="00386303"/>
    <w:rsid w:val="0038632A"/>
    <w:rsid w:val="00386A19"/>
    <w:rsid w:val="00386CDA"/>
    <w:rsid w:val="00386DCC"/>
    <w:rsid w:val="00386E06"/>
    <w:rsid w:val="00386E2A"/>
    <w:rsid w:val="00386F15"/>
    <w:rsid w:val="0038785A"/>
    <w:rsid w:val="00390084"/>
    <w:rsid w:val="0039067D"/>
    <w:rsid w:val="00390EF6"/>
    <w:rsid w:val="00391169"/>
    <w:rsid w:val="003913D7"/>
    <w:rsid w:val="00391420"/>
    <w:rsid w:val="00391574"/>
    <w:rsid w:val="0039180F"/>
    <w:rsid w:val="00391987"/>
    <w:rsid w:val="00391A8B"/>
    <w:rsid w:val="0039220A"/>
    <w:rsid w:val="00392454"/>
    <w:rsid w:val="00392A0B"/>
    <w:rsid w:val="00392E12"/>
    <w:rsid w:val="00393380"/>
    <w:rsid w:val="0039402F"/>
    <w:rsid w:val="00394221"/>
    <w:rsid w:val="00394CA2"/>
    <w:rsid w:val="003953C4"/>
    <w:rsid w:val="00396172"/>
    <w:rsid w:val="00397FB7"/>
    <w:rsid w:val="003A0019"/>
    <w:rsid w:val="003A0655"/>
    <w:rsid w:val="003A0711"/>
    <w:rsid w:val="003A1158"/>
    <w:rsid w:val="003A1968"/>
    <w:rsid w:val="003A1B3F"/>
    <w:rsid w:val="003A1B6F"/>
    <w:rsid w:val="003A1BA3"/>
    <w:rsid w:val="003A21DA"/>
    <w:rsid w:val="003A28B9"/>
    <w:rsid w:val="003A2925"/>
    <w:rsid w:val="003A3158"/>
    <w:rsid w:val="003A319B"/>
    <w:rsid w:val="003A35C2"/>
    <w:rsid w:val="003A38E7"/>
    <w:rsid w:val="003A38EC"/>
    <w:rsid w:val="003A4ED6"/>
    <w:rsid w:val="003A5293"/>
    <w:rsid w:val="003A5B29"/>
    <w:rsid w:val="003A5FB1"/>
    <w:rsid w:val="003A6026"/>
    <w:rsid w:val="003A620D"/>
    <w:rsid w:val="003A669F"/>
    <w:rsid w:val="003A6CDD"/>
    <w:rsid w:val="003A73DD"/>
    <w:rsid w:val="003A73EB"/>
    <w:rsid w:val="003A7EBC"/>
    <w:rsid w:val="003B0105"/>
    <w:rsid w:val="003B014E"/>
    <w:rsid w:val="003B0358"/>
    <w:rsid w:val="003B0A15"/>
    <w:rsid w:val="003B0A8E"/>
    <w:rsid w:val="003B0B2A"/>
    <w:rsid w:val="003B0BC1"/>
    <w:rsid w:val="003B104E"/>
    <w:rsid w:val="003B1507"/>
    <w:rsid w:val="003B16C9"/>
    <w:rsid w:val="003B17CC"/>
    <w:rsid w:val="003B18A1"/>
    <w:rsid w:val="003B1BC6"/>
    <w:rsid w:val="003B2231"/>
    <w:rsid w:val="003B22B4"/>
    <w:rsid w:val="003B26F5"/>
    <w:rsid w:val="003B27D1"/>
    <w:rsid w:val="003B2AA9"/>
    <w:rsid w:val="003B2C7E"/>
    <w:rsid w:val="003B32DC"/>
    <w:rsid w:val="003B3B58"/>
    <w:rsid w:val="003B3C30"/>
    <w:rsid w:val="003B4232"/>
    <w:rsid w:val="003B45D9"/>
    <w:rsid w:val="003B483E"/>
    <w:rsid w:val="003B63F1"/>
    <w:rsid w:val="003B66C6"/>
    <w:rsid w:val="003B671A"/>
    <w:rsid w:val="003B6804"/>
    <w:rsid w:val="003B6D9C"/>
    <w:rsid w:val="003B7235"/>
    <w:rsid w:val="003B7B50"/>
    <w:rsid w:val="003C071F"/>
    <w:rsid w:val="003C0971"/>
    <w:rsid w:val="003C13EB"/>
    <w:rsid w:val="003C1D05"/>
    <w:rsid w:val="003C1FB2"/>
    <w:rsid w:val="003C2140"/>
    <w:rsid w:val="003C2924"/>
    <w:rsid w:val="003C2AC2"/>
    <w:rsid w:val="003C3151"/>
    <w:rsid w:val="003C35B4"/>
    <w:rsid w:val="003C3759"/>
    <w:rsid w:val="003C382C"/>
    <w:rsid w:val="003C3B9E"/>
    <w:rsid w:val="003C402B"/>
    <w:rsid w:val="003C418B"/>
    <w:rsid w:val="003C4515"/>
    <w:rsid w:val="003C46B3"/>
    <w:rsid w:val="003C4A02"/>
    <w:rsid w:val="003C4B85"/>
    <w:rsid w:val="003C554E"/>
    <w:rsid w:val="003C55C0"/>
    <w:rsid w:val="003C55EB"/>
    <w:rsid w:val="003C6151"/>
    <w:rsid w:val="003C6635"/>
    <w:rsid w:val="003C6D0F"/>
    <w:rsid w:val="003C6DCD"/>
    <w:rsid w:val="003C6F80"/>
    <w:rsid w:val="003C7053"/>
    <w:rsid w:val="003C70A2"/>
    <w:rsid w:val="003C7190"/>
    <w:rsid w:val="003C7691"/>
    <w:rsid w:val="003C77FF"/>
    <w:rsid w:val="003D00F1"/>
    <w:rsid w:val="003D0BCE"/>
    <w:rsid w:val="003D0D2A"/>
    <w:rsid w:val="003D1089"/>
    <w:rsid w:val="003D1714"/>
    <w:rsid w:val="003D1CD4"/>
    <w:rsid w:val="003D1FBB"/>
    <w:rsid w:val="003D1FEB"/>
    <w:rsid w:val="003D2201"/>
    <w:rsid w:val="003D265B"/>
    <w:rsid w:val="003D3069"/>
    <w:rsid w:val="003D3752"/>
    <w:rsid w:val="003D3ACD"/>
    <w:rsid w:val="003D4B6E"/>
    <w:rsid w:val="003D64C6"/>
    <w:rsid w:val="003D70A1"/>
    <w:rsid w:val="003D7757"/>
    <w:rsid w:val="003D78A4"/>
    <w:rsid w:val="003D7BFD"/>
    <w:rsid w:val="003D7F2D"/>
    <w:rsid w:val="003D7F59"/>
    <w:rsid w:val="003D7F5A"/>
    <w:rsid w:val="003E02FA"/>
    <w:rsid w:val="003E09BE"/>
    <w:rsid w:val="003E123F"/>
    <w:rsid w:val="003E13E7"/>
    <w:rsid w:val="003E14C0"/>
    <w:rsid w:val="003E168E"/>
    <w:rsid w:val="003E1BD5"/>
    <w:rsid w:val="003E209B"/>
    <w:rsid w:val="003E299C"/>
    <w:rsid w:val="003E2A73"/>
    <w:rsid w:val="003E2D5E"/>
    <w:rsid w:val="003E34DE"/>
    <w:rsid w:val="003E354E"/>
    <w:rsid w:val="003E3755"/>
    <w:rsid w:val="003E37DD"/>
    <w:rsid w:val="003E39EC"/>
    <w:rsid w:val="003E3C2B"/>
    <w:rsid w:val="003E561A"/>
    <w:rsid w:val="003E5C62"/>
    <w:rsid w:val="003E63DA"/>
    <w:rsid w:val="003E6DBD"/>
    <w:rsid w:val="003E724F"/>
    <w:rsid w:val="003E72DC"/>
    <w:rsid w:val="003E74DA"/>
    <w:rsid w:val="003E7652"/>
    <w:rsid w:val="003E7D6B"/>
    <w:rsid w:val="003E7EE6"/>
    <w:rsid w:val="003F0522"/>
    <w:rsid w:val="003F0608"/>
    <w:rsid w:val="003F0F6E"/>
    <w:rsid w:val="003F1327"/>
    <w:rsid w:val="003F138D"/>
    <w:rsid w:val="003F17EE"/>
    <w:rsid w:val="003F1901"/>
    <w:rsid w:val="003F1A7F"/>
    <w:rsid w:val="003F1AD3"/>
    <w:rsid w:val="003F1D24"/>
    <w:rsid w:val="003F20E6"/>
    <w:rsid w:val="003F26BD"/>
    <w:rsid w:val="003F28F8"/>
    <w:rsid w:val="003F2983"/>
    <w:rsid w:val="003F2A0A"/>
    <w:rsid w:val="003F4012"/>
    <w:rsid w:val="003F4898"/>
    <w:rsid w:val="003F48DD"/>
    <w:rsid w:val="003F4C39"/>
    <w:rsid w:val="003F4C63"/>
    <w:rsid w:val="003F4CD5"/>
    <w:rsid w:val="003F57F4"/>
    <w:rsid w:val="003F617D"/>
    <w:rsid w:val="003F6641"/>
    <w:rsid w:val="003F6BFF"/>
    <w:rsid w:val="003F7654"/>
    <w:rsid w:val="004000A4"/>
    <w:rsid w:val="00400172"/>
    <w:rsid w:val="00400934"/>
    <w:rsid w:val="00400941"/>
    <w:rsid w:val="00400A92"/>
    <w:rsid w:val="00400ABE"/>
    <w:rsid w:val="00401117"/>
    <w:rsid w:val="004011C1"/>
    <w:rsid w:val="00401AB1"/>
    <w:rsid w:val="00401DCF"/>
    <w:rsid w:val="00401EFF"/>
    <w:rsid w:val="00402181"/>
    <w:rsid w:val="00402231"/>
    <w:rsid w:val="004025D9"/>
    <w:rsid w:val="004031E9"/>
    <w:rsid w:val="0040341C"/>
    <w:rsid w:val="0040372F"/>
    <w:rsid w:val="00403ABD"/>
    <w:rsid w:val="00404310"/>
    <w:rsid w:val="00404500"/>
    <w:rsid w:val="00404648"/>
    <w:rsid w:val="00404CA6"/>
    <w:rsid w:val="00404D3A"/>
    <w:rsid w:val="00404E17"/>
    <w:rsid w:val="00405311"/>
    <w:rsid w:val="00405580"/>
    <w:rsid w:val="00405841"/>
    <w:rsid w:val="00405A4E"/>
    <w:rsid w:val="00405E65"/>
    <w:rsid w:val="00405EC8"/>
    <w:rsid w:val="00406756"/>
    <w:rsid w:val="00406AA0"/>
    <w:rsid w:val="00406C63"/>
    <w:rsid w:val="004078CA"/>
    <w:rsid w:val="00407A10"/>
    <w:rsid w:val="00411FD0"/>
    <w:rsid w:val="00412651"/>
    <w:rsid w:val="00412F33"/>
    <w:rsid w:val="0041339B"/>
    <w:rsid w:val="00413B31"/>
    <w:rsid w:val="00414056"/>
    <w:rsid w:val="00414260"/>
    <w:rsid w:val="004144C3"/>
    <w:rsid w:val="004148E6"/>
    <w:rsid w:val="004151B5"/>
    <w:rsid w:val="0041533C"/>
    <w:rsid w:val="004154EF"/>
    <w:rsid w:val="0041550F"/>
    <w:rsid w:val="004156CE"/>
    <w:rsid w:val="00415797"/>
    <w:rsid w:val="00416506"/>
    <w:rsid w:val="00416E5B"/>
    <w:rsid w:val="00416F7B"/>
    <w:rsid w:val="00416F8F"/>
    <w:rsid w:val="004174A7"/>
    <w:rsid w:val="00417654"/>
    <w:rsid w:val="004176E4"/>
    <w:rsid w:val="004177BE"/>
    <w:rsid w:val="004202D2"/>
    <w:rsid w:val="004206F2"/>
    <w:rsid w:val="00420BFE"/>
    <w:rsid w:val="00420CF9"/>
    <w:rsid w:val="00420F09"/>
    <w:rsid w:val="00421038"/>
    <w:rsid w:val="004219CF"/>
    <w:rsid w:val="0042220C"/>
    <w:rsid w:val="00422371"/>
    <w:rsid w:val="004229CB"/>
    <w:rsid w:val="00422BEE"/>
    <w:rsid w:val="00423231"/>
    <w:rsid w:val="004235A2"/>
    <w:rsid w:val="00423641"/>
    <w:rsid w:val="00423F29"/>
    <w:rsid w:val="00424241"/>
    <w:rsid w:val="00424401"/>
    <w:rsid w:val="00424D58"/>
    <w:rsid w:val="00425004"/>
    <w:rsid w:val="004255C8"/>
    <w:rsid w:val="004265D2"/>
    <w:rsid w:val="00426775"/>
    <w:rsid w:val="00426B16"/>
    <w:rsid w:val="00427797"/>
    <w:rsid w:val="00427DCB"/>
    <w:rsid w:val="0043057E"/>
    <w:rsid w:val="00430792"/>
    <w:rsid w:val="00430AA1"/>
    <w:rsid w:val="00430E10"/>
    <w:rsid w:val="00430E44"/>
    <w:rsid w:val="00430ED2"/>
    <w:rsid w:val="00431BB1"/>
    <w:rsid w:val="00432194"/>
    <w:rsid w:val="0043358B"/>
    <w:rsid w:val="00433BA4"/>
    <w:rsid w:val="0043404D"/>
    <w:rsid w:val="0043441E"/>
    <w:rsid w:val="004347F6"/>
    <w:rsid w:val="00434AF2"/>
    <w:rsid w:val="00434E12"/>
    <w:rsid w:val="00434E45"/>
    <w:rsid w:val="0043503E"/>
    <w:rsid w:val="0043546C"/>
    <w:rsid w:val="00435DE0"/>
    <w:rsid w:val="004361E7"/>
    <w:rsid w:val="00436C12"/>
    <w:rsid w:val="00436F99"/>
    <w:rsid w:val="004371E0"/>
    <w:rsid w:val="004374E2"/>
    <w:rsid w:val="00437868"/>
    <w:rsid w:val="0043793D"/>
    <w:rsid w:val="00437CEC"/>
    <w:rsid w:val="004400FF"/>
    <w:rsid w:val="0044021D"/>
    <w:rsid w:val="004407D4"/>
    <w:rsid w:val="004407F3"/>
    <w:rsid w:val="004408E2"/>
    <w:rsid w:val="00440A77"/>
    <w:rsid w:val="00440E81"/>
    <w:rsid w:val="00441E8B"/>
    <w:rsid w:val="00441FC8"/>
    <w:rsid w:val="004425A7"/>
    <w:rsid w:val="0044272C"/>
    <w:rsid w:val="00443418"/>
    <w:rsid w:val="0044346F"/>
    <w:rsid w:val="00443586"/>
    <w:rsid w:val="00443F5E"/>
    <w:rsid w:val="00444EC5"/>
    <w:rsid w:val="004452FC"/>
    <w:rsid w:val="004458F9"/>
    <w:rsid w:val="00445986"/>
    <w:rsid w:val="004459CD"/>
    <w:rsid w:val="00445CD4"/>
    <w:rsid w:val="00447D85"/>
    <w:rsid w:val="004503D1"/>
    <w:rsid w:val="004504BB"/>
    <w:rsid w:val="004507F1"/>
    <w:rsid w:val="00450AD8"/>
    <w:rsid w:val="004511C3"/>
    <w:rsid w:val="00452090"/>
    <w:rsid w:val="004520D3"/>
    <w:rsid w:val="00452154"/>
    <w:rsid w:val="004527C8"/>
    <w:rsid w:val="0045288B"/>
    <w:rsid w:val="00452E57"/>
    <w:rsid w:val="00452E5D"/>
    <w:rsid w:val="00453299"/>
    <w:rsid w:val="004534BF"/>
    <w:rsid w:val="004539F0"/>
    <w:rsid w:val="00453AA9"/>
    <w:rsid w:val="00453B51"/>
    <w:rsid w:val="00453E47"/>
    <w:rsid w:val="00453FDA"/>
    <w:rsid w:val="004542AF"/>
    <w:rsid w:val="00454B70"/>
    <w:rsid w:val="00455579"/>
    <w:rsid w:val="00455F59"/>
    <w:rsid w:val="00456514"/>
    <w:rsid w:val="004565E7"/>
    <w:rsid w:val="00456A91"/>
    <w:rsid w:val="00456B00"/>
    <w:rsid w:val="00456C44"/>
    <w:rsid w:val="00456F40"/>
    <w:rsid w:val="0045724B"/>
    <w:rsid w:val="0045727C"/>
    <w:rsid w:val="0046022F"/>
    <w:rsid w:val="00460A3C"/>
    <w:rsid w:val="00460E2B"/>
    <w:rsid w:val="00461396"/>
    <w:rsid w:val="00461521"/>
    <w:rsid w:val="004617F2"/>
    <w:rsid w:val="00461ACD"/>
    <w:rsid w:val="0046209A"/>
    <w:rsid w:val="004624FE"/>
    <w:rsid w:val="004625FE"/>
    <w:rsid w:val="004628A1"/>
    <w:rsid w:val="00462D28"/>
    <w:rsid w:val="00462DB2"/>
    <w:rsid w:val="00462DF6"/>
    <w:rsid w:val="00462E86"/>
    <w:rsid w:val="00463BC9"/>
    <w:rsid w:val="0046417B"/>
    <w:rsid w:val="0046441B"/>
    <w:rsid w:val="00464D9F"/>
    <w:rsid w:val="0046501F"/>
    <w:rsid w:val="00465174"/>
    <w:rsid w:val="0046575B"/>
    <w:rsid w:val="00465BB0"/>
    <w:rsid w:val="00465E83"/>
    <w:rsid w:val="00466062"/>
    <w:rsid w:val="00466176"/>
    <w:rsid w:val="00466319"/>
    <w:rsid w:val="00466509"/>
    <w:rsid w:val="004669D2"/>
    <w:rsid w:val="00466E75"/>
    <w:rsid w:val="0046721C"/>
    <w:rsid w:val="004677DE"/>
    <w:rsid w:val="00467CA9"/>
    <w:rsid w:val="004703EB"/>
    <w:rsid w:val="0047072A"/>
    <w:rsid w:val="00470CEE"/>
    <w:rsid w:val="00470D2A"/>
    <w:rsid w:val="004711FF"/>
    <w:rsid w:val="004714F0"/>
    <w:rsid w:val="00471B84"/>
    <w:rsid w:val="00471F59"/>
    <w:rsid w:val="004726F5"/>
    <w:rsid w:val="00472B1D"/>
    <w:rsid w:val="00472CC0"/>
    <w:rsid w:val="00472F5A"/>
    <w:rsid w:val="00473131"/>
    <w:rsid w:val="00473EAC"/>
    <w:rsid w:val="004741DD"/>
    <w:rsid w:val="00474E90"/>
    <w:rsid w:val="004750B3"/>
    <w:rsid w:val="004754D4"/>
    <w:rsid w:val="004757BA"/>
    <w:rsid w:val="00475F8A"/>
    <w:rsid w:val="0047630C"/>
    <w:rsid w:val="00476812"/>
    <w:rsid w:val="004768DB"/>
    <w:rsid w:val="00476B69"/>
    <w:rsid w:val="00476F60"/>
    <w:rsid w:val="00477212"/>
    <w:rsid w:val="00477638"/>
    <w:rsid w:val="00477848"/>
    <w:rsid w:val="00477B2F"/>
    <w:rsid w:val="004801E3"/>
    <w:rsid w:val="004806DC"/>
    <w:rsid w:val="00480A51"/>
    <w:rsid w:val="00480C61"/>
    <w:rsid w:val="00480EB3"/>
    <w:rsid w:val="00481387"/>
    <w:rsid w:val="004814D1"/>
    <w:rsid w:val="00481D2C"/>
    <w:rsid w:val="0048238E"/>
    <w:rsid w:val="0048273F"/>
    <w:rsid w:val="00483104"/>
    <w:rsid w:val="00483295"/>
    <w:rsid w:val="00483428"/>
    <w:rsid w:val="0048357A"/>
    <w:rsid w:val="00483CEA"/>
    <w:rsid w:val="00484198"/>
    <w:rsid w:val="00484697"/>
    <w:rsid w:val="00485000"/>
    <w:rsid w:val="00485262"/>
    <w:rsid w:val="00485739"/>
    <w:rsid w:val="004864B6"/>
    <w:rsid w:val="00486715"/>
    <w:rsid w:val="00486D51"/>
    <w:rsid w:val="00486F32"/>
    <w:rsid w:val="004875C8"/>
    <w:rsid w:val="004876C9"/>
    <w:rsid w:val="004876E4"/>
    <w:rsid w:val="004876ED"/>
    <w:rsid w:val="0048774D"/>
    <w:rsid w:val="00490419"/>
    <w:rsid w:val="004905FE"/>
    <w:rsid w:val="00490860"/>
    <w:rsid w:val="004912E3"/>
    <w:rsid w:val="0049143D"/>
    <w:rsid w:val="00491DEE"/>
    <w:rsid w:val="00492011"/>
    <w:rsid w:val="00492F53"/>
    <w:rsid w:val="00492F72"/>
    <w:rsid w:val="0049351F"/>
    <w:rsid w:val="00493E89"/>
    <w:rsid w:val="004942B9"/>
    <w:rsid w:val="00494381"/>
    <w:rsid w:val="004946A5"/>
    <w:rsid w:val="00494F77"/>
    <w:rsid w:val="00494FB3"/>
    <w:rsid w:val="004950A8"/>
    <w:rsid w:val="00495235"/>
    <w:rsid w:val="004953B2"/>
    <w:rsid w:val="0049546E"/>
    <w:rsid w:val="00495D5C"/>
    <w:rsid w:val="00495E43"/>
    <w:rsid w:val="0049640F"/>
    <w:rsid w:val="00496428"/>
    <w:rsid w:val="004967F9"/>
    <w:rsid w:val="00496CE3"/>
    <w:rsid w:val="004970D8"/>
    <w:rsid w:val="0049779A"/>
    <w:rsid w:val="004977D9"/>
    <w:rsid w:val="00497869"/>
    <w:rsid w:val="00497EF4"/>
    <w:rsid w:val="00497F37"/>
    <w:rsid w:val="004A030E"/>
    <w:rsid w:val="004A074D"/>
    <w:rsid w:val="004A080D"/>
    <w:rsid w:val="004A0872"/>
    <w:rsid w:val="004A0A64"/>
    <w:rsid w:val="004A0B0A"/>
    <w:rsid w:val="004A112A"/>
    <w:rsid w:val="004A2021"/>
    <w:rsid w:val="004A25EE"/>
    <w:rsid w:val="004A2716"/>
    <w:rsid w:val="004A2BB3"/>
    <w:rsid w:val="004A3220"/>
    <w:rsid w:val="004A3332"/>
    <w:rsid w:val="004A3DBF"/>
    <w:rsid w:val="004A4074"/>
    <w:rsid w:val="004A4301"/>
    <w:rsid w:val="004A52A9"/>
    <w:rsid w:val="004A59C8"/>
    <w:rsid w:val="004A5C1E"/>
    <w:rsid w:val="004A6494"/>
    <w:rsid w:val="004A673C"/>
    <w:rsid w:val="004A6C61"/>
    <w:rsid w:val="004A6EA3"/>
    <w:rsid w:val="004A7432"/>
    <w:rsid w:val="004A7A2F"/>
    <w:rsid w:val="004B0297"/>
    <w:rsid w:val="004B04AF"/>
    <w:rsid w:val="004B10C8"/>
    <w:rsid w:val="004B14CA"/>
    <w:rsid w:val="004B1E08"/>
    <w:rsid w:val="004B1E94"/>
    <w:rsid w:val="004B24C1"/>
    <w:rsid w:val="004B25E0"/>
    <w:rsid w:val="004B298D"/>
    <w:rsid w:val="004B2A47"/>
    <w:rsid w:val="004B2AB2"/>
    <w:rsid w:val="004B2BB7"/>
    <w:rsid w:val="004B2DDA"/>
    <w:rsid w:val="004B343A"/>
    <w:rsid w:val="004B3523"/>
    <w:rsid w:val="004B3A98"/>
    <w:rsid w:val="004B3F1F"/>
    <w:rsid w:val="004B4188"/>
    <w:rsid w:val="004B4443"/>
    <w:rsid w:val="004B468F"/>
    <w:rsid w:val="004B4EB8"/>
    <w:rsid w:val="004B5396"/>
    <w:rsid w:val="004B57EE"/>
    <w:rsid w:val="004B6028"/>
    <w:rsid w:val="004B61E6"/>
    <w:rsid w:val="004B621D"/>
    <w:rsid w:val="004B63D9"/>
    <w:rsid w:val="004B6718"/>
    <w:rsid w:val="004B6A46"/>
    <w:rsid w:val="004B6FB3"/>
    <w:rsid w:val="004B7312"/>
    <w:rsid w:val="004B7858"/>
    <w:rsid w:val="004B7C02"/>
    <w:rsid w:val="004C10E6"/>
    <w:rsid w:val="004C1314"/>
    <w:rsid w:val="004C188F"/>
    <w:rsid w:val="004C1EFF"/>
    <w:rsid w:val="004C2166"/>
    <w:rsid w:val="004C2DA3"/>
    <w:rsid w:val="004C2EA9"/>
    <w:rsid w:val="004C3034"/>
    <w:rsid w:val="004C3086"/>
    <w:rsid w:val="004C3087"/>
    <w:rsid w:val="004C35C3"/>
    <w:rsid w:val="004C3C11"/>
    <w:rsid w:val="004C3D0A"/>
    <w:rsid w:val="004C40A2"/>
    <w:rsid w:val="004C40B2"/>
    <w:rsid w:val="004C4151"/>
    <w:rsid w:val="004C4580"/>
    <w:rsid w:val="004C4A5D"/>
    <w:rsid w:val="004C519C"/>
    <w:rsid w:val="004C5349"/>
    <w:rsid w:val="004C53FA"/>
    <w:rsid w:val="004C5A75"/>
    <w:rsid w:val="004C687A"/>
    <w:rsid w:val="004C6A1A"/>
    <w:rsid w:val="004C739D"/>
    <w:rsid w:val="004C78B9"/>
    <w:rsid w:val="004C7ADC"/>
    <w:rsid w:val="004C7DBD"/>
    <w:rsid w:val="004C7EEA"/>
    <w:rsid w:val="004D0039"/>
    <w:rsid w:val="004D0214"/>
    <w:rsid w:val="004D0316"/>
    <w:rsid w:val="004D031B"/>
    <w:rsid w:val="004D0899"/>
    <w:rsid w:val="004D0D06"/>
    <w:rsid w:val="004D11DF"/>
    <w:rsid w:val="004D1588"/>
    <w:rsid w:val="004D1727"/>
    <w:rsid w:val="004D19CD"/>
    <w:rsid w:val="004D1D2F"/>
    <w:rsid w:val="004D256D"/>
    <w:rsid w:val="004D26F4"/>
    <w:rsid w:val="004D272B"/>
    <w:rsid w:val="004D28A3"/>
    <w:rsid w:val="004D36EC"/>
    <w:rsid w:val="004D3C23"/>
    <w:rsid w:val="004D3C89"/>
    <w:rsid w:val="004D443A"/>
    <w:rsid w:val="004D57BD"/>
    <w:rsid w:val="004D5CEF"/>
    <w:rsid w:val="004D65A1"/>
    <w:rsid w:val="004D65C1"/>
    <w:rsid w:val="004D6707"/>
    <w:rsid w:val="004D6FC4"/>
    <w:rsid w:val="004D735D"/>
    <w:rsid w:val="004D7A8D"/>
    <w:rsid w:val="004D7D17"/>
    <w:rsid w:val="004E0385"/>
    <w:rsid w:val="004E0878"/>
    <w:rsid w:val="004E0FBC"/>
    <w:rsid w:val="004E1146"/>
    <w:rsid w:val="004E122A"/>
    <w:rsid w:val="004E1469"/>
    <w:rsid w:val="004E1767"/>
    <w:rsid w:val="004E188F"/>
    <w:rsid w:val="004E197A"/>
    <w:rsid w:val="004E1B7F"/>
    <w:rsid w:val="004E249B"/>
    <w:rsid w:val="004E2621"/>
    <w:rsid w:val="004E28CB"/>
    <w:rsid w:val="004E28EE"/>
    <w:rsid w:val="004E2B58"/>
    <w:rsid w:val="004E2B9D"/>
    <w:rsid w:val="004E2C35"/>
    <w:rsid w:val="004E2D06"/>
    <w:rsid w:val="004E3146"/>
    <w:rsid w:val="004E374C"/>
    <w:rsid w:val="004E3932"/>
    <w:rsid w:val="004E4115"/>
    <w:rsid w:val="004E4373"/>
    <w:rsid w:val="004E446E"/>
    <w:rsid w:val="004E489A"/>
    <w:rsid w:val="004E49B1"/>
    <w:rsid w:val="004E52C5"/>
    <w:rsid w:val="004E5BFA"/>
    <w:rsid w:val="004E61F5"/>
    <w:rsid w:val="004E668A"/>
    <w:rsid w:val="004E6BF5"/>
    <w:rsid w:val="004E70FF"/>
    <w:rsid w:val="004E7D5F"/>
    <w:rsid w:val="004E7F78"/>
    <w:rsid w:val="004F0191"/>
    <w:rsid w:val="004F0716"/>
    <w:rsid w:val="004F0B2C"/>
    <w:rsid w:val="004F0B88"/>
    <w:rsid w:val="004F0D20"/>
    <w:rsid w:val="004F0F01"/>
    <w:rsid w:val="004F1521"/>
    <w:rsid w:val="004F166B"/>
    <w:rsid w:val="004F17E5"/>
    <w:rsid w:val="004F18C6"/>
    <w:rsid w:val="004F1BDF"/>
    <w:rsid w:val="004F24EA"/>
    <w:rsid w:val="004F26DC"/>
    <w:rsid w:val="004F2A18"/>
    <w:rsid w:val="004F2CA1"/>
    <w:rsid w:val="004F2ECE"/>
    <w:rsid w:val="004F34C1"/>
    <w:rsid w:val="004F368D"/>
    <w:rsid w:val="004F3980"/>
    <w:rsid w:val="004F3983"/>
    <w:rsid w:val="004F3EB0"/>
    <w:rsid w:val="004F409A"/>
    <w:rsid w:val="004F4210"/>
    <w:rsid w:val="004F48FD"/>
    <w:rsid w:val="004F6087"/>
    <w:rsid w:val="004F67FC"/>
    <w:rsid w:val="004F7591"/>
    <w:rsid w:val="004F7625"/>
    <w:rsid w:val="004F7833"/>
    <w:rsid w:val="004F7903"/>
    <w:rsid w:val="00500E91"/>
    <w:rsid w:val="005010EB"/>
    <w:rsid w:val="005020F1"/>
    <w:rsid w:val="0050298D"/>
    <w:rsid w:val="00502C7F"/>
    <w:rsid w:val="00502ECF"/>
    <w:rsid w:val="00503580"/>
    <w:rsid w:val="005037DE"/>
    <w:rsid w:val="00505735"/>
    <w:rsid w:val="00505805"/>
    <w:rsid w:val="005059F1"/>
    <w:rsid w:val="00505A2A"/>
    <w:rsid w:val="00506487"/>
    <w:rsid w:val="00506AFB"/>
    <w:rsid w:val="00507265"/>
    <w:rsid w:val="005072F6"/>
    <w:rsid w:val="005073B1"/>
    <w:rsid w:val="00507794"/>
    <w:rsid w:val="005079DB"/>
    <w:rsid w:val="005106CA"/>
    <w:rsid w:val="005107CA"/>
    <w:rsid w:val="00510975"/>
    <w:rsid w:val="00510FB8"/>
    <w:rsid w:val="00511177"/>
    <w:rsid w:val="00511374"/>
    <w:rsid w:val="00511508"/>
    <w:rsid w:val="00511AB3"/>
    <w:rsid w:val="00511C3A"/>
    <w:rsid w:val="00511D43"/>
    <w:rsid w:val="00511F17"/>
    <w:rsid w:val="00512B05"/>
    <w:rsid w:val="00512B9A"/>
    <w:rsid w:val="00512CB1"/>
    <w:rsid w:val="0051318C"/>
    <w:rsid w:val="005137E9"/>
    <w:rsid w:val="005137FB"/>
    <w:rsid w:val="0051419C"/>
    <w:rsid w:val="00514206"/>
    <w:rsid w:val="005145A6"/>
    <w:rsid w:val="00514CBC"/>
    <w:rsid w:val="00514D7A"/>
    <w:rsid w:val="00514E68"/>
    <w:rsid w:val="00515966"/>
    <w:rsid w:val="00515F4F"/>
    <w:rsid w:val="00516155"/>
    <w:rsid w:val="00517431"/>
    <w:rsid w:val="0051773E"/>
    <w:rsid w:val="0051775F"/>
    <w:rsid w:val="00517E4E"/>
    <w:rsid w:val="00517E4F"/>
    <w:rsid w:val="0052020A"/>
    <w:rsid w:val="005203DA"/>
    <w:rsid w:val="00520977"/>
    <w:rsid w:val="00520E70"/>
    <w:rsid w:val="0052113B"/>
    <w:rsid w:val="00521418"/>
    <w:rsid w:val="005214C6"/>
    <w:rsid w:val="005215B0"/>
    <w:rsid w:val="00521659"/>
    <w:rsid w:val="00521812"/>
    <w:rsid w:val="0052194E"/>
    <w:rsid w:val="005219E5"/>
    <w:rsid w:val="00521E45"/>
    <w:rsid w:val="00522063"/>
    <w:rsid w:val="005224C0"/>
    <w:rsid w:val="00523707"/>
    <w:rsid w:val="005238C2"/>
    <w:rsid w:val="0052393A"/>
    <w:rsid w:val="00523BA6"/>
    <w:rsid w:val="00524026"/>
    <w:rsid w:val="00524260"/>
    <w:rsid w:val="0052460C"/>
    <w:rsid w:val="0052474A"/>
    <w:rsid w:val="005247DE"/>
    <w:rsid w:val="00524E52"/>
    <w:rsid w:val="00524EBC"/>
    <w:rsid w:val="00524EC6"/>
    <w:rsid w:val="00525636"/>
    <w:rsid w:val="005256AC"/>
    <w:rsid w:val="005257C2"/>
    <w:rsid w:val="00525B86"/>
    <w:rsid w:val="00525E2C"/>
    <w:rsid w:val="005271D3"/>
    <w:rsid w:val="0052750C"/>
    <w:rsid w:val="00527924"/>
    <w:rsid w:val="00527DA0"/>
    <w:rsid w:val="00527E63"/>
    <w:rsid w:val="00530C64"/>
    <w:rsid w:val="0053137A"/>
    <w:rsid w:val="00532F1F"/>
    <w:rsid w:val="005336E3"/>
    <w:rsid w:val="0053384A"/>
    <w:rsid w:val="00533B72"/>
    <w:rsid w:val="00533E1F"/>
    <w:rsid w:val="005348D1"/>
    <w:rsid w:val="00535250"/>
    <w:rsid w:val="0053537A"/>
    <w:rsid w:val="005354D2"/>
    <w:rsid w:val="00535636"/>
    <w:rsid w:val="005357E1"/>
    <w:rsid w:val="00535B09"/>
    <w:rsid w:val="00535C47"/>
    <w:rsid w:val="0053661F"/>
    <w:rsid w:val="00536929"/>
    <w:rsid w:val="00536D42"/>
    <w:rsid w:val="00536E2F"/>
    <w:rsid w:val="00537240"/>
    <w:rsid w:val="00537964"/>
    <w:rsid w:val="00537AD0"/>
    <w:rsid w:val="00537C9A"/>
    <w:rsid w:val="00540D4A"/>
    <w:rsid w:val="00540F4A"/>
    <w:rsid w:val="0054133D"/>
    <w:rsid w:val="00541403"/>
    <w:rsid w:val="005415D2"/>
    <w:rsid w:val="00541B38"/>
    <w:rsid w:val="0054287F"/>
    <w:rsid w:val="005432A2"/>
    <w:rsid w:val="005435EB"/>
    <w:rsid w:val="00543A8B"/>
    <w:rsid w:val="00543E65"/>
    <w:rsid w:val="005447D1"/>
    <w:rsid w:val="005451D4"/>
    <w:rsid w:val="0054596C"/>
    <w:rsid w:val="00546585"/>
    <w:rsid w:val="005465BB"/>
    <w:rsid w:val="0054691B"/>
    <w:rsid w:val="00546EBC"/>
    <w:rsid w:val="0054739B"/>
    <w:rsid w:val="00550564"/>
    <w:rsid w:val="00550741"/>
    <w:rsid w:val="00550CD9"/>
    <w:rsid w:val="00550E0A"/>
    <w:rsid w:val="0055173B"/>
    <w:rsid w:val="00552DAC"/>
    <w:rsid w:val="00553816"/>
    <w:rsid w:val="0055381A"/>
    <w:rsid w:val="00554B60"/>
    <w:rsid w:val="00554E88"/>
    <w:rsid w:val="00555016"/>
    <w:rsid w:val="00556662"/>
    <w:rsid w:val="00556C39"/>
    <w:rsid w:val="00556CBD"/>
    <w:rsid w:val="005571E0"/>
    <w:rsid w:val="0055795C"/>
    <w:rsid w:val="00557B92"/>
    <w:rsid w:val="00557CD3"/>
    <w:rsid w:val="0056007B"/>
    <w:rsid w:val="00560673"/>
    <w:rsid w:val="005622C0"/>
    <w:rsid w:val="005622C9"/>
    <w:rsid w:val="005624B8"/>
    <w:rsid w:val="005627C9"/>
    <w:rsid w:val="00563A5C"/>
    <w:rsid w:val="00564436"/>
    <w:rsid w:val="005651FB"/>
    <w:rsid w:val="00565877"/>
    <w:rsid w:val="00565B98"/>
    <w:rsid w:val="00565F5F"/>
    <w:rsid w:val="00565FBE"/>
    <w:rsid w:val="00565FDC"/>
    <w:rsid w:val="00566430"/>
    <w:rsid w:val="005664A1"/>
    <w:rsid w:val="005664E0"/>
    <w:rsid w:val="00566E5E"/>
    <w:rsid w:val="00567587"/>
    <w:rsid w:val="005679C6"/>
    <w:rsid w:val="00567AC1"/>
    <w:rsid w:val="00567B75"/>
    <w:rsid w:val="0057086A"/>
    <w:rsid w:val="005710F2"/>
    <w:rsid w:val="005711AA"/>
    <w:rsid w:val="00571582"/>
    <w:rsid w:val="0057169F"/>
    <w:rsid w:val="005716EC"/>
    <w:rsid w:val="005720C7"/>
    <w:rsid w:val="005726C9"/>
    <w:rsid w:val="00572B16"/>
    <w:rsid w:val="00573037"/>
    <w:rsid w:val="00573241"/>
    <w:rsid w:val="00573285"/>
    <w:rsid w:val="00573290"/>
    <w:rsid w:val="005734CC"/>
    <w:rsid w:val="00573517"/>
    <w:rsid w:val="00573604"/>
    <w:rsid w:val="00573A3F"/>
    <w:rsid w:val="005747E1"/>
    <w:rsid w:val="00574822"/>
    <w:rsid w:val="005749D9"/>
    <w:rsid w:val="00574BA7"/>
    <w:rsid w:val="00574EF2"/>
    <w:rsid w:val="00575E3E"/>
    <w:rsid w:val="005763D6"/>
    <w:rsid w:val="005772C2"/>
    <w:rsid w:val="00577B8C"/>
    <w:rsid w:val="00577D13"/>
    <w:rsid w:val="005801EA"/>
    <w:rsid w:val="00580BD4"/>
    <w:rsid w:val="00580F73"/>
    <w:rsid w:val="00581380"/>
    <w:rsid w:val="00581511"/>
    <w:rsid w:val="005815F3"/>
    <w:rsid w:val="0058169E"/>
    <w:rsid w:val="00581940"/>
    <w:rsid w:val="00582084"/>
    <w:rsid w:val="005831E0"/>
    <w:rsid w:val="00583385"/>
    <w:rsid w:val="00583D7F"/>
    <w:rsid w:val="00583F6F"/>
    <w:rsid w:val="005846A7"/>
    <w:rsid w:val="00584C56"/>
    <w:rsid w:val="00584F34"/>
    <w:rsid w:val="005851EE"/>
    <w:rsid w:val="00585565"/>
    <w:rsid w:val="005858FD"/>
    <w:rsid w:val="005859B6"/>
    <w:rsid w:val="00585CAF"/>
    <w:rsid w:val="00585DA0"/>
    <w:rsid w:val="00585E39"/>
    <w:rsid w:val="0058647A"/>
    <w:rsid w:val="005868B7"/>
    <w:rsid w:val="00586F4D"/>
    <w:rsid w:val="00587393"/>
    <w:rsid w:val="005876FF"/>
    <w:rsid w:val="005878AE"/>
    <w:rsid w:val="005902F4"/>
    <w:rsid w:val="005903C3"/>
    <w:rsid w:val="005904D0"/>
    <w:rsid w:val="00590862"/>
    <w:rsid w:val="00590A31"/>
    <w:rsid w:val="00590B7F"/>
    <w:rsid w:val="005912E8"/>
    <w:rsid w:val="00591692"/>
    <w:rsid w:val="00591BA3"/>
    <w:rsid w:val="00591F63"/>
    <w:rsid w:val="0059240C"/>
    <w:rsid w:val="00592CF8"/>
    <w:rsid w:val="0059307B"/>
    <w:rsid w:val="005938FD"/>
    <w:rsid w:val="00593CE0"/>
    <w:rsid w:val="00593E29"/>
    <w:rsid w:val="00594161"/>
    <w:rsid w:val="0059416B"/>
    <w:rsid w:val="0059465D"/>
    <w:rsid w:val="005946B1"/>
    <w:rsid w:val="00594833"/>
    <w:rsid w:val="0059485A"/>
    <w:rsid w:val="0059486A"/>
    <w:rsid w:val="00594D4F"/>
    <w:rsid w:val="00595412"/>
    <w:rsid w:val="00595517"/>
    <w:rsid w:val="00596717"/>
    <w:rsid w:val="00596CED"/>
    <w:rsid w:val="0059764E"/>
    <w:rsid w:val="00597A71"/>
    <w:rsid w:val="005A0E70"/>
    <w:rsid w:val="005A1260"/>
    <w:rsid w:val="005A182C"/>
    <w:rsid w:val="005A1D4F"/>
    <w:rsid w:val="005A244C"/>
    <w:rsid w:val="005A24DC"/>
    <w:rsid w:val="005A2DB8"/>
    <w:rsid w:val="005A313E"/>
    <w:rsid w:val="005A333D"/>
    <w:rsid w:val="005A3392"/>
    <w:rsid w:val="005A3741"/>
    <w:rsid w:val="005A3749"/>
    <w:rsid w:val="005A375E"/>
    <w:rsid w:val="005A3AC7"/>
    <w:rsid w:val="005A42B6"/>
    <w:rsid w:val="005A45FB"/>
    <w:rsid w:val="005A463D"/>
    <w:rsid w:val="005A495C"/>
    <w:rsid w:val="005A4B2E"/>
    <w:rsid w:val="005A4C43"/>
    <w:rsid w:val="005A6507"/>
    <w:rsid w:val="005A72CC"/>
    <w:rsid w:val="005A7336"/>
    <w:rsid w:val="005A7C26"/>
    <w:rsid w:val="005A7E05"/>
    <w:rsid w:val="005A7E3C"/>
    <w:rsid w:val="005B03CE"/>
    <w:rsid w:val="005B1030"/>
    <w:rsid w:val="005B1321"/>
    <w:rsid w:val="005B19CC"/>
    <w:rsid w:val="005B1E96"/>
    <w:rsid w:val="005B1F43"/>
    <w:rsid w:val="005B2439"/>
    <w:rsid w:val="005B2B8D"/>
    <w:rsid w:val="005B2DAB"/>
    <w:rsid w:val="005B3E9C"/>
    <w:rsid w:val="005B4165"/>
    <w:rsid w:val="005B4302"/>
    <w:rsid w:val="005B43D4"/>
    <w:rsid w:val="005B45A3"/>
    <w:rsid w:val="005B4EEF"/>
    <w:rsid w:val="005B4FB6"/>
    <w:rsid w:val="005B5F43"/>
    <w:rsid w:val="005B638C"/>
    <w:rsid w:val="005B66D7"/>
    <w:rsid w:val="005B6E26"/>
    <w:rsid w:val="005B6FD7"/>
    <w:rsid w:val="005B70B0"/>
    <w:rsid w:val="005B7490"/>
    <w:rsid w:val="005B7868"/>
    <w:rsid w:val="005B786B"/>
    <w:rsid w:val="005B7ADD"/>
    <w:rsid w:val="005B7D09"/>
    <w:rsid w:val="005B7D3C"/>
    <w:rsid w:val="005B7D9F"/>
    <w:rsid w:val="005C007F"/>
    <w:rsid w:val="005C0C9E"/>
    <w:rsid w:val="005C10EB"/>
    <w:rsid w:val="005C1A89"/>
    <w:rsid w:val="005C1CFD"/>
    <w:rsid w:val="005C259F"/>
    <w:rsid w:val="005C2702"/>
    <w:rsid w:val="005C2709"/>
    <w:rsid w:val="005C28C1"/>
    <w:rsid w:val="005C299C"/>
    <w:rsid w:val="005C2BA6"/>
    <w:rsid w:val="005C2FE0"/>
    <w:rsid w:val="005C307D"/>
    <w:rsid w:val="005C3624"/>
    <w:rsid w:val="005C46CB"/>
    <w:rsid w:val="005C4703"/>
    <w:rsid w:val="005C5878"/>
    <w:rsid w:val="005C5DFF"/>
    <w:rsid w:val="005C645D"/>
    <w:rsid w:val="005C6490"/>
    <w:rsid w:val="005C655B"/>
    <w:rsid w:val="005C6F59"/>
    <w:rsid w:val="005C7251"/>
    <w:rsid w:val="005C7A90"/>
    <w:rsid w:val="005C7E35"/>
    <w:rsid w:val="005D03B4"/>
    <w:rsid w:val="005D0930"/>
    <w:rsid w:val="005D0F59"/>
    <w:rsid w:val="005D1036"/>
    <w:rsid w:val="005D1C4E"/>
    <w:rsid w:val="005D2101"/>
    <w:rsid w:val="005D2828"/>
    <w:rsid w:val="005D2E05"/>
    <w:rsid w:val="005D3192"/>
    <w:rsid w:val="005D32EE"/>
    <w:rsid w:val="005D4211"/>
    <w:rsid w:val="005D46B8"/>
    <w:rsid w:val="005D4818"/>
    <w:rsid w:val="005D4955"/>
    <w:rsid w:val="005D4F4A"/>
    <w:rsid w:val="005D4FAC"/>
    <w:rsid w:val="005D5143"/>
    <w:rsid w:val="005D612A"/>
    <w:rsid w:val="005D6326"/>
    <w:rsid w:val="005D6357"/>
    <w:rsid w:val="005D66DD"/>
    <w:rsid w:val="005D6BBB"/>
    <w:rsid w:val="005D71E3"/>
    <w:rsid w:val="005D7BD3"/>
    <w:rsid w:val="005D7D73"/>
    <w:rsid w:val="005E01DC"/>
    <w:rsid w:val="005E06CC"/>
    <w:rsid w:val="005E086D"/>
    <w:rsid w:val="005E096C"/>
    <w:rsid w:val="005E0B91"/>
    <w:rsid w:val="005E0C17"/>
    <w:rsid w:val="005E0C62"/>
    <w:rsid w:val="005E14B8"/>
    <w:rsid w:val="005E157C"/>
    <w:rsid w:val="005E17BA"/>
    <w:rsid w:val="005E1DA2"/>
    <w:rsid w:val="005E1DC2"/>
    <w:rsid w:val="005E21F1"/>
    <w:rsid w:val="005E3BFA"/>
    <w:rsid w:val="005E45C9"/>
    <w:rsid w:val="005E4B21"/>
    <w:rsid w:val="005E4E24"/>
    <w:rsid w:val="005E55B9"/>
    <w:rsid w:val="005E5951"/>
    <w:rsid w:val="005E5A3F"/>
    <w:rsid w:val="005E64EE"/>
    <w:rsid w:val="005E66BE"/>
    <w:rsid w:val="005E6B5C"/>
    <w:rsid w:val="005E7202"/>
    <w:rsid w:val="005E7429"/>
    <w:rsid w:val="005E7E11"/>
    <w:rsid w:val="005F06A4"/>
    <w:rsid w:val="005F0E1E"/>
    <w:rsid w:val="005F1239"/>
    <w:rsid w:val="005F1C44"/>
    <w:rsid w:val="005F1F95"/>
    <w:rsid w:val="005F284C"/>
    <w:rsid w:val="005F29A9"/>
    <w:rsid w:val="005F30D0"/>
    <w:rsid w:val="005F30DE"/>
    <w:rsid w:val="005F3300"/>
    <w:rsid w:val="005F3B4D"/>
    <w:rsid w:val="005F3BA5"/>
    <w:rsid w:val="005F40DF"/>
    <w:rsid w:val="005F45A7"/>
    <w:rsid w:val="005F462B"/>
    <w:rsid w:val="005F4DBA"/>
    <w:rsid w:val="005F4DBE"/>
    <w:rsid w:val="005F5A7A"/>
    <w:rsid w:val="005F5BE1"/>
    <w:rsid w:val="005F62BC"/>
    <w:rsid w:val="005F65B5"/>
    <w:rsid w:val="005F750E"/>
    <w:rsid w:val="005F7E2B"/>
    <w:rsid w:val="005F7E2D"/>
    <w:rsid w:val="00600022"/>
    <w:rsid w:val="00600193"/>
    <w:rsid w:val="0060033B"/>
    <w:rsid w:val="0060053D"/>
    <w:rsid w:val="006008AA"/>
    <w:rsid w:val="00600A67"/>
    <w:rsid w:val="00600BED"/>
    <w:rsid w:val="00600C08"/>
    <w:rsid w:val="006013AB"/>
    <w:rsid w:val="0060158B"/>
    <w:rsid w:val="00601EFD"/>
    <w:rsid w:val="00602094"/>
    <w:rsid w:val="00602944"/>
    <w:rsid w:val="00602B11"/>
    <w:rsid w:val="0060383A"/>
    <w:rsid w:val="00603BF1"/>
    <w:rsid w:val="00603CCE"/>
    <w:rsid w:val="00604193"/>
    <w:rsid w:val="00604506"/>
    <w:rsid w:val="00604CEB"/>
    <w:rsid w:val="00604DFC"/>
    <w:rsid w:val="00604E2E"/>
    <w:rsid w:val="006058C4"/>
    <w:rsid w:val="00605F5D"/>
    <w:rsid w:val="00606BB0"/>
    <w:rsid w:val="00606E35"/>
    <w:rsid w:val="00607309"/>
    <w:rsid w:val="00607735"/>
    <w:rsid w:val="006078C6"/>
    <w:rsid w:val="006079D5"/>
    <w:rsid w:val="00607BE9"/>
    <w:rsid w:val="00610F2C"/>
    <w:rsid w:val="00611E82"/>
    <w:rsid w:val="00611F44"/>
    <w:rsid w:val="00611F47"/>
    <w:rsid w:val="0061214B"/>
    <w:rsid w:val="00612D0D"/>
    <w:rsid w:val="00614D0A"/>
    <w:rsid w:val="006155DF"/>
    <w:rsid w:val="00615811"/>
    <w:rsid w:val="00616025"/>
    <w:rsid w:val="006165D9"/>
    <w:rsid w:val="00616C95"/>
    <w:rsid w:val="0061787A"/>
    <w:rsid w:val="006200FD"/>
    <w:rsid w:val="00620272"/>
    <w:rsid w:val="006206D0"/>
    <w:rsid w:val="006208B1"/>
    <w:rsid w:val="00620C4C"/>
    <w:rsid w:val="006212DD"/>
    <w:rsid w:val="00621766"/>
    <w:rsid w:val="00621DA7"/>
    <w:rsid w:val="00622C67"/>
    <w:rsid w:val="00622F50"/>
    <w:rsid w:val="006234FA"/>
    <w:rsid w:val="0062381F"/>
    <w:rsid w:val="006238AE"/>
    <w:rsid w:val="00624763"/>
    <w:rsid w:val="00624A85"/>
    <w:rsid w:val="00624B08"/>
    <w:rsid w:val="00624DDD"/>
    <w:rsid w:val="00625084"/>
    <w:rsid w:val="0062547A"/>
    <w:rsid w:val="00625ADD"/>
    <w:rsid w:val="00625EE1"/>
    <w:rsid w:val="00626DC3"/>
    <w:rsid w:val="0062701F"/>
    <w:rsid w:val="00627304"/>
    <w:rsid w:val="00627848"/>
    <w:rsid w:val="00627A24"/>
    <w:rsid w:val="00627D39"/>
    <w:rsid w:val="00630353"/>
    <w:rsid w:val="00630943"/>
    <w:rsid w:val="00630F79"/>
    <w:rsid w:val="00631524"/>
    <w:rsid w:val="00631CA2"/>
    <w:rsid w:val="00632155"/>
    <w:rsid w:val="006321CB"/>
    <w:rsid w:val="00632715"/>
    <w:rsid w:val="006327A0"/>
    <w:rsid w:val="006338AA"/>
    <w:rsid w:val="0063496B"/>
    <w:rsid w:val="00635822"/>
    <w:rsid w:val="00635830"/>
    <w:rsid w:val="006359A0"/>
    <w:rsid w:val="00635C25"/>
    <w:rsid w:val="0063614F"/>
    <w:rsid w:val="0063658A"/>
    <w:rsid w:val="006365AE"/>
    <w:rsid w:val="006366F4"/>
    <w:rsid w:val="006369FA"/>
    <w:rsid w:val="00637586"/>
    <w:rsid w:val="006375FD"/>
    <w:rsid w:val="00640906"/>
    <w:rsid w:val="00640FC9"/>
    <w:rsid w:val="00641735"/>
    <w:rsid w:val="00641CA9"/>
    <w:rsid w:val="00641FEC"/>
    <w:rsid w:val="0064237A"/>
    <w:rsid w:val="0064259C"/>
    <w:rsid w:val="00642907"/>
    <w:rsid w:val="0064298D"/>
    <w:rsid w:val="00643164"/>
    <w:rsid w:val="0064363A"/>
    <w:rsid w:val="006438DB"/>
    <w:rsid w:val="00644B82"/>
    <w:rsid w:val="00644C28"/>
    <w:rsid w:val="00644C95"/>
    <w:rsid w:val="006458DC"/>
    <w:rsid w:val="006459B0"/>
    <w:rsid w:val="00645BB9"/>
    <w:rsid w:val="00645BC6"/>
    <w:rsid w:val="00645DA8"/>
    <w:rsid w:val="0064642A"/>
    <w:rsid w:val="00646E93"/>
    <w:rsid w:val="006472BA"/>
    <w:rsid w:val="00647CEF"/>
    <w:rsid w:val="006502BE"/>
    <w:rsid w:val="00651271"/>
    <w:rsid w:val="006512FB"/>
    <w:rsid w:val="00651F22"/>
    <w:rsid w:val="00651F7E"/>
    <w:rsid w:val="006532CA"/>
    <w:rsid w:val="00653B76"/>
    <w:rsid w:val="00653D26"/>
    <w:rsid w:val="0065408E"/>
    <w:rsid w:val="00654666"/>
    <w:rsid w:val="00654908"/>
    <w:rsid w:val="00654B9A"/>
    <w:rsid w:val="00654FB6"/>
    <w:rsid w:val="006550D8"/>
    <w:rsid w:val="006553F0"/>
    <w:rsid w:val="006555DF"/>
    <w:rsid w:val="0065566A"/>
    <w:rsid w:val="0065587B"/>
    <w:rsid w:val="00655C75"/>
    <w:rsid w:val="00656A0C"/>
    <w:rsid w:val="00656C29"/>
    <w:rsid w:val="006571DB"/>
    <w:rsid w:val="00657253"/>
    <w:rsid w:val="00657688"/>
    <w:rsid w:val="00657784"/>
    <w:rsid w:val="0065781E"/>
    <w:rsid w:val="00657854"/>
    <w:rsid w:val="00657894"/>
    <w:rsid w:val="00657D43"/>
    <w:rsid w:val="00657E13"/>
    <w:rsid w:val="00657FF2"/>
    <w:rsid w:val="006600AE"/>
    <w:rsid w:val="0066041F"/>
    <w:rsid w:val="0066043D"/>
    <w:rsid w:val="00660484"/>
    <w:rsid w:val="006609F0"/>
    <w:rsid w:val="00661C60"/>
    <w:rsid w:val="00662113"/>
    <w:rsid w:val="00662161"/>
    <w:rsid w:val="00662279"/>
    <w:rsid w:val="00662363"/>
    <w:rsid w:val="00662DD7"/>
    <w:rsid w:val="006635E7"/>
    <w:rsid w:val="0066377C"/>
    <w:rsid w:val="006642CA"/>
    <w:rsid w:val="006643A4"/>
    <w:rsid w:val="00665377"/>
    <w:rsid w:val="00666A71"/>
    <w:rsid w:val="00666AF5"/>
    <w:rsid w:val="00667174"/>
    <w:rsid w:val="00667546"/>
    <w:rsid w:val="0066795F"/>
    <w:rsid w:val="00667CAE"/>
    <w:rsid w:val="00667DB1"/>
    <w:rsid w:val="00667E7E"/>
    <w:rsid w:val="00670077"/>
    <w:rsid w:val="006700C6"/>
    <w:rsid w:val="006705B0"/>
    <w:rsid w:val="00670C04"/>
    <w:rsid w:val="00670EAC"/>
    <w:rsid w:val="006713F7"/>
    <w:rsid w:val="0067166D"/>
    <w:rsid w:val="00671736"/>
    <w:rsid w:val="00671777"/>
    <w:rsid w:val="00671B89"/>
    <w:rsid w:val="00671EC2"/>
    <w:rsid w:val="00671EDF"/>
    <w:rsid w:val="006722CA"/>
    <w:rsid w:val="00672434"/>
    <w:rsid w:val="00672AD8"/>
    <w:rsid w:val="00672F40"/>
    <w:rsid w:val="00673CD8"/>
    <w:rsid w:val="00673D82"/>
    <w:rsid w:val="00674196"/>
    <w:rsid w:val="00674255"/>
    <w:rsid w:val="00674CA5"/>
    <w:rsid w:val="00675837"/>
    <w:rsid w:val="00675902"/>
    <w:rsid w:val="00675B1D"/>
    <w:rsid w:val="0067600D"/>
    <w:rsid w:val="00676053"/>
    <w:rsid w:val="00676C23"/>
    <w:rsid w:val="00676CC1"/>
    <w:rsid w:val="00676F85"/>
    <w:rsid w:val="00677D8F"/>
    <w:rsid w:val="00680084"/>
    <w:rsid w:val="006802BB"/>
    <w:rsid w:val="0068048D"/>
    <w:rsid w:val="006804B9"/>
    <w:rsid w:val="006808BC"/>
    <w:rsid w:val="0068117B"/>
    <w:rsid w:val="00681441"/>
    <w:rsid w:val="00681E9B"/>
    <w:rsid w:val="006820CE"/>
    <w:rsid w:val="006823A3"/>
    <w:rsid w:val="00682C1F"/>
    <w:rsid w:val="00682D31"/>
    <w:rsid w:val="0068336D"/>
    <w:rsid w:val="00683934"/>
    <w:rsid w:val="00683A6B"/>
    <w:rsid w:val="00683C31"/>
    <w:rsid w:val="006841B0"/>
    <w:rsid w:val="00684819"/>
    <w:rsid w:val="0068516F"/>
    <w:rsid w:val="006851E5"/>
    <w:rsid w:val="00686481"/>
    <w:rsid w:val="00686573"/>
    <w:rsid w:val="0068676A"/>
    <w:rsid w:val="00686C47"/>
    <w:rsid w:val="00687114"/>
    <w:rsid w:val="0068724B"/>
    <w:rsid w:val="006877E2"/>
    <w:rsid w:val="00690181"/>
    <w:rsid w:val="0069077B"/>
    <w:rsid w:val="00690ECB"/>
    <w:rsid w:val="00691C73"/>
    <w:rsid w:val="00691D89"/>
    <w:rsid w:val="006924A0"/>
    <w:rsid w:val="006924D9"/>
    <w:rsid w:val="0069283C"/>
    <w:rsid w:val="00692C5B"/>
    <w:rsid w:val="00693AE4"/>
    <w:rsid w:val="00694020"/>
    <w:rsid w:val="006947A0"/>
    <w:rsid w:val="00694FC5"/>
    <w:rsid w:val="0069515A"/>
    <w:rsid w:val="00695469"/>
    <w:rsid w:val="006958D2"/>
    <w:rsid w:val="006958E3"/>
    <w:rsid w:val="00695E9F"/>
    <w:rsid w:val="0069601C"/>
    <w:rsid w:val="00696392"/>
    <w:rsid w:val="00696577"/>
    <w:rsid w:val="0069659C"/>
    <w:rsid w:val="006966AC"/>
    <w:rsid w:val="006972E9"/>
    <w:rsid w:val="006975B1"/>
    <w:rsid w:val="00697C6F"/>
    <w:rsid w:val="006A00F8"/>
    <w:rsid w:val="006A01EE"/>
    <w:rsid w:val="006A0B8E"/>
    <w:rsid w:val="006A0F6C"/>
    <w:rsid w:val="006A1A2E"/>
    <w:rsid w:val="006A1CDD"/>
    <w:rsid w:val="006A22B4"/>
    <w:rsid w:val="006A25A9"/>
    <w:rsid w:val="006A27C3"/>
    <w:rsid w:val="006A30B9"/>
    <w:rsid w:val="006A3242"/>
    <w:rsid w:val="006A3B4D"/>
    <w:rsid w:val="006A4481"/>
    <w:rsid w:val="006A45FE"/>
    <w:rsid w:val="006A4BA3"/>
    <w:rsid w:val="006A53C3"/>
    <w:rsid w:val="006A57AD"/>
    <w:rsid w:val="006A5DC2"/>
    <w:rsid w:val="006A5FE4"/>
    <w:rsid w:val="006A62DA"/>
    <w:rsid w:val="006A62EE"/>
    <w:rsid w:val="006A661B"/>
    <w:rsid w:val="006A70A4"/>
    <w:rsid w:val="006A73BC"/>
    <w:rsid w:val="006A7466"/>
    <w:rsid w:val="006A7516"/>
    <w:rsid w:val="006A7DC7"/>
    <w:rsid w:val="006B0373"/>
    <w:rsid w:val="006B0634"/>
    <w:rsid w:val="006B0817"/>
    <w:rsid w:val="006B0D71"/>
    <w:rsid w:val="006B0F24"/>
    <w:rsid w:val="006B13B8"/>
    <w:rsid w:val="006B180E"/>
    <w:rsid w:val="006B1B8D"/>
    <w:rsid w:val="006B2690"/>
    <w:rsid w:val="006B28C5"/>
    <w:rsid w:val="006B2A4F"/>
    <w:rsid w:val="006B2E26"/>
    <w:rsid w:val="006B31B0"/>
    <w:rsid w:val="006B3382"/>
    <w:rsid w:val="006B37A5"/>
    <w:rsid w:val="006B37BA"/>
    <w:rsid w:val="006B37DF"/>
    <w:rsid w:val="006B3A4C"/>
    <w:rsid w:val="006B3BA5"/>
    <w:rsid w:val="006B3C11"/>
    <w:rsid w:val="006B3DF4"/>
    <w:rsid w:val="006B4818"/>
    <w:rsid w:val="006B4C65"/>
    <w:rsid w:val="006B4CF8"/>
    <w:rsid w:val="006B56E6"/>
    <w:rsid w:val="006B59FA"/>
    <w:rsid w:val="006B65CA"/>
    <w:rsid w:val="006B6EA4"/>
    <w:rsid w:val="006B6F0E"/>
    <w:rsid w:val="006B6FCA"/>
    <w:rsid w:val="006B7533"/>
    <w:rsid w:val="006B79EC"/>
    <w:rsid w:val="006B7A57"/>
    <w:rsid w:val="006B7FFB"/>
    <w:rsid w:val="006C053F"/>
    <w:rsid w:val="006C05FE"/>
    <w:rsid w:val="006C0BCF"/>
    <w:rsid w:val="006C0D13"/>
    <w:rsid w:val="006C17C2"/>
    <w:rsid w:val="006C1A80"/>
    <w:rsid w:val="006C1CA7"/>
    <w:rsid w:val="006C1D57"/>
    <w:rsid w:val="006C21A5"/>
    <w:rsid w:val="006C21BC"/>
    <w:rsid w:val="006C23E3"/>
    <w:rsid w:val="006C26A1"/>
    <w:rsid w:val="006C296C"/>
    <w:rsid w:val="006C2AF6"/>
    <w:rsid w:val="006C306C"/>
    <w:rsid w:val="006C30D2"/>
    <w:rsid w:val="006C3141"/>
    <w:rsid w:val="006C3273"/>
    <w:rsid w:val="006C38BF"/>
    <w:rsid w:val="006C3C83"/>
    <w:rsid w:val="006C4AF6"/>
    <w:rsid w:val="006C518D"/>
    <w:rsid w:val="006C5A02"/>
    <w:rsid w:val="006C5E20"/>
    <w:rsid w:val="006C63F8"/>
    <w:rsid w:val="006C65A5"/>
    <w:rsid w:val="006C6A17"/>
    <w:rsid w:val="006C6AE2"/>
    <w:rsid w:val="006C6C08"/>
    <w:rsid w:val="006C6CAC"/>
    <w:rsid w:val="006C7A2C"/>
    <w:rsid w:val="006C7B08"/>
    <w:rsid w:val="006C7BB4"/>
    <w:rsid w:val="006D020A"/>
    <w:rsid w:val="006D05D7"/>
    <w:rsid w:val="006D0826"/>
    <w:rsid w:val="006D08BD"/>
    <w:rsid w:val="006D0A15"/>
    <w:rsid w:val="006D0A5A"/>
    <w:rsid w:val="006D13EC"/>
    <w:rsid w:val="006D15BB"/>
    <w:rsid w:val="006D1BB2"/>
    <w:rsid w:val="006D1DA4"/>
    <w:rsid w:val="006D1E2D"/>
    <w:rsid w:val="006D1F82"/>
    <w:rsid w:val="006D2152"/>
    <w:rsid w:val="006D220C"/>
    <w:rsid w:val="006D2ED7"/>
    <w:rsid w:val="006D30B9"/>
    <w:rsid w:val="006D33F7"/>
    <w:rsid w:val="006D353B"/>
    <w:rsid w:val="006D38F7"/>
    <w:rsid w:val="006D3A78"/>
    <w:rsid w:val="006D46A3"/>
    <w:rsid w:val="006D4CC3"/>
    <w:rsid w:val="006D5318"/>
    <w:rsid w:val="006D59FB"/>
    <w:rsid w:val="006D6019"/>
    <w:rsid w:val="006D6206"/>
    <w:rsid w:val="006D7047"/>
    <w:rsid w:val="006D7D17"/>
    <w:rsid w:val="006E003F"/>
    <w:rsid w:val="006E1274"/>
    <w:rsid w:val="006E1415"/>
    <w:rsid w:val="006E15FF"/>
    <w:rsid w:val="006E1624"/>
    <w:rsid w:val="006E1950"/>
    <w:rsid w:val="006E1FCD"/>
    <w:rsid w:val="006E2A64"/>
    <w:rsid w:val="006E2E5C"/>
    <w:rsid w:val="006E3324"/>
    <w:rsid w:val="006E377C"/>
    <w:rsid w:val="006E39AB"/>
    <w:rsid w:val="006E4365"/>
    <w:rsid w:val="006E4471"/>
    <w:rsid w:val="006E48AE"/>
    <w:rsid w:val="006E5856"/>
    <w:rsid w:val="006E5EB3"/>
    <w:rsid w:val="006E68D0"/>
    <w:rsid w:val="006E6C59"/>
    <w:rsid w:val="006E6CF8"/>
    <w:rsid w:val="006E6F04"/>
    <w:rsid w:val="006E70D8"/>
    <w:rsid w:val="006E7EA7"/>
    <w:rsid w:val="006F079B"/>
    <w:rsid w:val="006F0B51"/>
    <w:rsid w:val="006F0E83"/>
    <w:rsid w:val="006F1944"/>
    <w:rsid w:val="006F1D3B"/>
    <w:rsid w:val="006F2082"/>
    <w:rsid w:val="006F23FC"/>
    <w:rsid w:val="006F27E9"/>
    <w:rsid w:val="006F2CB2"/>
    <w:rsid w:val="006F314F"/>
    <w:rsid w:val="006F32B3"/>
    <w:rsid w:val="006F346F"/>
    <w:rsid w:val="006F38BC"/>
    <w:rsid w:val="006F41ED"/>
    <w:rsid w:val="006F4B35"/>
    <w:rsid w:val="006F5624"/>
    <w:rsid w:val="006F5633"/>
    <w:rsid w:val="006F5AF7"/>
    <w:rsid w:val="006F5C47"/>
    <w:rsid w:val="006F5C58"/>
    <w:rsid w:val="006F5E8B"/>
    <w:rsid w:val="006F66C3"/>
    <w:rsid w:val="006F68B7"/>
    <w:rsid w:val="006F7854"/>
    <w:rsid w:val="006F7B1B"/>
    <w:rsid w:val="006F7E08"/>
    <w:rsid w:val="0070050D"/>
    <w:rsid w:val="00700BB0"/>
    <w:rsid w:val="0070137F"/>
    <w:rsid w:val="00701AB8"/>
    <w:rsid w:val="007029EE"/>
    <w:rsid w:val="00702B66"/>
    <w:rsid w:val="00702F00"/>
    <w:rsid w:val="00703065"/>
    <w:rsid w:val="007033C9"/>
    <w:rsid w:val="0070382C"/>
    <w:rsid w:val="00703D97"/>
    <w:rsid w:val="00703E21"/>
    <w:rsid w:val="00703F2A"/>
    <w:rsid w:val="00704318"/>
    <w:rsid w:val="00704760"/>
    <w:rsid w:val="00704952"/>
    <w:rsid w:val="00704AC4"/>
    <w:rsid w:val="00704B04"/>
    <w:rsid w:val="00705117"/>
    <w:rsid w:val="00705A9A"/>
    <w:rsid w:val="00705E97"/>
    <w:rsid w:val="00705FD8"/>
    <w:rsid w:val="0070637A"/>
    <w:rsid w:val="0070649A"/>
    <w:rsid w:val="00706930"/>
    <w:rsid w:val="00706D38"/>
    <w:rsid w:val="007071AA"/>
    <w:rsid w:val="0070735F"/>
    <w:rsid w:val="00707FF3"/>
    <w:rsid w:val="00710227"/>
    <w:rsid w:val="0071051C"/>
    <w:rsid w:val="00710D13"/>
    <w:rsid w:val="007110E7"/>
    <w:rsid w:val="007113D5"/>
    <w:rsid w:val="007115B4"/>
    <w:rsid w:val="00711617"/>
    <w:rsid w:val="00711BC8"/>
    <w:rsid w:val="007121ED"/>
    <w:rsid w:val="007127EE"/>
    <w:rsid w:val="007129D1"/>
    <w:rsid w:val="007133E8"/>
    <w:rsid w:val="00713506"/>
    <w:rsid w:val="0071376C"/>
    <w:rsid w:val="00714216"/>
    <w:rsid w:val="00714862"/>
    <w:rsid w:val="007153E1"/>
    <w:rsid w:val="00715C23"/>
    <w:rsid w:val="00715E55"/>
    <w:rsid w:val="00716105"/>
    <w:rsid w:val="00716533"/>
    <w:rsid w:val="0071697C"/>
    <w:rsid w:val="00716ACF"/>
    <w:rsid w:val="00716B1E"/>
    <w:rsid w:val="00716EC2"/>
    <w:rsid w:val="007177D2"/>
    <w:rsid w:val="0072030F"/>
    <w:rsid w:val="007204E8"/>
    <w:rsid w:val="00720D54"/>
    <w:rsid w:val="00720E0E"/>
    <w:rsid w:val="00721982"/>
    <w:rsid w:val="00721E2B"/>
    <w:rsid w:val="00722579"/>
    <w:rsid w:val="007229CF"/>
    <w:rsid w:val="00722A5D"/>
    <w:rsid w:val="00722F04"/>
    <w:rsid w:val="0072317E"/>
    <w:rsid w:val="00723720"/>
    <w:rsid w:val="007239CE"/>
    <w:rsid w:val="00723C15"/>
    <w:rsid w:val="00723D41"/>
    <w:rsid w:val="00724322"/>
    <w:rsid w:val="00724702"/>
    <w:rsid w:val="00724E6B"/>
    <w:rsid w:val="00725C66"/>
    <w:rsid w:val="007261CD"/>
    <w:rsid w:val="0072674E"/>
    <w:rsid w:val="00726ABB"/>
    <w:rsid w:val="00726BA7"/>
    <w:rsid w:val="00726CD2"/>
    <w:rsid w:val="00727F3C"/>
    <w:rsid w:val="007300C1"/>
    <w:rsid w:val="00730141"/>
    <w:rsid w:val="00730BA5"/>
    <w:rsid w:val="00731092"/>
    <w:rsid w:val="00731E7A"/>
    <w:rsid w:val="00731F75"/>
    <w:rsid w:val="00732001"/>
    <w:rsid w:val="0073208F"/>
    <w:rsid w:val="0073211E"/>
    <w:rsid w:val="00732624"/>
    <w:rsid w:val="00732C51"/>
    <w:rsid w:val="007331CE"/>
    <w:rsid w:val="00733842"/>
    <w:rsid w:val="00733F0C"/>
    <w:rsid w:val="00734521"/>
    <w:rsid w:val="00734589"/>
    <w:rsid w:val="007345DC"/>
    <w:rsid w:val="00734D62"/>
    <w:rsid w:val="007352F1"/>
    <w:rsid w:val="007353F8"/>
    <w:rsid w:val="0073545A"/>
    <w:rsid w:val="007359C0"/>
    <w:rsid w:val="0073643E"/>
    <w:rsid w:val="00737618"/>
    <w:rsid w:val="007378BB"/>
    <w:rsid w:val="00737A2E"/>
    <w:rsid w:val="00737AED"/>
    <w:rsid w:val="00737B8D"/>
    <w:rsid w:val="00737EBC"/>
    <w:rsid w:val="00737F41"/>
    <w:rsid w:val="007401F3"/>
    <w:rsid w:val="0074033E"/>
    <w:rsid w:val="0074075C"/>
    <w:rsid w:val="007409AF"/>
    <w:rsid w:val="00740B0D"/>
    <w:rsid w:val="00740E9F"/>
    <w:rsid w:val="00741140"/>
    <w:rsid w:val="007415A5"/>
    <w:rsid w:val="00741647"/>
    <w:rsid w:val="00741ED2"/>
    <w:rsid w:val="0074241B"/>
    <w:rsid w:val="00742C82"/>
    <w:rsid w:val="00742F03"/>
    <w:rsid w:val="0074307C"/>
    <w:rsid w:val="007430BF"/>
    <w:rsid w:val="00743373"/>
    <w:rsid w:val="00743B5E"/>
    <w:rsid w:val="007443FE"/>
    <w:rsid w:val="007445D6"/>
    <w:rsid w:val="00744D5C"/>
    <w:rsid w:val="00745823"/>
    <w:rsid w:val="00745A4E"/>
    <w:rsid w:val="00745E66"/>
    <w:rsid w:val="007463A4"/>
    <w:rsid w:val="00746606"/>
    <w:rsid w:val="00746683"/>
    <w:rsid w:val="00746B04"/>
    <w:rsid w:val="00746EDE"/>
    <w:rsid w:val="007472DD"/>
    <w:rsid w:val="00747B72"/>
    <w:rsid w:val="00750579"/>
    <w:rsid w:val="007507AF"/>
    <w:rsid w:val="00750ABF"/>
    <w:rsid w:val="00750B7F"/>
    <w:rsid w:val="007516C7"/>
    <w:rsid w:val="00751AA3"/>
    <w:rsid w:val="00751CB3"/>
    <w:rsid w:val="00751EAB"/>
    <w:rsid w:val="0075273B"/>
    <w:rsid w:val="00752E4C"/>
    <w:rsid w:val="007539AF"/>
    <w:rsid w:val="00753ABC"/>
    <w:rsid w:val="00754247"/>
    <w:rsid w:val="007553CF"/>
    <w:rsid w:val="007556F7"/>
    <w:rsid w:val="00755DE9"/>
    <w:rsid w:val="00756045"/>
    <w:rsid w:val="007562C9"/>
    <w:rsid w:val="00756987"/>
    <w:rsid w:val="00756E65"/>
    <w:rsid w:val="00756F95"/>
    <w:rsid w:val="007573E2"/>
    <w:rsid w:val="007575EF"/>
    <w:rsid w:val="007578DB"/>
    <w:rsid w:val="00757A80"/>
    <w:rsid w:val="00757B2D"/>
    <w:rsid w:val="007603D8"/>
    <w:rsid w:val="0076059D"/>
    <w:rsid w:val="0076079A"/>
    <w:rsid w:val="00760853"/>
    <w:rsid w:val="00760A45"/>
    <w:rsid w:val="00761141"/>
    <w:rsid w:val="007617EE"/>
    <w:rsid w:val="00761AF9"/>
    <w:rsid w:val="00761C02"/>
    <w:rsid w:val="00761D8D"/>
    <w:rsid w:val="00762A44"/>
    <w:rsid w:val="00762B86"/>
    <w:rsid w:val="00762BF8"/>
    <w:rsid w:val="007631E6"/>
    <w:rsid w:val="0076372E"/>
    <w:rsid w:val="0076419C"/>
    <w:rsid w:val="00764F52"/>
    <w:rsid w:val="00764F64"/>
    <w:rsid w:val="00765359"/>
    <w:rsid w:val="007653AB"/>
    <w:rsid w:val="007656E6"/>
    <w:rsid w:val="0076584F"/>
    <w:rsid w:val="00765ABE"/>
    <w:rsid w:val="00765FC4"/>
    <w:rsid w:val="00766055"/>
    <w:rsid w:val="007666B3"/>
    <w:rsid w:val="007667EF"/>
    <w:rsid w:val="00766A9C"/>
    <w:rsid w:val="00766C6C"/>
    <w:rsid w:val="00766F8F"/>
    <w:rsid w:val="00767021"/>
    <w:rsid w:val="00767418"/>
    <w:rsid w:val="0076757E"/>
    <w:rsid w:val="00767709"/>
    <w:rsid w:val="0076786F"/>
    <w:rsid w:val="007679AF"/>
    <w:rsid w:val="00767A54"/>
    <w:rsid w:val="00770297"/>
    <w:rsid w:val="007704C0"/>
    <w:rsid w:val="00770F12"/>
    <w:rsid w:val="00771026"/>
    <w:rsid w:val="00771203"/>
    <w:rsid w:val="007714CC"/>
    <w:rsid w:val="0077190A"/>
    <w:rsid w:val="00771972"/>
    <w:rsid w:val="00771F1D"/>
    <w:rsid w:val="00771F60"/>
    <w:rsid w:val="007724D9"/>
    <w:rsid w:val="00772CA6"/>
    <w:rsid w:val="0077352D"/>
    <w:rsid w:val="00773617"/>
    <w:rsid w:val="007739A9"/>
    <w:rsid w:val="007744B4"/>
    <w:rsid w:val="007746D6"/>
    <w:rsid w:val="00774817"/>
    <w:rsid w:val="00774E33"/>
    <w:rsid w:val="00774F6C"/>
    <w:rsid w:val="007751A7"/>
    <w:rsid w:val="0077569C"/>
    <w:rsid w:val="0077608E"/>
    <w:rsid w:val="0077616C"/>
    <w:rsid w:val="007762C4"/>
    <w:rsid w:val="007764FA"/>
    <w:rsid w:val="00776B53"/>
    <w:rsid w:val="007773D9"/>
    <w:rsid w:val="00777C9C"/>
    <w:rsid w:val="007800BC"/>
    <w:rsid w:val="007800E0"/>
    <w:rsid w:val="00780286"/>
    <w:rsid w:val="007803A1"/>
    <w:rsid w:val="007803A6"/>
    <w:rsid w:val="007805FD"/>
    <w:rsid w:val="007813B3"/>
    <w:rsid w:val="007820E3"/>
    <w:rsid w:val="00782AC9"/>
    <w:rsid w:val="00782E02"/>
    <w:rsid w:val="00782E58"/>
    <w:rsid w:val="00782E6E"/>
    <w:rsid w:val="00783789"/>
    <w:rsid w:val="00783CCC"/>
    <w:rsid w:val="0078436E"/>
    <w:rsid w:val="00784EA0"/>
    <w:rsid w:val="00785B86"/>
    <w:rsid w:val="00786A74"/>
    <w:rsid w:val="00786AE9"/>
    <w:rsid w:val="00786C09"/>
    <w:rsid w:val="00786CA3"/>
    <w:rsid w:val="00786CFA"/>
    <w:rsid w:val="00787044"/>
    <w:rsid w:val="007876E0"/>
    <w:rsid w:val="00787CF6"/>
    <w:rsid w:val="007908E1"/>
    <w:rsid w:val="00791836"/>
    <w:rsid w:val="00791B47"/>
    <w:rsid w:val="00791BCC"/>
    <w:rsid w:val="00792044"/>
    <w:rsid w:val="007925AA"/>
    <w:rsid w:val="007925F5"/>
    <w:rsid w:val="007937A8"/>
    <w:rsid w:val="007937E5"/>
    <w:rsid w:val="00793846"/>
    <w:rsid w:val="007938E7"/>
    <w:rsid w:val="0079458C"/>
    <w:rsid w:val="00794714"/>
    <w:rsid w:val="00794A26"/>
    <w:rsid w:val="00794EC1"/>
    <w:rsid w:val="007955D6"/>
    <w:rsid w:val="00795BF5"/>
    <w:rsid w:val="00795C0B"/>
    <w:rsid w:val="00795C78"/>
    <w:rsid w:val="00795E9B"/>
    <w:rsid w:val="007965B1"/>
    <w:rsid w:val="00797554"/>
    <w:rsid w:val="007976DF"/>
    <w:rsid w:val="0079780D"/>
    <w:rsid w:val="00797AAD"/>
    <w:rsid w:val="007A0BEA"/>
    <w:rsid w:val="007A1F0C"/>
    <w:rsid w:val="007A26B1"/>
    <w:rsid w:val="007A2B5A"/>
    <w:rsid w:val="007A3238"/>
    <w:rsid w:val="007A326C"/>
    <w:rsid w:val="007A3808"/>
    <w:rsid w:val="007A3E17"/>
    <w:rsid w:val="007A3EB3"/>
    <w:rsid w:val="007A3EDB"/>
    <w:rsid w:val="007A3EF7"/>
    <w:rsid w:val="007A3FFF"/>
    <w:rsid w:val="007A4569"/>
    <w:rsid w:val="007A45DB"/>
    <w:rsid w:val="007A4932"/>
    <w:rsid w:val="007A4CD1"/>
    <w:rsid w:val="007A4D98"/>
    <w:rsid w:val="007A522F"/>
    <w:rsid w:val="007A5284"/>
    <w:rsid w:val="007A5A64"/>
    <w:rsid w:val="007A6410"/>
    <w:rsid w:val="007A6A23"/>
    <w:rsid w:val="007A6B34"/>
    <w:rsid w:val="007A71D8"/>
    <w:rsid w:val="007B00A6"/>
    <w:rsid w:val="007B0655"/>
    <w:rsid w:val="007B09BB"/>
    <w:rsid w:val="007B0BCF"/>
    <w:rsid w:val="007B0D2E"/>
    <w:rsid w:val="007B0DB3"/>
    <w:rsid w:val="007B0E58"/>
    <w:rsid w:val="007B12A1"/>
    <w:rsid w:val="007B179A"/>
    <w:rsid w:val="007B19AF"/>
    <w:rsid w:val="007B19B9"/>
    <w:rsid w:val="007B218C"/>
    <w:rsid w:val="007B2A7D"/>
    <w:rsid w:val="007B2D9B"/>
    <w:rsid w:val="007B2FE8"/>
    <w:rsid w:val="007B2FEC"/>
    <w:rsid w:val="007B38C7"/>
    <w:rsid w:val="007B3A10"/>
    <w:rsid w:val="007B45CF"/>
    <w:rsid w:val="007B460F"/>
    <w:rsid w:val="007B4A96"/>
    <w:rsid w:val="007B4C2B"/>
    <w:rsid w:val="007B4EAE"/>
    <w:rsid w:val="007B59C3"/>
    <w:rsid w:val="007B5F2A"/>
    <w:rsid w:val="007B6E41"/>
    <w:rsid w:val="007B6F91"/>
    <w:rsid w:val="007B7441"/>
    <w:rsid w:val="007C00AB"/>
    <w:rsid w:val="007C0246"/>
    <w:rsid w:val="007C065B"/>
    <w:rsid w:val="007C17CB"/>
    <w:rsid w:val="007C219C"/>
    <w:rsid w:val="007C28F4"/>
    <w:rsid w:val="007C29B4"/>
    <w:rsid w:val="007C30C8"/>
    <w:rsid w:val="007C30F2"/>
    <w:rsid w:val="007C3309"/>
    <w:rsid w:val="007C3585"/>
    <w:rsid w:val="007C3684"/>
    <w:rsid w:val="007C3B13"/>
    <w:rsid w:val="007C438D"/>
    <w:rsid w:val="007C44BA"/>
    <w:rsid w:val="007C4B45"/>
    <w:rsid w:val="007C5750"/>
    <w:rsid w:val="007C6B78"/>
    <w:rsid w:val="007C70BA"/>
    <w:rsid w:val="007C7404"/>
    <w:rsid w:val="007C74EB"/>
    <w:rsid w:val="007D081E"/>
    <w:rsid w:val="007D08C6"/>
    <w:rsid w:val="007D09ED"/>
    <w:rsid w:val="007D10F8"/>
    <w:rsid w:val="007D1378"/>
    <w:rsid w:val="007D14D6"/>
    <w:rsid w:val="007D14DB"/>
    <w:rsid w:val="007D1F01"/>
    <w:rsid w:val="007D2B19"/>
    <w:rsid w:val="007D2EA1"/>
    <w:rsid w:val="007D31BD"/>
    <w:rsid w:val="007D3927"/>
    <w:rsid w:val="007D3EA5"/>
    <w:rsid w:val="007D410A"/>
    <w:rsid w:val="007D5147"/>
    <w:rsid w:val="007D5532"/>
    <w:rsid w:val="007D607F"/>
    <w:rsid w:val="007D6918"/>
    <w:rsid w:val="007D7445"/>
    <w:rsid w:val="007D7696"/>
    <w:rsid w:val="007D78AA"/>
    <w:rsid w:val="007D7BE3"/>
    <w:rsid w:val="007E0CCA"/>
    <w:rsid w:val="007E1338"/>
    <w:rsid w:val="007E15BB"/>
    <w:rsid w:val="007E1AEB"/>
    <w:rsid w:val="007E1D95"/>
    <w:rsid w:val="007E1FEE"/>
    <w:rsid w:val="007E25E2"/>
    <w:rsid w:val="007E284C"/>
    <w:rsid w:val="007E2A47"/>
    <w:rsid w:val="007E3408"/>
    <w:rsid w:val="007E3897"/>
    <w:rsid w:val="007E3BAD"/>
    <w:rsid w:val="007E3C8F"/>
    <w:rsid w:val="007E413D"/>
    <w:rsid w:val="007E43AE"/>
    <w:rsid w:val="007E46B7"/>
    <w:rsid w:val="007E46C2"/>
    <w:rsid w:val="007E47F7"/>
    <w:rsid w:val="007E4AC1"/>
    <w:rsid w:val="007E5108"/>
    <w:rsid w:val="007E5772"/>
    <w:rsid w:val="007E58FC"/>
    <w:rsid w:val="007E5A39"/>
    <w:rsid w:val="007E5B4E"/>
    <w:rsid w:val="007E5C45"/>
    <w:rsid w:val="007E6561"/>
    <w:rsid w:val="007E74DC"/>
    <w:rsid w:val="007E791B"/>
    <w:rsid w:val="007E7F37"/>
    <w:rsid w:val="007F0398"/>
    <w:rsid w:val="007F03D4"/>
    <w:rsid w:val="007F1D58"/>
    <w:rsid w:val="007F21A7"/>
    <w:rsid w:val="007F28AF"/>
    <w:rsid w:val="007F313A"/>
    <w:rsid w:val="007F3174"/>
    <w:rsid w:val="007F3460"/>
    <w:rsid w:val="007F34C4"/>
    <w:rsid w:val="007F3707"/>
    <w:rsid w:val="007F37B8"/>
    <w:rsid w:val="007F38BA"/>
    <w:rsid w:val="007F4372"/>
    <w:rsid w:val="007F44AA"/>
    <w:rsid w:val="007F4C7A"/>
    <w:rsid w:val="007F57DC"/>
    <w:rsid w:val="007F5E98"/>
    <w:rsid w:val="007F5ED9"/>
    <w:rsid w:val="007F606D"/>
    <w:rsid w:val="007F67EA"/>
    <w:rsid w:val="007F6DDF"/>
    <w:rsid w:val="007F6E78"/>
    <w:rsid w:val="007F6F9F"/>
    <w:rsid w:val="007F74B8"/>
    <w:rsid w:val="007F76C7"/>
    <w:rsid w:val="00800561"/>
    <w:rsid w:val="008007CB"/>
    <w:rsid w:val="00800E68"/>
    <w:rsid w:val="00801424"/>
    <w:rsid w:val="0080173D"/>
    <w:rsid w:val="00801A11"/>
    <w:rsid w:val="00802084"/>
    <w:rsid w:val="00802201"/>
    <w:rsid w:val="00802570"/>
    <w:rsid w:val="00802942"/>
    <w:rsid w:val="00802B29"/>
    <w:rsid w:val="00802EBF"/>
    <w:rsid w:val="00803248"/>
    <w:rsid w:val="0080380E"/>
    <w:rsid w:val="00803822"/>
    <w:rsid w:val="00803963"/>
    <w:rsid w:val="00803E2C"/>
    <w:rsid w:val="00804DE0"/>
    <w:rsid w:val="0080504B"/>
    <w:rsid w:val="008050FD"/>
    <w:rsid w:val="00805F14"/>
    <w:rsid w:val="008063A4"/>
    <w:rsid w:val="008063AC"/>
    <w:rsid w:val="00806405"/>
    <w:rsid w:val="00806762"/>
    <w:rsid w:val="00806AF0"/>
    <w:rsid w:val="00806B8F"/>
    <w:rsid w:val="00806C78"/>
    <w:rsid w:val="00806D8D"/>
    <w:rsid w:val="00810074"/>
    <w:rsid w:val="00810E6D"/>
    <w:rsid w:val="008110CD"/>
    <w:rsid w:val="008115A8"/>
    <w:rsid w:val="008119FA"/>
    <w:rsid w:val="0081405D"/>
    <w:rsid w:val="008148B4"/>
    <w:rsid w:val="00814D97"/>
    <w:rsid w:val="00814F12"/>
    <w:rsid w:val="0081567B"/>
    <w:rsid w:val="0081574F"/>
    <w:rsid w:val="00815BB2"/>
    <w:rsid w:val="0081629D"/>
    <w:rsid w:val="0081668B"/>
    <w:rsid w:val="00816C91"/>
    <w:rsid w:val="00816FC1"/>
    <w:rsid w:val="00817040"/>
    <w:rsid w:val="00817A13"/>
    <w:rsid w:val="00820A47"/>
    <w:rsid w:val="00820D3F"/>
    <w:rsid w:val="00821188"/>
    <w:rsid w:val="008211E3"/>
    <w:rsid w:val="0082133D"/>
    <w:rsid w:val="008218FE"/>
    <w:rsid w:val="00821C17"/>
    <w:rsid w:val="00821DBE"/>
    <w:rsid w:val="00822181"/>
    <w:rsid w:val="008222A2"/>
    <w:rsid w:val="008226A7"/>
    <w:rsid w:val="00822F47"/>
    <w:rsid w:val="0082301B"/>
    <w:rsid w:val="0082341D"/>
    <w:rsid w:val="008237DB"/>
    <w:rsid w:val="00823C5B"/>
    <w:rsid w:val="00823F95"/>
    <w:rsid w:val="00824300"/>
    <w:rsid w:val="00824469"/>
    <w:rsid w:val="008249AE"/>
    <w:rsid w:val="00824CEF"/>
    <w:rsid w:val="008251D6"/>
    <w:rsid w:val="008253BE"/>
    <w:rsid w:val="0082543A"/>
    <w:rsid w:val="0082634B"/>
    <w:rsid w:val="008264A2"/>
    <w:rsid w:val="008264B8"/>
    <w:rsid w:val="008267F4"/>
    <w:rsid w:val="00826C9F"/>
    <w:rsid w:val="00826D2D"/>
    <w:rsid w:val="00826FE0"/>
    <w:rsid w:val="008272A2"/>
    <w:rsid w:val="00827FCF"/>
    <w:rsid w:val="00830E5F"/>
    <w:rsid w:val="00831699"/>
    <w:rsid w:val="0083188B"/>
    <w:rsid w:val="008320FC"/>
    <w:rsid w:val="0083306B"/>
    <w:rsid w:val="008335D6"/>
    <w:rsid w:val="00834364"/>
    <w:rsid w:val="00834C70"/>
    <w:rsid w:val="008353B0"/>
    <w:rsid w:val="0083552E"/>
    <w:rsid w:val="0083586B"/>
    <w:rsid w:val="00835BEC"/>
    <w:rsid w:val="00835F0F"/>
    <w:rsid w:val="008363E5"/>
    <w:rsid w:val="008366DA"/>
    <w:rsid w:val="008367A2"/>
    <w:rsid w:val="00836824"/>
    <w:rsid w:val="00836E61"/>
    <w:rsid w:val="00836FAF"/>
    <w:rsid w:val="008375EC"/>
    <w:rsid w:val="00837FAF"/>
    <w:rsid w:val="0084009E"/>
    <w:rsid w:val="0084014B"/>
    <w:rsid w:val="008405BA"/>
    <w:rsid w:val="00840C79"/>
    <w:rsid w:val="00842289"/>
    <w:rsid w:val="0084265D"/>
    <w:rsid w:val="00842766"/>
    <w:rsid w:val="00842E89"/>
    <w:rsid w:val="008430A8"/>
    <w:rsid w:val="00843116"/>
    <w:rsid w:val="00843C56"/>
    <w:rsid w:val="00844315"/>
    <w:rsid w:val="00844CBB"/>
    <w:rsid w:val="00845D04"/>
    <w:rsid w:val="00846101"/>
    <w:rsid w:val="0084661E"/>
    <w:rsid w:val="0084666B"/>
    <w:rsid w:val="0084759A"/>
    <w:rsid w:val="00847D39"/>
    <w:rsid w:val="00847EEF"/>
    <w:rsid w:val="00850287"/>
    <w:rsid w:val="008506C8"/>
    <w:rsid w:val="00850EEE"/>
    <w:rsid w:val="00850F0B"/>
    <w:rsid w:val="008511D9"/>
    <w:rsid w:val="0085121D"/>
    <w:rsid w:val="00851936"/>
    <w:rsid w:val="00851A76"/>
    <w:rsid w:val="00852088"/>
    <w:rsid w:val="00852139"/>
    <w:rsid w:val="008524C8"/>
    <w:rsid w:val="00852A57"/>
    <w:rsid w:val="00852D54"/>
    <w:rsid w:val="00853653"/>
    <w:rsid w:val="00853ABA"/>
    <w:rsid w:val="0085431D"/>
    <w:rsid w:val="0085431E"/>
    <w:rsid w:val="008543C2"/>
    <w:rsid w:val="00855359"/>
    <w:rsid w:val="008556EF"/>
    <w:rsid w:val="008561BE"/>
    <w:rsid w:val="008561C3"/>
    <w:rsid w:val="00856795"/>
    <w:rsid w:val="00856BB3"/>
    <w:rsid w:val="00856E05"/>
    <w:rsid w:val="00856FCA"/>
    <w:rsid w:val="00857A1F"/>
    <w:rsid w:val="00857B3A"/>
    <w:rsid w:val="00857DB0"/>
    <w:rsid w:val="00860615"/>
    <w:rsid w:val="00860A4A"/>
    <w:rsid w:val="00860F57"/>
    <w:rsid w:val="008615EF"/>
    <w:rsid w:val="00861774"/>
    <w:rsid w:val="008619A0"/>
    <w:rsid w:val="00861B18"/>
    <w:rsid w:val="008624C5"/>
    <w:rsid w:val="00862603"/>
    <w:rsid w:val="00862BA7"/>
    <w:rsid w:val="00862BBC"/>
    <w:rsid w:val="0086326E"/>
    <w:rsid w:val="008638BF"/>
    <w:rsid w:val="00864441"/>
    <w:rsid w:val="00864616"/>
    <w:rsid w:val="00864C4D"/>
    <w:rsid w:val="00864CB0"/>
    <w:rsid w:val="008655A6"/>
    <w:rsid w:val="00865AC2"/>
    <w:rsid w:val="00865F05"/>
    <w:rsid w:val="00866496"/>
    <w:rsid w:val="008666AA"/>
    <w:rsid w:val="00866B7F"/>
    <w:rsid w:val="00866CB1"/>
    <w:rsid w:val="0086751A"/>
    <w:rsid w:val="00867B32"/>
    <w:rsid w:val="00867D30"/>
    <w:rsid w:val="00870329"/>
    <w:rsid w:val="008703D9"/>
    <w:rsid w:val="00870632"/>
    <w:rsid w:val="0087090B"/>
    <w:rsid w:val="00870D78"/>
    <w:rsid w:val="008713F0"/>
    <w:rsid w:val="00871EEF"/>
    <w:rsid w:val="0087224F"/>
    <w:rsid w:val="00872D62"/>
    <w:rsid w:val="00872F1D"/>
    <w:rsid w:val="00872F3E"/>
    <w:rsid w:val="00873040"/>
    <w:rsid w:val="00873197"/>
    <w:rsid w:val="00873651"/>
    <w:rsid w:val="00873DF8"/>
    <w:rsid w:val="008744DA"/>
    <w:rsid w:val="0087456A"/>
    <w:rsid w:val="00874F70"/>
    <w:rsid w:val="00875593"/>
    <w:rsid w:val="008759B2"/>
    <w:rsid w:val="00875F0B"/>
    <w:rsid w:val="0087607F"/>
    <w:rsid w:val="0087658F"/>
    <w:rsid w:val="0087698F"/>
    <w:rsid w:val="00876A40"/>
    <w:rsid w:val="008772DB"/>
    <w:rsid w:val="00877B54"/>
    <w:rsid w:val="00877E3F"/>
    <w:rsid w:val="00877EDE"/>
    <w:rsid w:val="00880A62"/>
    <w:rsid w:val="00880BE9"/>
    <w:rsid w:val="00880E53"/>
    <w:rsid w:val="0088165D"/>
    <w:rsid w:val="0088184E"/>
    <w:rsid w:val="00881995"/>
    <w:rsid w:val="00881E62"/>
    <w:rsid w:val="00882302"/>
    <w:rsid w:val="008827F4"/>
    <w:rsid w:val="00882BD4"/>
    <w:rsid w:val="00882E3B"/>
    <w:rsid w:val="008832A5"/>
    <w:rsid w:val="00883CDE"/>
    <w:rsid w:val="008843DC"/>
    <w:rsid w:val="008845EB"/>
    <w:rsid w:val="00885092"/>
    <w:rsid w:val="008863C2"/>
    <w:rsid w:val="008863EF"/>
    <w:rsid w:val="008868E0"/>
    <w:rsid w:val="008869F3"/>
    <w:rsid w:val="00886B91"/>
    <w:rsid w:val="0088731A"/>
    <w:rsid w:val="00887BD9"/>
    <w:rsid w:val="00887C8F"/>
    <w:rsid w:val="00887F57"/>
    <w:rsid w:val="008905ED"/>
    <w:rsid w:val="00890BCF"/>
    <w:rsid w:val="00890CFA"/>
    <w:rsid w:val="00891C20"/>
    <w:rsid w:val="00892007"/>
    <w:rsid w:val="0089200A"/>
    <w:rsid w:val="00892129"/>
    <w:rsid w:val="0089255F"/>
    <w:rsid w:val="008926B5"/>
    <w:rsid w:val="00892DE7"/>
    <w:rsid w:val="008933D5"/>
    <w:rsid w:val="0089374F"/>
    <w:rsid w:val="00893A88"/>
    <w:rsid w:val="00894352"/>
    <w:rsid w:val="00894BFA"/>
    <w:rsid w:val="00895523"/>
    <w:rsid w:val="0089584C"/>
    <w:rsid w:val="008959B3"/>
    <w:rsid w:val="008959C3"/>
    <w:rsid w:val="00896839"/>
    <w:rsid w:val="00896881"/>
    <w:rsid w:val="0089780B"/>
    <w:rsid w:val="008978CF"/>
    <w:rsid w:val="008979AB"/>
    <w:rsid w:val="00897B65"/>
    <w:rsid w:val="00897C8A"/>
    <w:rsid w:val="00897DE3"/>
    <w:rsid w:val="00897F06"/>
    <w:rsid w:val="008A0174"/>
    <w:rsid w:val="008A02C9"/>
    <w:rsid w:val="008A0592"/>
    <w:rsid w:val="008A0943"/>
    <w:rsid w:val="008A0CBE"/>
    <w:rsid w:val="008A0EF9"/>
    <w:rsid w:val="008A11EE"/>
    <w:rsid w:val="008A1267"/>
    <w:rsid w:val="008A14C9"/>
    <w:rsid w:val="008A14D6"/>
    <w:rsid w:val="008A1D0F"/>
    <w:rsid w:val="008A1D95"/>
    <w:rsid w:val="008A1EBA"/>
    <w:rsid w:val="008A2115"/>
    <w:rsid w:val="008A24D1"/>
    <w:rsid w:val="008A2746"/>
    <w:rsid w:val="008A2B57"/>
    <w:rsid w:val="008A2E20"/>
    <w:rsid w:val="008A2EFD"/>
    <w:rsid w:val="008A327A"/>
    <w:rsid w:val="008A3465"/>
    <w:rsid w:val="008A3A6F"/>
    <w:rsid w:val="008A468F"/>
    <w:rsid w:val="008A4D31"/>
    <w:rsid w:val="008A5454"/>
    <w:rsid w:val="008A5703"/>
    <w:rsid w:val="008A5CF5"/>
    <w:rsid w:val="008A5D1B"/>
    <w:rsid w:val="008A617E"/>
    <w:rsid w:val="008A626D"/>
    <w:rsid w:val="008A69E1"/>
    <w:rsid w:val="008A6BD9"/>
    <w:rsid w:val="008A6C80"/>
    <w:rsid w:val="008A743A"/>
    <w:rsid w:val="008A7572"/>
    <w:rsid w:val="008A7834"/>
    <w:rsid w:val="008A7C70"/>
    <w:rsid w:val="008A7FB6"/>
    <w:rsid w:val="008B05FD"/>
    <w:rsid w:val="008B0A52"/>
    <w:rsid w:val="008B1361"/>
    <w:rsid w:val="008B14B3"/>
    <w:rsid w:val="008B17EE"/>
    <w:rsid w:val="008B18A2"/>
    <w:rsid w:val="008B1BE1"/>
    <w:rsid w:val="008B1F93"/>
    <w:rsid w:val="008B1FD5"/>
    <w:rsid w:val="008B2F93"/>
    <w:rsid w:val="008B3954"/>
    <w:rsid w:val="008B3ABF"/>
    <w:rsid w:val="008B3EF2"/>
    <w:rsid w:val="008B4A77"/>
    <w:rsid w:val="008B5579"/>
    <w:rsid w:val="008B5580"/>
    <w:rsid w:val="008B598A"/>
    <w:rsid w:val="008B5C3A"/>
    <w:rsid w:val="008B66E6"/>
    <w:rsid w:val="008B6901"/>
    <w:rsid w:val="008B6D0E"/>
    <w:rsid w:val="008B70BF"/>
    <w:rsid w:val="008B7320"/>
    <w:rsid w:val="008B747F"/>
    <w:rsid w:val="008B7729"/>
    <w:rsid w:val="008B777D"/>
    <w:rsid w:val="008B7EE4"/>
    <w:rsid w:val="008C05E8"/>
    <w:rsid w:val="008C12C2"/>
    <w:rsid w:val="008C13DF"/>
    <w:rsid w:val="008C1B82"/>
    <w:rsid w:val="008C1CC2"/>
    <w:rsid w:val="008C1F1A"/>
    <w:rsid w:val="008C22AB"/>
    <w:rsid w:val="008C252B"/>
    <w:rsid w:val="008C2C62"/>
    <w:rsid w:val="008C2F95"/>
    <w:rsid w:val="008C3123"/>
    <w:rsid w:val="008C3457"/>
    <w:rsid w:val="008C3799"/>
    <w:rsid w:val="008C3937"/>
    <w:rsid w:val="008C3DD5"/>
    <w:rsid w:val="008C3E11"/>
    <w:rsid w:val="008C3F10"/>
    <w:rsid w:val="008C4315"/>
    <w:rsid w:val="008C4424"/>
    <w:rsid w:val="008C49C4"/>
    <w:rsid w:val="008C4A6A"/>
    <w:rsid w:val="008C4ECE"/>
    <w:rsid w:val="008C50DF"/>
    <w:rsid w:val="008C585F"/>
    <w:rsid w:val="008C58BC"/>
    <w:rsid w:val="008C5D2F"/>
    <w:rsid w:val="008C5EED"/>
    <w:rsid w:val="008C64ED"/>
    <w:rsid w:val="008C67E6"/>
    <w:rsid w:val="008C6D6D"/>
    <w:rsid w:val="008C75EF"/>
    <w:rsid w:val="008C7898"/>
    <w:rsid w:val="008D04D4"/>
    <w:rsid w:val="008D0A6E"/>
    <w:rsid w:val="008D0AE6"/>
    <w:rsid w:val="008D15FA"/>
    <w:rsid w:val="008D2079"/>
    <w:rsid w:val="008D2083"/>
    <w:rsid w:val="008D233C"/>
    <w:rsid w:val="008D2769"/>
    <w:rsid w:val="008D2AEB"/>
    <w:rsid w:val="008D2E40"/>
    <w:rsid w:val="008D32FF"/>
    <w:rsid w:val="008D3BC8"/>
    <w:rsid w:val="008D45A1"/>
    <w:rsid w:val="008D5A57"/>
    <w:rsid w:val="008D5A7B"/>
    <w:rsid w:val="008D5AA7"/>
    <w:rsid w:val="008D5D43"/>
    <w:rsid w:val="008D6233"/>
    <w:rsid w:val="008D664D"/>
    <w:rsid w:val="008D6745"/>
    <w:rsid w:val="008D7A24"/>
    <w:rsid w:val="008D7D21"/>
    <w:rsid w:val="008E02F7"/>
    <w:rsid w:val="008E0572"/>
    <w:rsid w:val="008E05E3"/>
    <w:rsid w:val="008E1434"/>
    <w:rsid w:val="008E1710"/>
    <w:rsid w:val="008E1D5E"/>
    <w:rsid w:val="008E2405"/>
    <w:rsid w:val="008E292B"/>
    <w:rsid w:val="008E2F00"/>
    <w:rsid w:val="008E3641"/>
    <w:rsid w:val="008E376F"/>
    <w:rsid w:val="008E3B81"/>
    <w:rsid w:val="008E3C9A"/>
    <w:rsid w:val="008E464D"/>
    <w:rsid w:val="008E46EE"/>
    <w:rsid w:val="008E49E3"/>
    <w:rsid w:val="008E5132"/>
    <w:rsid w:val="008E55C6"/>
    <w:rsid w:val="008E5ADA"/>
    <w:rsid w:val="008E5B2D"/>
    <w:rsid w:val="008E6517"/>
    <w:rsid w:val="008E656E"/>
    <w:rsid w:val="008E6777"/>
    <w:rsid w:val="008E6847"/>
    <w:rsid w:val="008E6B1E"/>
    <w:rsid w:val="008E6CE8"/>
    <w:rsid w:val="008E7100"/>
    <w:rsid w:val="008E795B"/>
    <w:rsid w:val="008E7C2D"/>
    <w:rsid w:val="008F01AD"/>
    <w:rsid w:val="008F0324"/>
    <w:rsid w:val="008F038C"/>
    <w:rsid w:val="008F04EA"/>
    <w:rsid w:val="008F0AEC"/>
    <w:rsid w:val="008F0FC8"/>
    <w:rsid w:val="008F1802"/>
    <w:rsid w:val="008F1DFC"/>
    <w:rsid w:val="008F3CEA"/>
    <w:rsid w:val="008F3E52"/>
    <w:rsid w:val="008F45EB"/>
    <w:rsid w:val="008F4789"/>
    <w:rsid w:val="008F4B21"/>
    <w:rsid w:val="008F5867"/>
    <w:rsid w:val="008F61DA"/>
    <w:rsid w:val="008F62CF"/>
    <w:rsid w:val="008F6400"/>
    <w:rsid w:val="008F709D"/>
    <w:rsid w:val="008F7492"/>
    <w:rsid w:val="008F7554"/>
    <w:rsid w:val="008F7666"/>
    <w:rsid w:val="008F7A9C"/>
    <w:rsid w:val="008F7DB2"/>
    <w:rsid w:val="008F7DDC"/>
    <w:rsid w:val="00900125"/>
    <w:rsid w:val="00900C87"/>
    <w:rsid w:val="0090167B"/>
    <w:rsid w:val="00901A20"/>
    <w:rsid w:val="00901C5E"/>
    <w:rsid w:val="00901D2F"/>
    <w:rsid w:val="00901DDB"/>
    <w:rsid w:val="00901F5A"/>
    <w:rsid w:val="0090299A"/>
    <w:rsid w:val="00903213"/>
    <w:rsid w:val="00903934"/>
    <w:rsid w:val="00904013"/>
    <w:rsid w:val="0090415A"/>
    <w:rsid w:val="00904E16"/>
    <w:rsid w:val="009053BE"/>
    <w:rsid w:val="009056FA"/>
    <w:rsid w:val="009057A1"/>
    <w:rsid w:val="0090580C"/>
    <w:rsid w:val="009058BB"/>
    <w:rsid w:val="00905A06"/>
    <w:rsid w:val="00905B1F"/>
    <w:rsid w:val="00905B56"/>
    <w:rsid w:val="00907043"/>
    <w:rsid w:val="00907170"/>
    <w:rsid w:val="00907180"/>
    <w:rsid w:val="00907533"/>
    <w:rsid w:val="0090769F"/>
    <w:rsid w:val="00907AC8"/>
    <w:rsid w:val="00910073"/>
    <w:rsid w:val="0091008A"/>
    <w:rsid w:val="009100DC"/>
    <w:rsid w:val="009115F2"/>
    <w:rsid w:val="00911636"/>
    <w:rsid w:val="009116CA"/>
    <w:rsid w:val="0091183D"/>
    <w:rsid w:val="009118DA"/>
    <w:rsid w:val="00911A3C"/>
    <w:rsid w:val="00911C1D"/>
    <w:rsid w:val="00911CBE"/>
    <w:rsid w:val="00911D2D"/>
    <w:rsid w:val="00911F7E"/>
    <w:rsid w:val="00912675"/>
    <w:rsid w:val="00912BC3"/>
    <w:rsid w:val="009131B4"/>
    <w:rsid w:val="0091337C"/>
    <w:rsid w:val="009136E0"/>
    <w:rsid w:val="0091377F"/>
    <w:rsid w:val="009142E5"/>
    <w:rsid w:val="009143EA"/>
    <w:rsid w:val="0091441D"/>
    <w:rsid w:val="00914645"/>
    <w:rsid w:val="009150F8"/>
    <w:rsid w:val="009152C0"/>
    <w:rsid w:val="009155B2"/>
    <w:rsid w:val="009158BD"/>
    <w:rsid w:val="0091593C"/>
    <w:rsid w:val="00915ACB"/>
    <w:rsid w:val="00915FA8"/>
    <w:rsid w:val="00916CD2"/>
    <w:rsid w:val="00917753"/>
    <w:rsid w:val="00917DC9"/>
    <w:rsid w:val="00917E8F"/>
    <w:rsid w:val="009200AA"/>
    <w:rsid w:val="00922079"/>
    <w:rsid w:val="009230B0"/>
    <w:rsid w:val="00923539"/>
    <w:rsid w:val="009239C5"/>
    <w:rsid w:val="00923ED5"/>
    <w:rsid w:val="00924168"/>
    <w:rsid w:val="00924928"/>
    <w:rsid w:val="00924ABF"/>
    <w:rsid w:val="00924B7A"/>
    <w:rsid w:val="00924F49"/>
    <w:rsid w:val="00925788"/>
    <w:rsid w:val="00925BFC"/>
    <w:rsid w:val="00925C55"/>
    <w:rsid w:val="00925F3A"/>
    <w:rsid w:val="00925FC0"/>
    <w:rsid w:val="00926C0D"/>
    <w:rsid w:val="00926C97"/>
    <w:rsid w:val="00926CF3"/>
    <w:rsid w:val="00926D7B"/>
    <w:rsid w:val="00927061"/>
    <w:rsid w:val="00927133"/>
    <w:rsid w:val="00927A58"/>
    <w:rsid w:val="00927D21"/>
    <w:rsid w:val="0093005B"/>
    <w:rsid w:val="00930291"/>
    <w:rsid w:val="009304D4"/>
    <w:rsid w:val="00930B90"/>
    <w:rsid w:val="00931925"/>
    <w:rsid w:val="00931D03"/>
    <w:rsid w:val="009325E5"/>
    <w:rsid w:val="0093271A"/>
    <w:rsid w:val="00932A02"/>
    <w:rsid w:val="00932CAC"/>
    <w:rsid w:val="00932D5D"/>
    <w:rsid w:val="00933FA2"/>
    <w:rsid w:val="0093452E"/>
    <w:rsid w:val="0093478E"/>
    <w:rsid w:val="009355B0"/>
    <w:rsid w:val="0093578C"/>
    <w:rsid w:val="00935A88"/>
    <w:rsid w:val="0093687A"/>
    <w:rsid w:val="00936892"/>
    <w:rsid w:val="00936C14"/>
    <w:rsid w:val="00936CAE"/>
    <w:rsid w:val="0093758F"/>
    <w:rsid w:val="009377C8"/>
    <w:rsid w:val="00937A7A"/>
    <w:rsid w:val="00940899"/>
    <w:rsid w:val="0094105F"/>
    <w:rsid w:val="0094127C"/>
    <w:rsid w:val="009417EC"/>
    <w:rsid w:val="0094188A"/>
    <w:rsid w:val="009419C0"/>
    <w:rsid w:val="009419DE"/>
    <w:rsid w:val="00941A4B"/>
    <w:rsid w:val="00942089"/>
    <w:rsid w:val="009420FE"/>
    <w:rsid w:val="00942137"/>
    <w:rsid w:val="009421E2"/>
    <w:rsid w:val="009422D6"/>
    <w:rsid w:val="0094269E"/>
    <w:rsid w:val="00942A96"/>
    <w:rsid w:val="00942F12"/>
    <w:rsid w:val="00943247"/>
    <w:rsid w:val="00943585"/>
    <w:rsid w:val="00943E71"/>
    <w:rsid w:val="00944122"/>
    <w:rsid w:val="0094464C"/>
    <w:rsid w:val="00945132"/>
    <w:rsid w:val="00945154"/>
    <w:rsid w:val="0094526D"/>
    <w:rsid w:val="0094565C"/>
    <w:rsid w:val="0094566B"/>
    <w:rsid w:val="00945BD7"/>
    <w:rsid w:val="00945FF0"/>
    <w:rsid w:val="00946490"/>
    <w:rsid w:val="00946655"/>
    <w:rsid w:val="00946957"/>
    <w:rsid w:val="00946FFE"/>
    <w:rsid w:val="009472F6"/>
    <w:rsid w:val="00947C21"/>
    <w:rsid w:val="00947C83"/>
    <w:rsid w:val="00947E5E"/>
    <w:rsid w:val="00947E6E"/>
    <w:rsid w:val="0095026E"/>
    <w:rsid w:val="00950ACA"/>
    <w:rsid w:val="00950D56"/>
    <w:rsid w:val="0095106F"/>
    <w:rsid w:val="009518D9"/>
    <w:rsid w:val="00952176"/>
    <w:rsid w:val="00952D81"/>
    <w:rsid w:val="00953219"/>
    <w:rsid w:val="00953E2B"/>
    <w:rsid w:val="00954259"/>
    <w:rsid w:val="0095445F"/>
    <w:rsid w:val="00954C11"/>
    <w:rsid w:val="00955011"/>
    <w:rsid w:val="00955510"/>
    <w:rsid w:val="00955C40"/>
    <w:rsid w:val="00955F61"/>
    <w:rsid w:val="0095625F"/>
    <w:rsid w:val="009562AF"/>
    <w:rsid w:val="009566C2"/>
    <w:rsid w:val="00956A10"/>
    <w:rsid w:val="009570E1"/>
    <w:rsid w:val="009578BE"/>
    <w:rsid w:val="009603F1"/>
    <w:rsid w:val="00961033"/>
    <w:rsid w:val="0096122B"/>
    <w:rsid w:val="00961239"/>
    <w:rsid w:val="009617C3"/>
    <w:rsid w:val="00961C33"/>
    <w:rsid w:val="0096356A"/>
    <w:rsid w:val="009637C2"/>
    <w:rsid w:val="00963CCD"/>
    <w:rsid w:val="00964004"/>
    <w:rsid w:val="0096415D"/>
    <w:rsid w:val="00964512"/>
    <w:rsid w:val="00964CCA"/>
    <w:rsid w:val="00964ED1"/>
    <w:rsid w:val="009656C3"/>
    <w:rsid w:val="00965837"/>
    <w:rsid w:val="009659C0"/>
    <w:rsid w:val="0096631A"/>
    <w:rsid w:val="009671C4"/>
    <w:rsid w:val="009673E6"/>
    <w:rsid w:val="00967D70"/>
    <w:rsid w:val="009710AA"/>
    <w:rsid w:val="00971421"/>
    <w:rsid w:val="009717CE"/>
    <w:rsid w:val="0097240D"/>
    <w:rsid w:val="00972424"/>
    <w:rsid w:val="00972653"/>
    <w:rsid w:val="00972BD3"/>
    <w:rsid w:val="00973410"/>
    <w:rsid w:val="00973E8E"/>
    <w:rsid w:val="0097438C"/>
    <w:rsid w:val="00974A59"/>
    <w:rsid w:val="00975003"/>
    <w:rsid w:val="00975357"/>
    <w:rsid w:val="00975425"/>
    <w:rsid w:val="00975EA7"/>
    <w:rsid w:val="00976106"/>
    <w:rsid w:val="0097669D"/>
    <w:rsid w:val="00976C13"/>
    <w:rsid w:val="00976F85"/>
    <w:rsid w:val="009801AE"/>
    <w:rsid w:val="00980A1E"/>
    <w:rsid w:val="00980FB4"/>
    <w:rsid w:val="00981753"/>
    <w:rsid w:val="009819B2"/>
    <w:rsid w:val="009819D4"/>
    <w:rsid w:val="00982B6B"/>
    <w:rsid w:val="00982CF4"/>
    <w:rsid w:val="0098399C"/>
    <w:rsid w:val="00984396"/>
    <w:rsid w:val="009843FA"/>
    <w:rsid w:val="009848CE"/>
    <w:rsid w:val="00984B69"/>
    <w:rsid w:val="009850C2"/>
    <w:rsid w:val="00985279"/>
    <w:rsid w:val="009859B8"/>
    <w:rsid w:val="00986166"/>
    <w:rsid w:val="0098657F"/>
    <w:rsid w:val="00986694"/>
    <w:rsid w:val="00986C26"/>
    <w:rsid w:val="00986E3F"/>
    <w:rsid w:val="00986EBA"/>
    <w:rsid w:val="00987120"/>
    <w:rsid w:val="009873B6"/>
    <w:rsid w:val="00987646"/>
    <w:rsid w:val="00987D7B"/>
    <w:rsid w:val="00987E2E"/>
    <w:rsid w:val="009902B4"/>
    <w:rsid w:val="009902DD"/>
    <w:rsid w:val="00990397"/>
    <w:rsid w:val="009908CB"/>
    <w:rsid w:val="00990C40"/>
    <w:rsid w:val="00990C4C"/>
    <w:rsid w:val="00990CE3"/>
    <w:rsid w:val="009912C6"/>
    <w:rsid w:val="009912CF"/>
    <w:rsid w:val="00991369"/>
    <w:rsid w:val="009913D8"/>
    <w:rsid w:val="00991A37"/>
    <w:rsid w:val="00991F97"/>
    <w:rsid w:val="00992206"/>
    <w:rsid w:val="00992436"/>
    <w:rsid w:val="00992E47"/>
    <w:rsid w:val="0099365A"/>
    <w:rsid w:val="00993792"/>
    <w:rsid w:val="00993E1D"/>
    <w:rsid w:val="00994139"/>
    <w:rsid w:val="0099451F"/>
    <w:rsid w:val="00995882"/>
    <w:rsid w:val="00995E11"/>
    <w:rsid w:val="00996041"/>
    <w:rsid w:val="00996111"/>
    <w:rsid w:val="00996253"/>
    <w:rsid w:val="00997D4C"/>
    <w:rsid w:val="009A0149"/>
    <w:rsid w:val="009A01E6"/>
    <w:rsid w:val="009A0360"/>
    <w:rsid w:val="009A0382"/>
    <w:rsid w:val="009A074D"/>
    <w:rsid w:val="009A0D1F"/>
    <w:rsid w:val="009A14CB"/>
    <w:rsid w:val="009A1C50"/>
    <w:rsid w:val="009A1DBD"/>
    <w:rsid w:val="009A1F42"/>
    <w:rsid w:val="009A20F2"/>
    <w:rsid w:val="009A29E9"/>
    <w:rsid w:val="009A2BC3"/>
    <w:rsid w:val="009A3E04"/>
    <w:rsid w:val="009A4137"/>
    <w:rsid w:val="009A4A04"/>
    <w:rsid w:val="009A4C01"/>
    <w:rsid w:val="009A4CCA"/>
    <w:rsid w:val="009A525E"/>
    <w:rsid w:val="009A5D9C"/>
    <w:rsid w:val="009A5E0A"/>
    <w:rsid w:val="009A644B"/>
    <w:rsid w:val="009A6BB4"/>
    <w:rsid w:val="009A6E17"/>
    <w:rsid w:val="009A6FC2"/>
    <w:rsid w:val="009A6FF6"/>
    <w:rsid w:val="009A756B"/>
    <w:rsid w:val="009A76AC"/>
    <w:rsid w:val="009A78CE"/>
    <w:rsid w:val="009A7B04"/>
    <w:rsid w:val="009B0540"/>
    <w:rsid w:val="009B0E1B"/>
    <w:rsid w:val="009B1376"/>
    <w:rsid w:val="009B1A5C"/>
    <w:rsid w:val="009B1D84"/>
    <w:rsid w:val="009B2163"/>
    <w:rsid w:val="009B2731"/>
    <w:rsid w:val="009B2B09"/>
    <w:rsid w:val="009B2F2A"/>
    <w:rsid w:val="009B31F3"/>
    <w:rsid w:val="009B37F2"/>
    <w:rsid w:val="009B3983"/>
    <w:rsid w:val="009B3F05"/>
    <w:rsid w:val="009B40A0"/>
    <w:rsid w:val="009B45C4"/>
    <w:rsid w:val="009B4937"/>
    <w:rsid w:val="009B4DD6"/>
    <w:rsid w:val="009B53E9"/>
    <w:rsid w:val="009B5693"/>
    <w:rsid w:val="009B5C18"/>
    <w:rsid w:val="009B6354"/>
    <w:rsid w:val="009B7329"/>
    <w:rsid w:val="009B7446"/>
    <w:rsid w:val="009B7635"/>
    <w:rsid w:val="009B76FC"/>
    <w:rsid w:val="009B7AD3"/>
    <w:rsid w:val="009B7BBE"/>
    <w:rsid w:val="009C001C"/>
    <w:rsid w:val="009C0085"/>
    <w:rsid w:val="009C0110"/>
    <w:rsid w:val="009C01F1"/>
    <w:rsid w:val="009C120C"/>
    <w:rsid w:val="009C1373"/>
    <w:rsid w:val="009C1582"/>
    <w:rsid w:val="009C19B2"/>
    <w:rsid w:val="009C2108"/>
    <w:rsid w:val="009C2540"/>
    <w:rsid w:val="009C3824"/>
    <w:rsid w:val="009C3B46"/>
    <w:rsid w:val="009C3DBC"/>
    <w:rsid w:val="009C42BD"/>
    <w:rsid w:val="009C4B33"/>
    <w:rsid w:val="009C51B3"/>
    <w:rsid w:val="009C5208"/>
    <w:rsid w:val="009C5293"/>
    <w:rsid w:val="009C5856"/>
    <w:rsid w:val="009C6B33"/>
    <w:rsid w:val="009D01B3"/>
    <w:rsid w:val="009D04BF"/>
    <w:rsid w:val="009D0638"/>
    <w:rsid w:val="009D0656"/>
    <w:rsid w:val="009D0830"/>
    <w:rsid w:val="009D09FF"/>
    <w:rsid w:val="009D0A82"/>
    <w:rsid w:val="009D0DEF"/>
    <w:rsid w:val="009D1D3E"/>
    <w:rsid w:val="009D20C2"/>
    <w:rsid w:val="009D23E2"/>
    <w:rsid w:val="009D2656"/>
    <w:rsid w:val="009D3158"/>
    <w:rsid w:val="009D367B"/>
    <w:rsid w:val="009D3B96"/>
    <w:rsid w:val="009D3CBC"/>
    <w:rsid w:val="009D3F66"/>
    <w:rsid w:val="009D458B"/>
    <w:rsid w:val="009D533E"/>
    <w:rsid w:val="009D54E0"/>
    <w:rsid w:val="009D5BD6"/>
    <w:rsid w:val="009D5D96"/>
    <w:rsid w:val="009D5ED7"/>
    <w:rsid w:val="009D658F"/>
    <w:rsid w:val="009D6BB3"/>
    <w:rsid w:val="009D6C84"/>
    <w:rsid w:val="009D7125"/>
    <w:rsid w:val="009D7471"/>
    <w:rsid w:val="009D7628"/>
    <w:rsid w:val="009E04CC"/>
    <w:rsid w:val="009E0BDA"/>
    <w:rsid w:val="009E0F53"/>
    <w:rsid w:val="009E11A8"/>
    <w:rsid w:val="009E11D7"/>
    <w:rsid w:val="009E1D43"/>
    <w:rsid w:val="009E1FEE"/>
    <w:rsid w:val="009E2723"/>
    <w:rsid w:val="009E29BD"/>
    <w:rsid w:val="009E339A"/>
    <w:rsid w:val="009E3B51"/>
    <w:rsid w:val="009E4084"/>
    <w:rsid w:val="009E40DB"/>
    <w:rsid w:val="009E45BB"/>
    <w:rsid w:val="009E4A93"/>
    <w:rsid w:val="009E4DFB"/>
    <w:rsid w:val="009E5D8B"/>
    <w:rsid w:val="009E5EAF"/>
    <w:rsid w:val="009E5F09"/>
    <w:rsid w:val="009E6060"/>
    <w:rsid w:val="009E6637"/>
    <w:rsid w:val="009E68CB"/>
    <w:rsid w:val="009E6908"/>
    <w:rsid w:val="009E709D"/>
    <w:rsid w:val="009E70CE"/>
    <w:rsid w:val="009E793C"/>
    <w:rsid w:val="009E7D84"/>
    <w:rsid w:val="009E7E88"/>
    <w:rsid w:val="009E7FA5"/>
    <w:rsid w:val="009F0012"/>
    <w:rsid w:val="009F013C"/>
    <w:rsid w:val="009F0A3F"/>
    <w:rsid w:val="009F1815"/>
    <w:rsid w:val="009F1A2F"/>
    <w:rsid w:val="009F1C1D"/>
    <w:rsid w:val="009F1F82"/>
    <w:rsid w:val="009F2B6C"/>
    <w:rsid w:val="009F33B7"/>
    <w:rsid w:val="009F35E0"/>
    <w:rsid w:val="009F3622"/>
    <w:rsid w:val="009F378D"/>
    <w:rsid w:val="009F3F59"/>
    <w:rsid w:val="009F4D7F"/>
    <w:rsid w:val="009F5BF0"/>
    <w:rsid w:val="009F6C6D"/>
    <w:rsid w:val="009F6E84"/>
    <w:rsid w:val="009F7495"/>
    <w:rsid w:val="009F75C7"/>
    <w:rsid w:val="009F7D0A"/>
    <w:rsid w:val="00A00072"/>
    <w:rsid w:val="00A0012A"/>
    <w:rsid w:val="00A001D1"/>
    <w:rsid w:val="00A00794"/>
    <w:rsid w:val="00A0088E"/>
    <w:rsid w:val="00A009B2"/>
    <w:rsid w:val="00A00A6C"/>
    <w:rsid w:val="00A016D1"/>
    <w:rsid w:val="00A016FC"/>
    <w:rsid w:val="00A017AB"/>
    <w:rsid w:val="00A01B6A"/>
    <w:rsid w:val="00A01E42"/>
    <w:rsid w:val="00A02731"/>
    <w:rsid w:val="00A02A0D"/>
    <w:rsid w:val="00A02AFC"/>
    <w:rsid w:val="00A02F0D"/>
    <w:rsid w:val="00A036D7"/>
    <w:rsid w:val="00A03C05"/>
    <w:rsid w:val="00A04DD3"/>
    <w:rsid w:val="00A04DEE"/>
    <w:rsid w:val="00A053C3"/>
    <w:rsid w:val="00A05B5E"/>
    <w:rsid w:val="00A05CB6"/>
    <w:rsid w:val="00A05E73"/>
    <w:rsid w:val="00A0601B"/>
    <w:rsid w:val="00A06174"/>
    <w:rsid w:val="00A062A7"/>
    <w:rsid w:val="00A06472"/>
    <w:rsid w:val="00A0667C"/>
    <w:rsid w:val="00A06823"/>
    <w:rsid w:val="00A06CA7"/>
    <w:rsid w:val="00A06F79"/>
    <w:rsid w:val="00A07271"/>
    <w:rsid w:val="00A072F8"/>
    <w:rsid w:val="00A104A0"/>
    <w:rsid w:val="00A105B7"/>
    <w:rsid w:val="00A1066B"/>
    <w:rsid w:val="00A107A6"/>
    <w:rsid w:val="00A109BD"/>
    <w:rsid w:val="00A1163D"/>
    <w:rsid w:val="00A11798"/>
    <w:rsid w:val="00A11820"/>
    <w:rsid w:val="00A1262F"/>
    <w:rsid w:val="00A12AD0"/>
    <w:rsid w:val="00A13338"/>
    <w:rsid w:val="00A13500"/>
    <w:rsid w:val="00A1398F"/>
    <w:rsid w:val="00A13DA8"/>
    <w:rsid w:val="00A146E4"/>
    <w:rsid w:val="00A14A46"/>
    <w:rsid w:val="00A14C8A"/>
    <w:rsid w:val="00A14DF7"/>
    <w:rsid w:val="00A15349"/>
    <w:rsid w:val="00A15487"/>
    <w:rsid w:val="00A154A4"/>
    <w:rsid w:val="00A154AF"/>
    <w:rsid w:val="00A1588D"/>
    <w:rsid w:val="00A17039"/>
    <w:rsid w:val="00A170B2"/>
    <w:rsid w:val="00A1767C"/>
    <w:rsid w:val="00A17C22"/>
    <w:rsid w:val="00A17D19"/>
    <w:rsid w:val="00A20231"/>
    <w:rsid w:val="00A2025A"/>
    <w:rsid w:val="00A2049E"/>
    <w:rsid w:val="00A206E7"/>
    <w:rsid w:val="00A2071B"/>
    <w:rsid w:val="00A209B3"/>
    <w:rsid w:val="00A20A09"/>
    <w:rsid w:val="00A20CCF"/>
    <w:rsid w:val="00A21412"/>
    <w:rsid w:val="00A21A83"/>
    <w:rsid w:val="00A21CD5"/>
    <w:rsid w:val="00A22AC4"/>
    <w:rsid w:val="00A22FB2"/>
    <w:rsid w:val="00A2331C"/>
    <w:rsid w:val="00A233C5"/>
    <w:rsid w:val="00A23881"/>
    <w:rsid w:val="00A23AE6"/>
    <w:rsid w:val="00A23C6F"/>
    <w:rsid w:val="00A245AD"/>
    <w:rsid w:val="00A24989"/>
    <w:rsid w:val="00A24EC3"/>
    <w:rsid w:val="00A25340"/>
    <w:rsid w:val="00A25427"/>
    <w:rsid w:val="00A25541"/>
    <w:rsid w:val="00A2572E"/>
    <w:rsid w:val="00A25C07"/>
    <w:rsid w:val="00A25C72"/>
    <w:rsid w:val="00A263DC"/>
    <w:rsid w:val="00A26480"/>
    <w:rsid w:val="00A26563"/>
    <w:rsid w:val="00A26711"/>
    <w:rsid w:val="00A26D74"/>
    <w:rsid w:val="00A26DCE"/>
    <w:rsid w:val="00A30427"/>
    <w:rsid w:val="00A30529"/>
    <w:rsid w:val="00A3068A"/>
    <w:rsid w:val="00A30D13"/>
    <w:rsid w:val="00A30DBF"/>
    <w:rsid w:val="00A30F34"/>
    <w:rsid w:val="00A3104C"/>
    <w:rsid w:val="00A310B5"/>
    <w:rsid w:val="00A316E7"/>
    <w:rsid w:val="00A319B6"/>
    <w:rsid w:val="00A31AB3"/>
    <w:rsid w:val="00A31AF2"/>
    <w:rsid w:val="00A31DEE"/>
    <w:rsid w:val="00A325AD"/>
    <w:rsid w:val="00A329EC"/>
    <w:rsid w:val="00A33768"/>
    <w:rsid w:val="00A33A1F"/>
    <w:rsid w:val="00A33CE2"/>
    <w:rsid w:val="00A33F1F"/>
    <w:rsid w:val="00A341F3"/>
    <w:rsid w:val="00A34A9B"/>
    <w:rsid w:val="00A34E30"/>
    <w:rsid w:val="00A35911"/>
    <w:rsid w:val="00A35BC7"/>
    <w:rsid w:val="00A36097"/>
    <w:rsid w:val="00A40B12"/>
    <w:rsid w:val="00A40D1B"/>
    <w:rsid w:val="00A40DD6"/>
    <w:rsid w:val="00A40E11"/>
    <w:rsid w:val="00A41618"/>
    <w:rsid w:val="00A4176C"/>
    <w:rsid w:val="00A422D2"/>
    <w:rsid w:val="00A42854"/>
    <w:rsid w:val="00A42B8E"/>
    <w:rsid w:val="00A42C3C"/>
    <w:rsid w:val="00A42C67"/>
    <w:rsid w:val="00A4316E"/>
    <w:rsid w:val="00A43688"/>
    <w:rsid w:val="00A43A6C"/>
    <w:rsid w:val="00A43BE3"/>
    <w:rsid w:val="00A43DD7"/>
    <w:rsid w:val="00A442FE"/>
    <w:rsid w:val="00A44861"/>
    <w:rsid w:val="00A44E53"/>
    <w:rsid w:val="00A45046"/>
    <w:rsid w:val="00A46274"/>
    <w:rsid w:val="00A466DF"/>
    <w:rsid w:val="00A473EF"/>
    <w:rsid w:val="00A476FC"/>
    <w:rsid w:val="00A47ED1"/>
    <w:rsid w:val="00A50F2E"/>
    <w:rsid w:val="00A512DE"/>
    <w:rsid w:val="00A51677"/>
    <w:rsid w:val="00A52790"/>
    <w:rsid w:val="00A5281F"/>
    <w:rsid w:val="00A529C5"/>
    <w:rsid w:val="00A52A06"/>
    <w:rsid w:val="00A53516"/>
    <w:rsid w:val="00A5437B"/>
    <w:rsid w:val="00A5453A"/>
    <w:rsid w:val="00A54566"/>
    <w:rsid w:val="00A5470A"/>
    <w:rsid w:val="00A5475D"/>
    <w:rsid w:val="00A547C6"/>
    <w:rsid w:val="00A54820"/>
    <w:rsid w:val="00A54AA4"/>
    <w:rsid w:val="00A5535E"/>
    <w:rsid w:val="00A555EB"/>
    <w:rsid w:val="00A556F4"/>
    <w:rsid w:val="00A55EBD"/>
    <w:rsid w:val="00A5606A"/>
    <w:rsid w:val="00A561FC"/>
    <w:rsid w:val="00A563A2"/>
    <w:rsid w:val="00A563AE"/>
    <w:rsid w:val="00A5649D"/>
    <w:rsid w:val="00A56C32"/>
    <w:rsid w:val="00A56F8E"/>
    <w:rsid w:val="00A57071"/>
    <w:rsid w:val="00A57662"/>
    <w:rsid w:val="00A57729"/>
    <w:rsid w:val="00A60115"/>
    <w:rsid w:val="00A602E9"/>
    <w:rsid w:val="00A6041B"/>
    <w:rsid w:val="00A60567"/>
    <w:rsid w:val="00A6070C"/>
    <w:rsid w:val="00A60A5F"/>
    <w:rsid w:val="00A61226"/>
    <w:rsid w:val="00A6125D"/>
    <w:rsid w:val="00A61BCE"/>
    <w:rsid w:val="00A61BEF"/>
    <w:rsid w:val="00A62843"/>
    <w:rsid w:val="00A632AD"/>
    <w:rsid w:val="00A63320"/>
    <w:rsid w:val="00A6343A"/>
    <w:rsid w:val="00A63836"/>
    <w:rsid w:val="00A63A47"/>
    <w:rsid w:val="00A63C3D"/>
    <w:rsid w:val="00A63F43"/>
    <w:rsid w:val="00A642F4"/>
    <w:rsid w:val="00A6440F"/>
    <w:rsid w:val="00A64F9F"/>
    <w:rsid w:val="00A653F4"/>
    <w:rsid w:val="00A65549"/>
    <w:rsid w:val="00A656F1"/>
    <w:rsid w:val="00A65E95"/>
    <w:rsid w:val="00A6617B"/>
    <w:rsid w:val="00A66729"/>
    <w:rsid w:val="00A66754"/>
    <w:rsid w:val="00A66C24"/>
    <w:rsid w:val="00A66D11"/>
    <w:rsid w:val="00A66E3E"/>
    <w:rsid w:val="00A670DA"/>
    <w:rsid w:val="00A67CBA"/>
    <w:rsid w:val="00A67D07"/>
    <w:rsid w:val="00A67DD7"/>
    <w:rsid w:val="00A706E8"/>
    <w:rsid w:val="00A7154C"/>
    <w:rsid w:val="00A718B0"/>
    <w:rsid w:val="00A718EE"/>
    <w:rsid w:val="00A71E7C"/>
    <w:rsid w:val="00A7238E"/>
    <w:rsid w:val="00A72A64"/>
    <w:rsid w:val="00A72ED4"/>
    <w:rsid w:val="00A73361"/>
    <w:rsid w:val="00A73C77"/>
    <w:rsid w:val="00A73FEF"/>
    <w:rsid w:val="00A748D1"/>
    <w:rsid w:val="00A750DC"/>
    <w:rsid w:val="00A752E9"/>
    <w:rsid w:val="00A75694"/>
    <w:rsid w:val="00A75CC0"/>
    <w:rsid w:val="00A76237"/>
    <w:rsid w:val="00A76241"/>
    <w:rsid w:val="00A76583"/>
    <w:rsid w:val="00A77AFA"/>
    <w:rsid w:val="00A77F99"/>
    <w:rsid w:val="00A8093F"/>
    <w:rsid w:val="00A80F62"/>
    <w:rsid w:val="00A81218"/>
    <w:rsid w:val="00A81578"/>
    <w:rsid w:val="00A815FD"/>
    <w:rsid w:val="00A8166A"/>
    <w:rsid w:val="00A81810"/>
    <w:rsid w:val="00A81BB2"/>
    <w:rsid w:val="00A81BB5"/>
    <w:rsid w:val="00A81D78"/>
    <w:rsid w:val="00A82457"/>
    <w:rsid w:val="00A825CF"/>
    <w:rsid w:val="00A82606"/>
    <w:rsid w:val="00A8274F"/>
    <w:rsid w:val="00A8310C"/>
    <w:rsid w:val="00A831F5"/>
    <w:rsid w:val="00A83995"/>
    <w:rsid w:val="00A8408E"/>
    <w:rsid w:val="00A8414C"/>
    <w:rsid w:val="00A84181"/>
    <w:rsid w:val="00A843D2"/>
    <w:rsid w:val="00A84B92"/>
    <w:rsid w:val="00A85464"/>
    <w:rsid w:val="00A854C7"/>
    <w:rsid w:val="00A8578E"/>
    <w:rsid w:val="00A85988"/>
    <w:rsid w:val="00A85FAE"/>
    <w:rsid w:val="00A860CE"/>
    <w:rsid w:val="00A86164"/>
    <w:rsid w:val="00A868C0"/>
    <w:rsid w:val="00A868CF"/>
    <w:rsid w:val="00A86F60"/>
    <w:rsid w:val="00A87235"/>
    <w:rsid w:val="00A877D4"/>
    <w:rsid w:val="00A87858"/>
    <w:rsid w:val="00A87867"/>
    <w:rsid w:val="00A87A29"/>
    <w:rsid w:val="00A90FB2"/>
    <w:rsid w:val="00A9114E"/>
    <w:rsid w:val="00A915D0"/>
    <w:rsid w:val="00A916F0"/>
    <w:rsid w:val="00A918E7"/>
    <w:rsid w:val="00A91DDB"/>
    <w:rsid w:val="00A91E82"/>
    <w:rsid w:val="00A92760"/>
    <w:rsid w:val="00A928F6"/>
    <w:rsid w:val="00A92C0E"/>
    <w:rsid w:val="00A93145"/>
    <w:rsid w:val="00A93434"/>
    <w:rsid w:val="00A9390F"/>
    <w:rsid w:val="00A9394C"/>
    <w:rsid w:val="00A93A2B"/>
    <w:rsid w:val="00A940BB"/>
    <w:rsid w:val="00A94337"/>
    <w:rsid w:val="00A94568"/>
    <w:rsid w:val="00A946D5"/>
    <w:rsid w:val="00A9527C"/>
    <w:rsid w:val="00A95C42"/>
    <w:rsid w:val="00A96810"/>
    <w:rsid w:val="00A972CA"/>
    <w:rsid w:val="00A97430"/>
    <w:rsid w:val="00A97775"/>
    <w:rsid w:val="00A97972"/>
    <w:rsid w:val="00AA046E"/>
    <w:rsid w:val="00AA08C0"/>
    <w:rsid w:val="00AA094E"/>
    <w:rsid w:val="00AA15EF"/>
    <w:rsid w:val="00AA180E"/>
    <w:rsid w:val="00AA195A"/>
    <w:rsid w:val="00AA1C99"/>
    <w:rsid w:val="00AA2499"/>
    <w:rsid w:val="00AA2892"/>
    <w:rsid w:val="00AA2D93"/>
    <w:rsid w:val="00AA311A"/>
    <w:rsid w:val="00AA3C4A"/>
    <w:rsid w:val="00AA3EC3"/>
    <w:rsid w:val="00AA3ED7"/>
    <w:rsid w:val="00AA5803"/>
    <w:rsid w:val="00AA5C35"/>
    <w:rsid w:val="00AA5F34"/>
    <w:rsid w:val="00AA631A"/>
    <w:rsid w:val="00AA65FD"/>
    <w:rsid w:val="00AA68C7"/>
    <w:rsid w:val="00AA68EA"/>
    <w:rsid w:val="00AA694E"/>
    <w:rsid w:val="00AA6F97"/>
    <w:rsid w:val="00AA730B"/>
    <w:rsid w:val="00AA73B6"/>
    <w:rsid w:val="00AA75DD"/>
    <w:rsid w:val="00AB03CC"/>
    <w:rsid w:val="00AB04E4"/>
    <w:rsid w:val="00AB07C2"/>
    <w:rsid w:val="00AB0EF1"/>
    <w:rsid w:val="00AB1013"/>
    <w:rsid w:val="00AB1B3D"/>
    <w:rsid w:val="00AB2861"/>
    <w:rsid w:val="00AB3074"/>
    <w:rsid w:val="00AB3E40"/>
    <w:rsid w:val="00AB469C"/>
    <w:rsid w:val="00AB48A6"/>
    <w:rsid w:val="00AB4C8B"/>
    <w:rsid w:val="00AB532F"/>
    <w:rsid w:val="00AB53A5"/>
    <w:rsid w:val="00AB5BE0"/>
    <w:rsid w:val="00AB5C53"/>
    <w:rsid w:val="00AB6027"/>
    <w:rsid w:val="00AB622D"/>
    <w:rsid w:val="00AB673E"/>
    <w:rsid w:val="00AB6AD6"/>
    <w:rsid w:val="00AB76A7"/>
    <w:rsid w:val="00AB79C7"/>
    <w:rsid w:val="00AB7ED6"/>
    <w:rsid w:val="00AC063F"/>
    <w:rsid w:val="00AC0661"/>
    <w:rsid w:val="00AC0E52"/>
    <w:rsid w:val="00AC10B7"/>
    <w:rsid w:val="00AC17F0"/>
    <w:rsid w:val="00AC24BC"/>
    <w:rsid w:val="00AC2EDE"/>
    <w:rsid w:val="00AC301C"/>
    <w:rsid w:val="00AC30DF"/>
    <w:rsid w:val="00AC3B8B"/>
    <w:rsid w:val="00AC43D3"/>
    <w:rsid w:val="00AC43F3"/>
    <w:rsid w:val="00AC477B"/>
    <w:rsid w:val="00AC4807"/>
    <w:rsid w:val="00AC4C9B"/>
    <w:rsid w:val="00AC4FBA"/>
    <w:rsid w:val="00AC5317"/>
    <w:rsid w:val="00AC532A"/>
    <w:rsid w:val="00AC55EB"/>
    <w:rsid w:val="00AC562F"/>
    <w:rsid w:val="00AC5967"/>
    <w:rsid w:val="00AC5B1F"/>
    <w:rsid w:val="00AC62AB"/>
    <w:rsid w:val="00AC6FBE"/>
    <w:rsid w:val="00AC7A6B"/>
    <w:rsid w:val="00AC7A72"/>
    <w:rsid w:val="00AC7AB6"/>
    <w:rsid w:val="00AC7D67"/>
    <w:rsid w:val="00AD030B"/>
    <w:rsid w:val="00AD08F3"/>
    <w:rsid w:val="00AD11AE"/>
    <w:rsid w:val="00AD143F"/>
    <w:rsid w:val="00AD189C"/>
    <w:rsid w:val="00AD1F1E"/>
    <w:rsid w:val="00AD231A"/>
    <w:rsid w:val="00AD23D4"/>
    <w:rsid w:val="00AD26E1"/>
    <w:rsid w:val="00AD2B61"/>
    <w:rsid w:val="00AD2CF4"/>
    <w:rsid w:val="00AD3724"/>
    <w:rsid w:val="00AD3D83"/>
    <w:rsid w:val="00AD3FF8"/>
    <w:rsid w:val="00AD45F5"/>
    <w:rsid w:val="00AD4647"/>
    <w:rsid w:val="00AD4FCF"/>
    <w:rsid w:val="00AD543D"/>
    <w:rsid w:val="00AD627D"/>
    <w:rsid w:val="00AD6367"/>
    <w:rsid w:val="00AD64AC"/>
    <w:rsid w:val="00AD6841"/>
    <w:rsid w:val="00AD79A1"/>
    <w:rsid w:val="00AD7D50"/>
    <w:rsid w:val="00AE04F9"/>
    <w:rsid w:val="00AE0D43"/>
    <w:rsid w:val="00AE119A"/>
    <w:rsid w:val="00AE1335"/>
    <w:rsid w:val="00AE1677"/>
    <w:rsid w:val="00AE219A"/>
    <w:rsid w:val="00AE21D8"/>
    <w:rsid w:val="00AE259F"/>
    <w:rsid w:val="00AE2754"/>
    <w:rsid w:val="00AE283A"/>
    <w:rsid w:val="00AE29E5"/>
    <w:rsid w:val="00AE2ADB"/>
    <w:rsid w:val="00AE2ADF"/>
    <w:rsid w:val="00AE2F85"/>
    <w:rsid w:val="00AE3094"/>
    <w:rsid w:val="00AE3AD6"/>
    <w:rsid w:val="00AE3AEF"/>
    <w:rsid w:val="00AE3D52"/>
    <w:rsid w:val="00AE3DE9"/>
    <w:rsid w:val="00AE484C"/>
    <w:rsid w:val="00AE4952"/>
    <w:rsid w:val="00AE5232"/>
    <w:rsid w:val="00AE53EC"/>
    <w:rsid w:val="00AE5478"/>
    <w:rsid w:val="00AE64FB"/>
    <w:rsid w:val="00AE668F"/>
    <w:rsid w:val="00AE6E4C"/>
    <w:rsid w:val="00AE760C"/>
    <w:rsid w:val="00AE7DD5"/>
    <w:rsid w:val="00AE7E77"/>
    <w:rsid w:val="00AF0C0C"/>
    <w:rsid w:val="00AF0CDE"/>
    <w:rsid w:val="00AF10DA"/>
    <w:rsid w:val="00AF11A0"/>
    <w:rsid w:val="00AF14B0"/>
    <w:rsid w:val="00AF163F"/>
    <w:rsid w:val="00AF2513"/>
    <w:rsid w:val="00AF28E0"/>
    <w:rsid w:val="00AF2C26"/>
    <w:rsid w:val="00AF323F"/>
    <w:rsid w:val="00AF456E"/>
    <w:rsid w:val="00AF477B"/>
    <w:rsid w:val="00AF47D8"/>
    <w:rsid w:val="00AF4847"/>
    <w:rsid w:val="00AF4B44"/>
    <w:rsid w:val="00AF4DB1"/>
    <w:rsid w:val="00AF6B19"/>
    <w:rsid w:val="00AF7219"/>
    <w:rsid w:val="00B00A85"/>
    <w:rsid w:val="00B00D75"/>
    <w:rsid w:val="00B010AF"/>
    <w:rsid w:val="00B014AE"/>
    <w:rsid w:val="00B0154E"/>
    <w:rsid w:val="00B018B6"/>
    <w:rsid w:val="00B02936"/>
    <w:rsid w:val="00B029A0"/>
    <w:rsid w:val="00B02C16"/>
    <w:rsid w:val="00B0310D"/>
    <w:rsid w:val="00B03334"/>
    <w:rsid w:val="00B0356B"/>
    <w:rsid w:val="00B03EED"/>
    <w:rsid w:val="00B04119"/>
    <w:rsid w:val="00B04613"/>
    <w:rsid w:val="00B046A1"/>
    <w:rsid w:val="00B046D4"/>
    <w:rsid w:val="00B058BF"/>
    <w:rsid w:val="00B059A9"/>
    <w:rsid w:val="00B0630E"/>
    <w:rsid w:val="00B0697E"/>
    <w:rsid w:val="00B06DE7"/>
    <w:rsid w:val="00B06E63"/>
    <w:rsid w:val="00B07269"/>
    <w:rsid w:val="00B0775B"/>
    <w:rsid w:val="00B0778C"/>
    <w:rsid w:val="00B078D7"/>
    <w:rsid w:val="00B1011E"/>
    <w:rsid w:val="00B10790"/>
    <w:rsid w:val="00B10793"/>
    <w:rsid w:val="00B10B26"/>
    <w:rsid w:val="00B1130B"/>
    <w:rsid w:val="00B1147F"/>
    <w:rsid w:val="00B11486"/>
    <w:rsid w:val="00B12583"/>
    <w:rsid w:val="00B128AC"/>
    <w:rsid w:val="00B12913"/>
    <w:rsid w:val="00B12AD8"/>
    <w:rsid w:val="00B12B9E"/>
    <w:rsid w:val="00B12BE4"/>
    <w:rsid w:val="00B12C35"/>
    <w:rsid w:val="00B13749"/>
    <w:rsid w:val="00B13A15"/>
    <w:rsid w:val="00B1495F"/>
    <w:rsid w:val="00B14A54"/>
    <w:rsid w:val="00B14F0D"/>
    <w:rsid w:val="00B151AB"/>
    <w:rsid w:val="00B15312"/>
    <w:rsid w:val="00B153B4"/>
    <w:rsid w:val="00B153EC"/>
    <w:rsid w:val="00B15557"/>
    <w:rsid w:val="00B16A52"/>
    <w:rsid w:val="00B16AAF"/>
    <w:rsid w:val="00B16B2F"/>
    <w:rsid w:val="00B17EDF"/>
    <w:rsid w:val="00B2015E"/>
    <w:rsid w:val="00B2024A"/>
    <w:rsid w:val="00B2038B"/>
    <w:rsid w:val="00B20EAD"/>
    <w:rsid w:val="00B2107F"/>
    <w:rsid w:val="00B21C9A"/>
    <w:rsid w:val="00B22B9D"/>
    <w:rsid w:val="00B22C6B"/>
    <w:rsid w:val="00B22FF4"/>
    <w:rsid w:val="00B23EFC"/>
    <w:rsid w:val="00B245F1"/>
    <w:rsid w:val="00B24BB8"/>
    <w:rsid w:val="00B24BFD"/>
    <w:rsid w:val="00B25200"/>
    <w:rsid w:val="00B25506"/>
    <w:rsid w:val="00B25C70"/>
    <w:rsid w:val="00B2635A"/>
    <w:rsid w:val="00B26EDB"/>
    <w:rsid w:val="00B27307"/>
    <w:rsid w:val="00B276A5"/>
    <w:rsid w:val="00B27A8B"/>
    <w:rsid w:val="00B27F05"/>
    <w:rsid w:val="00B27F7C"/>
    <w:rsid w:val="00B30525"/>
    <w:rsid w:val="00B3062B"/>
    <w:rsid w:val="00B3086A"/>
    <w:rsid w:val="00B30DC0"/>
    <w:rsid w:val="00B30F54"/>
    <w:rsid w:val="00B31326"/>
    <w:rsid w:val="00B31419"/>
    <w:rsid w:val="00B32182"/>
    <w:rsid w:val="00B3227C"/>
    <w:rsid w:val="00B3232E"/>
    <w:rsid w:val="00B32522"/>
    <w:rsid w:val="00B32E25"/>
    <w:rsid w:val="00B336DC"/>
    <w:rsid w:val="00B33BD3"/>
    <w:rsid w:val="00B33DEB"/>
    <w:rsid w:val="00B33E0D"/>
    <w:rsid w:val="00B34995"/>
    <w:rsid w:val="00B34A40"/>
    <w:rsid w:val="00B34AA2"/>
    <w:rsid w:val="00B34D20"/>
    <w:rsid w:val="00B354EC"/>
    <w:rsid w:val="00B3556E"/>
    <w:rsid w:val="00B35B26"/>
    <w:rsid w:val="00B35D91"/>
    <w:rsid w:val="00B35DED"/>
    <w:rsid w:val="00B35EE4"/>
    <w:rsid w:val="00B36432"/>
    <w:rsid w:val="00B36AE3"/>
    <w:rsid w:val="00B37589"/>
    <w:rsid w:val="00B3785D"/>
    <w:rsid w:val="00B37FDB"/>
    <w:rsid w:val="00B401AD"/>
    <w:rsid w:val="00B40341"/>
    <w:rsid w:val="00B405E6"/>
    <w:rsid w:val="00B4086D"/>
    <w:rsid w:val="00B40975"/>
    <w:rsid w:val="00B40989"/>
    <w:rsid w:val="00B415BB"/>
    <w:rsid w:val="00B417FE"/>
    <w:rsid w:val="00B41944"/>
    <w:rsid w:val="00B42122"/>
    <w:rsid w:val="00B4255F"/>
    <w:rsid w:val="00B42C4D"/>
    <w:rsid w:val="00B4441C"/>
    <w:rsid w:val="00B44574"/>
    <w:rsid w:val="00B446CF"/>
    <w:rsid w:val="00B448B7"/>
    <w:rsid w:val="00B44CED"/>
    <w:rsid w:val="00B44E0C"/>
    <w:rsid w:val="00B44EAA"/>
    <w:rsid w:val="00B4511E"/>
    <w:rsid w:val="00B46007"/>
    <w:rsid w:val="00B461C9"/>
    <w:rsid w:val="00B464A0"/>
    <w:rsid w:val="00B467F9"/>
    <w:rsid w:val="00B4741D"/>
    <w:rsid w:val="00B4784D"/>
    <w:rsid w:val="00B47F31"/>
    <w:rsid w:val="00B51187"/>
    <w:rsid w:val="00B51313"/>
    <w:rsid w:val="00B515B4"/>
    <w:rsid w:val="00B51B58"/>
    <w:rsid w:val="00B51FB3"/>
    <w:rsid w:val="00B537FC"/>
    <w:rsid w:val="00B538A2"/>
    <w:rsid w:val="00B5399F"/>
    <w:rsid w:val="00B53BB5"/>
    <w:rsid w:val="00B53C6C"/>
    <w:rsid w:val="00B53E06"/>
    <w:rsid w:val="00B54878"/>
    <w:rsid w:val="00B54FF4"/>
    <w:rsid w:val="00B5594B"/>
    <w:rsid w:val="00B56816"/>
    <w:rsid w:val="00B57275"/>
    <w:rsid w:val="00B57326"/>
    <w:rsid w:val="00B57DA3"/>
    <w:rsid w:val="00B60566"/>
    <w:rsid w:val="00B60802"/>
    <w:rsid w:val="00B6103D"/>
    <w:rsid w:val="00B61F90"/>
    <w:rsid w:val="00B621EF"/>
    <w:rsid w:val="00B6246B"/>
    <w:rsid w:val="00B626D0"/>
    <w:rsid w:val="00B6297D"/>
    <w:rsid w:val="00B62A38"/>
    <w:rsid w:val="00B62A39"/>
    <w:rsid w:val="00B62A42"/>
    <w:rsid w:val="00B62E64"/>
    <w:rsid w:val="00B634A8"/>
    <w:rsid w:val="00B63521"/>
    <w:rsid w:val="00B63E14"/>
    <w:rsid w:val="00B64008"/>
    <w:rsid w:val="00B64378"/>
    <w:rsid w:val="00B64435"/>
    <w:rsid w:val="00B644AF"/>
    <w:rsid w:val="00B64550"/>
    <w:rsid w:val="00B64BF9"/>
    <w:rsid w:val="00B64D15"/>
    <w:rsid w:val="00B6529A"/>
    <w:rsid w:val="00B652AD"/>
    <w:rsid w:val="00B65305"/>
    <w:rsid w:val="00B65798"/>
    <w:rsid w:val="00B658CB"/>
    <w:rsid w:val="00B659F8"/>
    <w:rsid w:val="00B6618E"/>
    <w:rsid w:val="00B6638B"/>
    <w:rsid w:val="00B66C49"/>
    <w:rsid w:val="00B66C71"/>
    <w:rsid w:val="00B66F0E"/>
    <w:rsid w:val="00B67074"/>
    <w:rsid w:val="00B670ED"/>
    <w:rsid w:val="00B6759B"/>
    <w:rsid w:val="00B6765F"/>
    <w:rsid w:val="00B6773D"/>
    <w:rsid w:val="00B67BC7"/>
    <w:rsid w:val="00B70E26"/>
    <w:rsid w:val="00B70FBC"/>
    <w:rsid w:val="00B715E5"/>
    <w:rsid w:val="00B71D30"/>
    <w:rsid w:val="00B71E77"/>
    <w:rsid w:val="00B7204C"/>
    <w:rsid w:val="00B7238E"/>
    <w:rsid w:val="00B72AB6"/>
    <w:rsid w:val="00B72DC5"/>
    <w:rsid w:val="00B730C4"/>
    <w:rsid w:val="00B73610"/>
    <w:rsid w:val="00B73775"/>
    <w:rsid w:val="00B73AF2"/>
    <w:rsid w:val="00B73E4E"/>
    <w:rsid w:val="00B740AE"/>
    <w:rsid w:val="00B742A5"/>
    <w:rsid w:val="00B744A0"/>
    <w:rsid w:val="00B751E2"/>
    <w:rsid w:val="00B752E9"/>
    <w:rsid w:val="00B75DEB"/>
    <w:rsid w:val="00B75E09"/>
    <w:rsid w:val="00B75E1E"/>
    <w:rsid w:val="00B75EB7"/>
    <w:rsid w:val="00B75F4B"/>
    <w:rsid w:val="00B768D2"/>
    <w:rsid w:val="00B76BDF"/>
    <w:rsid w:val="00B76C76"/>
    <w:rsid w:val="00B76D94"/>
    <w:rsid w:val="00B7711C"/>
    <w:rsid w:val="00B7741C"/>
    <w:rsid w:val="00B776E1"/>
    <w:rsid w:val="00B7777E"/>
    <w:rsid w:val="00B77A26"/>
    <w:rsid w:val="00B803B5"/>
    <w:rsid w:val="00B8051F"/>
    <w:rsid w:val="00B80D81"/>
    <w:rsid w:val="00B8204C"/>
    <w:rsid w:val="00B8284D"/>
    <w:rsid w:val="00B8285B"/>
    <w:rsid w:val="00B8384B"/>
    <w:rsid w:val="00B839DE"/>
    <w:rsid w:val="00B849FF"/>
    <w:rsid w:val="00B84DCE"/>
    <w:rsid w:val="00B85065"/>
    <w:rsid w:val="00B85637"/>
    <w:rsid w:val="00B858CD"/>
    <w:rsid w:val="00B85E6F"/>
    <w:rsid w:val="00B862C3"/>
    <w:rsid w:val="00B86746"/>
    <w:rsid w:val="00B86B65"/>
    <w:rsid w:val="00B86D5E"/>
    <w:rsid w:val="00B86D6B"/>
    <w:rsid w:val="00B873FD"/>
    <w:rsid w:val="00B87A5F"/>
    <w:rsid w:val="00B87D90"/>
    <w:rsid w:val="00B87FC6"/>
    <w:rsid w:val="00B9031B"/>
    <w:rsid w:val="00B9035C"/>
    <w:rsid w:val="00B92217"/>
    <w:rsid w:val="00B92C7A"/>
    <w:rsid w:val="00B93578"/>
    <w:rsid w:val="00B939A4"/>
    <w:rsid w:val="00B93EA4"/>
    <w:rsid w:val="00B941E2"/>
    <w:rsid w:val="00B9438F"/>
    <w:rsid w:val="00B9486C"/>
    <w:rsid w:val="00B95017"/>
    <w:rsid w:val="00B95399"/>
    <w:rsid w:val="00B955FB"/>
    <w:rsid w:val="00B9562F"/>
    <w:rsid w:val="00B96245"/>
    <w:rsid w:val="00B9643B"/>
    <w:rsid w:val="00B966D0"/>
    <w:rsid w:val="00B977A1"/>
    <w:rsid w:val="00B97848"/>
    <w:rsid w:val="00B97B24"/>
    <w:rsid w:val="00BA09FB"/>
    <w:rsid w:val="00BA14B4"/>
    <w:rsid w:val="00BA178A"/>
    <w:rsid w:val="00BA1EE3"/>
    <w:rsid w:val="00BA2C8E"/>
    <w:rsid w:val="00BA2DDB"/>
    <w:rsid w:val="00BA30AB"/>
    <w:rsid w:val="00BA3241"/>
    <w:rsid w:val="00BA3D20"/>
    <w:rsid w:val="00BA3D3B"/>
    <w:rsid w:val="00BA4183"/>
    <w:rsid w:val="00BA42EF"/>
    <w:rsid w:val="00BA4FD5"/>
    <w:rsid w:val="00BA5330"/>
    <w:rsid w:val="00BA5910"/>
    <w:rsid w:val="00BA5BB6"/>
    <w:rsid w:val="00BA667A"/>
    <w:rsid w:val="00BA6F69"/>
    <w:rsid w:val="00BA72A4"/>
    <w:rsid w:val="00BA72E9"/>
    <w:rsid w:val="00BA7A92"/>
    <w:rsid w:val="00BA7BED"/>
    <w:rsid w:val="00BB00B4"/>
    <w:rsid w:val="00BB0374"/>
    <w:rsid w:val="00BB0381"/>
    <w:rsid w:val="00BB0D63"/>
    <w:rsid w:val="00BB0FB4"/>
    <w:rsid w:val="00BB1016"/>
    <w:rsid w:val="00BB1073"/>
    <w:rsid w:val="00BB149F"/>
    <w:rsid w:val="00BB1877"/>
    <w:rsid w:val="00BB1F39"/>
    <w:rsid w:val="00BB1F7D"/>
    <w:rsid w:val="00BB2465"/>
    <w:rsid w:val="00BB2703"/>
    <w:rsid w:val="00BB27FD"/>
    <w:rsid w:val="00BB2DA3"/>
    <w:rsid w:val="00BB3094"/>
    <w:rsid w:val="00BB32EF"/>
    <w:rsid w:val="00BB3493"/>
    <w:rsid w:val="00BB396D"/>
    <w:rsid w:val="00BB39F3"/>
    <w:rsid w:val="00BB3D0D"/>
    <w:rsid w:val="00BB449F"/>
    <w:rsid w:val="00BB44F9"/>
    <w:rsid w:val="00BB4706"/>
    <w:rsid w:val="00BB4814"/>
    <w:rsid w:val="00BB49C8"/>
    <w:rsid w:val="00BB50D1"/>
    <w:rsid w:val="00BB52C8"/>
    <w:rsid w:val="00BB5844"/>
    <w:rsid w:val="00BB5A0E"/>
    <w:rsid w:val="00BB5BC3"/>
    <w:rsid w:val="00BB6375"/>
    <w:rsid w:val="00BB6511"/>
    <w:rsid w:val="00BB652D"/>
    <w:rsid w:val="00BB69C5"/>
    <w:rsid w:val="00BB71EC"/>
    <w:rsid w:val="00BB73D8"/>
    <w:rsid w:val="00BC022B"/>
    <w:rsid w:val="00BC040F"/>
    <w:rsid w:val="00BC0BE2"/>
    <w:rsid w:val="00BC0EE1"/>
    <w:rsid w:val="00BC109D"/>
    <w:rsid w:val="00BC18BF"/>
    <w:rsid w:val="00BC205D"/>
    <w:rsid w:val="00BC2346"/>
    <w:rsid w:val="00BC2752"/>
    <w:rsid w:val="00BC2F3E"/>
    <w:rsid w:val="00BC3184"/>
    <w:rsid w:val="00BC37B5"/>
    <w:rsid w:val="00BC3A63"/>
    <w:rsid w:val="00BC3EB7"/>
    <w:rsid w:val="00BC4365"/>
    <w:rsid w:val="00BC4977"/>
    <w:rsid w:val="00BC4DF4"/>
    <w:rsid w:val="00BC523F"/>
    <w:rsid w:val="00BC54DE"/>
    <w:rsid w:val="00BC5696"/>
    <w:rsid w:val="00BC57A0"/>
    <w:rsid w:val="00BC5BA2"/>
    <w:rsid w:val="00BC5F0D"/>
    <w:rsid w:val="00BC5FD9"/>
    <w:rsid w:val="00BC64BE"/>
    <w:rsid w:val="00BC64C8"/>
    <w:rsid w:val="00BC6D3E"/>
    <w:rsid w:val="00BC70C2"/>
    <w:rsid w:val="00BC7414"/>
    <w:rsid w:val="00BC7421"/>
    <w:rsid w:val="00BC7774"/>
    <w:rsid w:val="00BC7E7F"/>
    <w:rsid w:val="00BD02EC"/>
    <w:rsid w:val="00BD0A2C"/>
    <w:rsid w:val="00BD1457"/>
    <w:rsid w:val="00BD1562"/>
    <w:rsid w:val="00BD162C"/>
    <w:rsid w:val="00BD1D00"/>
    <w:rsid w:val="00BD2621"/>
    <w:rsid w:val="00BD2E00"/>
    <w:rsid w:val="00BD2EA9"/>
    <w:rsid w:val="00BD31A6"/>
    <w:rsid w:val="00BD336D"/>
    <w:rsid w:val="00BD3787"/>
    <w:rsid w:val="00BD3791"/>
    <w:rsid w:val="00BD3FE1"/>
    <w:rsid w:val="00BD4377"/>
    <w:rsid w:val="00BD48DF"/>
    <w:rsid w:val="00BD4A4C"/>
    <w:rsid w:val="00BD5148"/>
    <w:rsid w:val="00BD51B4"/>
    <w:rsid w:val="00BD520F"/>
    <w:rsid w:val="00BD55ED"/>
    <w:rsid w:val="00BD5863"/>
    <w:rsid w:val="00BD6987"/>
    <w:rsid w:val="00BD777C"/>
    <w:rsid w:val="00BD78E5"/>
    <w:rsid w:val="00BD7F5B"/>
    <w:rsid w:val="00BE0E61"/>
    <w:rsid w:val="00BE0EE8"/>
    <w:rsid w:val="00BE0F59"/>
    <w:rsid w:val="00BE16E5"/>
    <w:rsid w:val="00BE1839"/>
    <w:rsid w:val="00BE1B6F"/>
    <w:rsid w:val="00BE1C5B"/>
    <w:rsid w:val="00BE28AA"/>
    <w:rsid w:val="00BE2909"/>
    <w:rsid w:val="00BE293E"/>
    <w:rsid w:val="00BE2DC3"/>
    <w:rsid w:val="00BE3530"/>
    <w:rsid w:val="00BE3FEF"/>
    <w:rsid w:val="00BE4A08"/>
    <w:rsid w:val="00BE5464"/>
    <w:rsid w:val="00BE5D2F"/>
    <w:rsid w:val="00BE5DA1"/>
    <w:rsid w:val="00BE61DB"/>
    <w:rsid w:val="00BE6652"/>
    <w:rsid w:val="00BE690C"/>
    <w:rsid w:val="00BE6E4A"/>
    <w:rsid w:val="00BE6EEA"/>
    <w:rsid w:val="00BE7C91"/>
    <w:rsid w:val="00BE7E70"/>
    <w:rsid w:val="00BE7F20"/>
    <w:rsid w:val="00BF012B"/>
    <w:rsid w:val="00BF037B"/>
    <w:rsid w:val="00BF037D"/>
    <w:rsid w:val="00BF03D8"/>
    <w:rsid w:val="00BF04C4"/>
    <w:rsid w:val="00BF05FA"/>
    <w:rsid w:val="00BF09A7"/>
    <w:rsid w:val="00BF15B5"/>
    <w:rsid w:val="00BF1A0D"/>
    <w:rsid w:val="00BF3274"/>
    <w:rsid w:val="00BF395F"/>
    <w:rsid w:val="00BF39E6"/>
    <w:rsid w:val="00BF3E21"/>
    <w:rsid w:val="00BF3E83"/>
    <w:rsid w:val="00BF4044"/>
    <w:rsid w:val="00BF4A0E"/>
    <w:rsid w:val="00BF4C6F"/>
    <w:rsid w:val="00BF4CBF"/>
    <w:rsid w:val="00BF4D47"/>
    <w:rsid w:val="00BF50C1"/>
    <w:rsid w:val="00BF5218"/>
    <w:rsid w:val="00BF56C7"/>
    <w:rsid w:val="00BF5866"/>
    <w:rsid w:val="00BF5F4B"/>
    <w:rsid w:val="00BF611F"/>
    <w:rsid w:val="00BF6F7A"/>
    <w:rsid w:val="00BF728F"/>
    <w:rsid w:val="00BF7334"/>
    <w:rsid w:val="00BF7BF4"/>
    <w:rsid w:val="00BF7FB5"/>
    <w:rsid w:val="00C00412"/>
    <w:rsid w:val="00C00C2A"/>
    <w:rsid w:val="00C00F23"/>
    <w:rsid w:val="00C01344"/>
    <w:rsid w:val="00C03484"/>
    <w:rsid w:val="00C03995"/>
    <w:rsid w:val="00C03ADD"/>
    <w:rsid w:val="00C03DB1"/>
    <w:rsid w:val="00C041F5"/>
    <w:rsid w:val="00C04326"/>
    <w:rsid w:val="00C055E0"/>
    <w:rsid w:val="00C05A07"/>
    <w:rsid w:val="00C06316"/>
    <w:rsid w:val="00C063ED"/>
    <w:rsid w:val="00C066C4"/>
    <w:rsid w:val="00C06B8F"/>
    <w:rsid w:val="00C07199"/>
    <w:rsid w:val="00C07875"/>
    <w:rsid w:val="00C07FC8"/>
    <w:rsid w:val="00C1034B"/>
    <w:rsid w:val="00C10581"/>
    <w:rsid w:val="00C105BF"/>
    <w:rsid w:val="00C10728"/>
    <w:rsid w:val="00C107AF"/>
    <w:rsid w:val="00C1109B"/>
    <w:rsid w:val="00C11AB5"/>
    <w:rsid w:val="00C11E85"/>
    <w:rsid w:val="00C12C04"/>
    <w:rsid w:val="00C12FC9"/>
    <w:rsid w:val="00C133BF"/>
    <w:rsid w:val="00C1354A"/>
    <w:rsid w:val="00C13AD2"/>
    <w:rsid w:val="00C13BA5"/>
    <w:rsid w:val="00C1423A"/>
    <w:rsid w:val="00C143EB"/>
    <w:rsid w:val="00C1494E"/>
    <w:rsid w:val="00C14A3E"/>
    <w:rsid w:val="00C14E29"/>
    <w:rsid w:val="00C14FB0"/>
    <w:rsid w:val="00C150D9"/>
    <w:rsid w:val="00C15536"/>
    <w:rsid w:val="00C16136"/>
    <w:rsid w:val="00C1651C"/>
    <w:rsid w:val="00C169E3"/>
    <w:rsid w:val="00C16AFA"/>
    <w:rsid w:val="00C16B61"/>
    <w:rsid w:val="00C171B6"/>
    <w:rsid w:val="00C17465"/>
    <w:rsid w:val="00C17636"/>
    <w:rsid w:val="00C17646"/>
    <w:rsid w:val="00C17854"/>
    <w:rsid w:val="00C17AAB"/>
    <w:rsid w:val="00C200FE"/>
    <w:rsid w:val="00C20170"/>
    <w:rsid w:val="00C20883"/>
    <w:rsid w:val="00C20A39"/>
    <w:rsid w:val="00C20A88"/>
    <w:rsid w:val="00C20C0B"/>
    <w:rsid w:val="00C20CE1"/>
    <w:rsid w:val="00C20D41"/>
    <w:rsid w:val="00C20D82"/>
    <w:rsid w:val="00C21537"/>
    <w:rsid w:val="00C21AE6"/>
    <w:rsid w:val="00C21CE1"/>
    <w:rsid w:val="00C2255E"/>
    <w:rsid w:val="00C227B8"/>
    <w:rsid w:val="00C22B42"/>
    <w:rsid w:val="00C22B57"/>
    <w:rsid w:val="00C22D53"/>
    <w:rsid w:val="00C236F9"/>
    <w:rsid w:val="00C23D04"/>
    <w:rsid w:val="00C24279"/>
    <w:rsid w:val="00C24285"/>
    <w:rsid w:val="00C247F0"/>
    <w:rsid w:val="00C248FB"/>
    <w:rsid w:val="00C24B04"/>
    <w:rsid w:val="00C25229"/>
    <w:rsid w:val="00C2532C"/>
    <w:rsid w:val="00C25468"/>
    <w:rsid w:val="00C25DCB"/>
    <w:rsid w:val="00C26FC6"/>
    <w:rsid w:val="00C3031B"/>
    <w:rsid w:val="00C30399"/>
    <w:rsid w:val="00C3080C"/>
    <w:rsid w:val="00C30C24"/>
    <w:rsid w:val="00C31299"/>
    <w:rsid w:val="00C31497"/>
    <w:rsid w:val="00C31A01"/>
    <w:rsid w:val="00C31AE7"/>
    <w:rsid w:val="00C31B13"/>
    <w:rsid w:val="00C31C2C"/>
    <w:rsid w:val="00C32484"/>
    <w:rsid w:val="00C3250A"/>
    <w:rsid w:val="00C334CA"/>
    <w:rsid w:val="00C337D3"/>
    <w:rsid w:val="00C3430C"/>
    <w:rsid w:val="00C34449"/>
    <w:rsid w:val="00C3450D"/>
    <w:rsid w:val="00C34D7A"/>
    <w:rsid w:val="00C34EF1"/>
    <w:rsid w:val="00C34F47"/>
    <w:rsid w:val="00C359BC"/>
    <w:rsid w:val="00C361C1"/>
    <w:rsid w:val="00C36322"/>
    <w:rsid w:val="00C36B84"/>
    <w:rsid w:val="00C36E61"/>
    <w:rsid w:val="00C37057"/>
    <w:rsid w:val="00C37375"/>
    <w:rsid w:val="00C403CB"/>
    <w:rsid w:val="00C40402"/>
    <w:rsid w:val="00C41044"/>
    <w:rsid w:val="00C410DB"/>
    <w:rsid w:val="00C413E9"/>
    <w:rsid w:val="00C4145E"/>
    <w:rsid w:val="00C415F8"/>
    <w:rsid w:val="00C4256B"/>
    <w:rsid w:val="00C42742"/>
    <w:rsid w:val="00C42BB9"/>
    <w:rsid w:val="00C4340C"/>
    <w:rsid w:val="00C43ED0"/>
    <w:rsid w:val="00C43F15"/>
    <w:rsid w:val="00C445B4"/>
    <w:rsid w:val="00C4470E"/>
    <w:rsid w:val="00C44B52"/>
    <w:rsid w:val="00C44D71"/>
    <w:rsid w:val="00C44E01"/>
    <w:rsid w:val="00C44EAC"/>
    <w:rsid w:val="00C450B5"/>
    <w:rsid w:val="00C464A5"/>
    <w:rsid w:val="00C4692E"/>
    <w:rsid w:val="00C46A78"/>
    <w:rsid w:val="00C46D70"/>
    <w:rsid w:val="00C474E2"/>
    <w:rsid w:val="00C47967"/>
    <w:rsid w:val="00C47E19"/>
    <w:rsid w:val="00C50206"/>
    <w:rsid w:val="00C50769"/>
    <w:rsid w:val="00C50812"/>
    <w:rsid w:val="00C50BE1"/>
    <w:rsid w:val="00C50E87"/>
    <w:rsid w:val="00C51851"/>
    <w:rsid w:val="00C524EE"/>
    <w:rsid w:val="00C525AB"/>
    <w:rsid w:val="00C5277E"/>
    <w:rsid w:val="00C52CC8"/>
    <w:rsid w:val="00C52D0A"/>
    <w:rsid w:val="00C5397B"/>
    <w:rsid w:val="00C539CB"/>
    <w:rsid w:val="00C53DC5"/>
    <w:rsid w:val="00C54326"/>
    <w:rsid w:val="00C54473"/>
    <w:rsid w:val="00C55504"/>
    <w:rsid w:val="00C559DE"/>
    <w:rsid w:val="00C55BAD"/>
    <w:rsid w:val="00C5607D"/>
    <w:rsid w:val="00C564DB"/>
    <w:rsid w:val="00C56E66"/>
    <w:rsid w:val="00C5700C"/>
    <w:rsid w:val="00C574A1"/>
    <w:rsid w:val="00C576E6"/>
    <w:rsid w:val="00C57848"/>
    <w:rsid w:val="00C57C41"/>
    <w:rsid w:val="00C60568"/>
    <w:rsid w:val="00C6071C"/>
    <w:rsid w:val="00C609B5"/>
    <w:rsid w:val="00C60A80"/>
    <w:rsid w:val="00C611F7"/>
    <w:rsid w:val="00C614A4"/>
    <w:rsid w:val="00C619FB"/>
    <w:rsid w:val="00C62102"/>
    <w:rsid w:val="00C62F57"/>
    <w:rsid w:val="00C6312F"/>
    <w:rsid w:val="00C632F4"/>
    <w:rsid w:val="00C635E2"/>
    <w:rsid w:val="00C638E6"/>
    <w:rsid w:val="00C63DA0"/>
    <w:rsid w:val="00C63F18"/>
    <w:rsid w:val="00C63FA8"/>
    <w:rsid w:val="00C642B9"/>
    <w:rsid w:val="00C64905"/>
    <w:rsid w:val="00C654C4"/>
    <w:rsid w:val="00C65E91"/>
    <w:rsid w:val="00C66229"/>
    <w:rsid w:val="00C662FB"/>
    <w:rsid w:val="00C66439"/>
    <w:rsid w:val="00C66D69"/>
    <w:rsid w:val="00C670FC"/>
    <w:rsid w:val="00C677B6"/>
    <w:rsid w:val="00C678D3"/>
    <w:rsid w:val="00C67E6B"/>
    <w:rsid w:val="00C701BC"/>
    <w:rsid w:val="00C70256"/>
    <w:rsid w:val="00C70282"/>
    <w:rsid w:val="00C7055A"/>
    <w:rsid w:val="00C70D0D"/>
    <w:rsid w:val="00C718FD"/>
    <w:rsid w:val="00C71B09"/>
    <w:rsid w:val="00C71B63"/>
    <w:rsid w:val="00C72916"/>
    <w:rsid w:val="00C7301A"/>
    <w:rsid w:val="00C73A87"/>
    <w:rsid w:val="00C7436A"/>
    <w:rsid w:val="00C74CA7"/>
    <w:rsid w:val="00C74DBA"/>
    <w:rsid w:val="00C74DE9"/>
    <w:rsid w:val="00C76E6B"/>
    <w:rsid w:val="00C76F43"/>
    <w:rsid w:val="00C76FE9"/>
    <w:rsid w:val="00C77106"/>
    <w:rsid w:val="00C7728B"/>
    <w:rsid w:val="00C77388"/>
    <w:rsid w:val="00C776EF"/>
    <w:rsid w:val="00C77858"/>
    <w:rsid w:val="00C778D3"/>
    <w:rsid w:val="00C77FE1"/>
    <w:rsid w:val="00C80512"/>
    <w:rsid w:val="00C80587"/>
    <w:rsid w:val="00C80817"/>
    <w:rsid w:val="00C80C33"/>
    <w:rsid w:val="00C8109B"/>
    <w:rsid w:val="00C81415"/>
    <w:rsid w:val="00C817AB"/>
    <w:rsid w:val="00C81DAB"/>
    <w:rsid w:val="00C81DE2"/>
    <w:rsid w:val="00C81E79"/>
    <w:rsid w:val="00C822E7"/>
    <w:rsid w:val="00C831A2"/>
    <w:rsid w:val="00C83620"/>
    <w:rsid w:val="00C83FA0"/>
    <w:rsid w:val="00C84303"/>
    <w:rsid w:val="00C845D9"/>
    <w:rsid w:val="00C84A68"/>
    <w:rsid w:val="00C84F2F"/>
    <w:rsid w:val="00C8583E"/>
    <w:rsid w:val="00C85DC7"/>
    <w:rsid w:val="00C86266"/>
    <w:rsid w:val="00C8676C"/>
    <w:rsid w:val="00C868C2"/>
    <w:rsid w:val="00C86C1C"/>
    <w:rsid w:val="00C8753E"/>
    <w:rsid w:val="00C8762C"/>
    <w:rsid w:val="00C8788E"/>
    <w:rsid w:val="00C87961"/>
    <w:rsid w:val="00C87F8E"/>
    <w:rsid w:val="00C907C8"/>
    <w:rsid w:val="00C90EF0"/>
    <w:rsid w:val="00C911B9"/>
    <w:rsid w:val="00C9176C"/>
    <w:rsid w:val="00C919F0"/>
    <w:rsid w:val="00C91BA1"/>
    <w:rsid w:val="00C9218C"/>
    <w:rsid w:val="00C933F0"/>
    <w:rsid w:val="00C934C8"/>
    <w:rsid w:val="00C9403D"/>
    <w:rsid w:val="00C94190"/>
    <w:rsid w:val="00C944EE"/>
    <w:rsid w:val="00C946FE"/>
    <w:rsid w:val="00C948F4"/>
    <w:rsid w:val="00C94A82"/>
    <w:rsid w:val="00C94C27"/>
    <w:rsid w:val="00C94F3C"/>
    <w:rsid w:val="00C952AF"/>
    <w:rsid w:val="00C957B8"/>
    <w:rsid w:val="00C95ACE"/>
    <w:rsid w:val="00C96624"/>
    <w:rsid w:val="00C968DC"/>
    <w:rsid w:val="00C97016"/>
    <w:rsid w:val="00C97768"/>
    <w:rsid w:val="00C9795A"/>
    <w:rsid w:val="00C97BA6"/>
    <w:rsid w:val="00C97EBB"/>
    <w:rsid w:val="00C97FAC"/>
    <w:rsid w:val="00C97FE1"/>
    <w:rsid w:val="00CA0003"/>
    <w:rsid w:val="00CA0340"/>
    <w:rsid w:val="00CA0589"/>
    <w:rsid w:val="00CA11E3"/>
    <w:rsid w:val="00CA147D"/>
    <w:rsid w:val="00CA1F1A"/>
    <w:rsid w:val="00CA3068"/>
    <w:rsid w:val="00CA3A89"/>
    <w:rsid w:val="00CA4107"/>
    <w:rsid w:val="00CA48DD"/>
    <w:rsid w:val="00CA4B52"/>
    <w:rsid w:val="00CA4B6B"/>
    <w:rsid w:val="00CA4D49"/>
    <w:rsid w:val="00CA4DEE"/>
    <w:rsid w:val="00CA58FC"/>
    <w:rsid w:val="00CA6873"/>
    <w:rsid w:val="00CA6976"/>
    <w:rsid w:val="00CA6A59"/>
    <w:rsid w:val="00CA6B6E"/>
    <w:rsid w:val="00CA6E84"/>
    <w:rsid w:val="00CA7E68"/>
    <w:rsid w:val="00CB01EE"/>
    <w:rsid w:val="00CB04A2"/>
    <w:rsid w:val="00CB06BC"/>
    <w:rsid w:val="00CB081B"/>
    <w:rsid w:val="00CB0A76"/>
    <w:rsid w:val="00CB0A9B"/>
    <w:rsid w:val="00CB0DEB"/>
    <w:rsid w:val="00CB1CFC"/>
    <w:rsid w:val="00CB1DA6"/>
    <w:rsid w:val="00CB31DB"/>
    <w:rsid w:val="00CB33C0"/>
    <w:rsid w:val="00CB4262"/>
    <w:rsid w:val="00CB5726"/>
    <w:rsid w:val="00CB6C66"/>
    <w:rsid w:val="00CB7799"/>
    <w:rsid w:val="00CB795D"/>
    <w:rsid w:val="00CB7A13"/>
    <w:rsid w:val="00CB7B20"/>
    <w:rsid w:val="00CB7CFC"/>
    <w:rsid w:val="00CB7F88"/>
    <w:rsid w:val="00CC0D2D"/>
    <w:rsid w:val="00CC18D5"/>
    <w:rsid w:val="00CC20E9"/>
    <w:rsid w:val="00CC2BE1"/>
    <w:rsid w:val="00CC3224"/>
    <w:rsid w:val="00CC3349"/>
    <w:rsid w:val="00CC396B"/>
    <w:rsid w:val="00CC3BE3"/>
    <w:rsid w:val="00CC44DE"/>
    <w:rsid w:val="00CC471F"/>
    <w:rsid w:val="00CC4A37"/>
    <w:rsid w:val="00CC537D"/>
    <w:rsid w:val="00CC539D"/>
    <w:rsid w:val="00CC57C5"/>
    <w:rsid w:val="00CC6140"/>
    <w:rsid w:val="00CC6583"/>
    <w:rsid w:val="00CC6A97"/>
    <w:rsid w:val="00CC6FFF"/>
    <w:rsid w:val="00CC7D18"/>
    <w:rsid w:val="00CD0568"/>
    <w:rsid w:val="00CD08DB"/>
    <w:rsid w:val="00CD08FC"/>
    <w:rsid w:val="00CD13AB"/>
    <w:rsid w:val="00CD1C1A"/>
    <w:rsid w:val="00CD1CF3"/>
    <w:rsid w:val="00CD1E8E"/>
    <w:rsid w:val="00CD2E16"/>
    <w:rsid w:val="00CD2EA3"/>
    <w:rsid w:val="00CD30CB"/>
    <w:rsid w:val="00CD3124"/>
    <w:rsid w:val="00CD386C"/>
    <w:rsid w:val="00CD3B65"/>
    <w:rsid w:val="00CD4080"/>
    <w:rsid w:val="00CD440E"/>
    <w:rsid w:val="00CD4676"/>
    <w:rsid w:val="00CD51E6"/>
    <w:rsid w:val="00CD5FB1"/>
    <w:rsid w:val="00CD6423"/>
    <w:rsid w:val="00CD6AA5"/>
    <w:rsid w:val="00CD7553"/>
    <w:rsid w:val="00CD7C6E"/>
    <w:rsid w:val="00CD7F5A"/>
    <w:rsid w:val="00CE0099"/>
    <w:rsid w:val="00CE06F5"/>
    <w:rsid w:val="00CE0887"/>
    <w:rsid w:val="00CE0953"/>
    <w:rsid w:val="00CE0A92"/>
    <w:rsid w:val="00CE140F"/>
    <w:rsid w:val="00CE1A5B"/>
    <w:rsid w:val="00CE212C"/>
    <w:rsid w:val="00CE269B"/>
    <w:rsid w:val="00CE27F3"/>
    <w:rsid w:val="00CE307E"/>
    <w:rsid w:val="00CE3A2F"/>
    <w:rsid w:val="00CE3B05"/>
    <w:rsid w:val="00CE3CC6"/>
    <w:rsid w:val="00CE41B9"/>
    <w:rsid w:val="00CE4C09"/>
    <w:rsid w:val="00CE5076"/>
    <w:rsid w:val="00CE5264"/>
    <w:rsid w:val="00CE53E1"/>
    <w:rsid w:val="00CE5558"/>
    <w:rsid w:val="00CE57F1"/>
    <w:rsid w:val="00CE5A70"/>
    <w:rsid w:val="00CE5C01"/>
    <w:rsid w:val="00CE5C70"/>
    <w:rsid w:val="00CE5D9D"/>
    <w:rsid w:val="00CE5E0A"/>
    <w:rsid w:val="00CE60F5"/>
    <w:rsid w:val="00CE66D7"/>
    <w:rsid w:val="00CE6795"/>
    <w:rsid w:val="00CE6A40"/>
    <w:rsid w:val="00CE6E05"/>
    <w:rsid w:val="00CE6E3F"/>
    <w:rsid w:val="00CE7614"/>
    <w:rsid w:val="00CE7A11"/>
    <w:rsid w:val="00CE7B50"/>
    <w:rsid w:val="00CE7F64"/>
    <w:rsid w:val="00CF0009"/>
    <w:rsid w:val="00CF0A5D"/>
    <w:rsid w:val="00CF0AA9"/>
    <w:rsid w:val="00CF0B5A"/>
    <w:rsid w:val="00CF0FA1"/>
    <w:rsid w:val="00CF1601"/>
    <w:rsid w:val="00CF18BC"/>
    <w:rsid w:val="00CF1F05"/>
    <w:rsid w:val="00CF2774"/>
    <w:rsid w:val="00CF2C49"/>
    <w:rsid w:val="00CF2F03"/>
    <w:rsid w:val="00CF3058"/>
    <w:rsid w:val="00CF380C"/>
    <w:rsid w:val="00CF3A5C"/>
    <w:rsid w:val="00CF3D95"/>
    <w:rsid w:val="00CF443B"/>
    <w:rsid w:val="00CF4795"/>
    <w:rsid w:val="00CF6754"/>
    <w:rsid w:val="00CF6C6E"/>
    <w:rsid w:val="00CF6D1E"/>
    <w:rsid w:val="00CF6E0F"/>
    <w:rsid w:val="00CF71FB"/>
    <w:rsid w:val="00CF75E7"/>
    <w:rsid w:val="00D002C3"/>
    <w:rsid w:val="00D01307"/>
    <w:rsid w:val="00D014EB"/>
    <w:rsid w:val="00D0253D"/>
    <w:rsid w:val="00D025AD"/>
    <w:rsid w:val="00D02BB5"/>
    <w:rsid w:val="00D039CD"/>
    <w:rsid w:val="00D03CD0"/>
    <w:rsid w:val="00D04031"/>
    <w:rsid w:val="00D040E6"/>
    <w:rsid w:val="00D04410"/>
    <w:rsid w:val="00D04CFE"/>
    <w:rsid w:val="00D04D84"/>
    <w:rsid w:val="00D05D57"/>
    <w:rsid w:val="00D0603C"/>
    <w:rsid w:val="00D06385"/>
    <w:rsid w:val="00D06459"/>
    <w:rsid w:val="00D074A3"/>
    <w:rsid w:val="00D07BD8"/>
    <w:rsid w:val="00D07BEB"/>
    <w:rsid w:val="00D10070"/>
    <w:rsid w:val="00D10E7F"/>
    <w:rsid w:val="00D10ECD"/>
    <w:rsid w:val="00D10F04"/>
    <w:rsid w:val="00D113F3"/>
    <w:rsid w:val="00D11BCA"/>
    <w:rsid w:val="00D11CA1"/>
    <w:rsid w:val="00D11DD8"/>
    <w:rsid w:val="00D123C3"/>
    <w:rsid w:val="00D123EA"/>
    <w:rsid w:val="00D12DFE"/>
    <w:rsid w:val="00D13F0D"/>
    <w:rsid w:val="00D145A5"/>
    <w:rsid w:val="00D14D52"/>
    <w:rsid w:val="00D14F98"/>
    <w:rsid w:val="00D14FCD"/>
    <w:rsid w:val="00D153F1"/>
    <w:rsid w:val="00D15752"/>
    <w:rsid w:val="00D1592C"/>
    <w:rsid w:val="00D15AC2"/>
    <w:rsid w:val="00D15C82"/>
    <w:rsid w:val="00D16026"/>
    <w:rsid w:val="00D172F5"/>
    <w:rsid w:val="00D1785B"/>
    <w:rsid w:val="00D17B17"/>
    <w:rsid w:val="00D17FC8"/>
    <w:rsid w:val="00D2012B"/>
    <w:rsid w:val="00D20521"/>
    <w:rsid w:val="00D206C2"/>
    <w:rsid w:val="00D21FA9"/>
    <w:rsid w:val="00D228DE"/>
    <w:rsid w:val="00D22A28"/>
    <w:rsid w:val="00D22B1C"/>
    <w:rsid w:val="00D22C9A"/>
    <w:rsid w:val="00D22CA9"/>
    <w:rsid w:val="00D230CE"/>
    <w:rsid w:val="00D233DB"/>
    <w:rsid w:val="00D23E85"/>
    <w:rsid w:val="00D24102"/>
    <w:rsid w:val="00D2499A"/>
    <w:rsid w:val="00D24F3B"/>
    <w:rsid w:val="00D25634"/>
    <w:rsid w:val="00D25CF1"/>
    <w:rsid w:val="00D25E50"/>
    <w:rsid w:val="00D26389"/>
    <w:rsid w:val="00D26C09"/>
    <w:rsid w:val="00D27424"/>
    <w:rsid w:val="00D303C9"/>
    <w:rsid w:val="00D30726"/>
    <w:rsid w:val="00D3075C"/>
    <w:rsid w:val="00D30831"/>
    <w:rsid w:val="00D30D11"/>
    <w:rsid w:val="00D30FBC"/>
    <w:rsid w:val="00D3182B"/>
    <w:rsid w:val="00D319E1"/>
    <w:rsid w:val="00D31A2E"/>
    <w:rsid w:val="00D31B4F"/>
    <w:rsid w:val="00D31E09"/>
    <w:rsid w:val="00D321C1"/>
    <w:rsid w:val="00D3220F"/>
    <w:rsid w:val="00D3229A"/>
    <w:rsid w:val="00D3255E"/>
    <w:rsid w:val="00D325F8"/>
    <w:rsid w:val="00D328C9"/>
    <w:rsid w:val="00D32A0E"/>
    <w:rsid w:val="00D3303A"/>
    <w:rsid w:val="00D3354B"/>
    <w:rsid w:val="00D337B9"/>
    <w:rsid w:val="00D33CE8"/>
    <w:rsid w:val="00D342E1"/>
    <w:rsid w:val="00D349F4"/>
    <w:rsid w:val="00D3584D"/>
    <w:rsid w:val="00D35906"/>
    <w:rsid w:val="00D35975"/>
    <w:rsid w:val="00D35B20"/>
    <w:rsid w:val="00D35E8A"/>
    <w:rsid w:val="00D3602E"/>
    <w:rsid w:val="00D365D2"/>
    <w:rsid w:val="00D3670A"/>
    <w:rsid w:val="00D36C00"/>
    <w:rsid w:val="00D36CC5"/>
    <w:rsid w:val="00D36D14"/>
    <w:rsid w:val="00D36D5D"/>
    <w:rsid w:val="00D36DD5"/>
    <w:rsid w:val="00D36E5E"/>
    <w:rsid w:val="00D37040"/>
    <w:rsid w:val="00D37465"/>
    <w:rsid w:val="00D3798B"/>
    <w:rsid w:val="00D379B6"/>
    <w:rsid w:val="00D400C8"/>
    <w:rsid w:val="00D4108B"/>
    <w:rsid w:val="00D420F2"/>
    <w:rsid w:val="00D427F2"/>
    <w:rsid w:val="00D42A80"/>
    <w:rsid w:val="00D42D21"/>
    <w:rsid w:val="00D434E0"/>
    <w:rsid w:val="00D441ED"/>
    <w:rsid w:val="00D4424C"/>
    <w:rsid w:val="00D445D7"/>
    <w:rsid w:val="00D44610"/>
    <w:rsid w:val="00D44F90"/>
    <w:rsid w:val="00D45446"/>
    <w:rsid w:val="00D454AA"/>
    <w:rsid w:val="00D4553B"/>
    <w:rsid w:val="00D4644A"/>
    <w:rsid w:val="00D46845"/>
    <w:rsid w:val="00D469E8"/>
    <w:rsid w:val="00D46C2A"/>
    <w:rsid w:val="00D47175"/>
    <w:rsid w:val="00D476B3"/>
    <w:rsid w:val="00D47BBD"/>
    <w:rsid w:val="00D47D01"/>
    <w:rsid w:val="00D50640"/>
    <w:rsid w:val="00D50BB2"/>
    <w:rsid w:val="00D51880"/>
    <w:rsid w:val="00D51B0D"/>
    <w:rsid w:val="00D51DED"/>
    <w:rsid w:val="00D523FC"/>
    <w:rsid w:val="00D5261E"/>
    <w:rsid w:val="00D52C38"/>
    <w:rsid w:val="00D52C5F"/>
    <w:rsid w:val="00D52D81"/>
    <w:rsid w:val="00D53126"/>
    <w:rsid w:val="00D53239"/>
    <w:rsid w:val="00D53EA5"/>
    <w:rsid w:val="00D5430D"/>
    <w:rsid w:val="00D54417"/>
    <w:rsid w:val="00D548DB"/>
    <w:rsid w:val="00D54DEC"/>
    <w:rsid w:val="00D54F9B"/>
    <w:rsid w:val="00D5503E"/>
    <w:rsid w:val="00D550C1"/>
    <w:rsid w:val="00D5523E"/>
    <w:rsid w:val="00D55414"/>
    <w:rsid w:val="00D55752"/>
    <w:rsid w:val="00D560E9"/>
    <w:rsid w:val="00D56272"/>
    <w:rsid w:val="00D56278"/>
    <w:rsid w:val="00D564DB"/>
    <w:rsid w:val="00D568B8"/>
    <w:rsid w:val="00D56AF5"/>
    <w:rsid w:val="00D56C82"/>
    <w:rsid w:val="00D57466"/>
    <w:rsid w:val="00D576AD"/>
    <w:rsid w:val="00D57A7E"/>
    <w:rsid w:val="00D57BA4"/>
    <w:rsid w:val="00D57C46"/>
    <w:rsid w:val="00D6057A"/>
    <w:rsid w:val="00D606B5"/>
    <w:rsid w:val="00D60B6E"/>
    <w:rsid w:val="00D61055"/>
    <w:rsid w:val="00D61337"/>
    <w:rsid w:val="00D61453"/>
    <w:rsid w:val="00D616F1"/>
    <w:rsid w:val="00D617DE"/>
    <w:rsid w:val="00D61F73"/>
    <w:rsid w:val="00D622B2"/>
    <w:rsid w:val="00D6251C"/>
    <w:rsid w:val="00D6274B"/>
    <w:rsid w:val="00D62D2E"/>
    <w:rsid w:val="00D637C8"/>
    <w:rsid w:val="00D63A83"/>
    <w:rsid w:val="00D63F50"/>
    <w:rsid w:val="00D640C1"/>
    <w:rsid w:val="00D6590D"/>
    <w:rsid w:val="00D65BF1"/>
    <w:rsid w:val="00D65E85"/>
    <w:rsid w:val="00D66134"/>
    <w:rsid w:val="00D66C39"/>
    <w:rsid w:val="00D67035"/>
    <w:rsid w:val="00D674C5"/>
    <w:rsid w:val="00D70EB8"/>
    <w:rsid w:val="00D717B2"/>
    <w:rsid w:val="00D7180A"/>
    <w:rsid w:val="00D72E16"/>
    <w:rsid w:val="00D730C1"/>
    <w:rsid w:val="00D73260"/>
    <w:rsid w:val="00D735B0"/>
    <w:rsid w:val="00D73AC1"/>
    <w:rsid w:val="00D73C29"/>
    <w:rsid w:val="00D73E28"/>
    <w:rsid w:val="00D73E75"/>
    <w:rsid w:val="00D74433"/>
    <w:rsid w:val="00D745F8"/>
    <w:rsid w:val="00D74A44"/>
    <w:rsid w:val="00D74B2D"/>
    <w:rsid w:val="00D74B5C"/>
    <w:rsid w:val="00D74F8D"/>
    <w:rsid w:val="00D74FE0"/>
    <w:rsid w:val="00D75096"/>
    <w:rsid w:val="00D75182"/>
    <w:rsid w:val="00D753BA"/>
    <w:rsid w:val="00D754B3"/>
    <w:rsid w:val="00D7572D"/>
    <w:rsid w:val="00D759CF"/>
    <w:rsid w:val="00D76251"/>
    <w:rsid w:val="00D765C9"/>
    <w:rsid w:val="00D777DF"/>
    <w:rsid w:val="00D80A39"/>
    <w:rsid w:val="00D80FEB"/>
    <w:rsid w:val="00D8107E"/>
    <w:rsid w:val="00D81373"/>
    <w:rsid w:val="00D81646"/>
    <w:rsid w:val="00D816C8"/>
    <w:rsid w:val="00D81979"/>
    <w:rsid w:val="00D81FF6"/>
    <w:rsid w:val="00D820EF"/>
    <w:rsid w:val="00D822DA"/>
    <w:rsid w:val="00D82393"/>
    <w:rsid w:val="00D827FE"/>
    <w:rsid w:val="00D83FF1"/>
    <w:rsid w:val="00D841C4"/>
    <w:rsid w:val="00D847FF"/>
    <w:rsid w:val="00D84A74"/>
    <w:rsid w:val="00D84ADB"/>
    <w:rsid w:val="00D850C3"/>
    <w:rsid w:val="00D85B20"/>
    <w:rsid w:val="00D860DE"/>
    <w:rsid w:val="00D86DEE"/>
    <w:rsid w:val="00D86F8B"/>
    <w:rsid w:val="00D87729"/>
    <w:rsid w:val="00D87791"/>
    <w:rsid w:val="00D87B1B"/>
    <w:rsid w:val="00D87DF1"/>
    <w:rsid w:val="00D87F57"/>
    <w:rsid w:val="00D87F90"/>
    <w:rsid w:val="00D90141"/>
    <w:rsid w:val="00D901C0"/>
    <w:rsid w:val="00D9080C"/>
    <w:rsid w:val="00D91132"/>
    <w:rsid w:val="00D91604"/>
    <w:rsid w:val="00D92B87"/>
    <w:rsid w:val="00D93581"/>
    <w:rsid w:val="00D93692"/>
    <w:rsid w:val="00D93845"/>
    <w:rsid w:val="00D93C35"/>
    <w:rsid w:val="00D94068"/>
    <w:rsid w:val="00D94EFB"/>
    <w:rsid w:val="00D9547D"/>
    <w:rsid w:val="00D96834"/>
    <w:rsid w:val="00D97055"/>
    <w:rsid w:val="00D97836"/>
    <w:rsid w:val="00D97958"/>
    <w:rsid w:val="00DA070C"/>
    <w:rsid w:val="00DA0A1A"/>
    <w:rsid w:val="00DA1D0D"/>
    <w:rsid w:val="00DA1F15"/>
    <w:rsid w:val="00DA215D"/>
    <w:rsid w:val="00DA25C8"/>
    <w:rsid w:val="00DA2C17"/>
    <w:rsid w:val="00DA2D64"/>
    <w:rsid w:val="00DA301A"/>
    <w:rsid w:val="00DA32AA"/>
    <w:rsid w:val="00DA32E3"/>
    <w:rsid w:val="00DA4E6C"/>
    <w:rsid w:val="00DA4E96"/>
    <w:rsid w:val="00DA511B"/>
    <w:rsid w:val="00DA52E4"/>
    <w:rsid w:val="00DA60E4"/>
    <w:rsid w:val="00DA6684"/>
    <w:rsid w:val="00DA66EE"/>
    <w:rsid w:val="00DA68AC"/>
    <w:rsid w:val="00DA6D82"/>
    <w:rsid w:val="00DA73CA"/>
    <w:rsid w:val="00DA7920"/>
    <w:rsid w:val="00DA7E9D"/>
    <w:rsid w:val="00DB04D5"/>
    <w:rsid w:val="00DB08E0"/>
    <w:rsid w:val="00DB0D33"/>
    <w:rsid w:val="00DB11AE"/>
    <w:rsid w:val="00DB1683"/>
    <w:rsid w:val="00DB19D0"/>
    <w:rsid w:val="00DB1C8B"/>
    <w:rsid w:val="00DB2796"/>
    <w:rsid w:val="00DB2F9B"/>
    <w:rsid w:val="00DB2FCE"/>
    <w:rsid w:val="00DB3134"/>
    <w:rsid w:val="00DB4359"/>
    <w:rsid w:val="00DB47BC"/>
    <w:rsid w:val="00DB47D6"/>
    <w:rsid w:val="00DB4C41"/>
    <w:rsid w:val="00DB4E74"/>
    <w:rsid w:val="00DB5349"/>
    <w:rsid w:val="00DB5469"/>
    <w:rsid w:val="00DB555B"/>
    <w:rsid w:val="00DB6B06"/>
    <w:rsid w:val="00DB6C38"/>
    <w:rsid w:val="00DB76A9"/>
    <w:rsid w:val="00DB7893"/>
    <w:rsid w:val="00DB7A73"/>
    <w:rsid w:val="00DB7ED8"/>
    <w:rsid w:val="00DC06C7"/>
    <w:rsid w:val="00DC0BC0"/>
    <w:rsid w:val="00DC10BC"/>
    <w:rsid w:val="00DC1E66"/>
    <w:rsid w:val="00DC2287"/>
    <w:rsid w:val="00DC24BD"/>
    <w:rsid w:val="00DC258F"/>
    <w:rsid w:val="00DC2900"/>
    <w:rsid w:val="00DC2E87"/>
    <w:rsid w:val="00DC3031"/>
    <w:rsid w:val="00DC30B7"/>
    <w:rsid w:val="00DC31A4"/>
    <w:rsid w:val="00DC394D"/>
    <w:rsid w:val="00DC3AC7"/>
    <w:rsid w:val="00DC3D2E"/>
    <w:rsid w:val="00DC5475"/>
    <w:rsid w:val="00DC5785"/>
    <w:rsid w:val="00DC57F1"/>
    <w:rsid w:val="00DC5B5E"/>
    <w:rsid w:val="00DC5BC2"/>
    <w:rsid w:val="00DC63B4"/>
    <w:rsid w:val="00DC6477"/>
    <w:rsid w:val="00DC662C"/>
    <w:rsid w:val="00DC6E81"/>
    <w:rsid w:val="00DC6EF3"/>
    <w:rsid w:val="00DD0591"/>
    <w:rsid w:val="00DD05AD"/>
    <w:rsid w:val="00DD07E9"/>
    <w:rsid w:val="00DD07EE"/>
    <w:rsid w:val="00DD0D10"/>
    <w:rsid w:val="00DD15E2"/>
    <w:rsid w:val="00DD217D"/>
    <w:rsid w:val="00DD4071"/>
    <w:rsid w:val="00DD41BD"/>
    <w:rsid w:val="00DD4393"/>
    <w:rsid w:val="00DD43B4"/>
    <w:rsid w:val="00DD4910"/>
    <w:rsid w:val="00DD4A7E"/>
    <w:rsid w:val="00DD4F36"/>
    <w:rsid w:val="00DD4F8F"/>
    <w:rsid w:val="00DD5C98"/>
    <w:rsid w:val="00DD6819"/>
    <w:rsid w:val="00DD6A40"/>
    <w:rsid w:val="00DD6D53"/>
    <w:rsid w:val="00DD6F80"/>
    <w:rsid w:val="00DD761B"/>
    <w:rsid w:val="00DD7743"/>
    <w:rsid w:val="00DD7928"/>
    <w:rsid w:val="00DD7A2F"/>
    <w:rsid w:val="00DD7B0B"/>
    <w:rsid w:val="00DD7EE0"/>
    <w:rsid w:val="00DE1A2F"/>
    <w:rsid w:val="00DE1BBD"/>
    <w:rsid w:val="00DE26D7"/>
    <w:rsid w:val="00DE273E"/>
    <w:rsid w:val="00DE2C0E"/>
    <w:rsid w:val="00DE306C"/>
    <w:rsid w:val="00DE345E"/>
    <w:rsid w:val="00DE36E2"/>
    <w:rsid w:val="00DE386C"/>
    <w:rsid w:val="00DE3BE5"/>
    <w:rsid w:val="00DE3D74"/>
    <w:rsid w:val="00DE3FD2"/>
    <w:rsid w:val="00DE4260"/>
    <w:rsid w:val="00DE43C9"/>
    <w:rsid w:val="00DE4410"/>
    <w:rsid w:val="00DE484E"/>
    <w:rsid w:val="00DE4C43"/>
    <w:rsid w:val="00DE4E8F"/>
    <w:rsid w:val="00DE4EA2"/>
    <w:rsid w:val="00DE55DA"/>
    <w:rsid w:val="00DE6027"/>
    <w:rsid w:val="00DE63FC"/>
    <w:rsid w:val="00DE71F7"/>
    <w:rsid w:val="00DE7513"/>
    <w:rsid w:val="00DE7640"/>
    <w:rsid w:val="00DE7732"/>
    <w:rsid w:val="00DE7E8B"/>
    <w:rsid w:val="00DF0329"/>
    <w:rsid w:val="00DF05C6"/>
    <w:rsid w:val="00DF1369"/>
    <w:rsid w:val="00DF1428"/>
    <w:rsid w:val="00DF1483"/>
    <w:rsid w:val="00DF1782"/>
    <w:rsid w:val="00DF1802"/>
    <w:rsid w:val="00DF1828"/>
    <w:rsid w:val="00DF1D90"/>
    <w:rsid w:val="00DF1DD3"/>
    <w:rsid w:val="00DF2349"/>
    <w:rsid w:val="00DF235B"/>
    <w:rsid w:val="00DF26F1"/>
    <w:rsid w:val="00DF283E"/>
    <w:rsid w:val="00DF2898"/>
    <w:rsid w:val="00DF2B04"/>
    <w:rsid w:val="00DF2C0F"/>
    <w:rsid w:val="00DF2E19"/>
    <w:rsid w:val="00DF3A2E"/>
    <w:rsid w:val="00DF3A97"/>
    <w:rsid w:val="00DF3B28"/>
    <w:rsid w:val="00DF4283"/>
    <w:rsid w:val="00DF4523"/>
    <w:rsid w:val="00DF4C6D"/>
    <w:rsid w:val="00DF55A6"/>
    <w:rsid w:val="00DF59EC"/>
    <w:rsid w:val="00DF5B03"/>
    <w:rsid w:val="00DF6266"/>
    <w:rsid w:val="00DF65A2"/>
    <w:rsid w:val="00DF65E6"/>
    <w:rsid w:val="00E000A8"/>
    <w:rsid w:val="00E00750"/>
    <w:rsid w:val="00E010EA"/>
    <w:rsid w:val="00E01138"/>
    <w:rsid w:val="00E012A8"/>
    <w:rsid w:val="00E02234"/>
    <w:rsid w:val="00E030AA"/>
    <w:rsid w:val="00E030AD"/>
    <w:rsid w:val="00E03387"/>
    <w:rsid w:val="00E03E4E"/>
    <w:rsid w:val="00E04044"/>
    <w:rsid w:val="00E056F8"/>
    <w:rsid w:val="00E05E05"/>
    <w:rsid w:val="00E061F4"/>
    <w:rsid w:val="00E06451"/>
    <w:rsid w:val="00E06617"/>
    <w:rsid w:val="00E0685B"/>
    <w:rsid w:val="00E07025"/>
    <w:rsid w:val="00E0705D"/>
    <w:rsid w:val="00E07B0D"/>
    <w:rsid w:val="00E105B6"/>
    <w:rsid w:val="00E111D7"/>
    <w:rsid w:val="00E11389"/>
    <w:rsid w:val="00E11E87"/>
    <w:rsid w:val="00E123E9"/>
    <w:rsid w:val="00E125F9"/>
    <w:rsid w:val="00E12912"/>
    <w:rsid w:val="00E12FD2"/>
    <w:rsid w:val="00E13420"/>
    <w:rsid w:val="00E1349E"/>
    <w:rsid w:val="00E1393E"/>
    <w:rsid w:val="00E13B26"/>
    <w:rsid w:val="00E148F1"/>
    <w:rsid w:val="00E14BAA"/>
    <w:rsid w:val="00E14DF2"/>
    <w:rsid w:val="00E1581C"/>
    <w:rsid w:val="00E15868"/>
    <w:rsid w:val="00E15C1B"/>
    <w:rsid w:val="00E16BE3"/>
    <w:rsid w:val="00E174D4"/>
    <w:rsid w:val="00E17775"/>
    <w:rsid w:val="00E17971"/>
    <w:rsid w:val="00E200F3"/>
    <w:rsid w:val="00E204A7"/>
    <w:rsid w:val="00E209A5"/>
    <w:rsid w:val="00E216C2"/>
    <w:rsid w:val="00E216DF"/>
    <w:rsid w:val="00E21BDA"/>
    <w:rsid w:val="00E21CC2"/>
    <w:rsid w:val="00E21E32"/>
    <w:rsid w:val="00E21EE8"/>
    <w:rsid w:val="00E22AF5"/>
    <w:rsid w:val="00E23039"/>
    <w:rsid w:val="00E23173"/>
    <w:rsid w:val="00E23800"/>
    <w:rsid w:val="00E239ED"/>
    <w:rsid w:val="00E24324"/>
    <w:rsid w:val="00E24371"/>
    <w:rsid w:val="00E243B8"/>
    <w:rsid w:val="00E24A48"/>
    <w:rsid w:val="00E24D21"/>
    <w:rsid w:val="00E24E34"/>
    <w:rsid w:val="00E25022"/>
    <w:rsid w:val="00E255A5"/>
    <w:rsid w:val="00E25640"/>
    <w:rsid w:val="00E25682"/>
    <w:rsid w:val="00E25A08"/>
    <w:rsid w:val="00E260D8"/>
    <w:rsid w:val="00E26808"/>
    <w:rsid w:val="00E26B1B"/>
    <w:rsid w:val="00E26BA9"/>
    <w:rsid w:val="00E26C81"/>
    <w:rsid w:val="00E26DE4"/>
    <w:rsid w:val="00E26E08"/>
    <w:rsid w:val="00E270E9"/>
    <w:rsid w:val="00E27F16"/>
    <w:rsid w:val="00E30164"/>
    <w:rsid w:val="00E303E8"/>
    <w:rsid w:val="00E306A2"/>
    <w:rsid w:val="00E3070B"/>
    <w:rsid w:val="00E30946"/>
    <w:rsid w:val="00E31183"/>
    <w:rsid w:val="00E322B8"/>
    <w:rsid w:val="00E327B2"/>
    <w:rsid w:val="00E328B2"/>
    <w:rsid w:val="00E33E26"/>
    <w:rsid w:val="00E33E88"/>
    <w:rsid w:val="00E33E92"/>
    <w:rsid w:val="00E346A7"/>
    <w:rsid w:val="00E346CB"/>
    <w:rsid w:val="00E347C2"/>
    <w:rsid w:val="00E34845"/>
    <w:rsid w:val="00E34A4A"/>
    <w:rsid w:val="00E34DF3"/>
    <w:rsid w:val="00E35443"/>
    <w:rsid w:val="00E35943"/>
    <w:rsid w:val="00E361D6"/>
    <w:rsid w:val="00E36320"/>
    <w:rsid w:val="00E3669E"/>
    <w:rsid w:val="00E368D8"/>
    <w:rsid w:val="00E3691C"/>
    <w:rsid w:val="00E36BF7"/>
    <w:rsid w:val="00E3710D"/>
    <w:rsid w:val="00E37899"/>
    <w:rsid w:val="00E40D80"/>
    <w:rsid w:val="00E41243"/>
    <w:rsid w:val="00E4169D"/>
    <w:rsid w:val="00E41921"/>
    <w:rsid w:val="00E42E65"/>
    <w:rsid w:val="00E43158"/>
    <w:rsid w:val="00E43515"/>
    <w:rsid w:val="00E43EF9"/>
    <w:rsid w:val="00E44041"/>
    <w:rsid w:val="00E442E6"/>
    <w:rsid w:val="00E44318"/>
    <w:rsid w:val="00E451EE"/>
    <w:rsid w:val="00E457D3"/>
    <w:rsid w:val="00E45AFE"/>
    <w:rsid w:val="00E45C46"/>
    <w:rsid w:val="00E45EF5"/>
    <w:rsid w:val="00E464E1"/>
    <w:rsid w:val="00E46B49"/>
    <w:rsid w:val="00E47433"/>
    <w:rsid w:val="00E476A9"/>
    <w:rsid w:val="00E47954"/>
    <w:rsid w:val="00E47E01"/>
    <w:rsid w:val="00E47E54"/>
    <w:rsid w:val="00E50A32"/>
    <w:rsid w:val="00E50A9B"/>
    <w:rsid w:val="00E513DB"/>
    <w:rsid w:val="00E519E7"/>
    <w:rsid w:val="00E51C9F"/>
    <w:rsid w:val="00E52681"/>
    <w:rsid w:val="00E526DE"/>
    <w:rsid w:val="00E52C75"/>
    <w:rsid w:val="00E5307D"/>
    <w:rsid w:val="00E53695"/>
    <w:rsid w:val="00E5373C"/>
    <w:rsid w:val="00E53878"/>
    <w:rsid w:val="00E53EE5"/>
    <w:rsid w:val="00E54966"/>
    <w:rsid w:val="00E54F72"/>
    <w:rsid w:val="00E55710"/>
    <w:rsid w:val="00E55AC5"/>
    <w:rsid w:val="00E55B90"/>
    <w:rsid w:val="00E5643D"/>
    <w:rsid w:val="00E56512"/>
    <w:rsid w:val="00E56AB0"/>
    <w:rsid w:val="00E56B7F"/>
    <w:rsid w:val="00E56B9A"/>
    <w:rsid w:val="00E56C16"/>
    <w:rsid w:val="00E56E1D"/>
    <w:rsid w:val="00E5772C"/>
    <w:rsid w:val="00E60465"/>
    <w:rsid w:val="00E605D5"/>
    <w:rsid w:val="00E607D5"/>
    <w:rsid w:val="00E60DE9"/>
    <w:rsid w:val="00E619CB"/>
    <w:rsid w:val="00E61CAD"/>
    <w:rsid w:val="00E61D80"/>
    <w:rsid w:val="00E61DDC"/>
    <w:rsid w:val="00E634FE"/>
    <w:rsid w:val="00E63E1E"/>
    <w:rsid w:val="00E64110"/>
    <w:rsid w:val="00E642C7"/>
    <w:rsid w:val="00E642D6"/>
    <w:rsid w:val="00E64BCB"/>
    <w:rsid w:val="00E64D1F"/>
    <w:rsid w:val="00E64EB0"/>
    <w:rsid w:val="00E6541E"/>
    <w:rsid w:val="00E65697"/>
    <w:rsid w:val="00E65D06"/>
    <w:rsid w:val="00E65D3F"/>
    <w:rsid w:val="00E66B91"/>
    <w:rsid w:val="00E66D93"/>
    <w:rsid w:val="00E67AA5"/>
    <w:rsid w:val="00E67CEE"/>
    <w:rsid w:val="00E67EAA"/>
    <w:rsid w:val="00E67F49"/>
    <w:rsid w:val="00E7022C"/>
    <w:rsid w:val="00E70297"/>
    <w:rsid w:val="00E715A7"/>
    <w:rsid w:val="00E71872"/>
    <w:rsid w:val="00E71A0D"/>
    <w:rsid w:val="00E71E40"/>
    <w:rsid w:val="00E72303"/>
    <w:rsid w:val="00E72642"/>
    <w:rsid w:val="00E72939"/>
    <w:rsid w:val="00E72BA3"/>
    <w:rsid w:val="00E72D78"/>
    <w:rsid w:val="00E7320D"/>
    <w:rsid w:val="00E73656"/>
    <w:rsid w:val="00E7411D"/>
    <w:rsid w:val="00E7417A"/>
    <w:rsid w:val="00E742E3"/>
    <w:rsid w:val="00E7431A"/>
    <w:rsid w:val="00E7472C"/>
    <w:rsid w:val="00E74C88"/>
    <w:rsid w:val="00E74F97"/>
    <w:rsid w:val="00E75360"/>
    <w:rsid w:val="00E75BAD"/>
    <w:rsid w:val="00E75F95"/>
    <w:rsid w:val="00E768E0"/>
    <w:rsid w:val="00E76C5C"/>
    <w:rsid w:val="00E76D23"/>
    <w:rsid w:val="00E76DFE"/>
    <w:rsid w:val="00E77050"/>
    <w:rsid w:val="00E778FF"/>
    <w:rsid w:val="00E80978"/>
    <w:rsid w:val="00E80C37"/>
    <w:rsid w:val="00E80D55"/>
    <w:rsid w:val="00E80D57"/>
    <w:rsid w:val="00E812C7"/>
    <w:rsid w:val="00E81CB5"/>
    <w:rsid w:val="00E82189"/>
    <w:rsid w:val="00E82788"/>
    <w:rsid w:val="00E82B31"/>
    <w:rsid w:val="00E82B86"/>
    <w:rsid w:val="00E833A8"/>
    <w:rsid w:val="00E83715"/>
    <w:rsid w:val="00E844B8"/>
    <w:rsid w:val="00E84540"/>
    <w:rsid w:val="00E8461B"/>
    <w:rsid w:val="00E84B43"/>
    <w:rsid w:val="00E8510D"/>
    <w:rsid w:val="00E85254"/>
    <w:rsid w:val="00E8581E"/>
    <w:rsid w:val="00E85DF2"/>
    <w:rsid w:val="00E86391"/>
    <w:rsid w:val="00E86CEF"/>
    <w:rsid w:val="00E86ED7"/>
    <w:rsid w:val="00E87068"/>
    <w:rsid w:val="00E87535"/>
    <w:rsid w:val="00E8770D"/>
    <w:rsid w:val="00E8782A"/>
    <w:rsid w:val="00E9025D"/>
    <w:rsid w:val="00E90501"/>
    <w:rsid w:val="00E9080A"/>
    <w:rsid w:val="00E908D6"/>
    <w:rsid w:val="00E90C71"/>
    <w:rsid w:val="00E90EB1"/>
    <w:rsid w:val="00E910D2"/>
    <w:rsid w:val="00E91833"/>
    <w:rsid w:val="00E91921"/>
    <w:rsid w:val="00E91C02"/>
    <w:rsid w:val="00E9278F"/>
    <w:rsid w:val="00E9299F"/>
    <w:rsid w:val="00E929D4"/>
    <w:rsid w:val="00E92FAE"/>
    <w:rsid w:val="00E9421E"/>
    <w:rsid w:val="00E942B1"/>
    <w:rsid w:val="00E94350"/>
    <w:rsid w:val="00E9476D"/>
    <w:rsid w:val="00E94A95"/>
    <w:rsid w:val="00E94B67"/>
    <w:rsid w:val="00E954D6"/>
    <w:rsid w:val="00E95C5E"/>
    <w:rsid w:val="00E962D0"/>
    <w:rsid w:val="00E96A9C"/>
    <w:rsid w:val="00E96EA1"/>
    <w:rsid w:val="00E97398"/>
    <w:rsid w:val="00E97780"/>
    <w:rsid w:val="00E97998"/>
    <w:rsid w:val="00EA00E7"/>
    <w:rsid w:val="00EA06DF"/>
    <w:rsid w:val="00EA0C31"/>
    <w:rsid w:val="00EA0C76"/>
    <w:rsid w:val="00EA0D71"/>
    <w:rsid w:val="00EA0E63"/>
    <w:rsid w:val="00EA18FC"/>
    <w:rsid w:val="00EA19D3"/>
    <w:rsid w:val="00EA1A78"/>
    <w:rsid w:val="00EA2229"/>
    <w:rsid w:val="00EA2AAB"/>
    <w:rsid w:val="00EA2BC8"/>
    <w:rsid w:val="00EA2D67"/>
    <w:rsid w:val="00EA2F54"/>
    <w:rsid w:val="00EA32A8"/>
    <w:rsid w:val="00EA357A"/>
    <w:rsid w:val="00EA4216"/>
    <w:rsid w:val="00EA474C"/>
    <w:rsid w:val="00EA4911"/>
    <w:rsid w:val="00EA4B5C"/>
    <w:rsid w:val="00EA4BAF"/>
    <w:rsid w:val="00EA5506"/>
    <w:rsid w:val="00EA58C8"/>
    <w:rsid w:val="00EA5E3F"/>
    <w:rsid w:val="00EA68D7"/>
    <w:rsid w:val="00EA72E0"/>
    <w:rsid w:val="00EA76A3"/>
    <w:rsid w:val="00EA779B"/>
    <w:rsid w:val="00EA7881"/>
    <w:rsid w:val="00EA7A11"/>
    <w:rsid w:val="00EA7F48"/>
    <w:rsid w:val="00EB01A1"/>
    <w:rsid w:val="00EB01A7"/>
    <w:rsid w:val="00EB1130"/>
    <w:rsid w:val="00EB1BFF"/>
    <w:rsid w:val="00EB1E61"/>
    <w:rsid w:val="00EB256C"/>
    <w:rsid w:val="00EB2988"/>
    <w:rsid w:val="00EB2A74"/>
    <w:rsid w:val="00EB2C09"/>
    <w:rsid w:val="00EB3325"/>
    <w:rsid w:val="00EB3467"/>
    <w:rsid w:val="00EB358F"/>
    <w:rsid w:val="00EB3866"/>
    <w:rsid w:val="00EB41C8"/>
    <w:rsid w:val="00EB44B1"/>
    <w:rsid w:val="00EB48C5"/>
    <w:rsid w:val="00EB4AF3"/>
    <w:rsid w:val="00EB4E6B"/>
    <w:rsid w:val="00EB5017"/>
    <w:rsid w:val="00EB6BEE"/>
    <w:rsid w:val="00EB6CCC"/>
    <w:rsid w:val="00EB7372"/>
    <w:rsid w:val="00EB73BD"/>
    <w:rsid w:val="00EB7AF6"/>
    <w:rsid w:val="00EB7BA7"/>
    <w:rsid w:val="00EB7E53"/>
    <w:rsid w:val="00EB7F1F"/>
    <w:rsid w:val="00EC036A"/>
    <w:rsid w:val="00EC0757"/>
    <w:rsid w:val="00EC0810"/>
    <w:rsid w:val="00EC0A7A"/>
    <w:rsid w:val="00EC0BD0"/>
    <w:rsid w:val="00EC0E17"/>
    <w:rsid w:val="00EC1807"/>
    <w:rsid w:val="00EC19D5"/>
    <w:rsid w:val="00EC1D9F"/>
    <w:rsid w:val="00EC2199"/>
    <w:rsid w:val="00EC2248"/>
    <w:rsid w:val="00EC3034"/>
    <w:rsid w:val="00EC372A"/>
    <w:rsid w:val="00EC3E02"/>
    <w:rsid w:val="00EC3F89"/>
    <w:rsid w:val="00EC3FDB"/>
    <w:rsid w:val="00EC41A6"/>
    <w:rsid w:val="00EC42BB"/>
    <w:rsid w:val="00EC448A"/>
    <w:rsid w:val="00EC4E0F"/>
    <w:rsid w:val="00EC4F94"/>
    <w:rsid w:val="00EC568D"/>
    <w:rsid w:val="00EC6458"/>
    <w:rsid w:val="00EC6494"/>
    <w:rsid w:val="00EC655C"/>
    <w:rsid w:val="00EC6EC2"/>
    <w:rsid w:val="00EC70F1"/>
    <w:rsid w:val="00EC770F"/>
    <w:rsid w:val="00EC7ED6"/>
    <w:rsid w:val="00ED0417"/>
    <w:rsid w:val="00ED092E"/>
    <w:rsid w:val="00ED0D14"/>
    <w:rsid w:val="00ED0D66"/>
    <w:rsid w:val="00ED10CF"/>
    <w:rsid w:val="00ED19DC"/>
    <w:rsid w:val="00ED1B64"/>
    <w:rsid w:val="00ED1D8C"/>
    <w:rsid w:val="00ED298E"/>
    <w:rsid w:val="00ED2A60"/>
    <w:rsid w:val="00ED2B7E"/>
    <w:rsid w:val="00ED2C01"/>
    <w:rsid w:val="00ED3179"/>
    <w:rsid w:val="00ED3386"/>
    <w:rsid w:val="00ED3465"/>
    <w:rsid w:val="00ED3B45"/>
    <w:rsid w:val="00ED41EF"/>
    <w:rsid w:val="00ED4297"/>
    <w:rsid w:val="00ED4A0B"/>
    <w:rsid w:val="00ED4DC9"/>
    <w:rsid w:val="00ED5148"/>
    <w:rsid w:val="00ED5444"/>
    <w:rsid w:val="00ED55A1"/>
    <w:rsid w:val="00ED5B39"/>
    <w:rsid w:val="00ED5D95"/>
    <w:rsid w:val="00ED708B"/>
    <w:rsid w:val="00ED7744"/>
    <w:rsid w:val="00ED7ADA"/>
    <w:rsid w:val="00ED7CBB"/>
    <w:rsid w:val="00ED7D63"/>
    <w:rsid w:val="00EE0AD6"/>
    <w:rsid w:val="00EE0DD0"/>
    <w:rsid w:val="00EE133B"/>
    <w:rsid w:val="00EE1715"/>
    <w:rsid w:val="00EE17C6"/>
    <w:rsid w:val="00EE1E63"/>
    <w:rsid w:val="00EE269A"/>
    <w:rsid w:val="00EE30A6"/>
    <w:rsid w:val="00EE32D8"/>
    <w:rsid w:val="00EE36A6"/>
    <w:rsid w:val="00EE372F"/>
    <w:rsid w:val="00EE38F6"/>
    <w:rsid w:val="00EE40E9"/>
    <w:rsid w:val="00EE412C"/>
    <w:rsid w:val="00EE4318"/>
    <w:rsid w:val="00EE443D"/>
    <w:rsid w:val="00EE4494"/>
    <w:rsid w:val="00EE490E"/>
    <w:rsid w:val="00EE4DFB"/>
    <w:rsid w:val="00EE53EF"/>
    <w:rsid w:val="00EE5436"/>
    <w:rsid w:val="00EE5652"/>
    <w:rsid w:val="00EE567F"/>
    <w:rsid w:val="00EE632D"/>
    <w:rsid w:val="00EE6F0B"/>
    <w:rsid w:val="00EE7B78"/>
    <w:rsid w:val="00EE7E55"/>
    <w:rsid w:val="00EF0AC9"/>
    <w:rsid w:val="00EF0B37"/>
    <w:rsid w:val="00EF1651"/>
    <w:rsid w:val="00EF1681"/>
    <w:rsid w:val="00EF2453"/>
    <w:rsid w:val="00EF27E3"/>
    <w:rsid w:val="00EF350C"/>
    <w:rsid w:val="00EF3B93"/>
    <w:rsid w:val="00EF4221"/>
    <w:rsid w:val="00EF4525"/>
    <w:rsid w:val="00EF5D2B"/>
    <w:rsid w:val="00EF6370"/>
    <w:rsid w:val="00EF67ED"/>
    <w:rsid w:val="00EF68FF"/>
    <w:rsid w:val="00EF6EF2"/>
    <w:rsid w:val="00EF6EF9"/>
    <w:rsid w:val="00EF729A"/>
    <w:rsid w:val="00EF7904"/>
    <w:rsid w:val="00EF7AA8"/>
    <w:rsid w:val="00EF7CCB"/>
    <w:rsid w:val="00EF7DF5"/>
    <w:rsid w:val="00F00061"/>
    <w:rsid w:val="00F002A9"/>
    <w:rsid w:val="00F002DE"/>
    <w:rsid w:val="00F00584"/>
    <w:rsid w:val="00F00CBF"/>
    <w:rsid w:val="00F00E83"/>
    <w:rsid w:val="00F012F8"/>
    <w:rsid w:val="00F015F0"/>
    <w:rsid w:val="00F018FD"/>
    <w:rsid w:val="00F01A73"/>
    <w:rsid w:val="00F02ADD"/>
    <w:rsid w:val="00F02E99"/>
    <w:rsid w:val="00F03239"/>
    <w:rsid w:val="00F0396E"/>
    <w:rsid w:val="00F03990"/>
    <w:rsid w:val="00F03EFC"/>
    <w:rsid w:val="00F04341"/>
    <w:rsid w:val="00F043BE"/>
    <w:rsid w:val="00F05529"/>
    <w:rsid w:val="00F0553E"/>
    <w:rsid w:val="00F05CCC"/>
    <w:rsid w:val="00F0618B"/>
    <w:rsid w:val="00F06873"/>
    <w:rsid w:val="00F06A77"/>
    <w:rsid w:val="00F100C9"/>
    <w:rsid w:val="00F10917"/>
    <w:rsid w:val="00F109DA"/>
    <w:rsid w:val="00F10C56"/>
    <w:rsid w:val="00F11216"/>
    <w:rsid w:val="00F11847"/>
    <w:rsid w:val="00F11884"/>
    <w:rsid w:val="00F11F3A"/>
    <w:rsid w:val="00F12BB7"/>
    <w:rsid w:val="00F13584"/>
    <w:rsid w:val="00F143A0"/>
    <w:rsid w:val="00F14541"/>
    <w:rsid w:val="00F149F3"/>
    <w:rsid w:val="00F14ABB"/>
    <w:rsid w:val="00F14B75"/>
    <w:rsid w:val="00F1525B"/>
    <w:rsid w:val="00F1586A"/>
    <w:rsid w:val="00F15E9E"/>
    <w:rsid w:val="00F16960"/>
    <w:rsid w:val="00F169D4"/>
    <w:rsid w:val="00F16A0A"/>
    <w:rsid w:val="00F16C86"/>
    <w:rsid w:val="00F1769F"/>
    <w:rsid w:val="00F178CC"/>
    <w:rsid w:val="00F17952"/>
    <w:rsid w:val="00F17A10"/>
    <w:rsid w:val="00F17CED"/>
    <w:rsid w:val="00F17F66"/>
    <w:rsid w:val="00F200FE"/>
    <w:rsid w:val="00F204C2"/>
    <w:rsid w:val="00F21158"/>
    <w:rsid w:val="00F212B1"/>
    <w:rsid w:val="00F21613"/>
    <w:rsid w:val="00F21D87"/>
    <w:rsid w:val="00F21DB1"/>
    <w:rsid w:val="00F22499"/>
    <w:rsid w:val="00F2267C"/>
    <w:rsid w:val="00F22E1D"/>
    <w:rsid w:val="00F2303C"/>
    <w:rsid w:val="00F23A4D"/>
    <w:rsid w:val="00F23AA6"/>
    <w:rsid w:val="00F23D5C"/>
    <w:rsid w:val="00F2408A"/>
    <w:rsid w:val="00F24280"/>
    <w:rsid w:val="00F24FBF"/>
    <w:rsid w:val="00F255DD"/>
    <w:rsid w:val="00F255E4"/>
    <w:rsid w:val="00F25DF3"/>
    <w:rsid w:val="00F25F20"/>
    <w:rsid w:val="00F26431"/>
    <w:rsid w:val="00F26666"/>
    <w:rsid w:val="00F270A4"/>
    <w:rsid w:val="00F271C0"/>
    <w:rsid w:val="00F27239"/>
    <w:rsid w:val="00F27C84"/>
    <w:rsid w:val="00F3049C"/>
    <w:rsid w:val="00F30704"/>
    <w:rsid w:val="00F30A21"/>
    <w:rsid w:val="00F30C0C"/>
    <w:rsid w:val="00F31641"/>
    <w:rsid w:val="00F31757"/>
    <w:rsid w:val="00F317ED"/>
    <w:rsid w:val="00F321BA"/>
    <w:rsid w:val="00F32257"/>
    <w:rsid w:val="00F32964"/>
    <w:rsid w:val="00F32A7C"/>
    <w:rsid w:val="00F33AB3"/>
    <w:rsid w:val="00F33C4E"/>
    <w:rsid w:val="00F33E75"/>
    <w:rsid w:val="00F341A7"/>
    <w:rsid w:val="00F34EDF"/>
    <w:rsid w:val="00F35394"/>
    <w:rsid w:val="00F354A8"/>
    <w:rsid w:val="00F355DF"/>
    <w:rsid w:val="00F35AF2"/>
    <w:rsid w:val="00F35D84"/>
    <w:rsid w:val="00F35F5F"/>
    <w:rsid w:val="00F3608E"/>
    <w:rsid w:val="00F36B89"/>
    <w:rsid w:val="00F36F84"/>
    <w:rsid w:val="00F372D9"/>
    <w:rsid w:val="00F3777A"/>
    <w:rsid w:val="00F37A0F"/>
    <w:rsid w:val="00F37FA8"/>
    <w:rsid w:val="00F41BC0"/>
    <w:rsid w:val="00F41CCA"/>
    <w:rsid w:val="00F4208E"/>
    <w:rsid w:val="00F420CE"/>
    <w:rsid w:val="00F420F1"/>
    <w:rsid w:val="00F42117"/>
    <w:rsid w:val="00F42152"/>
    <w:rsid w:val="00F4240E"/>
    <w:rsid w:val="00F425A0"/>
    <w:rsid w:val="00F42708"/>
    <w:rsid w:val="00F42E7D"/>
    <w:rsid w:val="00F43600"/>
    <w:rsid w:val="00F43BB3"/>
    <w:rsid w:val="00F43E3D"/>
    <w:rsid w:val="00F44027"/>
    <w:rsid w:val="00F4420B"/>
    <w:rsid w:val="00F4461A"/>
    <w:rsid w:val="00F44F2A"/>
    <w:rsid w:val="00F4589E"/>
    <w:rsid w:val="00F45A89"/>
    <w:rsid w:val="00F45B07"/>
    <w:rsid w:val="00F45FA2"/>
    <w:rsid w:val="00F46345"/>
    <w:rsid w:val="00F46479"/>
    <w:rsid w:val="00F46D55"/>
    <w:rsid w:val="00F473A3"/>
    <w:rsid w:val="00F479BE"/>
    <w:rsid w:val="00F503AE"/>
    <w:rsid w:val="00F50475"/>
    <w:rsid w:val="00F50490"/>
    <w:rsid w:val="00F5078A"/>
    <w:rsid w:val="00F510FD"/>
    <w:rsid w:val="00F51277"/>
    <w:rsid w:val="00F516A8"/>
    <w:rsid w:val="00F51D56"/>
    <w:rsid w:val="00F52129"/>
    <w:rsid w:val="00F52EA6"/>
    <w:rsid w:val="00F52FB6"/>
    <w:rsid w:val="00F5313D"/>
    <w:rsid w:val="00F53699"/>
    <w:rsid w:val="00F53C38"/>
    <w:rsid w:val="00F53F34"/>
    <w:rsid w:val="00F53FAA"/>
    <w:rsid w:val="00F54170"/>
    <w:rsid w:val="00F54522"/>
    <w:rsid w:val="00F5494C"/>
    <w:rsid w:val="00F5525D"/>
    <w:rsid w:val="00F552C0"/>
    <w:rsid w:val="00F55E5C"/>
    <w:rsid w:val="00F5663A"/>
    <w:rsid w:val="00F56768"/>
    <w:rsid w:val="00F5696A"/>
    <w:rsid w:val="00F56A23"/>
    <w:rsid w:val="00F5745F"/>
    <w:rsid w:val="00F57885"/>
    <w:rsid w:val="00F57909"/>
    <w:rsid w:val="00F57C4C"/>
    <w:rsid w:val="00F60E50"/>
    <w:rsid w:val="00F616CD"/>
    <w:rsid w:val="00F61832"/>
    <w:rsid w:val="00F618F9"/>
    <w:rsid w:val="00F61C28"/>
    <w:rsid w:val="00F61C9D"/>
    <w:rsid w:val="00F61D38"/>
    <w:rsid w:val="00F6234C"/>
    <w:rsid w:val="00F62368"/>
    <w:rsid w:val="00F623E7"/>
    <w:rsid w:val="00F626CF"/>
    <w:rsid w:val="00F62CBE"/>
    <w:rsid w:val="00F636E8"/>
    <w:rsid w:val="00F63796"/>
    <w:rsid w:val="00F63951"/>
    <w:rsid w:val="00F63C31"/>
    <w:rsid w:val="00F63F7D"/>
    <w:rsid w:val="00F64242"/>
    <w:rsid w:val="00F64E22"/>
    <w:rsid w:val="00F64EB3"/>
    <w:rsid w:val="00F655AF"/>
    <w:rsid w:val="00F65B94"/>
    <w:rsid w:val="00F663E6"/>
    <w:rsid w:val="00F66DD1"/>
    <w:rsid w:val="00F67408"/>
    <w:rsid w:val="00F70492"/>
    <w:rsid w:val="00F7143D"/>
    <w:rsid w:val="00F71BC7"/>
    <w:rsid w:val="00F71CD9"/>
    <w:rsid w:val="00F71D16"/>
    <w:rsid w:val="00F723E9"/>
    <w:rsid w:val="00F7305A"/>
    <w:rsid w:val="00F73BA5"/>
    <w:rsid w:val="00F740D9"/>
    <w:rsid w:val="00F74757"/>
    <w:rsid w:val="00F74945"/>
    <w:rsid w:val="00F74AC6"/>
    <w:rsid w:val="00F74B40"/>
    <w:rsid w:val="00F74BAF"/>
    <w:rsid w:val="00F74C85"/>
    <w:rsid w:val="00F75631"/>
    <w:rsid w:val="00F75988"/>
    <w:rsid w:val="00F76541"/>
    <w:rsid w:val="00F7682E"/>
    <w:rsid w:val="00F768DB"/>
    <w:rsid w:val="00F776A3"/>
    <w:rsid w:val="00F7780B"/>
    <w:rsid w:val="00F7789D"/>
    <w:rsid w:val="00F778D5"/>
    <w:rsid w:val="00F77B6F"/>
    <w:rsid w:val="00F8018E"/>
    <w:rsid w:val="00F8064F"/>
    <w:rsid w:val="00F8133C"/>
    <w:rsid w:val="00F81FDE"/>
    <w:rsid w:val="00F82230"/>
    <w:rsid w:val="00F82382"/>
    <w:rsid w:val="00F826CB"/>
    <w:rsid w:val="00F82BDC"/>
    <w:rsid w:val="00F82FE4"/>
    <w:rsid w:val="00F84CBF"/>
    <w:rsid w:val="00F85700"/>
    <w:rsid w:val="00F85D60"/>
    <w:rsid w:val="00F867FE"/>
    <w:rsid w:val="00F8699D"/>
    <w:rsid w:val="00F869B4"/>
    <w:rsid w:val="00F86B0C"/>
    <w:rsid w:val="00F86BC2"/>
    <w:rsid w:val="00F87142"/>
    <w:rsid w:val="00F8735A"/>
    <w:rsid w:val="00F8740D"/>
    <w:rsid w:val="00F90971"/>
    <w:rsid w:val="00F90B0D"/>
    <w:rsid w:val="00F90C40"/>
    <w:rsid w:val="00F9110E"/>
    <w:rsid w:val="00F91226"/>
    <w:rsid w:val="00F91B70"/>
    <w:rsid w:val="00F9215F"/>
    <w:rsid w:val="00F928B6"/>
    <w:rsid w:val="00F92928"/>
    <w:rsid w:val="00F9340C"/>
    <w:rsid w:val="00F93692"/>
    <w:rsid w:val="00F93BFA"/>
    <w:rsid w:val="00F946C3"/>
    <w:rsid w:val="00F94FAC"/>
    <w:rsid w:val="00F95284"/>
    <w:rsid w:val="00F95BF3"/>
    <w:rsid w:val="00F96091"/>
    <w:rsid w:val="00F9609A"/>
    <w:rsid w:val="00F961DB"/>
    <w:rsid w:val="00F96911"/>
    <w:rsid w:val="00F97385"/>
    <w:rsid w:val="00F97ACE"/>
    <w:rsid w:val="00F97C6C"/>
    <w:rsid w:val="00FA0413"/>
    <w:rsid w:val="00FA066D"/>
    <w:rsid w:val="00FA197E"/>
    <w:rsid w:val="00FA1988"/>
    <w:rsid w:val="00FA1CDC"/>
    <w:rsid w:val="00FA1E13"/>
    <w:rsid w:val="00FA25D7"/>
    <w:rsid w:val="00FA2B3A"/>
    <w:rsid w:val="00FA3333"/>
    <w:rsid w:val="00FA3B6C"/>
    <w:rsid w:val="00FA4025"/>
    <w:rsid w:val="00FA4729"/>
    <w:rsid w:val="00FA47E9"/>
    <w:rsid w:val="00FA4E58"/>
    <w:rsid w:val="00FA5083"/>
    <w:rsid w:val="00FA51E3"/>
    <w:rsid w:val="00FA5917"/>
    <w:rsid w:val="00FA5C87"/>
    <w:rsid w:val="00FA6A20"/>
    <w:rsid w:val="00FA7961"/>
    <w:rsid w:val="00FA7B35"/>
    <w:rsid w:val="00FA7CA1"/>
    <w:rsid w:val="00FA7F95"/>
    <w:rsid w:val="00FB0168"/>
    <w:rsid w:val="00FB10B6"/>
    <w:rsid w:val="00FB1743"/>
    <w:rsid w:val="00FB1AD0"/>
    <w:rsid w:val="00FB1DEE"/>
    <w:rsid w:val="00FB1E92"/>
    <w:rsid w:val="00FB246A"/>
    <w:rsid w:val="00FB26AB"/>
    <w:rsid w:val="00FB3725"/>
    <w:rsid w:val="00FB391D"/>
    <w:rsid w:val="00FB3A53"/>
    <w:rsid w:val="00FB4B3B"/>
    <w:rsid w:val="00FB4F0B"/>
    <w:rsid w:val="00FB5086"/>
    <w:rsid w:val="00FB56F3"/>
    <w:rsid w:val="00FB5A49"/>
    <w:rsid w:val="00FB67D5"/>
    <w:rsid w:val="00FB6BD4"/>
    <w:rsid w:val="00FB71AE"/>
    <w:rsid w:val="00FB72A6"/>
    <w:rsid w:val="00FB79DC"/>
    <w:rsid w:val="00FB7AD1"/>
    <w:rsid w:val="00FB7C75"/>
    <w:rsid w:val="00FC0271"/>
    <w:rsid w:val="00FC0E69"/>
    <w:rsid w:val="00FC15D8"/>
    <w:rsid w:val="00FC1A23"/>
    <w:rsid w:val="00FC2007"/>
    <w:rsid w:val="00FC21FA"/>
    <w:rsid w:val="00FC2529"/>
    <w:rsid w:val="00FC25AB"/>
    <w:rsid w:val="00FC2759"/>
    <w:rsid w:val="00FC2892"/>
    <w:rsid w:val="00FC2C02"/>
    <w:rsid w:val="00FC2C67"/>
    <w:rsid w:val="00FC2D40"/>
    <w:rsid w:val="00FC2E3F"/>
    <w:rsid w:val="00FC303F"/>
    <w:rsid w:val="00FC352E"/>
    <w:rsid w:val="00FC36E9"/>
    <w:rsid w:val="00FC392F"/>
    <w:rsid w:val="00FC3C08"/>
    <w:rsid w:val="00FC41F1"/>
    <w:rsid w:val="00FC49DF"/>
    <w:rsid w:val="00FC4BE2"/>
    <w:rsid w:val="00FC4C44"/>
    <w:rsid w:val="00FC514B"/>
    <w:rsid w:val="00FC524D"/>
    <w:rsid w:val="00FC55FE"/>
    <w:rsid w:val="00FC5AE4"/>
    <w:rsid w:val="00FC6022"/>
    <w:rsid w:val="00FC617F"/>
    <w:rsid w:val="00FC67BC"/>
    <w:rsid w:val="00FC6CF0"/>
    <w:rsid w:val="00FC6DC8"/>
    <w:rsid w:val="00FC73AA"/>
    <w:rsid w:val="00FC7824"/>
    <w:rsid w:val="00FD0169"/>
    <w:rsid w:val="00FD056E"/>
    <w:rsid w:val="00FD1089"/>
    <w:rsid w:val="00FD10AE"/>
    <w:rsid w:val="00FD1140"/>
    <w:rsid w:val="00FD1714"/>
    <w:rsid w:val="00FD1851"/>
    <w:rsid w:val="00FD1B85"/>
    <w:rsid w:val="00FD208C"/>
    <w:rsid w:val="00FD227C"/>
    <w:rsid w:val="00FD227F"/>
    <w:rsid w:val="00FD22B5"/>
    <w:rsid w:val="00FD2378"/>
    <w:rsid w:val="00FD30FD"/>
    <w:rsid w:val="00FD40EB"/>
    <w:rsid w:val="00FD43F8"/>
    <w:rsid w:val="00FD45AF"/>
    <w:rsid w:val="00FD4C8E"/>
    <w:rsid w:val="00FD51D5"/>
    <w:rsid w:val="00FD593A"/>
    <w:rsid w:val="00FD5BE6"/>
    <w:rsid w:val="00FD5CCD"/>
    <w:rsid w:val="00FD5D93"/>
    <w:rsid w:val="00FD615C"/>
    <w:rsid w:val="00FD62C4"/>
    <w:rsid w:val="00FD62D9"/>
    <w:rsid w:val="00FD6635"/>
    <w:rsid w:val="00FD682D"/>
    <w:rsid w:val="00FD6991"/>
    <w:rsid w:val="00FD6CD5"/>
    <w:rsid w:val="00FD70ED"/>
    <w:rsid w:val="00FD73F5"/>
    <w:rsid w:val="00FD7756"/>
    <w:rsid w:val="00FD790D"/>
    <w:rsid w:val="00FD7CB2"/>
    <w:rsid w:val="00FD7F71"/>
    <w:rsid w:val="00FE077A"/>
    <w:rsid w:val="00FE0CA2"/>
    <w:rsid w:val="00FE0F48"/>
    <w:rsid w:val="00FE137B"/>
    <w:rsid w:val="00FE15E1"/>
    <w:rsid w:val="00FE19BC"/>
    <w:rsid w:val="00FE1DBE"/>
    <w:rsid w:val="00FE23AE"/>
    <w:rsid w:val="00FE2DA5"/>
    <w:rsid w:val="00FE37F4"/>
    <w:rsid w:val="00FE39D7"/>
    <w:rsid w:val="00FE3AAE"/>
    <w:rsid w:val="00FE3C3D"/>
    <w:rsid w:val="00FE43C2"/>
    <w:rsid w:val="00FE453F"/>
    <w:rsid w:val="00FE455D"/>
    <w:rsid w:val="00FE4C38"/>
    <w:rsid w:val="00FE4E52"/>
    <w:rsid w:val="00FE5100"/>
    <w:rsid w:val="00FE518B"/>
    <w:rsid w:val="00FE5363"/>
    <w:rsid w:val="00FE54C4"/>
    <w:rsid w:val="00FE5705"/>
    <w:rsid w:val="00FE5707"/>
    <w:rsid w:val="00FE5B5B"/>
    <w:rsid w:val="00FE5C1C"/>
    <w:rsid w:val="00FE6540"/>
    <w:rsid w:val="00FE7129"/>
    <w:rsid w:val="00FE79B2"/>
    <w:rsid w:val="00FF06F1"/>
    <w:rsid w:val="00FF07C9"/>
    <w:rsid w:val="00FF0878"/>
    <w:rsid w:val="00FF0897"/>
    <w:rsid w:val="00FF103B"/>
    <w:rsid w:val="00FF11F6"/>
    <w:rsid w:val="00FF16F3"/>
    <w:rsid w:val="00FF1A90"/>
    <w:rsid w:val="00FF1F86"/>
    <w:rsid w:val="00FF2832"/>
    <w:rsid w:val="00FF2E48"/>
    <w:rsid w:val="00FF43E3"/>
    <w:rsid w:val="00FF4835"/>
    <w:rsid w:val="00FF5081"/>
    <w:rsid w:val="00FF5395"/>
    <w:rsid w:val="00FF5D06"/>
    <w:rsid w:val="00FF6078"/>
    <w:rsid w:val="00FF6B06"/>
    <w:rsid w:val="00FF702C"/>
    <w:rsid w:val="00FF70E0"/>
    <w:rsid w:val="00FF72AF"/>
    <w:rsid w:val="00FF7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B2F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4A4"/>
    <w:pPr>
      <w:spacing w:after="120" w:line="360" w:lineRule="auto"/>
    </w:pPr>
    <w:rPr>
      <w:rFonts w:cs="Arial"/>
    </w:rPr>
  </w:style>
  <w:style w:type="paragraph" w:styleId="Heading1">
    <w:name w:val="heading 1"/>
    <w:basedOn w:val="Normal"/>
    <w:next w:val="Normal"/>
    <w:link w:val="Heading1Char"/>
    <w:uiPriority w:val="9"/>
    <w:qFormat/>
    <w:rsid w:val="003B7B50"/>
    <w:pPr>
      <w:numPr>
        <w:numId w:val="1"/>
      </w:numPr>
      <w:outlineLvl w:val="0"/>
    </w:pPr>
    <w:rPr>
      <w:b/>
      <w:sz w:val="28"/>
    </w:rPr>
  </w:style>
  <w:style w:type="paragraph" w:styleId="Heading2">
    <w:name w:val="heading 2"/>
    <w:basedOn w:val="Normal"/>
    <w:next w:val="Normal"/>
    <w:link w:val="Heading2Char"/>
    <w:uiPriority w:val="9"/>
    <w:unhideWhenUsed/>
    <w:qFormat/>
    <w:rsid w:val="003821B0"/>
    <w:pPr>
      <w:numPr>
        <w:ilvl w:val="1"/>
        <w:numId w:val="1"/>
      </w:numPr>
      <w:outlineLvl w:val="1"/>
    </w:pPr>
    <w:rPr>
      <w:b/>
      <w:sz w:val="26"/>
      <w:szCs w:val="26"/>
    </w:rPr>
  </w:style>
  <w:style w:type="paragraph" w:styleId="Heading3">
    <w:name w:val="heading 3"/>
    <w:basedOn w:val="Normal"/>
    <w:next w:val="Normal"/>
    <w:link w:val="Heading3Char"/>
    <w:uiPriority w:val="9"/>
    <w:unhideWhenUsed/>
    <w:qFormat/>
    <w:rsid w:val="003821B0"/>
    <w:pPr>
      <w:keepNext/>
      <w:keepLines/>
      <w:numPr>
        <w:ilvl w:val="2"/>
        <w:numId w:val="1"/>
      </w:numPr>
      <w:outlineLvl w:val="2"/>
    </w:pPr>
    <w:rPr>
      <w:rFonts w:eastAsiaTheme="majorEastAsia"/>
      <w:b/>
      <w:bCs/>
      <w:sz w:val="24"/>
    </w:rPr>
  </w:style>
  <w:style w:type="paragraph" w:styleId="Heading4">
    <w:name w:val="heading 4"/>
    <w:basedOn w:val="Heading3"/>
    <w:next w:val="Normal"/>
    <w:link w:val="Heading4Char"/>
    <w:uiPriority w:val="9"/>
    <w:unhideWhenUsed/>
    <w:qFormat/>
    <w:rsid w:val="00035C37"/>
    <w:pPr>
      <w:numPr>
        <w:ilvl w:val="3"/>
      </w:numPr>
      <w:outlineLvl w:val="3"/>
    </w:pPr>
    <w:rPr>
      <w:b w:val="0"/>
      <w:i/>
      <w:sz w:val="22"/>
    </w:rPr>
  </w:style>
  <w:style w:type="paragraph" w:styleId="Heading5">
    <w:name w:val="heading 5"/>
    <w:basedOn w:val="Heading4"/>
    <w:next w:val="Normal"/>
    <w:link w:val="Heading5Char"/>
    <w:uiPriority w:val="9"/>
    <w:unhideWhenUsed/>
    <w:qFormat/>
    <w:rsid w:val="00B014AE"/>
    <w:pPr>
      <w:numPr>
        <w:ilvl w:val="0"/>
        <w:numId w:val="0"/>
      </w:numPr>
      <w:outlineLvl w:val="4"/>
    </w:pPr>
  </w:style>
  <w:style w:type="paragraph" w:styleId="Heading6">
    <w:name w:val="heading 6"/>
    <w:basedOn w:val="Normal"/>
    <w:next w:val="Normal"/>
    <w:link w:val="Heading6Char"/>
    <w:uiPriority w:val="9"/>
    <w:unhideWhenUsed/>
    <w:qFormat/>
    <w:rsid w:val="00B014AE"/>
    <w:pPr>
      <w:outlineLvl w:val="5"/>
    </w:pPr>
    <w:rPr>
      <w:b/>
      <w:i/>
      <w:sz w:val="20"/>
    </w:rPr>
  </w:style>
  <w:style w:type="paragraph" w:styleId="Heading7">
    <w:name w:val="heading 7"/>
    <w:basedOn w:val="Normal"/>
    <w:next w:val="Normal"/>
    <w:link w:val="Heading7Char"/>
    <w:uiPriority w:val="9"/>
    <w:semiHidden/>
    <w:unhideWhenUsed/>
    <w:qFormat/>
    <w:rsid w:val="008B598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B598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B598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B50"/>
    <w:rPr>
      <w:rFonts w:cs="Arial"/>
      <w:b/>
      <w:sz w:val="28"/>
    </w:rPr>
  </w:style>
  <w:style w:type="character" w:customStyle="1" w:styleId="Heading2Char">
    <w:name w:val="Heading 2 Char"/>
    <w:basedOn w:val="DefaultParagraphFont"/>
    <w:link w:val="Heading2"/>
    <w:uiPriority w:val="9"/>
    <w:rsid w:val="003821B0"/>
    <w:rPr>
      <w:rFonts w:cs="Arial"/>
      <w:b/>
      <w:sz w:val="26"/>
      <w:szCs w:val="26"/>
    </w:rPr>
  </w:style>
  <w:style w:type="character" w:customStyle="1" w:styleId="Heading3Char">
    <w:name w:val="Heading 3 Char"/>
    <w:basedOn w:val="DefaultParagraphFont"/>
    <w:link w:val="Heading3"/>
    <w:uiPriority w:val="9"/>
    <w:rsid w:val="003821B0"/>
    <w:rPr>
      <w:rFonts w:eastAsiaTheme="majorEastAsia" w:cs="Arial"/>
      <w:b/>
      <w:bCs/>
      <w:sz w:val="24"/>
    </w:rPr>
  </w:style>
  <w:style w:type="character" w:customStyle="1" w:styleId="Heading4Char">
    <w:name w:val="Heading 4 Char"/>
    <w:basedOn w:val="DefaultParagraphFont"/>
    <w:link w:val="Heading4"/>
    <w:uiPriority w:val="9"/>
    <w:rsid w:val="00035C37"/>
    <w:rPr>
      <w:rFonts w:eastAsiaTheme="majorEastAsia" w:cs="Arial"/>
      <w:bCs/>
      <w:i/>
    </w:rPr>
  </w:style>
  <w:style w:type="character" w:customStyle="1" w:styleId="Heading5Char">
    <w:name w:val="Heading 5 Char"/>
    <w:basedOn w:val="DefaultParagraphFont"/>
    <w:link w:val="Heading5"/>
    <w:uiPriority w:val="9"/>
    <w:rsid w:val="00B014AE"/>
    <w:rPr>
      <w:rFonts w:ascii="Arial" w:eastAsiaTheme="majorEastAsia" w:hAnsi="Arial" w:cs="Arial"/>
      <w:b/>
      <w:bCs/>
    </w:rPr>
  </w:style>
  <w:style w:type="character" w:customStyle="1" w:styleId="Heading6Char">
    <w:name w:val="Heading 6 Char"/>
    <w:basedOn w:val="DefaultParagraphFont"/>
    <w:link w:val="Heading6"/>
    <w:uiPriority w:val="9"/>
    <w:rsid w:val="00B014AE"/>
    <w:rPr>
      <w:rFonts w:ascii="Arial" w:hAnsi="Arial" w:cs="Arial"/>
      <w:b/>
      <w:i/>
      <w:sz w:val="20"/>
    </w:rPr>
  </w:style>
  <w:style w:type="character" w:customStyle="1" w:styleId="Heading7Char">
    <w:name w:val="Heading 7 Char"/>
    <w:basedOn w:val="DefaultParagraphFont"/>
    <w:link w:val="Heading7"/>
    <w:uiPriority w:val="9"/>
    <w:semiHidden/>
    <w:rsid w:val="008B598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B598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B598A"/>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rsid w:val="007E5772"/>
    <w:pPr>
      <w:spacing w:after="100"/>
    </w:pPr>
    <w:rPr>
      <w:b/>
      <w:sz w:val="20"/>
    </w:rPr>
  </w:style>
  <w:style w:type="paragraph" w:styleId="TOC2">
    <w:name w:val="toc 2"/>
    <w:basedOn w:val="Normal"/>
    <w:next w:val="Normal"/>
    <w:autoRedefine/>
    <w:uiPriority w:val="39"/>
    <w:unhideWhenUsed/>
    <w:rsid w:val="007E5772"/>
    <w:pPr>
      <w:spacing w:after="100"/>
      <w:ind w:left="220"/>
    </w:pPr>
    <w:rPr>
      <w:i/>
      <w:sz w:val="20"/>
    </w:rPr>
  </w:style>
  <w:style w:type="paragraph" w:styleId="TOC3">
    <w:name w:val="toc 3"/>
    <w:basedOn w:val="Normal"/>
    <w:next w:val="Normal"/>
    <w:autoRedefine/>
    <w:uiPriority w:val="39"/>
    <w:unhideWhenUsed/>
    <w:rsid w:val="007E5772"/>
    <w:pPr>
      <w:spacing w:after="100"/>
      <w:ind w:left="440"/>
    </w:pPr>
    <w:rPr>
      <w:sz w:val="20"/>
    </w:rPr>
  </w:style>
  <w:style w:type="character" w:styleId="Hyperlink">
    <w:name w:val="Hyperlink"/>
    <w:basedOn w:val="DefaultParagraphFont"/>
    <w:uiPriority w:val="99"/>
    <w:unhideWhenUsed/>
    <w:rsid w:val="00936CAE"/>
    <w:rPr>
      <w:color w:val="0000FF" w:themeColor="hyperlink"/>
      <w:u w:val="single"/>
    </w:rPr>
  </w:style>
  <w:style w:type="paragraph" w:styleId="Header">
    <w:name w:val="header"/>
    <w:basedOn w:val="Normal"/>
    <w:link w:val="HeaderChar"/>
    <w:unhideWhenUsed/>
    <w:rsid w:val="00E033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387"/>
    <w:rPr>
      <w:rFonts w:ascii="Arial" w:hAnsi="Arial" w:cs="Arial"/>
    </w:rPr>
  </w:style>
  <w:style w:type="paragraph" w:styleId="Footer">
    <w:name w:val="footer"/>
    <w:basedOn w:val="Normal"/>
    <w:link w:val="FooterChar"/>
    <w:uiPriority w:val="99"/>
    <w:unhideWhenUsed/>
    <w:rsid w:val="00E033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387"/>
    <w:rPr>
      <w:rFonts w:ascii="Arial" w:hAnsi="Arial" w:cs="Arial"/>
    </w:rPr>
  </w:style>
  <w:style w:type="paragraph" w:customStyle="1" w:styleId="Heading1nonumber">
    <w:name w:val="Heading 1 no number"/>
    <w:basedOn w:val="Heading1"/>
    <w:link w:val="Heading1nonumberChar"/>
    <w:qFormat/>
    <w:rsid w:val="005C4703"/>
    <w:pPr>
      <w:numPr>
        <w:numId w:val="0"/>
      </w:numPr>
      <w:ind w:left="432" w:hanging="432"/>
    </w:pPr>
  </w:style>
  <w:style w:type="paragraph" w:customStyle="1" w:styleId="heading2nonumber">
    <w:name w:val="heading 2 no number"/>
    <w:basedOn w:val="Heading2"/>
    <w:link w:val="heading2nonumberChar"/>
    <w:qFormat/>
    <w:rsid w:val="00401DCF"/>
    <w:pPr>
      <w:numPr>
        <w:ilvl w:val="0"/>
        <w:numId w:val="0"/>
      </w:numPr>
      <w:ind w:left="576" w:hanging="576"/>
    </w:pPr>
  </w:style>
  <w:style w:type="character" w:customStyle="1" w:styleId="Heading1nonumberChar">
    <w:name w:val="Heading 1 no number Char"/>
    <w:basedOn w:val="Heading1Char"/>
    <w:link w:val="Heading1nonumber"/>
    <w:rsid w:val="005C4703"/>
    <w:rPr>
      <w:rFonts w:ascii="Arial" w:hAnsi="Arial" w:cs="Arial"/>
      <w:b/>
      <w:sz w:val="28"/>
    </w:rPr>
  </w:style>
  <w:style w:type="paragraph" w:customStyle="1" w:styleId="Titlequick">
    <w:name w:val="Title quick"/>
    <w:basedOn w:val="Normal"/>
    <w:link w:val="TitlequickChar"/>
    <w:qFormat/>
    <w:rsid w:val="008E5B2D"/>
    <w:rPr>
      <w:b/>
    </w:rPr>
  </w:style>
  <w:style w:type="character" w:customStyle="1" w:styleId="heading2nonumberChar">
    <w:name w:val="heading 2 no number Char"/>
    <w:basedOn w:val="Heading2Char"/>
    <w:link w:val="heading2nonumber"/>
    <w:rsid w:val="00401DCF"/>
    <w:rPr>
      <w:rFonts w:ascii="Arial" w:hAnsi="Arial" w:cs="Arial"/>
      <w:b/>
      <w:sz w:val="26"/>
      <w:szCs w:val="26"/>
    </w:rPr>
  </w:style>
  <w:style w:type="paragraph" w:customStyle="1" w:styleId="H1nonumberinTOC">
    <w:name w:val="H1 no number in TOC"/>
    <w:basedOn w:val="Heading1nonumber"/>
    <w:link w:val="H1nonumberinTOCChar"/>
    <w:qFormat/>
    <w:rsid w:val="007C3309"/>
  </w:style>
  <w:style w:type="character" w:customStyle="1" w:styleId="TitlequickChar">
    <w:name w:val="Title quick Char"/>
    <w:basedOn w:val="DefaultParagraphFont"/>
    <w:link w:val="Titlequick"/>
    <w:rsid w:val="008E5B2D"/>
    <w:rPr>
      <w:rFonts w:ascii="Arial" w:hAnsi="Arial" w:cs="Arial"/>
      <w:b/>
    </w:rPr>
  </w:style>
  <w:style w:type="character" w:customStyle="1" w:styleId="H1nonumberinTOCChar">
    <w:name w:val="H1 no number in TOC Char"/>
    <w:basedOn w:val="Heading1nonumberChar"/>
    <w:link w:val="H1nonumberinTOC"/>
    <w:rsid w:val="007C3309"/>
    <w:rPr>
      <w:rFonts w:ascii="Arial" w:hAnsi="Arial" w:cs="Arial"/>
      <w:b/>
      <w:sz w:val="28"/>
    </w:rPr>
  </w:style>
  <w:style w:type="paragraph" w:styleId="ListParagraph">
    <w:name w:val="List Paragraph"/>
    <w:basedOn w:val="Normal"/>
    <w:uiPriority w:val="34"/>
    <w:qFormat/>
    <w:rsid w:val="003C6D0F"/>
    <w:pPr>
      <w:ind w:left="720"/>
      <w:contextualSpacing/>
    </w:pPr>
  </w:style>
  <w:style w:type="paragraph" w:styleId="Caption">
    <w:name w:val="caption"/>
    <w:basedOn w:val="Normal"/>
    <w:next w:val="Normal"/>
    <w:uiPriority w:val="35"/>
    <w:unhideWhenUsed/>
    <w:qFormat/>
    <w:rsid w:val="00B76C76"/>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3C4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6B3"/>
    <w:rPr>
      <w:rFonts w:ascii="Tahoma" w:hAnsi="Tahoma" w:cs="Tahoma"/>
      <w:sz w:val="16"/>
      <w:szCs w:val="16"/>
    </w:rPr>
  </w:style>
  <w:style w:type="table" w:styleId="TableGrid">
    <w:name w:val="Table Grid"/>
    <w:basedOn w:val="TableNormal"/>
    <w:rsid w:val="006D1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1D24"/>
    <w:rPr>
      <w:sz w:val="16"/>
      <w:szCs w:val="16"/>
    </w:rPr>
  </w:style>
  <w:style w:type="paragraph" w:styleId="CommentText">
    <w:name w:val="annotation text"/>
    <w:basedOn w:val="Normal"/>
    <w:link w:val="CommentTextChar"/>
    <w:uiPriority w:val="99"/>
    <w:unhideWhenUsed/>
    <w:rsid w:val="003F1D24"/>
    <w:pPr>
      <w:spacing w:line="240" w:lineRule="auto"/>
    </w:pPr>
    <w:rPr>
      <w:sz w:val="20"/>
      <w:szCs w:val="20"/>
    </w:rPr>
  </w:style>
  <w:style w:type="character" w:customStyle="1" w:styleId="CommentTextChar">
    <w:name w:val="Comment Text Char"/>
    <w:basedOn w:val="DefaultParagraphFont"/>
    <w:link w:val="CommentText"/>
    <w:uiPriority w:val="99"/>
    <w:rsid w:val="003F1D2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F1D24"/>
    <w:rPr>
      <w:b/>
      <w:bCs/>
    </w:rPr>
  </w:style>
  <w:style w:type="character" w:customStyle="1" w:styleId="CommentSubjectChar">
    <w:name w:val="Comment Subject Char"/>
    <w:basedOn w:val="CommentTextChar"/>
    <w:link w:val="CommentSubject"/>
    <w:uiPriority w:val="99"/>
    <w:semiHidden/>
    <w:rsid w:val="003F1D24"/>
    <w:rPr>
      <w:rFonts w:ascii="Arial" w:hAnsi="Arial" w:cs="Arial"/>
      <w:b/>
      <w:bCs/>
      <w:sz w:val="20"/>
      <w:szCs w:val="20"/>
    </w:rPr>
  </w:style>
  <w:style w:type="paragraph" w:customStyle="1" w:styleId="EndNoteBibliographyTitle">
    <w:name w:val="EndNote Bibliography Title"/>
    <w:basedOn w:val="Normal"/>
    <w:link w:val="EndNoteBibliographyTitleChar"/>
    <w:rsid w:val="000B4B1A"/>
    <w:pPr>
      <w:spacing w:after="0"/>
      <w:jc w:val="center"/>
    </w:pPr>
    <w:rPr>
      <w:rFonts w:ascii="Arial" w:hAnsi="Arial"/>
      <w:noProof/>
      <w:lang w:val="en-US"/>
    </w:rPr>
  </w:style>
  <w:style w:type="character" w:customStyle="1" w:styleId="EndNoteBibliographyTitleChar">
    <w:name w:val="EndNote Bibliography Title Char"/>
    <w:basedOn w:val="Heading3Char"/>
    <w:link w:val="EndNoteBibliographyTitle"/>
    <w:rsid w:val="000B4B1A"/>
    <w:rPr>
      <w:rFonts w:ascii="Arial" w:eastAsiaTheme="majorEastAsia" w:hAnsi="Arial" w:cs="Arial"/>
      <w:b w:val="0"/>
      <w:bCs w:val="0"/>
      <w:noProof/>
      <w:sz w:val="24"/>
      <w:lang w:val="en-US"/>
    </w:rPr>
  </w:style>
  <w:style w:type="paragraph" w:customStyle="1" w:styleId="EndNoteBibliography">
    <w:name w:val="EndNote Bibliography"/>
    <w:basedOn w:val="Normal"/>
    <w:link w:val="EndNoteBibliographyChar"/>
    <w:rsid w:val="000B4B1A"/>
    <w:pPr>
      <w:spacing w:line="240" w:lineRule="auto"/>
    </w:pPr>
    <w:rPr>
      <w:rFonts w:ascii="Arial" w:hAnsi="Arial"/>
      <w:noProof/>
      <w:lang w:val="en-US"/>
    </w:rPr>
  </w:style>
  <w:style w:type="character" w:customStyle="1" w:styleId="EndNoteBibliographyChar">
    <w:name w:val="EndNote Bibliography Char"/>
    <w:basedOn w:val="Heading3Char"/>
    <w:link w:val="EndNoteBibliography"/>
    <w:rsid w:val="000B4B1A"/>
    <w:rPr>
      <w:rFonts w:ascii="Arial" w:eastAsiaTheme="majorEastAsia" w:hAnsi="Arial" w:cs="Arial"/>
      <w:b w:val="0"/>
      <w:bCs w:val="0"/>
      <w:noProof/>
      <w:sz w:val="24"/>
      <w:lang w:val="en-US"/>
    </w:rPr>
  </w:style>
  <w:style w:type="character" w:styleId="PlaceholderText">
    <w:name w:val="Placeholder Text"/>
    <w:basedOn w:val="DefaultParagraphFont"/>
    <w:uiPriority w:val="99"/>
    <w:semiHidden/>
    <w:rsid w:val="00D74FE0"/>
    <w:rPr>
      <w:color w:val="808080"/>
    </w:rPr>
  </w:style>
  <w:style w:type="paragraph" w:customStyle="1" w:styleId="Heading1NoNumber0">
    <w:name w:val="Heading 1 No Number"/>
    <w:basedOn w:val="Heading2"/>
    <w:link w:val="Heading1NoNumberChar0"/>
    <w:qFormat/>
    <w:rsid w:val="001B2CBB"/>
    <w:pPr>
      <w:numPr>
        <w:ilvl w:val="0"/>
        <w:numId w:val="0"/>
      </w:numPr>
      <w:ind w:left="576" w:hanging="576"/>
    </w:pPr>
    <w:rPr>
      <w:sz w:val="32"/>
    </w:rPr>
  </w:style>
  <w:style w:type="paragraph" w:customStyle="1" w:styleId="Heading2-nonumber">
    <w:name w:val="Heading 2 - no number"/>
    <w:basedOn w:val="heading2nonumber"/>
    <w:link w:val="Heading2-nonumberChar"/>
    <w:rsid w:val="001B2CBB"/>
    <w:rPr>
      <w:sz w:val="24"/>
    </w:rPr>
  </w:style>
  <w:style w:type="character" w:customStyle="1" w:styleId="Heading1NoNumberChar0">
    <w:name w:val="Heading 1 No Number Char"/>
    <w:basedOn w:val="Heading2Char"/>
    <w:link w:val="Heading1NoNumber0"/>
    <w:rsid w:val="001B2CBB"/>
    <w:rPr>
      <w:rFonts w:ascii="Arial" w:hAnsi="Arial" w:cs="Arial"/>
      <w:b/>
      <w:sz w:val="32"/>
      <w:szCs w:val="26"/>
    </w:rPr>
  </w:style>
  <w:style w:type="character" w:customStyle="1" w:styleId="Heading2-nonumberChar">
    <w:name w:val="Heading 2 - no number Char"/>
    <w:basedOn w:val="heading2nonumberChar"/>
    <w:link w:val="Heading2-nonumber"/>
    <w:rsid w:val="001B2CBB"/>
    <w:rPr>
      <w:rFonts w:ascii="Arial" w:hAnsi="Arial" w:cs="Arial"/>
      <w:b/>
      <w:sz w:val="24"/>
      <w:szCs w:val="26"/>
    </w:rPr>
  </w:style>
  <w:style w:type="paragraph" w:customStyle="1" w:styleId="Heading3-nonumber">
    <w:name w:val="Heading 3 - no number"/>
    <w:basedOn w:val="Normal"/>
    <w:link w:val="Heading3-nonumberChar"/>
    <w:qFormat/>
    <w:rsid w:val="003033C7"/>
    <w:pPr>
      <w:spacing w:line="276" w:lineRule="auto"/>
    </w:pPr>
    <w:rPr>
      <w:b/>
    </w:rPr>
  </w:style>
  <w:style w:type="character" w:customStyle="1" w:styleId="Heading3-nonumberChar">
    <w:name w:val="Heading 3 - no number Char"/>
    <w:basedOn w:val="DefaultParagraphFont"/>
    <w:link w:val="Heading3-nonumber"/>
    <w:rsid w:val="003033C7"/>
    <w:rPr>
      <w:rFonts w:cs="Arial"/>
      <w:b/>
    </w:rPr>
  </w:style>
  <w:style w:type="paragraph" w:styleId="EndnoteText">
    <w:name w:val="endnote text"/>
    <w:basedOn w:val="Normal"/>
    <w:link w:val="EndnoteTextChar"/>
    <w:uiPriority w:val="99"/>
    <w:semiHidden/>
    <w:unhideWhenUsed/>
    <w:rsid w:val="004459CD"/>
    <w:pPr>
      <w:spacing w:after="0" w:line="240" w:lineRule="auto"/>
    </w:pPr>
    <w:rPr>
      <w:rFonts w:ascii="Arial" w:hAnsi="Arial"/>
      <w:sz w:val="20"/>
      <w:szCs w:val="20"/>
    </w:rPr>
  </w:style>
  <w:style w:type="character" w:customStyle="1" w:styleId="EndnoteTextChar">
    <w:name w:val="Endnote Text Char"/>
    <w:basedOn w:val="DefaultParagraphFont"/>
    <w:link w:val="EndnoteText"/>
    <w:uiPriority w:val="99"/>
    <w:semiHidden/>
    <w:rsid w:val="004459CD"/>
    <w:rPr>
      <w:rFonts w:ascii="Arial" w:hAnsi="Arial" w:cs="Arial"/>
      <w:sz w:val="20"/>
      <w:szCs w:val="20"/>
    </w:rPr>
  </w:style>
  <w:style w:type="character" w:styleId="LineNumber">
    <w:name w:val="line number"/>
    <w:basedOn w:val="DefaultParagraphFont"/>
    <w:uiPriority w:val="99"/>
    <w:semiHidden/>
    <w:unhideWhenUsed/>
    <w:rsid w:val="009D367B"/>
  </w:style>
  <w:style w:type="character" w:customStyle="1" w:styleId="citation-volume">
    <w:name w:val="citation-volume"/>
    <w:rsid w:val="001124F3"/>
  </w:style>
  <w:style w:type="paragraph" w:styleId="NormalWeb">
    <w:name w:val="Normal (Web)"/>
    <w:basedOn w:val="Normal"/>
    <w:uiPriority w:val="99"/>
    <w:semiHidden/>
    <w:unhideWhenUsed/>
    <w:rsid w:val="00236F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27F16"/>
    <w:rPr>
      <w:color w:val="605E5C"/>
      <w:shd w:val="clear" w:color="auto" w:fill="E1DFDD"/>
    </w:rPr>
  </w:style>
  <w:style w:type="table" w:customStyle="1" w:styleId="TableGrid1">
    <w:name w:val="Table Grid1"/>
    <w:basedOn w:val="TableNormal"/>
    <w:next w:val="TableGrid"/>
    <w:uiPriority w:val="39"/>
    <w:rsid w:val="00752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B2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E2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B4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03934"/>
  </w:style>
  <w:style w:type="table" w:customStyle="1" w:styleId="TableGrid5">
    <w:name w:val="Table Grid5"/>
    <w:basedOn w:val="TableNormal"/>
    <w:next w:val="TableGrid"/>
    <w:uiPriority w:val="39"/>
    <w:rsid w:val="00842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17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B3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21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871B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42048">
      <w:bodyDiv w:val="1"/>
      <w:marLeft w:val="0"/>
      <w:marRight w:val="0"/>
      <w:marTop w:val="0"/>
      <w:marBottom w:val="0"/>
      <w:divBdr>
        <w:top w:val="none" w:sz="0" w:space="0" w:color="auto"/>
        <w:left w:val="none" w:sz="0" w:space="0" w:color="auto"/>
        <w:bottom w:val="none" w:sz="0" w:space="0" w:color="auto"/>
        <w:right w:val="none" w:sz="0" w:space="0" w:color="auto"/>
      </w:divBdr>
      <w:divsChild>
        <w:div w:id="61997731">
          <w:marLeft w:val="1166"/>
          <w:marRight w:val="0"/>
          <w:marTop w:val="115"/>
          <w:marBottom w:val="0"/>
          <w:divBdr>
            <w:top w:val="none" w:sz="0" w:space="0" w:color="auto"/>
            <w:left w:val="none" w:sz="0" w:space="0" w:color="auto"/>
            <w:bottom w:val="none" w:sz="0" w:space="0" w:color="auto"/>
            <w:right w:val="none" w:sz="0" w:space="0" w:color="auto"/>
          </w:divBdr>
        </w:div>
        <w:div w:id="22292430">
          <w:marLeft w:val="1166"/>
          <w:marRight w:val="0"/>
          <w:marTop w:val="115"/>
          <w:marBottom w:val="0"/>
          <w:divBdr>
            <w:top w:val="none" w:sz="0" w:space="0" w:color="auto"/>
            <w:left w:val="none" w:sz="0" w:space="0" w:color="auto"/>
            <w:bottom w:val="none" w:sz="0" w:space="0" w:color="auto"/>
            <w:right w:val="none" w:sz="0" w:space="0" w:color="auto"/>
          </w:divBdr>
        </w:div>
        <w:div w:id="1695111095">
          <w:marLeft w:val="1166"/>
          <w:marRight w:val="0"/>
          <w:marTop w:val="115"/>
          <w:marBottom w:val="0"/>
          <w:divBdr>
            <w:top w:val="none" w:sz="0" w:space="0" w:color="auto"/>
            <w:left w:val="none" w:sz="0" w:space="0" w:color="auto"/>
            <w:bottom w:val="none" w:sz="0" w:space="0" w:color="auto"/>
            <w:right w:val="none" w:sz="0" w:space="0" w:color="auto"/>
          </w:divBdr>
        </w:div>
        <w:div w:id="1551379566">
          <w:marLeft w:val="1166"/>
          <w:marRight w:val="0"/>
          <w:marTop w:val="115"/>
          <w:marBottom w:val="0"/>
          <w:divBdr>
            <w:top w:val="none" w:sz="0" w:space="0" w:color="auto"/>
            <w:left w:val="none" w:sz="0" w:space="0" w:color="auto"/>
            <w:bottom w:val="none" w:sz="0" w:space="0" w:color="auto"/>
            <w:right w:val="none" w:sz="0" w:space="0" w:color="auto"/>
          </w:divBdr>
        </w:div>
      </w:divsChild>
    </w:div>
    <w:div w:id="114716571">
      <w:bodyDiv w:val="1"/>
      <w:marLeft w:val="0"/>
      <w:marRight w:val="0"/>
      <w:marTop w:val="0"/>
      <w:marBottom w:val="0"/>
      <w:divBdr>
        <w:top w:val="none" w:sz="0" w:space="0" w:color="auto"/>
        <w:left w:val="none" w:sz="0" w:space="0" w:color="auto"/>
        <w:bottom w:val="none" w:sz="0" w:space="0" w:color="auto"/>
        <w:right w:val="none" w:sz="0" w:space="0" w:color="auto"/>
      </w:divBdr>
    </w:div>
    <w:div w:id="463544439">
      <w:bodyDiv w:val="1"/>
      <w:marLeft w:val="0"/>
      <w:marRight w:val="0"/>
      <w:marTop w:val="100"/>
      <w:marBottom w:val="100"/>
      <w:divBdr>
        <w:top w:val="none" w:sz="0" w:space="0" w:color="auto"/>
        <w:left w:val="none" w:sz="0" w:space="0" w:color="auto"/>
        <w:bottom w:val="none" w:sz="0" w:space="0" w:color="auto"/>
        <w:right w:val="none" w:sz="0" w:space="0" w:color="auto"/>
      </w:divBdr>
      <w:divsChild>
        <w:div w:id="48044491">
          <w:marLeft w:val="0"/>
          <w:marRight w:val="0"/>
          <w:marTop w:val="0"/>
          <w:marBottom w:val="0"/>
          <w:divBdr>
            <w:top w:val="none" w:sz="0" w:space="0" w:color="auto"/>
            <w:left w:val="none" w:sz="0" w:space="0" w:color="auto"/>
            <w:bottom w:val="none" w:sz="0" w:space="0" w:color="auto"/>
            <w:right w:val="none" w:sz="0" w:space="0" w:color="auto"/>
          </w:divBdr>
          <w:divsChild>
            <w:div w:id="1556502794">
              <w:marLeft w:val="0"/>
              <w:marRight w:val="0"/>
              <w:marTop w:val="0"/>
              <w:marBottom w:val="0"/>
              <w:divBdr>
                <w:top w:val="none" w:sz="0" w:space="0" w:color="auto"/>
                <w:left w:val="none" w:sz="0" w:space="0" w:color="auto"/>
                <w:bottom w:val="none" w:sz="0" w:space="0" w:color="auto"/>
                <w:right w:val="none" w:sz="0" w:space="0" w:color="auto"/>
              </w:divBdr>
              <w:divsChild>
                <w:div w:id="887957452">
                  <w:marLeft w:val="0"/>
                  <w:marRight w:val="0"/>
                  <w:marTop w:val="0"/>
                  <w:marBottom w:val="0"/>
                  <w:divBdr>
                    <w:top w:val="none" w:sz="0" w:space="0" w:color="auto"/>
                    <w:left w:val="none" w:sz="0" w:space="0" w:color="auto"/>
                    <w:bottom w:val="none" w:sz="0" w:space="0" w:color="auto"/>
                    <w:right w:val="none" w:sz="0" w:space="0" w:color="auto"/>
                  </w:divBdr>
                  <w:divsChild>
                    <w:div w:id="343359397">
                      <w:marLeft w:val="0"/>
                      <w:marRight w:val="0"/>
                      <w:marTop w:val="0"/>
                      <w:marBottom w:val="0"/>
                      <w:divBdr>
                        <w:top w:val="none" w:sz="0" w:space="0" w:color="auto"/>
                        <w:left w:val="none" w:sz="0" w:space="0" w:color="auto"/>
                        <w:bottom w:val="none" w:sz="0" w:space="0" w:color="auto"/>
                        <w:right w:val="none" w:sz="0" w:space="0" w:color="auto"/>
                      </w:divBdr>
                      <w:divsChild>
                        <w:div w:id="1731029370">
                          <w:marLeft w:val="0"/>
                          <w:marRight w:val="0"/>
                          <w:marTop w:val="0"/>
                          <w:marBottom w:val="0"/>
                          <w:divBdr>
                            <w:top w:val="none" w:sz="0" w:space="0" w:color="auto"/>
                            <w:left w:val="none" w:sz="0" w:space="0" w:color="auto"/>
                            <w:bottom w:val="none" w:sz="0" w:space="0" w:color="auto"/>
                            <w:right w:val="none" w:sz="0" w:space="0" w:color="auto"/>
                          </w:divBdr>
                          <w:divsChild>
                            <w:div w:id="1575357583">
                              <w:marLeft w:val="0"/>
                              <w:marRight w:val="0"/>
                              <w:marTop w:val="0"/>
                              <w:marBottom w:val="0"/>
                              <w:divBdr>
                                <w:top w:val="none" w:sz="0" w:space="0" w:color="auto"/>
                                <w:left w:val="none" w:sz="0" w:space="0" w:color="auto"/>
                                <w:bottom w:val="none" w:sz="0" w:space="0" w:color="auto"/>
                                <w:right w:val="none" w:sz="0" w:space="0" w:color="auto"/>
                              </w:divBdr>
                              <w:divsChild>
                                <w:div w:id="18979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461808">
      <w:bodyDiv w:val="1"/>
      <w:marLeft w:val="0"/>
      <w:marRight w:val="0"/>
      <w:marTop w:val="0"/>
      <w:marBottom w:val="0"/>
      <w:divBdr>
        <w:top w:val="none" w:sz="0" w:space="0" w:color="auto"/>
        <w:left w:val="none" w:sz="0" w:space="0" w:color="auto"/>
        <w:bottom w:val="none" w:sz="0" w:space="0" w:color="auto"/>
        <w:right w:val="none" w:sz="0" w:space="0" w:color="auto"/>
      </w:divBdr>
    </w:div>
    <w:div w:id="553276174">
      <w:bodyDiv w:val="1"/>
      <w:marLeft w:val="0"/>
      <w:marRight w:val="0"/>
      <w:marTop w:val="0"/>
      <w:marBottom w:val="0"/>
      <w:divBdr>
        <w:top w:val="none" w:sz="0" w:space="0" w:color="auto"/>
        <w:left w:val="none" w:sz="0" w:space="0" w:color="auto"/>
        <w:bottom w:val="none" w:sz="0" w:space="0" w:color="auto"/>
        <w:right w:val="none" w:sz="0" w:space="0" w:color="auto"/>
      </w:divBdr>
    </w:div>
    <w:div w:id="836579316">
      <w:bodyDiv w:val="1"/>
      <w:marLeft w:val="0"/>
      <w:marRight w:val="0"/>
      <w:marTop w:val="100"/>
      <w:marBottom w:val="100"/>
      <w:divBdr>
        <w:top w:val="none" w:sz="0" w:space="0" w:color="auto"/>
        <w:left w:val="none" w:sz="0" w:space="0" w:color="auto"/>
        <w:bottom w:val="none" w:sz="0" w:space="0" w:color="auto"/>
        <w:right w:val="none" w:sz="0" w:space="0" w:color="auto"/>
      </w:divBdr>
      <w:divsChild>
        <w:div w:id="352271305">
          <w:marLeft w:val="0"/>
          <w:marRight w:val="0"/>
          <w:marTop w:val="0"/>
          <w:marBottom w:val="0"/>
          <w:divBdr>
            <w:top w:val="none" w:sz="0" w:space="0" w:color="auto"/>
            <w:left w:val="none" w:sz="0" w:space="0" w:color="auto"/>
            <w:bottom w:val="none" w:sz="0" w:space="0" w:color="auto"/>
            <w:right w:val="none" w:sz="0" w:space="0" w:color="auto"/>
          </w:divBdr>
          <w:divsChild>
            <w:div w:id="713694287">
              <w:marLeft w:val="0"/>
              <w:marRight w:val="0"/>
              <w:marTop w:val="0"/>
              <w:marBottom w:val="0"/>
              <w:divBdr>
                <w:top w:val="none" w:sz="0" w:space="0" w:color="auto"/>
                <w:left w:val="none" w:sz="0" w:space="0" w:color="auto"/>
                <w:bottom w:val="none" w:sz="0" w:space="0" w:color="auto"/>
                <w:right w:val="none" w:sz="0" w:space="0" w:color="auto"/>
              </w:divBdr>
              <w:divsChild>
                <w:div w:id="446899894">
                  <w:marLeft w:val="0"/>
                  <w:marRight w:val="0"/>
                  <w:marTop w:val="0"/>
                  <w:marBottom w:val="0"/>
                  <w:divBdr>
                    <w:top w:val="none" w:sz="0" w:space="0" w:color="auto"/>
                    <w:left w:val="none" w:sz="0" w:space="0" w:color="auto"/>
                    <w:bottom w:val="none" w:sz="0" w:space="0" w:color="auto"/>
                    <w:right w:val="none" w:sz="0" w:space="0" w:color="auto"/>
                  </w:divBdr>
                  <w:divsChild>
                    <w:div w:id="2028830166">
                      <w:marLeft w:val="0"/>
                      <w:marRight w:val="0"/>
                      <w:marTop w:val="0"/>
                      <w:marBottom w:val="0"/>
                      <w:divBdr>
                        <w:top w:val="none" w:sz="0" w:space="0" w:color="auto"/>
                        <w:left w:val="none" w:sz="0" w:space="0" w:color="auto"/>
                        <w:bottom w:val="none" w:sz="0" w:space="0" w:color="auto"/>
                        <w:right w:val="none" w:sz="0" w:space="0" w:color="auto"/>
                      </w:divBdr>
                      <w:divsChild>
                        <w:div w:id="979309859">
                          <w:marLeft w:val="0"/>
                          <w:marRight w:val="0"/>
                          <w:marTop w:val="0"/>
                          <w:marBottom w:val="0"/>
                          <w:divBdr>
                            <w:top w:val="none" w:sz="0" w:space="0" w:color="auto"/>
                            <w:left w:val="none" w:sz="0" w:space="0" w:color="auto"/>
                            <w:bottom w:val="none" w:sz="0" w:space="0" w:color="auto"/>
                            <w:right w:val="none" w:sz="0" w:space="0" w:color="auto"/>
                          </w:divBdr>
                          <w:divsChild>
                            <w:div w:id="1805655380">
                              <w:marLeft w:val="0"/>
                              <w:marRight w:val="0"/>
                              <w:marTop w:val="0"/>
                              <w:marBottom w:val="0"/>
                              <w:divBdr>
                                <w:top w:val="none" w:sz="0" w:space="0" w:color="auto"/>
                                <w:left w:val="none" w:sz="0" w:space="0" w:color="auto"/>
                                <w:bottom w:val="none" w:sz="0" w:space="0" w:color="auto"/>
                                <w:right w:val="none" w:sz="0" w:space="0" w:color="auto"/>
                              </w:divBdr>
                              <w:divsChild>
                                <w:div w:id="155150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8105191">
      <w:bodyDiv w:val="1"/>
      <w:marLeft w:val="0"/>
      <w:marRight w:val="0"/>
      <w:marTop w:val="0"/>
      <w:marBottom w:val="0"/>
      <w:divBdr>
        <w:top w:val="none" w:sz="0" w:space="0" w:color="auto"/>
        <w:left w:val="none" w:sz="0" w:space="0" w:color="auto"/>
        <w:bottom w:val="none" w:sz="0" w:space="0" w:color="auto"/>
        <w:right w:val="none" w:sz="0" w:space="0" w:color="auto"/>
      </w:divBdr>
    </w:div>
    <w:div w:id="1255823044">
      <w:bodyDiv w:val="1"/>
      <w:marLeft w:val="0"/>
      <w:marRight w:val="0"/>
      <w:marTop w:val="100"/>
      <w:marBottom w:val="100"/>
      <w:divBdr>
        <w:top w:val="none" w:sz="0" w:space="0" w:color="auto"/>
        <w:left w:val="none" w:sz="0" w:space="0" w:color="auto"/>
        <w:bottom w:val="none" w:sz="0" w:space="0" w:color="auto"/>
        <w:right w:val="none" w:sz="0" w:space="0" w:color="auto"/>
      </w:divBdr>
      <w:divsChild>
        <w:div w:id="2080135163">
          <w:marLeft w:val="0"/>
          <w:marRight w:val="0"/>
          <w:marTop w:val="0"/>
          <w:marBottom w:val="0"/>
          <w:divBdr>
            <w:top w:val="none" w:sz="0" w:space="0" w:color="auto"/>
            <w:left w:val="none" w:sz="0" w:space="0" w:color="auto"/>
            <w:bottom w:val="none" w:sz="0" w:space="0" w:color="auto"/>
            <w:right w:val="none" w:sz="0" w:space="0" w:color="auto"/>
          </w:divBdr>
          <w:divsChild>
            <w:div w:id="47195959">
              <w:marLeft w:val="0"/>
              <w:marRight w:val="0"/>
              <w:marTop w:val="0"/>
              <w:marBottom w:val="0"/>
              <w:divBdr>
                <w:top w:val="none" w:sz="0" w:space="0" w:color="auto"/>
                <w:left w:val="none" w:sz="0" w:space="0" w:color="auto"/>
                <w:bottom w:val="none" w:sz="0" w:space="0" w:color="auto"/>
                <w:right w:val="none" w:sz="0" w:space="0" w:color="auto"/>
              </w:divBdr>
              <w:divsChild>
                <w:div w:id="1771002493">
                  <w:marLeft w:val="0"/>
                  <w:marRight w:val="0"/>
                  <w:marTop w:val="0"/>
                  <w:marBottom w:val="0"/>
                  <w:divBdr>
                    <w:top w:val="none" w:sz="0" w:space="0" w:color="auto"/>
                    <w:left w:val="none" w:sz="0" w:space="0" w:color="auto"/>
                    <w:bottom w:val="none" w:sz="0" w:space="0" w:color="auto"/>
                    <w:right w:val="none" w:sz="0" w:space="0" w:color="auto"/>
                  </w:divBdr>
                  <w:divsChild>
                    <w:div w:id="299923697">
                      <w:marLeft w:val="0"/>
                      <w:marRight w:val="0"/>
                      <w:marTop w:val="0"/>
                      <w:marBottom w:val="0"/>
                      <w:divBdr>
                        <w:top w:val="none" w:sz="0" w:space="0" w:color="auto"/>
                        <w:left w:val="none" w:sz="0" w:space="0" w:color="auto"/>
                        <w:bottom w:val="none" w:sz="0" w:space="0" w:color="auto"/>
                        <w:right w:val="none" w:sz="0" w:space="0" w:color="auto"/>
                      </w:divBdr>
                      <w:divsChild>
                        <w:div w:id="154687705">
                          <w:marLeft w:val="0"/>
                          <w:marRight w:val="0"/>
                          <w:marTop w:val="0"/>
                          <w:marBottom w:val="0"/>
                          <w:divBdr>
                            <w:top w:val="none" w:sz="0" w:space="0" w:color="auto"/>
                            <w:left w:val="none" w:sz="0" w:space="0" w:color="auto"/>
                            <w:bottom w:val="none" w:sz="0" w:space="0" w:color="auto"/>
                            <w:right w:val="none" w:sz="0" w:space="0" w:color="auto"/>
                          </w:divBdr>
                          <w:divsChild>
                            <w:div w:id="1640302783">
                              <w:marLeft w:val="0"/>
                              <w:marRight w:val="0"/>
                              <w:marTop w:val="0"/>
                              <w:marBottom w:val="0"/>
                              <w:divBdr>
                                <w:top w:val="none" w:sz="0" w:space="0" w:color="auto"/>
                                <w:left w:val="none" w:sz="0" w:space="0" w:color="auto"/>
                                <w:bottom w:val="none" w:sz="0" w:space="0" w:color="auto"/>
                                <w:right w:val="none" w:sz="0" w:space="0" w:color="auto"/>
                              </w:divBdr>
                              <w:divsChild>
                                <w:div w:id="40626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610356">
      <w:bodyDiv w:val="1"/>
      <w:marLeft w:val="0"/>
      <w:marRight w:val="0"/>
      <w:marTop w:val="0"/>
      <w:marBottom w:val="0"/>
      <w:divBdr>
        <w:top w:val="none" w:sz="0" w:space="0" w:color="auto"/>
        <w:left w:val="none" w:sz="0" w:space="0" w:color="auto"/>
        <w:bottom w:val="none" w:sz="0" w:space="0" w:color="auto"/>
        <w:right w:val="none" w:sz="0" w:space="0" w:color="auto"/>
      </w:divBdr>
    </w:div>
    <w:div w:id="1423181001">
      <w:bodyDiv w:val="1"/>
      <w:marLeft w:val="0"/>
      <w:marRight w:val="0"/>
      <w:marTop w:val="0"/>
      <w:marBottom w:val="0"/>
      <w:divBdr>
        <w:top w:val="none" w:sz="0" w:space="0" w:color="auto"/>
        <w:left w:val="none" w:sz="0" w:space="0" w:color="auto"/>
        <w:bottom w:val="none" w:sz="0" w:space="0" w:color="auto"/>
        <w:right w:val="none" w:sz="0" w:space="0" w:color="auto"/>
      </w:divBdr>
    </w:div>
    <w:div w:id="1457914723">
      <w:bodyDiv w:val="1"/>
      <w:marLeft w:val="0"/>
      <w:marRight w:val="0"/>
      <w:marTop w:val="0"/>
      <w:marBottom w:val="0"/>
      <w:divBdr>
        <w:top w:val="none" w:sz="0" w:space="0" w:color="auto"/>
        <w:left w:val="none" w:sz="0" w:space="0" w:color="auto"/>
        <w:bottom w:val="none" w:sz="0" w:space="0" w:color="auto"/>
        <w:right w:val="none" w:sz="0" w:space="0" w:color="auto"/>
      </w:divBdr>
      <w:divsChild>
        <w:div w:id="2089575403">
          <w:marLeft w:val="0"/>
          <w:marRight w:val="0"/>
          <w:marTop w:val="0"/>
          <w:marBottom w:val="0"/>
          <w:divBdr>
            <w:top w:val="none" w:sz="0" w:space="0" w:color="auto"/>
            <w:left w:val="none" w:sz="0" w:space="0" w:color="auto"/>
            <w:bottom w:val="none" w:sz="0" w:space="0" w:color="auto"/>
            <w:right w:val="none" w:sz="0" w:space="0" w:color="auto"/>
          </w:divBdr>
          <w:divsChild>
            <w:div w:id="1480075463">
              <w:marLeft w:val="0"/>
              <w:marRight w:val="0"/>
              <w:marTop w:val="0"/>
              <w:marBottom w:val="0"/>
              <w:divBdr>
                <w:top w:val="none" w:sz="0" w:space="0" w:color="auto"/>
                <w:left w:val="none" w:sz="0" w:space="0" w:color="auto"/>
                <w:bottom w:val="none" w:sz="0" w:space="0" w:color="auto"/>
                <w:right w:val="none" w:sz="0" w:space="0" w:color="auto"/>
              </w:divBdr>
              <w:divsChild>
                <w:div w:id="1098252794">
                  <w:marLeft w:val="0"/>
                  <w:marRight w:val="0"/>
                  <w:marTop w:val="0"/>
                  <w:marBottom w:val="0"/>
                  <w:divBdr>
                    <w:top w:val="none" w:sz="0" w:space="0" w:color="auto"/>
                    <w:left w:val="none" w:sz="0" w:space="0" w:color="auto"/>
                    <w:bottom w:val="none" w:sz="0" w:space="0" w:color="auto"/>
                    <w:right w:val="none" w:sz="0" w:space="0" w:color="auto"/>
                  </w:divBdr>
                  <w:divsChild>
                    <w:div w:id="503470181">
                      <w:marLeft w:val="0"/>
                      <w:marRight w:val="0"/>
                      <w:marTop w:val="0"/>
                      <w:marBottom w:val="0"/>
                      <w:divBdr>
                        <w:top w:val="none" w:sz="0" w:space="0" w:color="auto"/>
                        <w:left w:val="none" w:sz="0" w:space="0" w:color="auto"/>
                        <w:bottom w:val="none" w:sz="0" w:space="0" w:color="auto"/>
                        <w:right w:val="none" w:sz="0" w:space="0" w:color="auto"/>
                      </w:divBdr>
                      <w:divsChild>
                        <w:div w:id="1373651542">
                          <w:marLeft w:val="0"/>
                          <w:marRight w:val="0"/>
                          <w:marTop w:val="0"/>
                          <w:marBottom w:val="0"/>
                          <w:divBdr>
                            <w:top w:val="none" w:sz="0" w:space="0" w:color="auto"/>
                            <w:left w:val="none" w:sz="0" w:space="0" w:color="auto"/>
                            <w:bottom w:val="none" w:sz="0" w:space="0" w:color="auto"/>
                            <w:right w:val="none" w:sz="0" w:space="0" w:color="auto"/>
                          </w:divBdr>
                        </w:div>
                        <w:div w:id="2132627867">
                          <w:marLeft w:val="0"/>
                          <w:marRight w:val="0"/>
                          <w:marTop w:val="0"/>
                          <w:marBottom w:val="0"/>
                          <w:divBdr>
                            <w:top w:val="none" w:sz="0" w:space="0" w:color="auto"/>
                            <w:left w:val="none" w:sz="0" w:space="0" w:color="auto"/>
                            <w:bottom w:val="none" w:sz="0" w:space="0" w:color="auto"/>
                            <w:right w:val="none" w:sz="0" w:space="0" w:color="auto"/>
                          </w:divBdr>
                          <w:divsChild>
                            <w:div w:id="55132181">
                              <w:marLeft w:val="0"/>
                              <w:marRight w:val="0"/>
                              <w:marTop w:val="0"/>
                              <w:marBottom w:val="0"/>
                              <w:divBdr>
                                <w:top w:val="none" w:sz="0" w:space="0" w:color="auto"/>
                                <w:left w:val="none" w:sz="0" w:space="0" w:color="auto"/>
                                <w:bottom w:val="none" w:sz="0" w:space="0" w:color="auto"/>
                                <w:right w:val="none" w:sz="0" w:space="0" w:color="auto"/>
                              </w:divBdr>
                            </w:div>
                          </w:divsChild>
                        </w:div>
                        <w:div w:id="872226782">
                          <w:marLeft w:val="0"/>
                          <w:marRight w:val="0"/>
                          <w:marTop w:val="0"/>
                          <w:marBottom w:val="0"/>
                          <w:divBdr>
                            <w:top w:val="none" w:sz="0" w:space="0" w:color="auto"/>
                            <w:left w:val="none" w:sz="0" w:space="0" w:color="auto"/>
                            <w:bottom w:val="none" w:sz="0" w:space="0" w:color="auto"/>
                            <w:right w:val="none" w:sz="0" w:space="0" w:color="auto"/>
                          </w:divBdr>
                          <w:divsChild>
                            <w:div w:id="16281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959262">
          <w:marLeft w:val="0"/>
          <w:marRight w:val="0"/>
          <w:marTop w:val="0"/>
          <w:marBottom w:val="0"/>
          <w:divBdr>
            <w:top w:val="none" w:sz="0" w:space="0" w:color="auto"/>
            <w:left w:val="none" w:sz="0" w:space="0" w:color="auto"/>
            <w:bottom w:val="none" w:sz="0" w:space="0" w:color="auto"/>
            <w:right w:val="none" w:sz="0" w:space="0" w:color="auto"/>
          </w:divBdr>
          <w:divsChild>
            <w:div w:id="1794442664">
              <w:marLeft w:val="0"/>
              <w:marRight w:val="0"/>
              <w:marTop w:val="0"/>
              <w:marBottom w:val="0"/>
              <w:divBdr>
                <w:top w:val="none" w:sz="0" w:space="0" w:color="auto"/>
                <w:left w:val="none" w:sz="0" w:space="0" w:color="auto"/>
                <w:bottom w:val="none" w:sz="0" w:space="0" w:color="auto"/>
                <w:right w:val="none" w:sz="0" w:space="0" w:color="auto"/>
              </w:divBdr>
              <w:divsChild>
                <w:div w:id="2116749876">
                  <w:marLeft w:val="0"/>
                  <w:marRight w:val="0"/>
                  <w:marTop w:val="0"/>
                  <w:marBottom w:val="0"/>
                  <w:divBdr>
                    <w:top w:val="none" w:sz="0" w:space="0" w:color="auto"/>
                    <w:left w:val="none" w:sz="0" w:space="0" w:color="auto"/>
                    <w:bottom w:val="none" w:sz="0" w:space="0" w:color="auto"/>
                    <w:right w:val="none" w:sz="0" w:space="0" w:color="auto"/>
                  </w:divBdr>
                  <w:divsChild>
                    <w:div w:id="1285578712">
                      <w:marLeft w:val="0"/>
                      <w:marRight w:val="0"/>
                      <w:marTop w:val="0"/>
                      <w:marBottom w:val="0"/>
                      <w:divBdr>
                        <w:top w:val="none" w:sz="0" w:space="0" w:color="auto"/>
                        <w:left w:val="none" w:sz="0" w:space="0" w:color="auto"/>
                        <w:bottom w:val="none" w:sz="0" w:space="0" w:color="auto"/>
                        <w:right w:val="none" w:sz="0" w:space="0" w:color="auto"/>
                      </w:divBdr>
                      <w:divsChild>
                        <w:div w:id="1508400669">
                          <w:marLeft w:val="0"/>
                          <w:marRight w:val="0"/>
                          <w:marTop w:val="0"/>
                          <w:marBottom w:val="0"/>
                          <w:divBdr>
                            <w:top w:val="none" w:sz="0" w:space="0" w:color="auto"/>
                            <w:left w:val="none" w:sz="0" w:space="0" w:color="auto"/>
                            <w:bottom w:val="none" w:sz="0" w:space="0" w:color="auto"/>
                            <w:right w:val="none" w:sz="0" w:space="0" w:color="auto"/>
                          </w:divBdr>
                          <w:divsChild>
                            <w:div w:id="1252855264">
                              <w:marLeft w:val="0"/>
                              <w:marRight w:val="0"/>
                              <w:marTop w:val="0"/>
                              <w:marBottom w:val="0"/>
                              <w:divBdr>
                                <w:top w:val="none" w:sz="0" w:space="0" w:color="auto"/>
                                <w:left w:val="none" w:sz="0" w:space="0" w:color="auto"/>
                                <w:bottom w:val="none" w:sz="0" w:space="0" w:color="auto"/>
                                <w:right w:val="none" w:sz="0" w:space="0" w:color="auto"/>
                              </w:divBdr>
                            </w:div>
                          </w:divsChild>
                        </w:div>
                        <w:div w:id="446584276">
                          <w:marLeft w:val="0"/>
                          <w:marRight w:val="0"/>
                          <w:marTop w:val="0"/>
                          <w:marBottom w:val="0"/>
                          <w:divBdr>
                            <w:top w:val="none" w:sz="0" w:space="0" w:color="auto"/>
                            <w:left w:val="none" w:sz="0" w:space="0" w:color="auto"/>
                            <w:bottom w:val="none" w:sz="0" w:space="0" w:color="auto"/>
                            <w:right w:val="none" w:sz="0" w:space="0" w:color="auto"/>
                          </w:divBdr>
                          <w:divsChild>
                            <w:div w:id="1704941352">
                              <w:marLeft w:val="0"/>
                              <w:marRight w:val="0"/>
                              <w:marTop w:val="0"/>
                              <w:marBottom w:val="0"/>
                              <w:divBdr>
                                <w:top w:val="none" w:sz="0" w:space="0" w:color="auto"/>
                                <w:left w:val="none" w:sz="0" w:space="0" w:color="auto"/>
                                <w:bottom w:val="none" w:sz="0" w:space="0" w:color="auto"/>
                                <w:right w:val="none" w:sz="0" w:space="0" w:color="auto"/>
                              </w:divBdr>
                              <w:divsChild>
                                <w:div w:id="553590305">
                                  <w:marLeft w:val="0"/>
                                  <w:marRight w:val="0"/>
                                  <w:marTop w:val="0"/>
                                  <w:marBottom w:val="0"/>
                                  <w:divBdr>
                                    <w:top w:val="none" w:sz="0" w:space="0" w:color="auto"/>
                                    <w:left w:val="none" w:sz="0" w:space="0" w:color="auto"/>
                                    <w:bottom w:val="none" w:sz="0" w:space="0" w:color="auto"/>
                                    <w:right w:val="none" w:sz="0" w:space="0" w:color="auto"/>
                                  </w:divBdr>
                                </w:div>
                              </w:divsChild>
                            </w:div>
                            <w:div w:id="1944603233">
                              <w:marLeft w:val="0"/>
                              <w:marRight w:val="0"/>
                              <w:marTop w:val="0"/>
                              <w:marBottom w:val="0"/>
                              <w:divBdr>
                                <w:top w:val="none" w:sz="0" w:space="0" w:color="auto"/>
                                <w:left w:val="none" w:sz="0" w:space="0" w:color="auto"/>
                                <w:bottom w:val="none" w:sz="0" w:space="0" w:color="auto"/>
                                <w:right w:val="none" w:sz="0" w:space="0" w:color="auto"/>
                              </w:divBdr>
                              <w:divsChild>
                                <w:div w:id="587547022">
                                  <w:marLeft w:val="0"/>
                                  <w:marRight w:val="0"/>
                                  <w:marTop w:val="0"/>
                                  <w:marBottom w:val="0"/>
                                  <w:divBdr>
                                    <w:top w:val="none" w:sz="0" w:space="0" w:color="auto"/>
                                    <w:left w:val="none" w:sz="0" w:space="0" w:color="auto"/>
                                    <w:bottom w:val="none" w:sz="0" w:space="0" w:color="auto"/>
                                    <w:right w:val="none" w:sz="0" w:space="0" w:color="auto"/>
                                  </w:divBdr>
                                  <w:divsChild>
                                    <w:div w:id="828667592">
                                      <w:marLeft w:val="0"/>
                                      <w:marRight w:val="0"/>
                                      <w:marTop w:val="0"/>
                                      <w:marBottom w:val="0"/>
                                      <w:divBdr>
                                        <w:top w:val="none" w:sz="0" w:space="0" w:color="auto"/>
                                        <w:left w:val="none" w:sz="0" w:space="0" w:color="auto"/>
                                        <w:bottom w:val="none" w:sz="0" w:space="0" w:color="auto"/>
                                        <w:right w:val="none" w:sz="0" w:space="0" w:color="auto"/>
                                      </w:divBdr>
                                    </w:div>
                                    <w:div w:id="19334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332444">
              <w:marLeft w:val="0"/>
              <w:marRight w:val="0"/>
              <w:marTop w:val="0"/>
              <w:marBottom w:val="0"/>
              <w:divBdr>
                <w:top w:val="none" w:sz="0" w:space="0" w:color="auto"/>
                <w:left w:val="none" w:sz="0" w:space="0" w:color="auto"/>
                <w:bottom w:val="none" w:sz="0" w:space="0" w:color="auto"/>
                <w:right w:val="none" w:sz="0" w:space="0" w:color="auto"/>
              </w:divBdr>
              <w:divsChild>
                <w:div w:id="1427921093">
                  <w:marLeft w:val="0"/>
                  <w:marRight w:val="0"/>
                  <w:marTop w:val="0"/>
                  <w:marBottom w:val="0"/>
                  <w:divBdr>
                    <w:top w:val="none" w:sz="0" w:space="0" w:color="auto"/>
                    <w:left w:val="none" w:sz="0" w:space="0" w:color="auto"/>
                    <w:bottom w:val="none" w:sz="0" w:space="0" w:color="auto"/>
                    <w:right w:val="none" w:sz="0" w:space="0" w:color="auto"/>
                  </w:divBdr>
                  <w:divsChild>
                    <w:div w:id="619728470">
                      <w:marLeft w:val="0"/>
                      <w:marRight w:val="0"/>
                      <w:marTop w:val="0"/>
                      <w:marBottom w:val="0"/>
                      <w:divBdr>
                        <w:top w:val="none" w:sz="0" w:space="0" w:color="auto"/>
                        <w:left w:val="none" w:sz="0" w:space="0" w:color="auto"/>
                        <w:bottom w:val="none" w:sz="0" w:space="0" w:color="auto"/>
                        <w:right w:val="none" w:sz="0" w:space="0" w:color="auto"/>
                      </w:divBdr>
                      <w:divsChild>
                        <w:div w:id="434447247">
                          <w:marLeft w:val="0"/>
                          <w:marRight w:val="0"/>
                          <w:marTop w:val="0"/>
                          <w:marBottom w:val="0"/>
                          <w:divBdr>
                            <w:top w:val="none" w:sz="0" w:space="0" w:color="auto"/>
                            <w:left w:val="none" w:sz="0" w:space="0" w:color="auto"/>
                            <w:bottom w:val="none" w:sz="0" w:space="0" w:color="auto"/>
                            <w:right w:val="none" w:sz="0" w:space="0" w:color="auto"/>
                          </w:divBdr>
                        </w:div>
                        <w:div w:id="360784031">
                          <w:marLeft w:val="0"/>
                          <w:marRight w:val="0"/>
                          <w:marTop w:val="0"/>
                          <w:marBottom w:val="0"/>
                          <w:divBdr>
                            <w:top w:val="none" w:sz="0" w:space="0" w:color="auto"/>
                            <w:left w:val="none" w:sz="0" w:space="0" w:color="auto"/>
                            <w:bottom w:val="none" w:sz="0" w:space="0" w:color="auto"/>
                            <w:right w:val="none" w:sz="0" w:space="0" w:color="auto"/>
                          </w:divBdr>
                          <w:divsChild>
                            <w:div w:id="966207204">
                              <w:marLeft w:val="0"/>
                              <w:marRight w:val="0"/>
                              <w:marTop w:val="0"/>
                              <w:marBottom w:val="0"/>
                              <w:divBdr>
                                <w:top w:val="none" w:sz="0" w:space="0" w:color="auto"/>
                                <w:left w:val="none" w:sz="0" w:space="0" w:color="auto"/>
                                <w:bottom w:val="none" w:sz="0" w:space="0" w:color="auto"/>
                                <w:right w:val="none" w:sz="0" w:space="0" w:color="auto"/>
                              </w:divBdr>
                            </w:div>
                          </w:divsChild>
                        </w:div>
                        <w:div w:id="1241406935">
                          <w:marLeft w:val="0"/>
                          <w:marRight w:val="0"/>
                          <w:marTop w:val="0"/>
                          <w:marBottom w:val="0"/>
                          <w:divBdr>
                            <w:top w:val="none" w:sz="0" w:space="0" w:color="auto"/>
                            <w:left w:val="none" w:sz="0" w:space="0" w:color="auto"/>
                            <w:bottom w:val="none" w:sz="0" w:space="0" w:color="auto"/>
                            <w:right w:val="none" w:sz="0" w:space="0" w:color="auto"/>
                          </w:divBdr>
                          <w:divsChild>
                            <w:div w:id="5156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933807">
                  <w:marLeft w:val="0"/>
                  <w:marRight w:val="0"/>
                  <w:marTop w:val="0"/>
                  <w:marBottom w:val="0"/>
                  <w:divBdr>
                    <w:top w:val="none" w:sz="0" w:space="0" w:color="auto"/>
                    <w:left w:val="none" w:sz="0" w:space="0" w:color="auto"/>
                    <w:bottom w:val="none" w:sz="0" w:space="0" w:color="auto"/>
                    <w:right w:val="none" w:sz="0" w:space="0" w:color="auto"/>
                  </w:divBdr>
                  <w:divsChild>
                    <w:div w:id="1300455672">
                      <w:marLeft w:val="0"/>
                      <w:marRight w:val="0"/>
                      <w:marTop w:val="0"/>
                      <w:marBottom w:val="0"/>
                      <w:divBdr>
                        <w:top w:val="none" w:sz="0" w:space="0" w:color="auto"/>
                        <w:left w:val="none" w:sz="0" w:space="0" w:color="auto"/>
                        <w:bottom w:val="none" w:sz="0" w:space="0" w:color="auto"/>
                        <w:right w:val="none" w:sz="0" w:space="0" w:color="auto"/>
                      </w:divBdr>
                      <w:divsChild>
                        <w:div w:id="1459185183">
                          <w:marLeft w:val="0"/>
                          <w:marRight w:val="0"/>
                          <w:marTop w:val="0"/>
                          <w:marBottom w:val="0"/>
                          <w:divBdr>
                            <w:top w:val="none" w:sz="0" w:space="0" w:color="auto"/>
                            <w:left w:val="none" w:sz="0" w:space="0" w:color="auto"/>
                            <w:bottom w:val="none" w:sz="0" w:space="0" w:color="auto"/>
                            <w:right w:val="none" w:sz="0" w:space="0" w:color="auto"/>
                          </w:divBdr>
                          <w:divsChild>
                            <w:div w:id="1544515450">
                              <w:marLeft w:val="0"/>
                              <w:marRight w:val="0"/>
                              <w:marTop w:val="0"/>
                              <w:marBottom w:val="0"/>
                              <w:divBdr>
                                <w:top w:val="none" w:sz="0" w:space="0" w:color="auto"/>
                                <w:left w:val="none" w:sz="0" w:space="0" w:color="auto"/>
                                <w:bottom w:val="none" w:sz="0" w:space="0" w:color="auto"/>
                                <w:right w:val="none" w:sz="0" w:space="0" w:color="auto"/>
                              </w:divBdr>
                              <w:divsChild>
                                <w:div w:id="390887083">
                                  <w:marLeft w:val="0"/>
                                  <w:marRight w:val="0"/>
                                  <w:marTop w:val="0"/>
                                  <w:marBottom w:val="0"/>
                                  <w:divBdr>
                                    <w:top w:val="none" w:sz="0" w:space="0" w:color="auto"/>
                                    <w:left w:val="none" w:sz="0" w:space="0" w:color="auto"/>
                                    <w:bottom w:val="none" w:sz="0" w:space="0" w:color="auto"/>
                                    <w:right w:val="none" w:sz="0" w:space="0" w:color="auto"/>
                                  </w:divBdr>
                                </w:div>
                                <w:div w:id="708146151">
                                  <w:marLeft w:val="0"/>
                                  <w:marRight w:val="0"/>
                                  <w:marTop w:val="0"/>
                                  <w:marBottom w:val="0"/>
                                  <w:divBdr>
                                    <w:top w:val="none" w:sz="0" w:space="0" w:color="auto"/>
                                    <w:left w:val="none" w:sz="0" w:space="0" w:color="auto"/>
                                    <w:bottom w:val="none" w:sz="0" w:space="0" w:color="auto"/>
                                    <w:right w:val="none" w:sz="0" w:space="0" w:color="auto"/>
                                  </w:divBdr>
                                </w:div>
                                <w:div w:id="228612463">
                                  <w:marLeft w:val="0"/>
                                  <w:marRight w:val="0"/>
                                  <w:marTop w:val="0"/>
                                  <w:marBottom w:val="0"/>
                                  <w:divBdr>
                                    <w:top w:val="none" w:sz="0" w:space="0" w:color="auto"/>
                                    <w:left w:val="none" w:sz="0" w:space="0" w:color="auto"/>
                                    <w:bottom w:val="none" w:sz="0" w:space="0" w:color="auto"/>
                                    <w:right w:val="none" w:sz="0" w:space="0" w:color="auto"/>
                                  </w:divBdr>
                                </w:div>
                                <w:div w:id="728069732">
                                  <w:marLeft w:val="0"/>
                                  <w:marRight w:val="0"/>
                                  <w:marTop w:val="0"/>
                                  <w:marBottom w:val="0"/>
                                  <w:divBdr>
                                    <w:top w:val="none" w:sz="0" w:space="0" w:color="auto"/>
                                    <w:left w:val="none" w:sz="0" w:space="0" w:color="auto"/>
                                    <w:bottom w:val="none" w:sz="0" w:space="0" w:color="auto"/>
                                    <w:right w:val="none" w:sz="0" w:space="0" w:color="auto"/>
                                  </w:divBdr>
                                </w:div>
                                <w:div w:id="197552944">
                                  <w:marLeft w:val="0"/>
                                  <w:marRight w:val="0"/>
                                  <w:marTop w:val="0"/>
                                  <w:marBottom w:val="0"/>
                                  <w:divBdr>
                                    <w:top w:val="none" w:sz="0" w:space="0" w:color="auto"/>
                                    <w:left w:val="none" w:sz="0" w:space="0" w:color="auto"/>
                                    <w:bottom w:val="none" w:sz="0" w:space="0" w:color="auto"/>
                                    <w:right w:val="none" w:sz="0" w:space="0" w:color="auto"/>
                                  </w:divBdr>
                                </w:div>
                                <w:div w:id="1184320029">
                                  <w:marLeft w:val="0"/>
                                  <w:marRight w:val="0"/>
                                  <w:marTop w:val="0"/>
                                  <w:marBottom w:val="0"/>
                                  <w:divBdr>
                                    <w:top w:val="none" w:sz="0" w:space="0" w:color="auto"/>
                                    <w:left w:val="none" w:sz="0" w:space="0" w:color="auto"/>
                                    <w:bottom w:val="none" w:sz="0" w:space="0" w:color="auto"/>
                                    <w:right w:val="none" w:sz="0" w:space="0" w:color="auto"/>
                                  </w:divBdr>
                                  <w:divsChild>
                                    <w:div w:id="1166944316">
                                      <w:marLeft w:val="0"/>
                                      <w:marRight w:val="0"/>
                                      <w:marTop w:val="0"/>
                                      <w:marBottom w:val="0"/>
                                      <w:divBdr>
                                        <w:top w:val="none" w:sz="0" w:space="0" w:color="auto"/>
                                        <w:left w:val="none" w:sz="0" w:space="0" w:color="auto"/>
                                        <w:bottom w:val="none" w:sz="0" w:space="0" w:color="auto"/>
                                        <w:right w:val="none" w:sz="0" w:space="0" w:color="auto"/>
                                      </w:divBdr>
                                      <w:divsChild>
                                        <w:div w:id="1168909704">
                                          <w:marLeft w:val="0"/>
                                          <w:marRight w:val="0"/>
                                          <w:marTop w:val="0"/>
                                          <w:marBottom w:val="0"/>
                                          <w:divBdr>
                                            <w:top w:val="none" w:sz="0" w:space="0" w:color="auto"/>
                                            <w:left w:val="none" w:sz="0" w:space="0" w:color="auto"/>
                                            <w:bottom w:val="none" w:sz="0" w:space="0" w:color="auto"/>
                                            <w:right w:val="none" w:sz="0" w:space="0" w:color="auto"/>
                                          </w:divBdr>
                                        </w:div>
                                      </w:divsChild>
                                    </w:div>
                                    <w:div w:id="1851093452">
                                      <w:marLeft w:val="0"/>
                                      <w:marRight w:val="0"/>
                                      <w:marTop w:val="0"/>
                                      <w:marBottom w:val="0"/>
                                      <w:divBdr>
                                        <w:top w:val="none" w:sz="0" w:space="0" w:color="auto"/>
                                        <w:left w:val="none" w:sz="0" w:space="0" w:color="auto"/>
                                        <w:bottom w:val="none" w:sz="0" w:space="0" w:color="auto"/>
                                        <w:right w:val="none" w:sz="0" w:space="0" w:color="auto"/>
                                      </w:divBdr>
                                      <w:divsChild>
                                        <w:div w:id="63164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98854">
                                  <w:marLeft w:val="0"/>
                                  <w:marRight w:val="0"/>
                                  <w:marTop w:val="0"/>
                                  <w:marBottom w:val="0"/>
                                  <w:divBdr>
                                    <w:top w:val="none" w:sz="0" w:space="0" w:color="auto"/>
                                    <w:left w:val="none" w:sz="0" w:space="0" w:color="auto"/>
                                    <w:bottom w:val="none" w:sz="0" w:space="0" w:color="auto"/>
                                    <w:right w:val="none" w:sz="0" w:space="0" w:color="auto"/>
                                  </w:divBdr>
                                  <w:divsChild>
                                    <w:div w:id="336736871">
                                      <w:marLeft w:val="0"/>
                                      <w:marRight w:val="0"/>
                                      <w:marTop w:val="0"/>
                                      <w:marBottom w:val="0"/>
                                      <w:divBdr>
                                        <w:top w:val="none" w:sz="0" w:space="0" w:color="auto"/>
                                        <w:left w:val="none" w:sz="0" w:space="0" w:color="auto"/>
                                        <w:bottom w:val="none" w:sz="0" w:space="0" w:color="auto"/>
                                        <w:right w:val="none" w:sz="0" w:space="0" w:color="auto"/>
                                      </w:divBdr>
                                      <w:divsChild>
                                        <w:div w:id="8627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91936">
                                  <w:marLeft w:val="0"/>
                                  <w:marRight w:val="0"/>
                                  <w:marTop w:val="0"/>
                                  <w:marBottom w:val="0"/>
                                  <w:divBdr>
                                    <w:top w:val="none" w:sz="0" w:space="0" w:color="auto"/>
                                    <w:left w:val="none" w:sz="0" w:space="0" w:color="auto"/>
                                    <w:bottom w:val="none" w:sz="0" w:space="0" w:color="auto"/>
                                    <w:right w:val="none" w:sz="0" w:space="0" w:color="auto"/>
                                  </w:divBdr>
                                  <w:divsChild>
                                    <w:div w:id="831801356">
                                      <w:marLeft w:val="0"/>
                                      <w:marRight w:val="0"/>
                                      <w:marTop w:val="0"/>
                                      <w:marBottom w:val="0"/>
                                      <w:divBdr>
                                        <w:top w:val="none" w:sz="0" w:space="0" w:color="auto"/>
                                        <w:left w:val="none" w:sz="0" w:space="0" w:color="auto"/>
                                        <w:bottom w:val="none" w:sz="0" w:space="0" w:color="auto"/>
                                        <w:right w:val="none" w:sz="0" w:space="0" w:color="auto"/>
                                      </w:divBdr>
                                      <w:divsChild>
                                        <w:div w:id="369191856">
                                          <w:marLeft w:val="0"/>
                                          <w:marRight w:val="0"/>
                                          <w:marTop w:val="0"/>
                                          <w:marBottom w:val="0"/>
                                          <w:divBdr>
                                            <w:top w:val="none" w:sz="0" w:space="0" w:color="auto"/>
                                            <w:left w:val="none" w:sz="0" w:space="0" w:color="auto"/>
                                            <w:bottom w:val="none" w:sz="0" w:space="0" w:color="auto"/>
                                            <w:right w:val="none" w:sz="0" w:space="0" w:color="auto"/>
                                          </w:divBdr>
                                        </w:div>
                                        <w:div w:id="1538933335">
                                          <w:marLeft w:val="0"/>
                                          <w:marRight w:val="0"/>
                                          <w:marTop w:val="0"/>
                                          <w:marBottom w:val="0"/>
                                          <w:divBdr>
                                            <w:top w:val="none" w:sz="0" w:space="0" w:color="auto"/>
                                            <w:left w:val="none" w:sz="0" w:space="0" w:color="auto"/>
                                            <w:bottom w:val="none" w:sz="0" w:space="0" w:color="auto"/>
                                            <w:right w:val="none" w:sz="0" w:space="0" w:color="auto"/>
                                          </w:divBdr>
                                        </w:div>
                                      </w:divsChild>
                                    </w:div>
                                    <w:div w:id="1600603877">
                                      <w:marLeft w:val="0"/>
                                      <w:marRight w:val="0"/>
                                      <w:marTop w:val="0"/>
                                      <w:marBottom w:val="0"/>
                                      <w:divBdr>
                                        <w:top w:val="none" w:sz="0" w:space="0" w:color="auto"/>
                                        <w:left w:val="none" w:sz="0" w:space="0" w:color="auto"/>
                                        <w:bottom w:val="none" w:sz="0" w:space="0" w:color="auto"/>
                                        <w:right w:val="none" w:sz="0" w:space="0" w:color="auto"/>
                                      </w:divBdr>
                                    </w:div>
                                    <w:div w:id="1885366226">
                                      <w:marLeft w:val="0"/>
                                      <w:marRight w:val="0"/>
                                      <w:marTop w:val="0"/>
                                      <w:marBottom w:val="0"/>
                                      <w:divBdr>
                                        <w:top w:val="none" w:sz="0" w:space="0" w:color="auto"/>
                                        <w:left w:val="none" w:sz="0" w:space="0" w:color="auto"/>
                                        <w:bottom w:val="none" w:sz="0" w:space="0" w:color="auto"/>
                                        <w:right w:val="none" w:sz="0" w:space="0" w:color="auto"/>
                                      </w:divBdr>
                                      <w:divsChild>
                                        <w:div w:id="1633487361">
                                          <w:marLeft w:val="0"/>
                                          <w:marRight w:val="0"/>
                                          <w:marTop w:val="0"/>
                                          <w:marBottom w:val="0"/>
                                          <w:divBdr>
                                            <w:top w:val="none" w:sz="0" w:space="0" w:color="auto"/>
                                            <w:left w:val="none" w:sz="0" w:space="0" w:color="auto"/>
                                            <w:bottom w:val="none" w:sz="0" w:space="0" w:color="auto"/>
                                            <w:right w:val="none" w:sz="0" w:space="0" w:color="auto"/>
                                          </w:divBdr>
                                          <w:divsChild>
                                            <w:div w:id="1446150139">
                                              <w:marLeft w:val="0"/>
                                              <w:marRight w:val="0"/>
                                              <w:marTop w:val="0"/>
                                              <w:marBottom w:val="0"/>
                                              <w:divBdr>
                                                <w:top w:val="none" w:sz="0" w:space="0" w:color="auto"/>
                                                <w:left w:val="none" w:sz="0" w:space="0" w:color="auto"/>
                                                <w:bottom w:val="none" w:sz="0" w:space="0" w:color="auto"/>
                                                <w:right w:val="none" w:sz="0" w:space="0" w:color="auto"/>
                                              </w:divBdr>
                                            </w:div>
                                          </w:divsChild>
                                        </w:div>
                                        <w:div w:id="869218457">
                                          <w:marLeft w:val="0"/>
                                          <w:marRight w:val="0"/>
                                          <w:marTop w:val="0"/>
                                          <w:marBottom w:val="0"/>
                                          <w:divBdr>
                                            <w:top w:val="none" w:sz="0" w:space="0" w:color="auto"/>
                                            <w:left w:val="none" w:sz="0" w:space="0" w:color="auto"/>
                                            <w:bottom w:val="none" w:sz="0" w:space="0" w:color="auto"/>
                                            <w:right w:val="none" w:sz="0" w:space="0" w:color="auto"/>
                                          </w:divBdr>
                                          <w:divsChild>
                                            <w:div w:id="1024744953">
                                              <w:marLeft w:val="0"/>
                                              <w:marRight w:val="0"/>
                                              <w:marTop w:val="0"/>
                                              <w:marBottom w:val="0"/>
                                              <w:divBdr>
                                                <w:top w:val="none" w:sz="0" w:space="0" w:color="auto"/>
                                                <w:left w:val="none" w:sz="0" w:space="0" w:color="auto"/>
                                                <w:bottom w:val="none" w:sz="0" w:space="0" w:color="auto"/>
                                                <w:right w:val="none" w:sz="0" w:space="0" w:color="auto"/>
                                              </w:divBdr>
                                              <w:divsChild>
                                                <w:div w:id="13779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256926">
                                  <w:marLeft w:val="0"/>
                                  <w:marRight w:val="0"/>
                                  <w:marTop w:val="0"/>
                                  <w:marBottom w:val="0"/>
                                  <w:divBdr>
                                    <w:top w:val="none" w:sz="0" w:space="0" w:color="auto"/>
                                    <w:left w:val="none" w:sz="0" w:space="0" w:color="auto"/>
                                    <w:bottom w:val="none" w:sz="0" w:space="0" w:color="auto"/>
                                    <w:right w:val="none" w:sz="0" w:space="0" w:color="auto"/>
                                  </w:divBdr>
                                  <w:divsChild>
                                    <w:div w:id="1607688052">
                                      <w:marLeft w:val="0"/>
                                      <w:marRight w:val="0"/>
                                      <w:marTop w:val="0"/>
                                      <w:marBottom w:val="0"/>
                                      <w:divBdr>
                                        <w:top w:val="none" w:sz="0" w:space="0" w:color="auto"/>
                                        <w:left w:val="none" w:sz="0" w:space="0" w:color="auto"/>
                                        <w:bottom w:val="none" w:sz="0" w:space="0" w:color="auto"/>
                                        <w:right w:val="none" w:sz="0" w:space="0" w:color="auto"/>
                                      </w:divBdr>
                                    </w:div>
                                    <w:div w:id="23407676">
                                      <w:marLeft w:val="0"/>
                                      <w:marRight w:val="0"/>
                                      <w:marTop w:val="0"/>
                                      <w:marBottom w:val="0"/>
                                      <w:divBdr>
                                        <w:top w:val="none" w:sz="0" w:space="0" w:color="auto"/>
                                        <w:left w:val="none" w:sz="0" w:space="0" w:color="auto"/>
                                        <w:bottom w:val="none" w:sz="0" w:space="0" w:color="auto"/>
                                        <w:right w:val="none" w:sz="0" w:space="0" w:color="auto"/>
                                      </w:divBdr>
                                      <w:divsChild>
                                        <w:div w:id="410659913">
                                          <w:marLeft w:val="0"/>
                                          <w:marRight w:val="0"/>
                                          <w:marTop w:val="0"/>
                                          <w:marBottom w:val="0"/>
                                          <w:divBdr>
                                            <w:top w:val="none" w:sz="0" w:space="0" w:color="auto"/>
                                            <w:left w:val="none" w:sz="0" w:space="0" w:color="auto"/>
                                            <w:bottom w:val="none" w:sz="0" w:space="0" w:color="auto"/>
                                            <w:right w:val="none" w:sz="0" w:space="0" w:color="auto"/>
                                          </w:divBdr>
                                        </w:div>
                                      </w:divsChild>
                                    </w:div>
                                    <w:div w:id="268974263">
                                      <w:marLeft w:val="0"/>
                                      <w:marRight w:val="0"/>
                                      <w:marTop w:val="0"/>
                                      <w:marBottom w:val="0"/>
                                      <w:divBdr>
                                        <w:top w:val="none" w:sz="0" w:space="0" w:color="auto"/>
                                        <w:left w:val="none" w:sz="0" w:space="0" w:color="auto"/>
                                        <w:bottom w:val="none" w:sz="0" w:space="0" w:color="auto"/>
                                        <w:right w:val="none" w:sz="0" w:space="0" w:color="auto"/>
                                      </w:divBdr>
                                    </w:div>
                                  </w:divsChild>
                                </w:div>
                                <w:div w:id="1369990974">
                                  <w:marLeft w:val="0"/>
                                  <w:marRight w:val="0"/>
                                  <w:marTop w:val="0"/>
                                  <w:marBottom w:val="0"/>
                                  <w:divBdr>
                                    <w:top w:val="none" w:sz="0" w:space="0" w:color="auto"/>
                                    <w:left w:val="none" w:sz="0" w:space="0" w:color="auto"/>
                                    <w:bottom w:val="none" w:sz="0" w:space="0" w:color="auto"/>
                                    <w:right w:val="none" w:sz="0" w:space="0" w:color="auto"/>
                                  </w:divBdr>
                                  <w:divsChild>
                                    <w:div w:id="2100323167">
                                      <w:marLeft w:val="0"/>
                                      <w:marRight w:val="0"/>
                                      <w:marTop w:val="0"/>
                                      <w:marBottom w:val="0"/>
                                      <w:divBdr>
                                        <w:top w:val="none" w:sz="0" w:space="0" w:color="auto"/>
                                        <w:left w:val="none" w:sz="0" w:space="0" w:color="auto"/>
                                        <w:bottom w:val="none" w:sz="0" w:space="0" w:color="auto"/>
                                        <w:right w:val="none" w:sz="0" w:space="0" w:color="auto"/>
                                      </w:divBdr>
                                    </w:div>
                                  </w:divsChild>
                                </w:div>
                                <w:div w:id="2095008548">
                                  <w:marLeft w:val="0"/>
                                  <w:marRight w:val="0"/>
                                  <w:marTop w:val="0"/>
                                  <w:marBottom w:val="0"/>
                                  <w:divBdr>
                                    <w:top w:val="none" w:sz="0" w:space="0" w:color="auto"/>
                                    <w:left w:val="none" w:sz="0" w:space="0" w:color="auto"/>
                                    <w:bottom w:val="none" w:sz="0" w:space="0" w:color="auto"/>
                                    <w:right w:val="none" w:sz="0" w:space="0" w:color="auto"/>
                                  </w:divBdr>
                                  <w:divsChild>
                                    <w:div w:id="1493990073">
                                      <w:marLeft w:val="0"/>
                                      <w:marRight w:val="0"/>
                                      <w:marTop w:val="0"/>
                                      <w:marBottom w:val="0"/>
                                      <w:divBdr>
                                        <w:top w:val="none" w:sz="0" w:space="0" w:color="auto"/>
                                        <w:left w:val="none" w:sz="0" w:space="0" w:color="auto"/>
                                        <w:bottom w:val="none" w:sz="0" w:space="0" w:color="auto"/>
                                        <w:right w:val="none" w:sz="0" w:space="0" w:color="auto"/>
                                      </w:divBdr>
                                    </w:div>
                                    <w:div w:id="268515164">
                                      <w:marLeft w:val="0"/>
                                      <w:marRight w:val="0"/>
                                      <w:marTop w:val="0"/>
                                      <w:marBottom w:val="0"/>
                                      <w:divBdr>
                                        <w:top w:val="none" w:sz="0" w:space="0" w:color="auto"/>
                                        <w:left w:val="none" w:sz="0" w:space="0" w:color="auto"/>
                                        <w:bottom w:val="none" w:sz="0" w:space="0" w:color="auto"/>
                                        <w:right w:val="none" w:sz="0" w:space="0" w:color="auto"/>
                                      </w:divBdr>
                                      <w:divsChild>
                                        <w:div w:id="932858819">
                                          <w:marLeft w:val="0"/>
                                          <w:marRight w:val="0"/>
                                          <w:marTop w:val="0"/>
                                          <w:marBottom w:val="0"/>
                                          <w:divBdr>
                                            <w:top w:val="none" w:sz="0" w:space="0" w:color="auto"/>
                                            <w:left w:val="none" w:sz="0" w:space="0" w:color="auto"/>
                                            <w:bottom w:val="none" w:sz="0" w:space="0" w:color="auto"/>
                                            <w:right w:val="none" w:sz="0" w:space="0" w:color="auto"/>
                                          </w:divBdr>
                                        </w:div>
                                      </w:divsChild>
                                    </w:div>
                                    <w:div w:id="1467355447">
                                      <w:marLeft w:val="0"/>
                                      <w:marRight w:val="0"/>
                                      <w:marTop w:val="0"/>
                                      <w:marBottom w:val="0"/>
                                      <w:divBdr>
                                        <w:top w:val="none" w:sz="0" w:space="0" w:color="auto"/>
                                        <w:left w:val="none" w:sz="0" w:space="0" w:color="auto"/>
                                        <w:bottom w:val="none" w:sz="0" w:space="0" w:color="auto"/>
                                        <w:right w:val="none" w:sz="0" w:space="0" w:color="auto"/>
                                      </w:divBdr>
                                    </w:div>
                                  </w:divsChild>
                                </w:div>
                                <w:div w:id="2041393965">
                                  <w:marLeft w:val="0"/>
                                  <w:marRight w:val="0"/>
                                  <w:marTop w:val="0"/>
                                  <w:marBottom w:val="0"/>
                                  <w:divBdr>
                                    <w:top w:val="none" w:sz="0" w:space="0" w:color="auto"/>
                                    <w:left w:val="none" w:sz="0" w:space="0" w:color="auto"/>
                                    <w:bottom w:val="none" w:sz="0" w:space="0" w:color="auto"/>
                                    <w:right w:val="none" w:sz="0" w:space="0" w:color="auto"/>
                                  </w:divBdr>
                                  <w:divsChild>
                                    <w:div w:id="130292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645992">
      <w:bodyDiv w:val="1"/>
      <w:marLeft w:val="0"/>
      <w:marRight w:val="0"/>
      <w:marTop w:val="0"/>
      <w:marBottom w:val="0"/>
      <w:divBdr>
        <w:top w:val="none" w:sz="0" w:space="0" w:color="auto"/>
        <w:left w:val="none" w:sz="0" w:space="0" w:color="auto"/>
        <w:bottom w:val="none" w:sz="0" w:space="0" w:color="auto"/>
        <w:right w:val="none" w:sz="0" w:space="0" w:color="auto"/>
      </w:divBdr>
    </w:div>
    <w:div w:id="1564441535">
      <w:bodyDiv w:val="1"/>
      <w:marLeft w:val="0"/>
      <w:marRight w:val="0"/>
      <w:marTop w:val="0"/>
      <w:marBottom w:val="0"/>
      <w:divBdr>
        <w:top w:val="none" w:sz="0" w:space="0" w:color="auto"/>
        <w:left w:val="none" w:sz="0" w:space="0" w:color="auto"/>
        <w:bottom w:val="none" w:sz="0" w:space="0" w:color="auto"/>
        <w:right w:val="none" w:sz="0" w:space="0" w:color="auto"/>
      </w:divBdr>
    </w:div>
    <w:div w:id="1694110938">
      <w:bodyDiv w:val="1"/>
      <w:marLeft w:val="0"/>
      <w:marRight w:val="0"/>
      <w:marTop w:val="100"/>
      <w:marBottom w:val="100"/>
      <w:divBdr>
        <w:top w:val="none" w:sz="0" w:space="0" w:color="auto"/>
        <w:left w:val="none" w:sz="0" w:space="0" w:color="auto"/>
        <w:bottom w:val="none" w:sz="0" w:space="0" w:color="auto"/>
        <w:right w:val="none" w:sz="0" w:space="0" w:color="auto"/>
      </w:divBdr>
      <w:divsChild>
        <w:div w:id="1147238878">
          <w:marLeft w:val="0"/>
          <w:marRight w:val="0"/>
          <w:marTop w:val="0"/>
          <w:marBottom w:val="0"/>
          <w:divBdr>
            <w:top w:val="none" w:sz="0" w:space="0" w:color="auto"/>
            <w:left w:val="none" w:sz="0" w:space="0" w:color="auto"/>
            <w:bottom w:val="none" w:sz="0" w:space="0" w:color="auto"/>
            <w:right w:val="none" w:sz="0" w:space="0" w:color="auto"/>
          </w:divBdr>
          <w:divsChild>
            <w:div w:id="949629170">
              <w:marLeft w:val="0"/>
              <w:marRight w:val="0"/>
              <w:marTop w:val="0"/>
              <w:marBottom w:val="0"/>
              <w:divBdr>
                <w:top w:val="none" w:sz="0" w:space="0" w:color="auto"/>
                <w:left w:val="none" w:sz="0" w:space="0" w:color="auto"/>
                <w:bottom w:val="none" w:sz="0" w:space="0" w:color="auto"/>
                <w:right w:val="none" w:sz="0" w:space="0" w:color="auto"/>
              </w:divBdr>
              <w:divsChild>
                <w:div w:id="1224020968">
                  <w:marLeft w:val="0"/>
                  <w:marRight w:val="0"/>
                  <w:marTop w:val="0"/>
                  <w:marBottom w:val="0"/>
                  <w:divBdr>
                    <w:top w:val="none" w:sz="0" w:space="0" w:color="auto"/>
                    <w:left w:val="none" w:sz="0" w:space="0" w:color="auto"/>
                    <w:bottom w:val="none" w:sz="0" w:space="0" w:color="auto"/>
                    <w:right w:val="none" w:sz="0" w:space="0" w:color="auto"/>
                  </w:divBdr>
                  <w:divsChild>
                    <w:div w:id="348529201">
                      <w:marLeft w:val="0"/>
                      <w:marRight w:val="0"/>
                      <w:marTop w:val="0"/>
                      <w:marBottom w:val="0"/>
                      <w:divBdr>
                        <w:top w:val="none" w:sz="0" w:space="0" w:color="auto"/>
                        <w:left w:val="none" w:sz="0" w:space="0" w:color="auto"/>
                        <w:bottom w:val="none" w:sz="0" w:space="0" w:color="auto"/>
                        <w:right w:val="none" w:sz="0" w:space="0" w:color="auto"/>
                      </w:divBdr>
                      <w:divsChild>
                        <w:div w:id="195967064">
                          <w:marLeft w:val="0"/>
                          <w:marRight w:val="0"/>
                          <w:marTop w:val="0"/>
                          <w:marBottom w:val="0"/>
                          <w:divBdr>
                            <w:top w:val="none" w:sz="0" w:space="0" w:color="auto"/>
                            <w:left w:val="none" w:sz="0" w:space="0" w:color="auto"/>
                            <w:bottom w:val="none" w:sz="0" w:space="0" w:color="auto"/>
                            <w:right w:val="none" w:sz="0" w:space="0" w:color="auto"/>
                          </w:divBdr>
                          <w:divsChild>
                            <w:div w:id="1526406640">
                              <w:marLeft w:val="0"/>
                              <w:marRight w:val="0"/>
                              <w:marTop w:val="0"/>
                              <w:marBottom w:val="0"/>
                              <w:divBdr>
                                <w:top w:val="none" w:sz="0" w:space="0" w:color="auto"/>
                                <w:left w:val="none" w:sz="0" w:space="0" w:color="auto"/>
                                <w:bottom w:val="none" w:sz="0" w:space="0" w:color="auto"/>
                                <w:right w:val="none" w:sz="0" w:space="0" w:color="auto"/>
                              </w:divBdr>
                              <w:divsChild>
                                <w:div w:id="15080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923988">
      <w:bodyDiv w:val="1"/>
      <w:marLeft w:val="0"/>
      <w:marRight w:val="0"/>
      <w:marTop w:val="0"/>
      <w:marBottom w:val="0"/>
      <w:divBdr>
        <w:top w:val="none" w:sz="0" w:space="0" w:color="auto"/>
        <w:left w:val="none" w:sz="0" w:space="0" w:color="auto"/>
        <w:bottom w:val="none" w:sz="0" w:space="0" w:color="auto"/>
        <w:right w:val="none" w:sz="0" w:space="0" w:color="auto"/>
      </w:divBdr>
    </w:div>
    <w:div w:id="1791195271">
      <w:bodyDiv w:val="1"/>
      <w:marLeft w:val="0"/>
      <w:marRight w:val="0"/>
      <w:marTop w:val="0"/>
      <w:marBottom w:val="0"/>
      <w:divBdr>
        <w:top w:val="none" w:sz="0" w:space="0" w:color="auto"/>
        <w:left w:val="none" w:sz="0" w:space="0" w:color="auto"/>
        <w:bottom w:val="none" w:sz="0" w:space="0" w:color="auto"/>
        <w:right w:val="none" w:sz="0" w:space="0" w:color="auto"/>
      </w:divBdr>
    </w:div>
    <w:div w:id="1813599024">
      <w:bodyDiv w:val="1"/>
      <w:marLeft w:val="0"/>
      <w:marRight w:val="0"/>
      <w:marTop w:val="0"/>
      <w:marBottom w:val="0"/>
      <w:divBdr>
        <w:top w:val="none" w:sz="0" w:space="0" w:color="auto"/>
        <w:left w:val="none" w:sz="0" w:space="0" w:color="auto"/>
        <w:bottom w:val="none" w:sz="0" w:space="0" w:color="auto"/>
        <w:right w:val="none" w:sz="0" w:space="0" w:color="auto"/>
      </w:divBdr>
    </w:div>
    <w:div w:id="2034332490">
      <w:bodyDiv w:val="1"/>
      <w:marLeft w:val="0"/>
      <w:marRight w:val="0"/>
      <w:marTop w:val="0"/>
      <w:marBottom w:val="0"/>
      <w:divBdr>
        <w:top w:val="none" w:sz="0" w:space="0" w:color="auto"/>
        <w:left w:val="none" w:sz="0" w:space="0" w:color="auto"/>
        <w:bottom w:val="none" w:sz="0" w:space="0" w:color="auto"/>
        <w:right w:val="none" w:sz="0" w:space="0" w:color="auto"/>
      </w:divBdr>
    </w:div>
    <w:div w:id="2040158284">
      <w:bodyDiv w:val="1"/>
      <w:marLeft w:val="0"/>
      <w:marRight w:val="0"/>
      <w:marTop w:val="0"/>
      <w:marBottom w:val="0"/>
      <w:divBdr>
        <w:top w:val="none" w:sz="0" w:space="0" w:color="auto"/>
        <w:left w:val="none" w:sz="0" w:space="0" w:color="auto"/>
        <w:bottom w:val="none" w:sz="0" w:space="0" w:color="auto"/>
        <w:right w:val="none" w:sz="0" w:space="0" w:color="auto"/>
      </w:divBdr>
      <w:divsChild>
        <w:div w:id="1698382622">
          <w:marLeft w:val="0"/>
          <w:marRight w:val="0"/>
          <w:marTop w:val="0"/>
          <w:marBottom w:val="0"/>
          <w:divBdr>
            <w:top w:val="none" w:sz="0" w:space="0" w:color="auto"/>
            <w:left w:val="none" w:sz="0" w:space="0" w:color="auto"/>
            <w:bottom w:val="none" w:sz="0" w:space="0" w:color="auto"/>
            <w:right w:val="none" w:sz="0" w:space="0" w:color="auto"/>
          </w:divBdr>
          <w:divsChild>
            <w:div w:id="1639529105">
              <w:marLeft w:val="0"/>
              <w:marRight w:val="0"/>
              <w:marTop w:val="0"/>
              <w:marBottom w:val="0"/>
              <w:divBdr>
                <w:top w:val="none" w:sz="0" w:space="0" w:color="auto"/>
                <w:left w:val="none" w:sz="0" w:space="0" w:color="auto"/>
                <w:bottom w:val="none" w:sz="0" w:space="0" w:color="auto"/>
                <w:right w:val="none" w:sz="0" w:space="0" w:color="auto"/>
              </w:divBdr>
              <w:divsChild>
                <w:div w:id="203061893">
                  <w:marLeft w:val="0"/>
                  <w:marRight w:val="0"/>
                  <w:marTop w:val="0"/>
                  <w:marBottom w:val="0"/>
                  <w:divBdr>
                    <w:top w:val="none" w:sz="0" w:space="0" w:color="auto"/>
                    <w:left w:val="none" w:sz="0" w:space="0" w:color="auto"/>
                    <w:bottom w:val="none" w:sz="0" w:space="0" w:color="auto"/>
                    <w:right w:val="none" w:sz="0" w:space="0" w:color="auto"/>
                  </w:divBdr>
                  <w:divsChild>
                    <w:div w:id="158664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in.wing@lshtm.ac.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inicalstudydatareques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atacompass.lshtm.ac.uk/1655/" TargetMode="External"/><Relationship Id="rId4" Type="http://schemas.openxmlformats.org/officeDocument/2006/relationships/settings" Target="settings.xml"/><Relationship Id="rId9" Type="http://schemas.openxmlformats.org/officeDocument/2006/relationships/hyperlink" Target="http://www.clinicalstudydatarequest.com"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D57207C-9A74-48AF-ABB7-2BF7FEA83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29</Pages>
  <Words>28867</Words>
  <Characters>164546</Characters>
  <Application>Microsoft Office Word</Application>
  <DocSecurity>0</DocSecurity>
  <Lines>1371</Lines>
  <Paragraphs>386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London School of Hygiene &amp; Tropical Medicine</Company>
  <LinksUpToDate>false</LinksUpToDate>
  <CharactersWithSpaces>193027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Wing</dc:creator>
  <cp:lastModifiedBy>Quint, Jennifer K</cp:lastModifiedBy>
  <cp:revision>11</cp:revision>
  <cp:lastPrinted>2017-07-20T09:12:00Z</cp:lastPrinted>
  <dcterms:created xsi:type="dcterms:W3CDTF">2020-08-13T19:34:00Z</dcterms:created>
  <dcterms:modified xsi:type="dcterms:W3CDTF">2020-09-30T09:25:00Z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http://www.zotero.org/styles/european-respiratory-journal</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http://www.zotero.org/styles/european-respiratory-journal</vt:lpwstr>
  </property>
  <property fmtid="{D5CDD505-2E9C-101B-9397-08002B2CF9AE}" pid="15" name="Mendeley Recent Style Name 5_1">
    <vt:lpwstr>European Respiratory Journal</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47628680-0451-34ac-ba3f-75830e8575fb</vt:lpwstr>
  </property>
</Properties>
</file>