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FFA90" w14:textId="77777777" w:rsidR="00733751" w:rsidRPr="00733751" w:rsidRDefault="000B6F46" w:rsidP="00733751">
      <w:pPr>
        <w:rPr>
          <w:rFonts w:ascii="Times New Roman" w:eastAsia="Times New Roman" w:hAnsi="Times New Roman"/>
          <w:b/>
          <w:bCs/>
          <w:color w:val="000000"/>
          <w:lang w:val="en-US" w:eastAsia="de-DE"/>
        </w:rPr>
      </w:pPr>
      <w:r>
        <w:rPr>
          <w:rFonts w:ascii="Times New Roman" w:eastAsia="Times New Roman" w:hAnsi="Times New Roman"/>
          <w:b/>
          <w:color w:val="000000"/>
          <w:lang w:val="en-US" w:eastAsia="de-DE"/>
        </w:rPr>
        <w:t>Supplement</w:t>
      </w:r>
      <w:r w:rsidR="00733751">
        <w:rPr>
          <w:rFonts w:ascii="Times New Roman" w:eastAsia="Times New Roman" w:hAnsi="Times New Roman"/>
          <w:b/>
          <w:color w:val="000000"/>
          <w:lang w:val="en-US" w:eastAsia="de-DE"/>
        </w:rPr>
        <w:t xml:space="preserve"> to </w:t>
      </w:r>
      <w:proofErr w:type="spellStart"/>
      <w:r w:rsidR="00733751">
        <w:rPr>
          <w:rFonts w:ascii="Times New Roman" w:eastAsia="Times New Roman" w:hAnsi="Times New Roman"/>
          <w:b/>
          <w:color w:val="000000"/>
          <w:lang w:val="en-US" w:eastAsia="de-DE"/>
        </w:rPr>
        <w:t>Hametner</w:t>
      </w:r>
      <w:bookmarkStart w:id="0" w:name="_GoBack"/>
      <w:bookmarkEnd w:id="0"/>
      <w:proofErr w:type="spellEnd"/>
      <w:r w:rsidR="00733751">
        <w:rPr>
          <w:rFonts w:ascii="Times New Roman" w:eastAsia="Times New Roman" w:hAnsi="Times New Roman"/>
          <w:b/>
          <w:color w:val="000000"/>
          <w:lang w:val="en-US" w:eastAsia="de-DE"/>
        </w:rPr>
        <w:t xml:space="preserve"> et al. </w:t>
      </w:r>
      <w:r w:rsidR="00733751" w:rsidRPr="00733751">
        <w:rPr>
          <w:rFonts w:ascii="Times New Roman" w:eastAsia="Times New Roman" w:hAnsi="Times New Roman"/>
          <w:b/>
          <w:bCs/>
          <w:color w:val="000000"/>
          <w:lang w:val="en-US" w:eastAsia="de-DE"/>
        </w:rPr>
        <w:t>Noninvasive cerebral oximetry during endovascular therapy for acute ischemic stroke: an observational study</w:t>
      </w:r>
    </w:p>
    <w:p w14:paraId="5B990ABB" w14:textId="1440AE00" w:rsidR="000B6F46" w:rsidRPr="00F03436" w:rsidRDefault="000B6F46" w:rsidP="000B6F46">
      <w:pPr>
        <w:rPr>
          <w:rFonts w:ascii="Times New Roman" w:eastAsia="Times New Roman" w:hAnsi="Times New Roman"/>
          <w:b/>
          <w:color w:val="000000"/>
          <w:lang w:val="en-US" w:eastAsia="de-DE"/>
        </w:rPr>
      </w:pPr>
    </w:p>
    <w:p w14:paraId="193D8DB1" w14:textId="77777777" w:rsidR="000B6F46" w:rsidRDefault="000B6F46" w:rsidP="000B6F46">
      <w:pPr>
        <w:rPr>
          <w:rFonts w:ascii="Times New Roman" w:eastAsia="Times New Roman" w:hAnsi="Times New Roman"/>
          <w:color w:val="000000"/>
          <w:lang w:val="en-US" w:eastAsia="de-DE"/>
        </w:rPr>
      </w:pPr>
    </w:p>
    <w:p w14:paraId="69717180" w14:textId="77777777" w:rsidR="000B6F46" w:rsidRDefault="00D86F06" w:rsidP="000B6F46">
      <w:pPr>
        <w:rPr>
          <w:rFonts w:ascii="Times New Roman" w:eastAsia="Times New Roman" w:hAnsi="Times New Roman"/>
          <w:color w:val="000000"/>
          <w:lang w:val="en-US" w:eastAsia="de-DE"/>
        </w:rPr>
      </w:pPr>
      <w:r>
        <w:rPr>
          <w:rFonts w:ascii="Times New Roman" w:eastAsia="Times New Roman" w:hAnsi="Times New Roman"/>
          <w:color w:val="000000"/>
          <w:lang w:val="en-US" w:eastAsia="de-DE"/>
        </w:rPr>
        <w:t>Figure I.</w:t>
      </w:r>
      <w:r w:rsidR="000B6F46">
        <w:rPr>
          <w:rFonts w:ascii="Times New Roman" w:eastAsia="Times New Roman" w:hAnsi="Times New Roman"/>
          <w:color w:val="000000"/>
          <w:lang w:val="en-US" w:eastAsia="de-DE"/>
        </w:rPr>
        <w:t xml:space="preserve"> Association between ∆ rSO2 and ∆ mean arterial pressure</w:t>
      </w:r>
    </w:p>
    <w:p w14:paraId="401C302A" w14:textId="77777777" w:rsidR="000B6F46" w:rsidRDefault="000B6F46" w:rsidP="000B6F46">
      <w:pPr>
        <w:rPr>
          <w:rFonts w:ascii="Times New Roman" w:eastAsia="Times New Roman" w:hAnsi="Times New Roman"/>
          <w:color w:val="000000"/>
          <w:lang w:val="en-US" w:eastAsia="de-DE"/>
        </w:rPr>
      </w:pPr>
    </w:p>
    <w:p w14:paraId="14708DFB" w14:textId="77777777" w:rsidR="000B6F46" w:rsidRDefault="000B6F46" w:rsidP="000B6F46">
      <w:pPr>
        <w:rPr>
          <w:rFonts w:ascii="Times New Roman" w:eastAsia="Times New Roman" w:hAnsi="Times New Roman"/>
          <w:color w:val="000000"/>
          <w:lang w:val="en-US" w:eastAsia="de-DE"/>
        </w:rPr>
      </w:pPr>
      <w:r>
        <w:rPr>
          <w:noProof/>
          <w:lang w:val="en-GB" w:eastAsia="en-GB"/>
        </w:rPr>
        <w:drawing>
          <wp:inline distT="0" distB="0" distL="0" distR="0" wp14:anchorId="58D02B70" wp14:editId="451F4041">
            <wp:extent cx="5233035" cy="3627755"/>
            <wp:effectExtent l="0" t="0" r="0" b="4445"/>
            <wp:docPr id="1" name="Diagram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D039E0A" w14:textId="77777777" w:rsidR="000B6F46" w:rsidRDefault="000B6F46" w:rsidP="000B6F46">
      <w:pPr>
        <w:rPr>
          <w:rFonts w:ascii="Times New Roman" w:eastAsia="Times New Roman" w:hAnsi="Times New Roman"/>
          <w:color w:val="000000"/>
          <w:lang w:val="en-US" w:eastAsia="de-DE"/>
        </w:rPr>
      </w:pPr>
    </w:p>
    <w:p w14:paraId="4ED2C6E4" w14:textId="77777777" w:rsidR="000B6F46" w:rsidRDefault="000B6F46" w:rsidP="000B6F46">
      <w:pPr>
        <w:rPr>
          <w:rFonts w:ascii="Times New Roman" w:eastAsia="Times New Roman" w:hAnsi="Times New Roman"/>
          <w:color w:val="000000"/>
          <w:lang w:val="en-US" w:eastAsia="de-DE"/>
        </w:rPr>
      </w:pPr>
    </w:p>
    <w:p w14:paraId="0724E9D4" w14:textId="41DCC235" w:rsidR="000B6F46" w:rsidRPr="0070624A" w:rsidRDefault="000B6F46" w:rsidP="000B6F46">
      <w:pPr>
        <w:rPr>
          <w:rFonts w:ascii="Times New Roman" w:hAnsi="Times New Roman"/>
          <w:lang w:val="en-US"/>
        </w:rPr>
      </w:pPr>
      <w:r>
        <w:rPr>
          <w:rFonts w:ascii="Times New Roman" w:eastAsia="Times New Roman" w:hAnsi="Times New Roman"/>
          <w:color w:val="000000"/>
          <w:lang w:val="en-US" w:eastAsia="de-DE"/>
        </w:rPr>
        <w:t>Table I.</w:t>
      </w:r>
      <w:r w:rsidRPr="00D30449">
        <w:rPr>
          <w:rFonts w:ascii="Times New Roman" w:eastAsia="Times New Roman" w:hAnsi="Times New Roman"/>
          <w:color w:val="000000"/>
          <w:lang w:val="en-US" w:eastAsia="de-DE"/>
        </w:rPr>
        <w:t xml:space="preserve"> </w:t>
      </w:r>
      <w:r>
        <w:rPr>
          <w:rFonts w:ascii="Times New Roman" w:eastAsia="Times New Roman" w:hAnsi="Times New Roman"/>
          <w:color w:val="000000"/>
          <w:lang w:val="en-US" w:eastAsia="de-DE"/>
        </w:rPr>
        <w:t xml:space="preserve">Changes in bilateral </w:t>
      </w:r>
      <w:proofErr w:type="gramStart"/>
      <w:r w:rsidRPr="00D30449">
        <w:rPr>
          <w:rFonts w:ascii="Times New Roman" w:eastAsia="Times New Roman" w:hAnsi="Times New Roman"/>
          <w:color w:val="000000"/>
          <w:lang w:val="en-US" w:eastAsia="de-DE"/>
        </w:rPr>
        <w:t>rSO</w:t>
      </w:r>
      <w:r w:rsidRPr="00D30449">
        <w:rPr>
          <w:rFonts w:ascii="Times New Roman" w:eastAsia="Times New Roman" w:hAnsi="Times New Roman"/>
          <w:color w:val="000000"/>
          <w:vertAlign w:val="subscript"/>
          <w:lang w:val="en-US" w:eastAsia="de-DE"/>
        </w:rPr>
        <w:t>2</w:t>
      </w:r>
      <w:r w:rsidRPr="00D30449">
        <w:rPr>
          <w:rFonts w:ascii="Times New Roman" w:eastAsia="Times New Roman" w:hAnsi="Times New Roman"/>
          <w:color w:val="000000"/>
          <w:lang w:val="en-US" w:eastAsia="de-DE"/>
        </w:rPr>
        <w:t xml:space="preserve"> </w:t>
      </w:r>
      <w:r>
        <w:rPr>
          <w:rFonts w:ascii="Times New Roman" w:eastAsia="Times New Roman" w:hAnsi="Times New Roman"/>
          <w:color w:val="000000"/>
          <w:lang w:val="en-US" w:eastAsia="de-DE"/>
        </w:rPr>
        <w:t>,</w:t>
      </w:r>
      <w:proofErr w:type="gramEnd"/>
      <w:r>
        <w:rPr>
          <w:rFonts w:ascii="Times New Roman" w:eastAsia="Times New Roman" w:hAnsi="Times New Roman"/>
          <w:color w:val="000000"/>
          <w:lang w:val="en-US" w:eastAsia="de-DE"/>
        </w:rPr>
        <w:t xml:space="preserve"> MAP, SpO2, and heart rate </w:t>
      </w:r>
      <w:r w:rsidR="00D86F06">
        <w:rPr>
          <w:rFonts w:ascii="Times New Roman" w:eastAsia="Times New Roman" w:hAnsi="Times New Roman"/>
          <w:color w:val="000000"/>
          <w:lang w:val="en-US" w:eastAsia="de-DE"/>
        </w:rPr>
        <w:t xml:space="preserve">in the period </w:t>
      </w:r>
      <w:r w:rsidR="00492F21">
        <w:rPr>
          <w:rFonts w:ascii="Times New Roman" w:eastAsia="Times New Roman" w:hAnsi="Times New Roman"/>
          <w:color w:val="000000"/>
          <w:lang w:val="en-US" w:eastAsia="de-DE"/>
        </w:rPr>
        <w:br/>
      </w:r>
      <w:r w:rsidR="00D86F06">
        <w:rPr>
          <w:rFonts w:ascii="Times New Roman" w:eastAsia="Times New Roman" w:hAnsi="Times New Roman"/>
          <w:color w:val="000000"/>
          <w:lang w:val="en-US" w:eastAsia="de-DE"/>
        </w:rPr>
        <w:t>preceding the intervention</w:t>
      </w:r>
    </w:p>
    <w:tbl>
      <w:tblPr>
        <w:tblW w:w="696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1985"/>
        <w:gridCol w:w="1701"/>
        <w:gridCol w:w="1417"/>
      </w:tblGrid>
      <w:tr w:rsidR="000B6F46" w:rsidRPr="00D36EF9" w14:paraId="18DD5A5B" w14:textId="77777777" w:rsidTr="00B110D5">
        <w:trPr>
          <w:trHeight w:val="360"/>
        </w:trPr>
        <w:tc>
          <w:tcPr>
            <w:tcW w:w="18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B2B0E" w14:textId="77777777" w:rsidR="000B6F46" w:rsidRPr="00D30449" w:rsidRDefault="000B6F46" w:rsidP="00B110D5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∆ </w:t>
            </w:r>
            <w:r w:rsidRPr="00D30449"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rSO</w:t>
            </w:r>
            <w:r w:rsidRPr="00D30449">
              <w:rPr>
                <w:rFonts w:ascii="Times New Roman" w:eastAsia="Times New Roman" w:hAnsi="Times New Roman"/>
                <w:bCs/>
                <w:color w:val="000000"/>
                <w:vertAlign w:val="subscript"/>
                <w:lang w:val="en-US" w:eastAsia="de-DE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vertAlign w:val="subscript"/>
                <w:lang w:val="en-US" w:eastAsia="de-DE"/>
              </w:rPr>
              <w:br/>
            </w:r>
            <w:r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 xml:space="preserve"> (absolute)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F8509" w14:textId="77777777" w:rsidR="000B6F46" w:rsidRPr="00D30449" w:rsidRDefault="000B6F46" w:rsidP="00B110D5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∆ MAP absolute</w:t>
            </w:r>
            <w:r w:rsidRPr="00D30449"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, mm Hg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F9903" w14:textId="77777777" w:rsidR="000B6F46" w:rsidRPr="00D30449" w:rsidRDefault="000B6F46" w:rsidP="00B110D5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minimal SpO2,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DF3C2" w14:textId="77777777" w:rsidR="000B6F46" w:rsidRPr="00D30449" w:rsidRDefault="000B6F46" w:rsidP="00B110D5">
            <w:pPr>
              <w:jc w:val="center"/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∆ </w:t>
            </w:r>
            <w:r w:rsidRPr="00D30449">
              <w:rPr>
                <w:rFonts w:ascii="Times New Roman" w:eastAsia="Times New Roman" w:hAnsi="Times New Roman"/>
                <w:bCs/>
                <w:color w:val="000000"/>
                <w:lang w:val="en-US" w:eastAsia="de-DE"/>
              </w:rPr>
              <w:t>heart rate, min</w:t>
            </w:r>
          </w:p>
        </w:tc>
      </w:tr>
      <w:tr w:rsidR="000B6F46" w:rsidRPr="00D30449" w14:paraId="7A8FD0F9" w14:textId="77777777" w:rsidTr="00B110D5">
        <w:trPr>
          <w:trHeight w:val="300"/>
        </w:trPr>
        <w:tc>
          <w:tcPr>
            <w:tcW w:w="18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18B7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16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2581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-24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BDF8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D9E5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</w:tr>
      <w:tr w:rsidR="000B6F46" w:rsidRPr="00D30449" w14:paraId="7C24C575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D5CB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B7F9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7C3D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ED26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3</w:t>
            </w:r>
          </w:p>
        </w:tc>
      </w:tr>
      <w:tr w:rsidR="000B6F46" w:rsidRPr="00D30449" w14:paraId="6A3B2E59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270C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AF7C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DD65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521E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-36</w:t>
            </w:r>
          </w:p>
        </w:tc>
      </w:tr>
      <w:tr w:rsidR="000B6F46" w:rsidRPr="00D30449" w14:paraId="12FE6C7B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0A48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7952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20B9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1C32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-17</w:t>
            </w:r>
          </w:p>
        </w:tc>
      </w:tr>
      <w:tr w:rsidR="000B6F46" w:rsidRPr="00D30449" w14:paraId="082CD550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54A5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0CFD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37F3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50A7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</w:t>
            </w:r>
          </w:p>
        </w:tc>
      </w:tr>
      <w:tr w:rsidR="000B6F46" w:rsidRPr="00D30449" w14:paraId="4410187F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0BD8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4223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00A5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A22B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-9</w:t>
            </w:r>
          </w:p>
        </w:tc>
      </w:tr>
      <w:tr w:rsidR="000B6F46" w:rsidRPr="00D30449" w14:paraId="3AECF461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A7EA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856F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F3D3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D346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NA</w:t>
            </w:r>
          </w:p>
        </w:tc>
      </w:tr>
      <w:tr w:rsidR="000B6F46" w:rsidRPr="00D30449" w14:paraId="78A9873B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FFD0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887B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C02F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9B53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-12</w:t>
            </w:r>
          </w:p>
        </w:tc>
      </w:tr>
      <w:tr w:rsidR="000B6F46" w:rsidRPr="00D30449" w14:paraId="15FD7F88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D899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2A4A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4861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6F82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-38</w:t>
            </w:r>
          </w:p>
        </w:tc>
      </w:tr>
      <w:tr w:rsidR="000B6F46" w:rsidRPr="00D30449" w14:paraId="0D0FA45D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4BD0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4860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4E3C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38F3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</w:t>
            </w:r>
          </w:p>
        </w:tc>
      </w:tr>
      <w:tr w:rsidR="000B6F46" w:rsidRPr="00D30449" w14:paraId="41CA447D" w14:textId="77777777" w:rsidTr="00B110D5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12E59" w14:textId="77777777" w:rsidR="000B6F46" w:rsidRPr="00D30449" w:rsidRDefault="000B6F46" w:rsidP="00B110D5">
            <w:pPr>
              <w:tabs>
                <w:tab w:val="decimal" w:pos="229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BC668" w14:textId="77777777" w:rsidR="000B6F46" w:rsidRPr="00D30449" w:rsidRDefault="000B6F46" w:rsidP="00B110D5">
            <w:pPr>
              <w:tabs>
                <w:tab w:val="decimal" w:pos="356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72E7D" w14:textId="77777777" w:rsidR="000B6F46" w:rsidRPr="00D30449" w:rsidRDefault="000B6F46" w:rsidP="00B110D5">
            <w:pPr>
              <w:tabs>
                <w:tab w:val="decimal" w:pos="355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poor signal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F5FC7" w14:textId="77777777" w:rsidR="000B6F46" w:rsidRPr="00D30449" w:rsidRDefault="000B6F46" w:rsidP="00B110D5">
            <w:pPr>
              <w:tabs>
                <w:tab w:val="decimal" w:pos="214"/>
              </w:tabs>
              <w:jc w:val="center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-10</w:t>
            </w:r>
          </w:p>
        </w:tc>
      </w:tr>
      <w:tr w:rsidR="000B6F46" w:rsidRPr="00F56812" w14:paraId="5B218B68" w14:textId="77777777" w:rsidTr="00B110D5">
        <w:trPr>
          <w:trHeight w:val="300"/>
        </w:trPr>
        <w:tc>
          <w:tcPr>
            <w:tcW w:w="69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382B" w14:textId="77777777" w:rsidR="000B6F46" w:rsidRPr="00D30449" w:rsidRDefault="000B6F46" w:rsidP="00B110D5">
            <w:pPr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proofErr w:type="gramStart"/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rSO2</w:t>
            </w:r>
            <w:proofErr w:type="gramEnd"/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 xml:space="preserve"> indicates regional oxygen saturation (NIRS</w:t>
            </w: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-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>derived index); MAP, mean arterial pressure; SpO2 peripheral oxygen saturation as measure</w:t>
            </w: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d</w:t>
            </w:r>
            <w:r w:rsidRPr="00D30449">
              <w:rPr>
                <w:rFonts w:ascii="Times New Roman" w:eastAsia="Times New Roman" w:hAnsi="Times New Roman"/>
                <w:color w:val="000000"/>
                <w:lang w:val="en-US" w:eastAsia="de-DE"/>
              </w:rPr>
              <w:t xml:space="preserve"> by pulse oximetry</w:t>
            </w:r>
            <w:r>
              <w:rPr>
                <w:rFonts w:ascii="Times New Roman" w:eastAsia="Times New Roman" w:hAnsi="Times New Roman"/>
                <w:color w:val="000000"/>
                <w:lang w:val="en-US" w:eastAsia="de-DE"/>
              </w:rPr>
              <w:t>; NA, not available.</w:t>
            </w:r>
          </w:p>
        </w:tc>
      </w:tr>
    </w:tbl>
    <w:p w14:paraId="30EE010E" w14:textId="77777777" w:rsidR="000B6F46" w:rsidRDefault="000B6F46" w:rsidP="000B6F46">
      <w:pPr>
        <w:jc w:val="both"/>
        <w:rPr>
          <w:rFonts w:ascii="Times New Roman" w:hAnsi="Times New Roman"/>
          <w:lang w:val="en-US"/>
        </w:rPr>
      </w:pPr>
    </w:p>
    <w:p w14:paraId="35AB3B9F" w14:textId="77777777" w:rsidR="000B6F46" w:rsidRDefault="000B6F46" w:rsidP="000B6F46">
      <w:pPr>
        <w:jc w:val="both"/>
        <w:rPr>
          <w:rFonts w:ascii="Times New Roman" w:hAnsi="Times New Roman"/>
          <w:lang w:val="en-US"/>
        </w:rPr>
      </w:pPr>
    </w:p>
    <w:p w14:paraId="051B0BD2" w14:textId="77777777" w:rsidR="000B6F46" w:rsidRDefault="000B6F46" w:rsidP="000B6F46">
      <w:pPr>
        <w:jc w:val="both"/>
        <w:rPr>
          <w:rFonts w:ascii="Times New Roman" w:hAnsi="Times New Roman"/>
          <w:lang w:val="en-US"/>
        </w:rPr>
      </w:pPr>
    </w:p>
    <w:p w14:paraId="79A12E95" w14:textId="77777777" w:rsidR="00D86F06" w:rsidRDefault="00D86F06" w:rsidP="000B6F46">
      <w:pPr>
        <w:jc w:val="both"/>
        <w:rPr>
          <w:rFonts w:ascii="Times New Roman" w:hAnsi="Times New Roman"/>
          <w:lang w:val="en-US"/>
        </w:rPr>
      </w:pPr>
    </w:p>
    <w:p w14:paraId="37850C48" w14:textId="77777777" w:rsidR="00D86F06" w:rsidRDefault="00D86F06" w:rsidP="000B6F46">
      <w:pPr>
        <w:jc w:val="both"/>
        <w:rPr>
          <w:rFonts w:ascii="Times New Roman" w:hAnsi="Times New Roman"/>
          <w:lang w:val="en-US"/>
        </w:rPr>
      </w:pPr>
    </w:p>
    <w:p w14:paraId="0634ED44" w14:textId="77777777" w:rsidR="000B6F46" w:rsidRPr="000166E7" w:rsidRDefault="000B6F46" w:rsidP="000B6F46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II.</w:t>
      </w:r>
      <w:r w:rsidRPr="000166E7">
        <w:rPr>
          <w:rFonts w:ascii="Times New Roman" w:hAnsi="Times New Roman"/>
          <w:lang w:val="en-US"/>
        </w:rPr>
        <w:t xml:space="preserve"> Logistic regression model to predict successful reperfusion (TICI 2b-3)</w:t>
      </w:r>
    </w:p>
    <w:tbl>
      <w:tblPr>
        <w:tblW w:w="7799" w:type="dxa"/>
        <w:tblLook w:val="04A0" w:firstRow="1" w:lastRow="0" w:firstColumn="1" w:lastColumn="0" w:noHBand="0" w:noVBand="1"/>
      </w:tblPr>
      <w:tblGrid>
        <w:gridCol w:w="2376"/>
        <w:gridCol w:w="2268"/>
        <w:gridCol w:w="1985"/>
        <w:gridCol w:w="1170"/>
      </w:tblGrid>
      <w:tr w:rsidR="000B6F46" w:rsidRPr="00D36EF9" w14:paraId="12E0E179" w14:textId="77777777" w:rsidTr="00B110D5">
        <w:tc>
          <w:tcPr>
            <w:tcW w:w="2376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77F0BA4" w14:textId="77777777" w:rsidR="000B6F46" w:rsidRPr="00D36EF9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FEE666D" w14:textId="77777777" w:rsidR="000B6F46" w:rsidRPr="00D36EF9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D36EF9">
              <w:rPr>
                <w:rFonts w:ascii="Times New Roman" w:eastAsia="Times New Roman" w:hAnsi="Times New Roman"/>
                <w:color w:val="000000"/>
              </w:rPr>
              <w:t>OR (95% CI)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7DC20E4" w14:textId="77777777" w:rsidR="000B6F46" w:rsidRPr="00D36EF9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D36EF9">
              <w:rPr>
                <w:rFonts w:ascii="Times New Roman" w:eastAsia="Times New Roman" w:hAnsi="Times New Roman"/>
                <w:color w:val="000000"/>
              </w:rPr>
              <w:t>95% Bootstrap CI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72E694A1" w14:textId="77777777" w:rsidR="000B6F46" w:rsidRPr="00D36EF9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D36EF9">
              <w:rPr>
                <w:rFonts w:ascii="Times New Roman" w:eastAsia="Times New Roman" w:hAnsi="Times New Roman"/>
                <w:i/>
                <w:iCs/>
                <w:color w:val="000000"/>
              </w:rPr>
              <w:t>P</w:t>
            </w:r>
            <w:r w:rsidRPr="00D36EF9">
              <w:rPr>
                <w:rFonts w:ascii="Times New Roman" w:eastAsia="Times New Roman" w:hAnsi="Times New Roman"/>
                <w:color w:val="000000"/>
              </w:rPr>
              <w:t>-Value</w:t>
            </w:r>
          </w:p>
        </w:tc>
      </w:tr>
      <w:tr w:rsidR="000B6F46" w:rsidRPr="000166E7" w14:paraId="37A26BE4" w14:textId="77777777" w:rsidTr="00B110D5">
        <w:tc>
          <w:tcPr>
            <w:tcW w:w="2376" w:type="dxa"/>
            <w:tcBorders>
              <w:top w:val="single" w:sz="12" w:space="0" w:color="auto"/>
            </w:tcBorders>
            <w:vAlign w:val="bottom"/>
          </w:tcPr>
          <w:p w14:paraId="58369188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(Intercept)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bottom"/>
          </w:tcPr>
          <w:p w14:paraId="4079FF8C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1.054 (0.124–9.519)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bottom"/>
          </w:tcPr>
          <w:p w14:paraId="234D8257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0.076–16.930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bottom"/>
          </w:tcPr>
          <w:p w14:paraId="6F8E0D55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0.961</w:t>
            </w:r>
          </w:p>
        </w:tc>
      </w:tr>
      <w:tr w:rsidR="000B6F46" w:rsidRPr="000166E7" w14:paraId="319AD252" w14:textId="77777777" w:rsidTr="00B110D5">
        <w:tc>
          <w:tcPr>
            <w:tcW w:w="2376" w:type="dxa"/>
            <w:vAlign w:val="bottom"/>
          </w:tcPr>
          <w:p w14:paraId="6D11E6F6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AUC</w:t>
            </w:r>
            <w:r w:rsidRPr="000166E7">
              <w:rPr>
                <w:rFonts w:ascii="Times New Roman" w:eastAsia="Times New Roman" w:hAnsi="Times New Roman"/>
                <w:bCs/>
                <w:color w:val="000000"/>
                <w:vertAlign w:val="subscript"/>
              </w:rPr>
              <w:t>10%</w:t>
            </w:r>
          </w:p>
        </w:tc>
        <w:tc>
          <w:tcPr>
            <w:tcW w:w="2268" w:type="dxa"/>
            <w:vAlign w:val="bottom"/>
          </w:tcPr>
          <w:p w14:paraId="62D6631A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0.998 (0.996–1.000)</w:t>
            </w:r>
          </w:p>
        </w:tc>
        <w:tc>
          <w:tcPr>
            <w:tcW w:w="1985" w:type="dxa"/>
            <w:vAlign w:val="bottom"/>
          </w:tcPr>
          <w:p w14:paraId="55A4C079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0.997–1.000</w:t>
            </w:r>
          </w:p>
        </w:tc>
        <w:tc>
          <w:tcPr>
            <w:tcW w:w="1170" w:type="dxa"/>
            <w:vAlign w:val="bottom"/>
          </w:tcPr>
          <w:p w14:paraId="2C78CE9B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0.023</w:t>
            </w:r>
          </w:p>
        </w:tc>
      </w:tr>
      <w:tr w:rsidR="000B6F46" w:rsidRPr="000166E7" w14:paraId="6A8785EF" w14:textId="77777777" w:rsidTr="00B110D5">
        <w:tc>
          <w:tcPr>
            <w:tcW w:w="2376" w:type="dxa"/>
            <w:vAlign w:val="bottom"/>
          </w:tcPr>
          <w:p w14:paraId="1B836E9B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NIHSS</w:t>
            </w:r>
          </w:p>
        </w:tc>
        <w:tc>
          <w:tcPr>
            <w:tcW w:w="2268" w:type="dxa"/>
            <w:vAlign w:val="bottom"/>
          </w:tcPr>
          <w:p w14:paraId="1C36E97B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1.046 (0.939–1.174)</w:t>
            </w:r>
          </w:p>
        </w:tc>
        <w:tc>
          <w:tcPr>
            <w:tcW w:w="1985" w:type="dxa"/>
            <w:vAlign w:val="bottom"/>
          </w:tcPr>
          <w:p w14:paraId="01A7DDDE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0.921–1.193</w:t>
            </w:r>
          </w:p>
        </w:tc>
        <w:tc>
          <w:tcPr>
            <w:tcW w:w="1170" w:type="dxa"/>
            <w:vAlign w:val="bottom"/>
          </w:tcPr>
          <w:p w14:paraId="1FF73A62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0.410</w:t>
            </w:r>
          </w:p>
        </w:tc>
      </w:tr>
      <w:tr w:rsidR="000B6F46" w:rsidRPr="000166E7" w14:paraId="57DAF57E" w14:textId="77777777" w:rsidTr="00B110D5">
        <w:tc>
          <w:tcPr>
            <w:tcW w:w="2376" w:type="dxa"/>
            <w:tcBorders>
              <w:bottom w:val="single" w:sz="4" w:space="0" w:color="auto"/>
            </w:tcBorders>
            <w:vAlign w:val="bottom"/>
          </w:tcPr>
          <w:p w14:paraId="6C2A2057" w14:textId="77777777" w:rsidR="000B6F46" w:rsidRPr="000166E7" w:rsidRDefault="000B6F46" w:rsidP="00B110D5">
            <w:pPr>
              <w:jc w:val="both"/>
              <w:rPr>
                <w:rFonts w:ascii="Times New Roman" w:eastAsia="Times New Roman" w:hAnsi="Times New Roman"/>
                <w:color w:val="000000"/>
                <w:lang w:val="en-US" w:eastAsia="de-DE"/>
              </w:rPr>
            </w:pPr>
            <w:r w:rsidRPr="000166E7">
              <w:rPr>
                <w:rFonts w:ascii="Times New Roman" w:eastAsia="Times New Roman" w:hAnsi="Times New Roman"/>
                <w:color w:val="000000"/>
                <w:lang w:val="en-US" w:eastAsia="de-DE"/>
              </w:rPr>
              <w:t>Carotid-T occlusion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7278B2A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0.584 (0.158–2.068)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331290EB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0.153–2.594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6A4E45DC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0.404</w:t>
            </w:r>
          </w:p>
        </w:tc>
      </w:tr>
    </w:tbl>
    <w:p w14:paraId="0608C42F" w14:textId="77777777" w:rsidR="000B6F46" w:rsidRPr="000166E7" w:rsidRDefault="000B6F46" w:rsidP="000B6F46">
      <w:pPr>
        <w:ind w:right="645"/>
        <w:jc w:val="both"/>
        <w:rPr>
          <w:rFonts w:ascii="Times New Roman" w:hAnsi="Times New Roman"/>
          <w:lang w:val="en-US"/>
        </w:rPr>
      </w:pPr>
      <w:r w:rsidRPr="000166E7">
        <w:rPr>
          <w:rFonts w:ascii="Times New Roman" w:hAnsi="Times New Roman"/>
          <w:lang w:val="en-US"/>
        </w:rPr>
        <w:t>Area under the receiver operating curve: 0.7477.</w:t>
      </w:r>
    </w:p>
    <w:p w14:paraId="195AF7A6" w14:textId="77777777" w:rsidR="000B6F46" w:rsidRPr="000166E7" w:rsidRDefault="000B6F46" w:rsidP="000B6F46">
      <w:pPr>
        <w:ind w:right="645"/>
        <w:jc w:val="both"/>
        <w:rPr>
          <w:rFonts w:ascii="Times New Roman" w:hAnsi="Times New Roman"/>
          <w:lang w:val="en-US"/>
        </w:rPr>
      </w:pPr>
      <w:r w:rsidRPr="0070624A">
        <w:rPr>
          <w:rFonts w:ascii="Times New Roman" w:eastAsia="Times New Roman" w:hAnsi="Times New Roman"/>
          <w:bCs/>
          <w:color w:val="000000"/>
          <w:lang w:val="en-US"/>
        </w:rPr>
        <w:t>AUC</w:t>
      </w:r>
      <w:r w:rsidRPr="0070624A">
        <w:rPr>
          <w:rFonts w:ascii="Times New Roman" w:eastAsia="Times New Roman" w:hAnsi="Times New Roman"/>
          <w:bCs/>
          <w:color w:val="000000"/>
          <w:vertAlign w:val="subscript"/>
          <w:lang w:val="en-US"/>
        </w:rPr>
        <w:t>10%</w:t>
      </w:r>
      <w:r w:rsidRPr="0070624A">
        <w:rPr>
          <w:rFonts w:ascii="Times New Roman" w:eastAsia="Times New Roman" w:hAnsi="Times New Roman"/>
          <w:bCs/>
          <w:color w:val="000000"/>
          <w:lang w:val="en-US"/>
        </w:rPr>
        <w:t xml:space="preserve"> indicates area under curve </w:t>
      </w:r>
      <w:r>
        <w:rPr>
          <w:rFonts w:ascii="Times New Roman" w:eastAsia="Times New Roman" w:hAnsi="Times New Roman"/>
          <w:bCs/>
          <w:color w:val="000000"/>
          <w:lang w:val="en-US"/>
        </w:rPr>
        <w:t xml:space="preserve">10% </w:t>
      </w:r>
      <w:r w:rsidRPr="0070624A">
        <w:rPr>
          <w:rFonts w:ascii="Times New Roman" w:eastAsia="Times New Roman" w:hAnsi="Times New Roman"/>
          <w:bCs/>
          <w:color w:val="000000"/>
          <w:lang w:val="en-US"/>
        </w:rPr>
        <w:t>below baseline; NIHSS, National Institutes of Health Stroke Scale.</w:t>
      </w:r>
    </w:p>
    <w:p w14:paraId="66363725" w14:textId="77777777" w:rsidR="000B6F46" w:rsidRPr="000166E7" w:rsidRDefault="000B6F46" w:rsidP="000B6F46">
      <w:pPr>
        <w:jc w:val="both"/>
        <w:rPr>
          <w:rFonts w:ascii="Times New Roman" w:hAnsi="Times New Roman"/>
          <w:lang w:val="en-US"/>
        </w:rPr>
      </w:pPr>
    </w:p>
    <w:p w14:paraId="48EE6E24" w14:textId="77777777" w:rsidR="000B6F46" w:rsidRPr="000166E7" w:rsidRDefault="000B6F46" w:rsidP="000B6F46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III.</w:t>
      </w:r>
      <w:r w:rsidRPr="000166E7">
        <w:rPr>
          <w:rFonts w:ascii="Times New Roman" w:hAnsi="Times New Roman"/>
          <w:lang w:val="en-US"/>
        </w:rPr>
        <w:t xml:space="preserve"> Logistic regression model to predict mortality (</w:t>
      </w:r>
      <w:proofErr w:type="spellStart"/>
      <w:r w:rsidRPr="000166E7">
        <w:rPr>
          <w:rFonts w:ascii="Times New Roman" w:hAnsi="Times New Roman"/>
          <w:lang w:val="en-US"/>
        </w:rPr>
        <w:t>mRS</w:t>
      </w:r>
      <w:proofErr w:type="spellEnd"/>
      <w:r w:rsidRPr="000166E7">
        <w:rPr>
          <w:rFonts w:ascii="Times New Roman" w:hAnsi="Times New Roman"/>
          <w:lang w:val="en-US"/>
        </w:rPr>
        <w:t xml:space="preserve"> 6) at day 90</w:t>
      </w:r>
    </w:p>
    <w:tbl>
      <w:tblPr>
        <w:tblW w:w="7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51"/>
        <w:gridCol w:w="2002"/>
        <w:gridCol w:w="1132"/>
      </w:tblGrid>
      <w:tr w:rsidR="000B6F46" w:rsidRPr="000166E7" w14:paraId="58232522" w14:textId="77777777" w:rsidTr="00B110D5">
        <w:tc>
          <w:tcPr>
            <w:tcW w:w="2376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7E0443E6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51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04ADD32F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OR (95% CI)</w:t>
            </w:r>
          </w:p>
        </w:tc>
        <w:tc>
          <w:tcPr>
            <w:tcW w:w="2002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1B8B52AC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95% Bootstrap CI</w:t>
            </w:r>
          </w:p>
        </w:tc>
        <w:tc>
          <w:tcPr>
            <w:tcW w:w="1132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4AEF447C" w14:textId="77777777" w:rsidR="000B6F46" w:rsidRPr="000166E7" w:rsidRDefault="000B6F46" w:rsidP="00B110D5">
            <w:pPr>
              <w:ind w:right="-28"/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i/>
                <w:iCs/>
                <w:color w:val="000000"/>
              </w:rPr>
              <w:t>P</w:t>
            </w:r>
            <w:r w:rsidRPr="000166E7">
              <w:rPr>
                <w:rFonts w:ascii="Times New Roman" w:eastAsia="Times New Roman" w:hAnsi="Times New Roman"/>
                <w:color w:val="000000"/>
              </w:rPr>
              <w:t>-Value</w:t>
            </w:r>
          </w:p>
        </w:tc>
      </w:tr>
      <w:tr w:rsidR="000B6F46" w:rsidRPr="000166E7" w14:paraId="18C7CC5A" w14:textId="77777777" w:rsidTr="00B110D5">
        <w:tc>
          <w:tcPr>
            <w:tcW w:w="23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57546C41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(Intercept)</w:t>
            </w:r>
          </w:p>
        </w:tc>
        <w:tc>
          <w:tcPr>
            <w:tcW w:w="225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5CC9F0D3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0.004 (0.000–1.166)</w:t>
            </w:r>
          </w:p>
        </w:tc>
        <w:tc>
          <w:tcPr>
            <w:tcW w:w="200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4A28A81E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0.000–15.867</w:t>
            </w:r>
          </w:p>
        </w:tc>
        <w:tc>
          <w:tcPr>
            <w:tcW w:w="113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4C65C18" w14:textId="77777777" w:rsidR="000B6F46" w:rsidRPr="000166E7" w:rsidRDefault="000B6F46" w:rsidP="00B110D5">
            <w:pPr>
              <w:ind w:right="-28"/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0.057</w:t>
            </w:r>
          </w:p>
        </w:tc>
      </w:tr>
      <w:tr w:rsidR="000B6F46" w:rsidRPr="000166E7" w14:paraId="70F68120" w14:textId="77777777" w:rsidTr="00B110D5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7650C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hAnsi="Times New Roman"/>
                <w:lang w:val="en-US"/>
              </w:rPr>
              <w:t>rSO</w:t>
            </w:r>
            <w:r w:rsidRPr="000166E7">
              <w:rPr>
                <w:rFonts w:ascii="Times New Roman" w:hAnsi="Times New Roman"/>
                <w:vertAlign w:val="subscript"/>
                <w:lang w:val="en-US"/>
              </w:rPr>
              <w:t>2|diff</w:t>
            </w:r>
            <w:r w:rsidRPr="000166E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C5AB9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0.144 (0.027–0.618)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12B1E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0.027–0.935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01BC6" w14:textId="77777777" w:rsidR="000B6F46" w:rsidRPr="000166E7" w:rsidRDefault="000B6F46" w:rsidP="00B110D5">
            <w:pPr>
              <w:ind w:right="-28"/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0.008</w:t>
            </w:r>
          </w:p>
        </w:tc>
      </w:tr>
      <w:tr w:rsidR="000B6F46" w:rsidRPr="000166E7" w14:paraId="70FCBB4F" w14:textId="77777777" w:rsidTr="00B110D5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48EC1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Age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54BC4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1.077 (1.003–1.181)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88D40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0.985–1.213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F8B38" w14:textId="77777777" w:rsidR="000B6F46" w:rsidRPr="000166E7" w:rsidRDefault="000B6F46" w:rsidP="00B110D5">
            <w:pPr>
              <w:ind w:right="-28"/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0.042</w:t>
            </w:r>
          </w:p>
        </w:tc>
      </w:tr>
      <w:tr w:rsidR="000B6F46" w:rsidRPr="000166E7" w14:paraId="08876510" w14:textId="77777777" w:rsidTr="00B110D5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AAA8FB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NIHSS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17295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1.036 (0.911–1.199)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35B052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0.892–1.321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BA0CBB" w14:textId="77777777" w:rsidR="000B6F46" w:rsidRPr="000166E7" w:rsidRDefault="000B6F46" w:rsidP="00B110D5">
            <w:pPr>
              <w:ind w:right="-28"/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0.596</w:t>
            </w:r>
          </w:p>
        </w:tc>
      </w:tr>
    </w:tbl>
    <w:p w14:paraId="4D3CC57E" w14:textId="77777777" w:rsidR="000B6F46" w:rsidRPr="000166E7" w:rsidRDefault="000B6F46" w:rsidP="000B6F46">
      <w:pPr>
        <w:ind w:right="645"/>
        <w:jc w:val="both"/>
        <w:rPr>
          <w:rFonts w:ascii="Times New Roman" w:hAnsi="Times New Roman"/>
          <w:lang w:val="en-US"/>
        </w:rPr>
      </w:pPr>
      <w:r w:rsidRPr="000166E7">
        <w:rPr>
          <w:rFonts w:ascii="Times New Roman" w:hAnsi="Times New Roman"/>
          <w:lang w:val="en-US"/>
        </w:rPr>
        <w:t>Area under the receiver operating curve: 0.8505.</w:t>
      </w:r>
    </w:p>
    <w:p w14:paraId="2F7152D5" w14:textId="77777777" w:rsidR="000B6F46" w:rsidRPr="000166E7" w:rsidRDefault="000B6F46" w:rsidP="000B6F46">
      <w:pPr>
        <w:ind w:right="645"/>
        <w:jc w:val="both"/>
        <w:rPr>
          <w:rFonts w:ascii="Times New Roman" w:hAnsi="Times New Roman"/>
          <w:lang w:val="en-US"/>
        </w:rPr>
      </w:pPr>
      <w:proofErr w:type="gramStart"/>
      <w:r w:rsidRPr="000166E7">
        <w:rPr>
          <w:rFonts w:ascii="Times New Roman" w:hAnsi="Times New Roman"/>
          <w:lang w:val="en-US"/>
        </w:rPr>
        <w:t>rSO</w:t>
      </w:r>
      <w:r w:rsidRPr="000166E7">
        <w:rPr>
          <w:rFonts w:ascii="Times New Roman" w:hAnsi="Times New Roman"/>
          <w:vertAlign w:val="subscript"/>
          <w:lang w:val="en-US"/>
        </w:rPr>
        <w:t>2|diff</w:t>
      </w:r>
      <w:proofErr w:type="gramEnd"/>
      <w:r w:rsidRPr="000166E7">
        <w:rPr>
          <w:rFonts w:ascii="Times New Roman" w:hAnsi="Times New Roman"/>
          <w:lang w:val="en-US"/>
        </w:rPr>
        <w:t xml:space="preserve"> indicates </w:t>
      </w:r>
      <w:proofErr w:type="spellStart"/>
      <w:r w:rsidRPr="000166E7">
        <w:rPr>
          <w:rFonts w:ascii="Times New Roman" w:hAnsi="Times New Roman"/>
          <w:lang w:val="en-US"/>
        </w:rPr>
        <w:t>interhemispheric</w:t>
      </w:r>
      <w:proofErr w:type="spellEnd"/>
      <w:r w:rsidRPr="000166E7">
        <w:rPr>
          <w:rFonts w:ascii="Times New Roman" w:hAnsi="Times New Roman"/>
          <w:lang w:val="en-US"/>
        </w:rPr>
        <w:t xml:space="preserve"> difference </w:t>
      </w:r>
      <w:r>
        <w:rPr>
          <w:rFonts w:ascii="Times New Roman" w:hAnsi="Times New Roman"/>
          <w:lang w:val="en-US"/>
        </w:rPr>
        <w:t>in</w:t>
      </w:r>
      <w:r w:rsidRPr="000166E7">
        <w:rPr>
          <w:rFonts w:ascii="Times New Roman" w:hAnsi="Times New Roman"/>
          <w:lang w:val="en-US"/>
        </w:rPr>
        <w:t xml:space="preserve"> regional oxygen saturation (affected minus unaffected hemisphere); </w:t>
      </w:r>
      <w:r w:rsidRPr="0070624A">
        <w:rPr>
          <w:rFonts w:ascii="Times New Roman" w:eastAsia="Times New Roman" w:hAnsi="Times New Roman"/>
          <w:bCs/>
          <w:color w:val="000000"/>
          <w:lang w:val="en-US"/>
        </w:rPr>
        <w:t>NIHSS, National Institutes of Health Stroke Scale.</w:t>
      </w:r>
    </w:p>
    <w:p w14:paraId="3650F212" w14:textId="77777777" w:rsidR="000B6F46" w:rsidRPr="000166E7" w:rsidRDefault="000B6F46" w:rsidP="000B6F46">
      <w:pPr>
        <w:jc w:val="both"/>
        <w:rPr>
          <w:rFonts w:ascii="Times New Roman" w:hAnsi="Times New Roman"/>
          <w:lang w:val="en-US"/>
        </w:rPr>
      </w:pPr>
    </w:p>
    <w:p w14:paraId="5A63637F" w14:textId="77777777" w:rsidR="000B6F46" w:rsidRPr="000166E7" w:rsidRDefault="000B6F46" w:rsidP="000B6F46">
      <w:p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Table IV.</w:t>
      </w:r>
      <w:r w:rsidRPr="000166E7">
        <w:rPr>
          <w:rFonts w:ascii="Times New Roman" w:hAnsi="Times New Roman"/>
          <w:lang w:val="en-US"/>
        </w:rPr>
        <w:t xml:space="preserve"> Logistic regression model to predict poor outcome (</w:t>
      </w:r>
      <w:proofErr w:type="spellStart"/>
      <w:r w:rsidRPr="000166E7">
        <w:rPr>
          <w:rFonts w:ascii="Times New Roman" w:hAnsi="Times New Roman"/>
          <w:lang w:val="en-US"/>
        </w:rPr>
        <w:t>mRS</w:t>
      </w:r>
      <w:proofErr w:type="spellEnd"/>
      <w:r w:rsidRPr="000166E7">
        <w:rPr>
          <w:rFonts w:ascii="Times New Roman" w:hAnsi="Times New Roman"/>
          <w:lang w:val="en-US"/>
        </w:rPr>
        <w:t xml:space="preserve"> 4-6)</w:t>
      </w:r>
    </w:p>
    <w:tbl>
      <w:tblPr>
        <w:tblW w:w="7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03"/>
        <w:gridCol w:w="1954"/>
        <w:gridCol w:w="1124"/>
      </w:tblGrid>
      <w:tr w:rsidR="000B6F46" w:rsidRPr="000166E7" w14:paraId="68A3EC61" w14:textId="77777777" w:rsidTr="00B110D5">
        <w:tc>
          <w:tcPr>
            <w:tcW w:w="2376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31ECD980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03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6660DF96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OR (95% CI)</w:t>
            </w:r>
          </w:p>
        </w:tc>
        <w:tc>
          <w:tcPr>
            <w:tcW w:w="1954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2D6E6066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95% Bootstrap CI</w:t>
            </w:r>
          </w:p>
        </w:tc>
        <w:tc>
          <w:tcPr>
            <w:tcW w:w="1124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7E74F9E6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i/>
                <w:iCs/>
                <w:color w:val="000000"/>
              </w:rPr>
              <w:t>P</w:t>
            </w:r>
            <w:r w:rsidRPr="000166E7">
              <w:rPr>
                <w:rFonts w:ascii="Times New Roman" w:eastAsia="Times New Roman" w:hAnsi="Times New Roman"/>
                <w:color w:val="000000"/>
              </w:rPr>
              <w:t>-Value</w:t>
            </w:r>
          </w:p>
        </w:tc>
      </w:tr>
      <w:tr w:rsidR="000B6F46" w:rsidRPr="000166E7" w14:paraId="4CA7D0BE" w14:textId="77777777" w:rsidTr="00B110D5">
        <w:tc>
          <w:tcPr>
            <w:tcW w:w="23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3B040F1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hAnsi="Times New Roman"/>
                <w:lang w:val="en-US"/>
              </w:rPr>
              <w:t>(Intercept)</w:t>
            </w: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4BB8597B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0.000 (0.000–0.186)</w:t>
            </w:r>
          </w:p>
        </w:tc>
        <w:tc>
          <w:tcPr>
            <w:tcW w:w="195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A4DAE4E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0.000–2.322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124D263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0.011</w:t>
            </w:r>
          </w:p>
        </w:tc>
      </w:tr>
      <w:tr w:rsidR="000B6F46" w:rsidRPr="000166E7" w14:paraId="4D6E47FC" w14:textId="77777777" w:rsidTr="00B110D5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FEC60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AS</w:t>
            </w: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V</w:t>
            </w:r>
            <w:r w:rsidRPr="000166E7">
              <w:rPr>
                <w:rFonts w:ascii="Times New Roman" w:eastAsia="Times New Roman" w:hAnsi="Times New Roman"/>
                <w:bCs/>
                <w:color w:val="000000"/>
                <w:vertAlign w:val="subscript"/>
              </w:rPr>
              <w:t>rSO2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C1988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0.060 (0.002–0.948)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C5D83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0.002–0.856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C1BAC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0.046</w:t>
            </w:r>
          </w:p>
        </w:tc>
      </w:tr>
      <w:tr w:rsidR="000B6F46" w:rsidRPr="000166E7" w14:paraId="6A0CC2F7" w14:textId="77777777" w:rsidTr="00B110D5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C78B9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Age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01372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1.105 (1.022–1.219)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6C5C6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0.999–1.229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DE9BE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0.010</w:t>
            </w:r>
          </w:p>
        </w:tc>
      </w:tr>
      <w:tr w:rsidR="000B6F46" w:rsidRPr="000166E7" w14:paraId="1D66C1F1" w14:textId="77777777" w:rsidTr="00B110D5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05D42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bCs/>
                <w:color w:val="000000"/>
              </w:rPr>
              <w:t>NIHSS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667DF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1.210 (1.041–1.474)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6BA702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1.012–1.428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F2DF21" w14:textId="77777777" w:rsidR="000B6F46" w:rsidRPr="000166E7" w:rsidRDefault="000B6F46" w:rsidP="00B110D5">
            <w:pPr>
              <w:jc w:val="both"/>
              <w:rPr>
                <w:rFonts w:ascii="Times New Roman" w:hAnsi="Times New Roman"/>
                <w:lang w:val="en-US"/>
              </w:rPr>
            </w:pPr>
            <w:r w:rsidRPr="000166E7">
              <w:rPr>
                <w:rFonts w:ascii="Times New Roman" w:eastAsia="Times New Roman" w:hAnsi="Times New Roman"/>
                <w:color w:val="000000"/>
              </w:rPr>
              <w:t>0.011</w:t>
            </w:r>
          </w:p>
        </w:tc>
      </w:tr>
    </w:tbl>
    <w:p w14:paraId="0A2B02EF" w14:textId="77777777" w:rsidR="000B6F46" w:rsidRPr="000166E7" w:rsidRDefault="000B6F46" w:rsidP="000B6F46">
      <w:pPr>
        <w:ind w:right="787"/>
        <w:jc w:val="both"/>
        <w:rPr>
          <w:rFonts w:ascii="Times New Roman" w:hAnsi="Times New Roman"/>
          <w:lang w:val="en-US"/>
        </w:rPr>
      </w:pPr>
      <w:r w:rsidRPr="000166E7">
        <w:rPr>
          <w:rFonts w:ascii="Times New Roman" w:hAnsi="Times New Roman"/>
          <w:lang w:val="en-US"/>
        </w:rPr>
        <w:t>Area under the receiver operating curve: 0.8686.</w:t>
      </w:r>
    </w:p>
    <w:p w14:paraId="2F1C5022" w14:textId="77777777" w:rsidR="000B6F46" w:rsidRPr="000166E7" w:rsidRDefault="000B6F46" w:rsidP="000B6F46">
      <w:pPr>
        <w:ind w:right="787"/>
        <w:jc w:val="both"/>
        <w:rPr>
          <w:rFonts w:ascii="Times New Roman" w:hAnsi="Times New Roman"/>
          <w:lang w:val="en-US"/>
        </w:rPr>
      </w:pPr>
      <w:r w:rsidRPr="0070624A">
        <w:rPr>
          <w:rFonts w:ascii="Times New Roman" w:eastAsia="Times New Roman" w:hAnsi="Times New Roman"/>
          <w:bCs/>
          <w:color w:val="000000"/>
          <w:lang w:val="en-US"/>
        </w:rPr>
        <w:t>ASV</w:t>
      </w:r>
      <w:r w:rsidRPr="0070624A">
        <w:rPr>
          <w:rFonts w:ascii="Times New Roman" w:eastAsia="Times New Roman" w:hAnsi="Times New Roman"/>
          <w:bCs/>
          <w:color w:val="000000"/>
          <w:vertAlign w:val="subscript"/>
          <w:lang w:val="en-US"/>
        </w:rPr>
        <w:t>rSO2</w:t>
      </w:r>
      <w:r w:rsidRPr="0070624A">
        <w:rPr>
          <w:rFonts w:ascii="Times New Roman" w:eastAsia="Times New Roman" w:hAnsi="Times New Roman"/>
          <w:bCs/>
          <w:color w:val="000000"/>
          <w:lang w:val="en-US"/>
        </w:rPr>
        <w:t xml:space="preserve"> indicates the variability index average successive variability; NIHSS, National Institutes of Health Stroke Scale.</w:t>
      </w:r>
    </w:p>
    <w:p w14:paraId="6C3B02DD" w14:textId="77777777" w:rsidR="000B6F46" w:rsidRPr="0070624A" w:rsidRDefault="000B6F46" w:rsidP="000B6F46">
      <w:pPr>
        <w:rPr>
          <w:lang w:val="en-US"/>
        </w:rPr>
      </w:pPr>
    </w:p>
    <w:p w14:paraId="5F0AC0C1" w14:textId="77777777" w:rsidR="00587559" w:rsidRDefault="00587559">
      <w:pPr>
        <w:rPr>
          <w:rFonts w:ascii="Times New Roman" w:eastAsia="Times New Roman" w:hAnsi="Times New Roman"/>
          <w:color w:val="000000"/>
          <w:lang w:val="en-US" w:eastAsia="de-DE"/>
        </w:rPr>
      </w:pPr>
      <w:r>
        <w:rPr>
          <w:rFonts w:ascii="Times New Roman" w:eastAsia="Times New Roman" w:hAnsi="Times New Roman"/>
          <w:color w:val="000000"/>
          <w:lang w:val="en-US" w:eastAsia="de-DE"/>
        </w:rPr>
        <w:br w:type="page"/>
      </w:r>
    </w:p>
    <w:p w14:paraId="5F8B1EEB" w14:textId="045B3EAE" w:rsidR="00492F21" w:rsidRDefault="00492F21" w:rsidP="00492F21">
      <w:pPr>
        <w:rPr>
          <w:rFonts w:ascii="Times New Roman" w:hAnsi="Times New Roman"/>
          <w:noProof/>
          <w:lang w:eastAsia="de-DE"/>
        </w:rPr>
      </w:pPr>
      <w:r>
        <w:rPr>
          <w:rFonts w:ascii="Times New Roman" w:eastAsia="Times New Roman" w:hAnsi="Times New Roman"/>
          <w:color w:val="000000"/>
          <w:lang w:val="en-US" w:eastAsia="de-DE"/>
        </w:rPr>
        <w:lastRenderedPageBreak/>
        <w:t xml:space="preserve">Figure II. </w:t>
      </w:r>
      <w:proofErr w:type="gramStart"/>
      <w:r>
        <w:rPr>
          <w:rFonts w:ascii="Times New Roman" w:eastAsia="Times New Roman" w:hAnsi="Times New Roman"/>
          <w:color w:val="000000"/>
          <w:lang w:val="en-US" w:eastAsia="de-DE"/>
        </w:rPr>
        <w:t xml:space="preserve">Association between Average Successive Variability and </w:t>
      </w:r>
      <w:r>
        <w:rPr>
          <w:rFonts w:ascii="Times New Roman" w:eastAsia="Times New Roman" w:hAnsi="Times New Roman"/>
          <w:color w:val="000000"/>
          <w:lang w:val="en-US" w:eastAsia="de-DE"/>
        </w:rPr>
        <w:br/>
        <w:t xml:space="preserve">the National Institutes of Health Stroke Scale (NIHSS) Score at </w:t>
      </w:r>
      <w:r w:rsidR="0051291C">
        <w:rPr>
          <w:rFonts w:ascii="Times New Roman" w:eastAsia="Times New Roman" w:hAnsi="Times New Roman"/>
          <w:color w:val="000000"/>
          <w:lang w:val="en-US" w:eastAsia="de-DE"/>
        </w:rPr>
        <w:t xml:space="preserve">the </w:t>
      </w:r>
      <w:r>
        <w:rPr>
          <w:rFonts w:ascii="Times New Roman" w:eastAsia="Times New Roman" w:hAnsi="Times New Roman"/>
          <w:color w:val="000000"/>
          <w:lang w:val="en-US" w:eastAsia="de-DE"/>
        </w:rPr>
        <w:t xml:space="preserve">day </w:t>
      </w:r>
      <w:r>
        <w:rPr>
          <w:rFonts w:ascii="Times New Roman" w:eastAsia="Times New Roman" w:hAnsi="Times New Roman"/>
          <w:color w:val="000000"/>
          <w:lang w:val="en-US" w:eastAsia="de-DE"/>
        </w:rPr>
        <w:br/>
        <w:t>of hospital discharge.</w:t>
      </w:r>
      <w:proofErr w:type="gramEnd"/>
      <w:r w:rsidRPr="00FD62D8">
        <w:rPr>
          <w:rFonts w:ascii="Times New Roman" w:hAnsi="Times New Roman"/>
          <w:noProof/>
          <w:lang w:eastAsia="de-DE"/>
        </w:rPr>
        <w:t xml:space="preserve"> </w:t>
      </w:r>
    </w:p>
    <w:p w14:paraId="179B1B7A" w14:textId="77777777" w:rsidR="00587559" w:rsidRDefault="00587559" w:rsidP="00F56812">
      <w:pPr>
        <w:rPr>
          <w:rFonts w:ascii="Times New Roman" w:hAnsi="Times New Roman"/>
          <w:noProof/>
          <w:lang w:eastAsia="de-DE"/>
        </w:rPr>
      </w:pPr>
    </w:p>
    <w:p w14:paraId="65A5E412" w14:textId="4C179A11" w:rsidR="009857BD" w:rsidRPr="009857BD" w:rsidRDefault="00492F21" w:rsidP="00F56812">
      <w:pPr>
        <w:rPr>
          <w:rFonts w:ascii="Times New Roman" w:eastAsia="Times New Roman" w:hAnsi="Times New Roman"/>
          <w:color w:val="000000"/>
          <w:lang w:eastAsia="de-DE"/>
        </w:rPr>
      </w:pPr>
      <w:r w:rsidRPr="0051291C">
        <w:rPr>
          <w:rFonts w:ascii="Times New Roman" w:hAnsi="Times New Roman"/>
          <w:noProof/>
          <w:lang w:val="en-GB" w:eastAsia="en-GB"/>
        </w:rPr>
        <w:drawing>
          <wp:inline distT="0" distB="0" distL="0" distR="0" wp14:anchorId="407E608F" wp14:editId="4B4B1462">
            <wp:extent cx="4049395" cy="4049395"/>
            <wp:effectExtent l="0" t="0" r="0" b="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424" cy="405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9C24F" w14:textId="77777777" w:rsidR="004512F7" w:rsidRPr="00F56812" w:rsidRDefault="004512F7">
      <w:pPr>
        <w:rPr>
          <w:lang w:val="en-US"/>
        </w:rPr>
      </w:pPr>
    </w:p>
    <w:sectPr w:rsidR="004512F7" w:rsidRPr="00F56812" w:rsidSect="003B21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6BDF8" w14:textId="77777777" w:rsidR="004E5524" w:rsidRDefault="004E5524" w:rsidP="00954047">
      <w:r>
        <w:separator/>
      </w:r>
    </w:p>
  </w:endnote>
  <w:endnote w:type="continuationSeparator" w:id="0">
    <w:p w14:paraId="1D6878CF" w14:textId="77777777" w:rsidR="004E5524" w:rsidRDefault="004E5524" w:rsidP="0095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8D2FC" w14:textId="77777777" w:rsidR="00954047" w:rsidRDefault="009540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1AF92C" w14:textId="77777777" w:rsidR="00954047" w:rsidRDefault="009540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7F676E" w14:textId="77777777" w:rsidR="00954047" w:rsidRDefault="009540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CB85A" w14:textId="77777777" w:rsidR="004E5524" w:rsidRDefault="004E5524" w:rsidP="00954047">
      <w:r>
        <w:separator/>
      </w:r>
    </w:p>
  </w:footnote>
  <w:footnote w:type="continuationSeparator" w:id="0">
    <w:p w14:paraId="08BF55CC" w14:textId="77777777" w:rsidR="004E5524" w:rsidRDefault="004E5524" w:rsidP="009540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56A218" w14:textId="77777777" w:rsidR="00954047" w:rsidRDefault="009540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42EE30" w14:textId="77777777" w:rsidR="00954047" w:rsidRDefault="009540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4BC30" w14:textId="77777777" w:rsidR="00954047" w:rsidRDefault="009540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46"/>
    <w:rsid w:val="00094E86"/>
    <w:rsid w:val="000B6F46"/>
    <w:rsid w:val="003B21E3"/>
    <w:rsid w:val="004512F7"/>
    <w:rsid w:val="00492F21"/>
    <w:rsid w:val="004E5524"/>
    <w:rsid w:val="0051291C"/>
    <w:rsid w:val="00587559"/>
    <w:rsid w:val="00686418"/>
    <w:rsid w:val="00733751"/>
    <w:rsid w:val="00954047"/>
    <w:rsid w:val="009857BD"/>
    <w:rsid w:val="00A87076"/>
    <w:rsid w:val="00CD0888"/>
    <w:rsid w:val="00D42F6B"/>
    <w:rsid w:val="00D86F06"/>
    <w:rsid w:val="00F56812"/>
    <w:rsid w:val="00FD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2EBA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46"/>
    <w:rPr>
      <w:rFonts w:ascii="Cambria" w:eastAsia="MS Mincho" w:hAnsi="Cambria" w:cs="Times New Roman"/>
      <w:lang w:val="de-D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0B6F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F46"/>
    <w:rPr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F46"/>
    <w:rPr>
      <w:rFonts w:ascii="Cambria" w:eastAsia="MS Mincho" w:hAnsi="Cambria" w:cs="Times New Roman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F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F46"/>
    <w:rPr>
      <w:rFonts w:ascii="Lucida Grande" w:eastAsia="MS Mincho" w:hAnsi="Lucida Grande" w:cs="Lucida Grande"/>
      <w:sz w:val="18"/>
      <w:szCs w:val="18"/>
      <w:lang w:val="de-DE" w:eastAsia="en-US"/>
    </w:rPr>
  </w:style>
  <w:style w:type="paragraph" w:styleId="Header">
    <w:name w:val="header"/>
    <w:basedOn w:val="Normal"/>
    <w:link w:val="HeaderChar"/>
    <w:uiPriority w:val="99"/>
    <w:unhideWhenUsed/>
    <w:rsid w:val="009540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047"/>
    <w:rPr>
      <w:rFonts w:ascii="Cambria" w:eastAsia="MS Mincho" w:hAnsi="Cambria" w:cs="Times New Roman"/>
      <w:lang w:val="de-DE" w:eastAsia="en-US"/>
    </w:rPr>
  </w:style>
  <w:style w:type="paragraph" w:styleId="Footer">
    <w:name w:val="footer"/>
    <w:basedOn w:val="Normal"/>
    <w:link w:val="FooterChar"/>
    <w:uiPriority w:val="99"/>
    <w:unhideWhenUsed/>
    <w:rsid w:val="009540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047"/>
    <w:rPr>
      <w:rFonts w:ascii="Cambria" w:eastAsia="MS Mincho" w:hAnsi="Cambria" w:cs="Times New Roman"/>
      <w:lang w:val="de-D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F46"/>
    <w:rPr>
      <w:rFonts w:ascii="Cambria" w:eastAsia="MS Mincho" w:hAnsi="Cambria" w:cs="Times New Roman"/>
      <w:lang w:val="de-D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0B6F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F46"/>
    <w:rPr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F46"/>
    <w:rPr>
      <w:rFonts w:ascii="Cambria" w:eastAsia="MS Mincho" w:hAnsi="Cambria" w:cs="Times New Roman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F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F46"/>
    <w:rPr>
      <w:rFonts w:ascii="Lucida Grande" w:eastAsia="MS Mincho" w:hAnsi="Lucida Grande" w:cs="Lucida Grande"/>
      <w:sz w:val="18"/>
      <w:szCs w:val="18"/>
      <w:lang w:val="de-DE" w:eastAsia="en-US"/>
    </w:rPr>
  </w:style>
  <w:style w:type="paragraph" w:styleId="Header">
    <w:name w:val="header"/>
    <w:basedOn w:val="Normal"/>
    <w:link w:val="HeaderChar"/>
    <w:uiPriority w:val="99"/>
    <w:unhideWhenUsed/>
    <w:rsid w:val="009540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4047"/>
    <w:rPr>
      <w:rFonts w:ascii="Cambria" w:eastAsia="MS Mincho" w:hAnsi="Cambria" w:cs="Times New Roman"/>
      <w:lang w:val="de-DE" w:eastAsia="en-US"/>
    </w:rPr>
  </w:style>
  <w:style w:type="paragraph" w:styleId="Footer">
    <w:name w:val="footer"/>
    <w:basedOn w:val="Normal"/>
    <w:link w:val="FooterChar"/>
    <w:uiPriority w:val="99"/>
    <w:unhideWhenUsed/>
    <w:rsid w:val="009540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4047"/>
    <w:rPr>
      <w:rFonts w:ascii="Cambria" w:eastAsia="MS Mincho" w:hAnsi="Cambria" w:cs="Times New Roman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hc14:Users:hc:Dropbox:01%20Neuro:02%20manuscript%20&amp;%20library:Boesel%20Julian:NIRS_Angio:final:Confirming%20analysis%20-%20Results%20-%20RR-NIRS-Correlation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33"/>
    </mc:Choice>
    <mc:Fallback>
      <c:style val="3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47625">
              <a:noFill/>
            </a:ln>
          </c:spPr>
          <c:dPt>
            <c:idx val="7"/>
            <c:bubble3D val="0"/>
          </c:dPt>
          <c:trendline>
            <c:trendlineType val="linear"/>
            <c:dispRSqr val="1"/>
            <c:dispEq val="1"/>
            <c:trendlineLbl>
              <c:layout>
                <c:manualLayout>
                  <c:x val="0.19994623398813299"/>
                  <c:y val="0.20426690992452001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sz="1400">
                      <a:latin typeface="Arial"/>
                    </a:defRPr>
                  </a:pPr>
                  <a:endParaRPr lang="en-US"/>
                </a:p>
              </c:txPr>
            </c:trendlineLbl>
          </c:trendline>
          <c:xVal>
            <c:numRef>
              <c:f>RR!$F$3:$F$80</c:f>
              <c:numCache>
                <c:formatCode>General</c:formatCode>
                <c:ptCount val="78"/>
                <c:pt idx="0">
                  <c:v>43</c:v>
                </c:pt>
                <c:pt idx="3">
                  <c:v>33</c:v>
                </c:pt>
                <c:pt idx="4">
                  <c:v>30</c:v>
                </c:pt>
                <c:pt idx="5">
                  <c:v>32</c:v>
                </c:pt>
                <c:pt idx="6">
                  <c:v>60</c:v>
                </c:pt>
                <c:pt idx="7">
                  <c:v>47</c:v>
                </c:pt>
                <c:pt idx="9">
                  <c:v>54</c:v>
                </c:pt>
                <c:pt idx="10">
                  <c:v>49</c:v>
                </c:pt>
                <c:pt idx="12">
                  <c:v>44</c:v>
                </c:pt>
                <c:pt idx="13">
                  <c:v>42</c:v>
                </c:pt>
                <c:pt idx="14">
                  <c:v>51</c:v>
                </c:pt>
                <c:pt idx="15">
                  <c:v>36</c:v>
                </c:pt>
                <c:pt idx="17">
                  <c:v>50</c:v>
                </c:pt>
                <c:pt idx="19">
                  <c:v>45</c:v>
                </c:pt>
                <c:pt idx="20">
                  <c:v>70</c:v>
                </c:pt>
                <c:pt idx="21">
                  <c:v>41</c:v>
                </c:pt>
                <c:pt idx="22">
                  <c:v>96</c:v>
                </c:pt>
                <c:pt idx="23">
                  <c:v>45</c:v>
                </c:pt>
                <c:pt idx="24">
                  <c:v>46</c:v>
                </c:pt>
                <c:pt idx="25">
                  <c:v>61</c:v>
                </c:pt>
                <c:pt idx="26">
                  <c:v>59</c:v>
                </c:pt>
                <c:pt idx="27">
                  <c:v>53</c:v>
                </c:pt>
                <c:pt idx="28">
                  <c:v>46</c:v>
                </c:pt>
                <c:pt idx="29">
                  <c:v>34</c:v>
                </c:pt>
                <c:pt idx="30">
                  <c:v>46</c:v>
                </c:pt>
                <c:pt idx="31">
                  <c:v>72</c:v>
                </c:pt>
                <c:pt idx="32">
                  <c:v>50</c:v>
                </c:pt>
                <c:pt idx="33">
                  <c:v>53</c:v>
                </c:pt>
                <c:pt idx="35">
                  <c:v>67</c:v>
                </c:pt>
                <c:pt idx="37">
                  <c:v>36</c:v>
                </c:pt>
                <c:pt idx="38">
                  <c:v>42</c:v>
                </c:pt>
                <c:pt idx="39">
                  <c:v>47</c:v>
                </c:pt>
                <c:pt idx="43">
                  <c:v>76</c:v>
                </c:pt>
                <c:pt idx="44">
                  <c:v>47</c:v>
                </c:pt>
                <c:pt idx="45">
                  <c:v>35</c:v>
                </c:pt>
                <c:pt idx="48">
                  <c:v>65</c:v>
                </c:pt>
                <c:pt idx="49">
                  <c:v>90</c:v>
                </c:pt>
                <c:pt idx="50">
                  <c:v>38</c:v>
                </c:pt>
                <c:pt idx="51">
                  <c:v>39</c:v>
                </c:pt>
                <c:pt idx="52">
                  <c:v>30</c:v>
                </c:pt>
                <c:pt idx="54">
                  <c:v>39</c:v>
                </c:pt>
                <c:pt idx="55">
                  <c:v>47</c:v>
                </c:pt>
                <c:pt idx="56">
                  <c:v>64</c:v>
                </c:pt>
                <c:pt idx="57">
                  <c:v>35</c:v>
                </c:pt>
                <c:pt idx="58">
                  <c:v>32</c:v>
                </c:pt>
                <c:pt idx="59">
                  <c:v>38</c:v>
                </c:pt>
                <c:pt idx="60">
                  <c:v>39</c:v>
                </c:pt>
                <c:pt idx="61">
                  <c:v>61</c:v>
                </c:pt>
                <c:pt idx="62">
                  <c:v>46</c:v>
                </c:pt>
                <c:pt idx="63">
                  <c:v>35</c:v>
                </c:pt>
                <c:pt idx="64">
                  <c:v>30</c:v>
                </c:pt>
                <c:pt idx="66">
                  <c:v>37</c:v>
                </c:pt>
                <c:pt idx="67">
                  <c:v>35</c:v>
                </c:pt>
                <c:pt idx="68">
                  <c:v>35</c:v>
                </c:pt>
                <c:pt idx="69">
                  <c:v>38</c:v>
                </c:pt>
                <c:pt idx="72">
                  <c:v>46</c:v>
                </c:pt>
                <c:pt idx="73">
                  <c:v>36</c:v>
                </c:pt>
                <c:pt idx="74">
                  <c:v>71</c:v>
                </c:pt>
                <c:pt idx="75">
                  <c:v>63</c:v>
                </c:pt>
                <c:pt idx="77">
                  <c:v>40</c:v>
                </c:pt>
              </c:numCache>
            </c:numRef>
          </c:xVal>
          <c:yVal>
            <c:numRef>
              <c:f>RR!$G$3:$G$80</c:f>
              <c:numCache>
                <c:formatCode>General</c:formatCode>
                <c:ptCount val="78"/>
                <c:pt idx="0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0</c:v>
                </c:pt>
                <c:pt idx="6">
                  <c:v>4</c:v>
                </c:pt>
                <c:pt idx="7">
                  <c:v>11</c:v>
                </c:pt>
                <c:pt idx="9">
                  <c:v>7</c:v>
                </c:pt>
                <c:pt idx="10">
                  <c:v>8</c:v>
                </c:pt>
                <c:pt idx="12">
                  <c:v>4</c:v>
                </c:pt>
                <c:pt idx="13">
                  <c:v>8</c:v>
                </c:pt>
                <c:pt idx="14">
                  <c:v>12</c:v>
                </c:pt>
                <c:pt idx="15">
                  <c:v>7</c:v>
                </c:pt>
                <c:pt idx="17">
                  <c:v>15</c:v>
                </c:pt>
                <c:pt idx="19">
                  <c:v>11</c:v>
                </c:pt>
                <c:pt idx="20">
                  <c:v>14</c:v>
                </c:pt>
                <c:pt idx="21">
                  <c:v>11</c:v>
                </c:pt>
                <c:pt idx="22">
                  <c:v>23</c:v>
                </c:pt>
                <c:pt idx="23">
                  <c:v>2</c:v>
                </c:pt>
                <c:pt idx="24">
                  <c:v>15</c:v>
                </c:pt>
                <c:pt idx="25">
                  <c:v>15</c:v>
                </c:pt>
                <c:pt idx="26">
                  <c:v>11</c:v>
                </c:pt>
                <c:pt idx="27">
                  <c:v>16</c:v>
                </c:pt>
                <c:pt idx="28">
                  <c:v>16</c:v>
                </c:pt>
                <c:pt idx="29">
                  <c:v>14</c:v>
                </c:pt>
                <c:pt idx="30">
                  <c:v>19</c:v>
                </c:pt>
                <c:pt idx="31">
                  <c:v>12</c:v>
                </c:pt>
                <c:pt idx="32">
                  <c:v>13</c:v>
                </c:pt>
                <c:pt idx="33">
                  <c:v>18</c:v>
                </c:pt>
                <c:pt idx="35">
                  <c:v>17</c:v>
                </c:pt>
                <c:pt idx="37">
                  <c:v>2</c:v>
                </c:pt>
                <c:pt idx="38">
                  <c:v>10</c:v>
                </c:pt>
                <c:pt idx="39">
                  <c:v>5</c:v>
                </c:pt>
                <c:pt idx="48">
                  <c:v>10</c:v>
                </c:pt>
                <c:pt idx="50">
                  <c:v>9</c:v>
                </c:pt>
                <c:pt idx="51">
                  <c:v>10</c:v>
                </c:pt>
                <c:pt idx="52">
                  <c:v>6</c:v>
                </c:pt>
                <c:pt idx="54">
                  <c:v>6</c:v>
                </c:pt>
                <c:pt idx="55">
                  <c:v>13</c:v>
                </c:pt>
                <c:pt idx="56">
                  <c:v>16</c:v>
                </c:pt>
                <c:pt idx="57">
                  <c:v>7</c:v>
                </c:pt>
                <c:pt idx="58">
                  <c:v>10</c:v>
                </c:pt>
                <c:pt idx="59">
                  <c:v>8</c:v>
                </c:pt>
                <c:pt idx="60">
                  <c:v>4</c:v>
                </c:pt>
                <c:pt idx="61">
                  <c:v>15</c:v>
                </c:pt>
                <c:pt idx="62">
                  <c:v>1</c:v>
                </c:pt>
                <c:pt idx="63">
                  <c:v>2</c:v>
                </c:pt>
                <c:pt idx="64">
                  <c:v>0</c:v>
                </c:pt>
                <c:pt idx="66">
                  <c:v>4</c:v>
                </c:pt>
                <c:pt idx="67">
                  <c:v>4</c:v>
                </c:pt>
                <c:pt idx="68">
                  <c:v>2</c:v>
                </c:pt>
                <c:pt idx="69">
                  <c:v>3</c:v>
                </c:pt>
                <c:pt idx="72">
                  <c:v>5</c:v>
                </c:pt>
                <c:pt idx="73">
                  <c:v>2</c:v>
                </c:pt>
                <c:pt idx="74">
                  <c:v>12</c:v>
                </c:pt>
                <c:pt idx="75">
                  <c:v>11</c:v>
                </c:pt>
                <c:pt idx="77">
                  <c:v>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648640"/>
        <c:axId val="165945344"/>
      </c:scatterChart>
      <c:valAx>
        <c:axId val="123648640"/>
        <c:scaling>
          <c:orientation val="minMax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600" b="0">
                    <a:latin typeface="Arial"/>
                    <a:cs typeface="Arial"/>
                  </a:defRPr>
                </a:pPr>
                <a:r>
                  <a:rPr lang="en-US" sz="1600" b="0">
                    <a:latin typeface="Arial"/>
                    <a:cs typeface="Arial"/>
                  </a:rPr>
                  <a:t>∆ mean</a:t>
                </a:r>
                <a:r>
                  <a:rPr lang="en-US" sz="1600" b="0" baseline="0">
                    <a:latin typeface="Arial"/>
                    <a:cs typeface="Arial"/>
                  </a:rPr>
                  <a:t> arterial pressure, mm Hg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600">
                <a:latin typeface="Arial"/>
              </a:defRPr>
            </a:pPr>
            <a:endParaRPr lang="en-US"/>
          </a:p>
        </c:txPr>
        <c:crossAx val="165945344"/>
        <c:crosses val="autoZero"/>
        <c:crossBetween val="midCat"/>
      </c:valAx>
      <c:valAx>
        <c:axId val="16594534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600" b="0">
                    <a:latin typeface="Arial"/>
                    <a:cs typeface="Arial"/>
                  </a:defRPr>
                </a:pPr>
                <a:r>
                  <a:rPr lang="en-US" sz="1600" b="0" baseline="0">
                    <a:latin typeface="Arial"/>
                    <a:cs typeface="Arial"/>
                  </a:rPr>
                  <a:t>∆ regional oxygen saturation (rSO</a:t>
                </a:r>
                <a:r>
                  <a:rPr lang="en-US" sz="1600" b="0" baseline="-25000">
                    <a:latin typeface="Arial"/>
                    <a:cs typeface="Arial"/>
                  </a:rPr>
                  <a:t>2</a:t>
                </a:r>
                <a:r>
                  <a:rPr lang="en-US" sz="1600" b="0" baseline="0">
                    <a:latin typeface="Arial"/>
                    <a:cs typeface="Arial"/>
                  </a:rPr>
                  <a:t>) absolute)</a:t>
                </a:r>
              </a:p>
            </c:rich>
          </c:tx>
          <c:layout>
            <c:manualLayout>
              <c:xMode val="edge"/>
              <c:yMode val="edge"/>
              <c:x val="7.7442586387489101E-3"/>
              <c:y val="0.10429863119433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600">
                <a:latin typeface="Arial"/>
              </a:defRPr>
            </a:pPr>
            <a:endParaRPr lang="en-US"/>
          </a:p>
        </c:txPr>
        <c:crossAx val="12364864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libri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mbria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Harvey, Kirsten H</cp:lastModifiedBy>
  <cp:revision>4</cp:revision>
  <dcterms:created xsi:type="dcterms:W3CDTF">2017-06-15T10:11:00Z</dcterms:created>
  <dcterms:modified xsi:type="dcterms:W3CDTF">2017-06-15T10:11:00Z</dcterms:modified>
</cp:coreProperties>
</file>